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88" w:lineRule="auto"/>
        <w:ind w:firstLine="1040"/>
        <w:rPr>
          <w:rFonts w:ascii="仿宋_GB2312" w:eastAsia="仿宋_GB2312"/>
          <w:sz w:val="36"/>
          <w:szCs w:val="36"/>
        </w:rPr>
      </w:pPr>
      <w:bookmarkStart w:id="8" w:name="_GoBack"/>
      <w:bookmarkEnd w:id="8"/>
      <w:r>
        <w:drawing>
          <wp:anchor distT="0" distB="0" distL="114300" distR="114300" simplePos="0" relativeHeight="251660288" behindDoc="0" locked="0" layoutInCell="1" allowOverlap="1">
            <wp:simplePos x="0" y="0"/>
            <wp:positionH relativeFrom="column">
              <wp:posOffset>-1070610</wp:posOffset>
            </wp:positionH>
            <wp:positionV relativeFrom="paragraph">
              <wp:posOffset>-1084580</wp:posOffset>
            </wp:positionV>
            <wp:extent cx="7627620" cy="10714990"/>
            <wp:effectExtent l="0" t="0" r="11430" b="1016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7627620" cy="10714990"/>
                    </a:xfrm>
                    <a:prstGeom prst="rect">
                      <a:avLst/>
                    </a:prstGeom>
                    <a:noFill/>
                    <a:ln>
                      <a:noFill/>
                    </a:ln>
                  </pic:spPr>
                </pic:pic>
              </a:graphicData>
            </a:graphic>
          </wp:anchor>
        </w:drawing>
      </w:r>
    </w:p>
    <w:p>
      <w:pPr>
        <w:adjustRightInd w:val="0"/>
        <w:snapToGrid w:val="0"/>
        <w:spacing w:line="288" w:lineRule="auto"/>
        <w:ind w:firstLine="1040"/>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pPr>
        <w:pStyle w:val="21"/>
        <w:jc w:val="center"/>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95"/>
        <w:gridCol w:w="2940"/>
        <w:gridCol w:w="1796"/>
        <w:gridCol w:w="26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95" w:type="dxa"/>
            <w:noWrap w:val="0"/>
            <w:tcMar>
              <w:top w:w="16" w:type="dxa"/>
              <w:left w:w="16" w:type="dxa"/>
              <w:right w:w="16" w:type="dxa"/>
            </w:tcMar>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建设项目名称</w:t>
            </w:r>
          </w:p>
        </w:tc>
        <w:tc>
          <w:tcPr>
            <w:tcW w:w="7375" w:type="dxa"/>
            <w:gridSpan w:val="3"/>
            <w:noWrap w:val="0"/>
            <w:vAlign w:val="center"/>
          </w:tcPr>
          <w:p>
            <w:pPr>
              <w:adjustRightInd w:val="0"/>
              <w:snapToGrid w:val="0"/>
              <w:spacing w:line="240" w:lineRule="auto"/>
              <w:jc w:val="center"/>
              <w:rPr>
                <w:rFonts w:hint="default" w:ascii="Times New Roman" w:hAnsi="Times New Roman" w:cs="Times New Roman"/>
                <w:szCs w:val="21"/>
                <w:lang w:eastAsia="zh-CN"/>
              </w:rPr>
            </w:pPr>
            <w:r>
              <w:rPr>
                <w:rFonts w:hint="eastAsia" w:ascii="Times New Roman" w:hAnsi="Times New Roman" w:cs="Times New Roman"/>
                <w:szCs w:val="21"/>
                <w:lang w:val="en-US" w:eastAsia="zh-CN"/>
              </w:rPr>
              <w:t>新疆鸿雁建材有限公司</w:t>
            </w:r>
            <w:r>
              <w:rPr>
                <w:rFonts w:hint="default" w:ascii="Times New Roman" w:hAnsi="Times New Roman" w:cs="Times New Roman"/>
                <w:szCs w:val="21"/>
                <w:lang w:val="en-US" w:eastAsia="zh-CN"/>
              </w:rPr>
              <w:t>年产1</w:t>
            </w:r>
            <w:r>
              <w:rPr>
                <w:rFonts w:hint="eastAsia" w:ascii="Times New Roman" w:hAnsi="Times New Roman" w:cs="Times New Roman"/>
                <w:szCs w:val="21"/>
                <w:lang w:val="en-US" w:eastAsia="zh-CN"/>
              </w:rPr>
              <w:t>0</w:t>
            </w:r>
            <w:r>
              <w:rPr>
                <w:rFonts w:hint="default" w:ascii="Times New Roman" w:hAnsi="Times New Roman" w:cs="Times New Roman"/>
                <w:szCs w:val="21"/>
                <w:lang w:val="en-US" w:eastAsia="zh-CN"/>
              </w:rPr>
              <w:t>万方混凝土搅拌站建设项目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95" w:type="dxa"/>
            <w:noWrap w:val="0"/>
            <w:tcMar>
              <w:top w:w="16" w:type="dxa"/>
              <w:left w:w="16" w:type="dxa"/>
              <w:right w:w="16" w:type="dxa"/>
            </w:tcMar>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项目代码</w:t>
            </w:r>
          </w:p>
        </w:tc>
        <w:tc>
          <w:tcPr>
            <w:tcW w:w="7375" w:type="dxa"/>
            <w:gridSpan w:val="3"/>
            <w:noWrap w:val="0"/>
            <w:vAlign w:val="center"/>
          </w:tcPr>
          <w:p>
            <w:pPr>
              <w:adjustRightInd w:val="0"/>
              <w:snapToGrid w:val="0"/>
              <w:spacing w:line="240" w:lineRule="auto"/>
              <w:jc w:val="center"/>
              <w:rPr>
                <w:rFonts w:hint="default" w:ascii="Times New Roman" w:hAnsi="Times New Roman" w:cs="Times New Roman"/>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95" w:type="dxa"/>
            <w:noWrap w:val="0"/>
            <w:tcMar>
              <w:top w:w="16" w:type="dxa"/>
              <w:left w:w="16" w:type="dxa"/>
              <w:right w:w="16" w:type="dxa"/>
            </w:tcMar>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建设单位联系人</w:t>
            </w:r>
          </w:p>
        </w:tc>
        <w:tc>
          <w:tcPr>
            <w:tcW w:w="2940" w:type="dxa"/>
            <w:noWrap w:val="0"/>
            <w:vAlign w:val="center"/>
          </w:tcPr>
          <w:p>
            <w:pPr>
              <w:adjustRightInd w:val="0"/>
              <w:snapToGrid w:val="0"/>
              <w:spacing w:line="240" w:lineRule="auto"/>
              <w:jc w:val="center"/>
              <w:rPr>
                <w:rFonts w:hint="eastAsia" w:ascii="Times New Roman" w:hAnsi="Times New Roman" w:cs="Times New Roman"/>
                <w:szCs w:val="21"/>
                <w:lang w:val="en-US" w:eastAsia="zh-CN"/>
              </w:rPr>
            </w:pPr>
          </w:p>
        </w:tc>
        <w:tc>
          <w:tcPr>
            <w:tcW w:w="1796" w:type="dxa"/>
            <w:noWrap w:val="0"/>
            <w:vAlign w:val="center"/>
          </w:tcPr>
          <w:p>
            <w:pPr>
              <w:adjustRightInd w:val="0"/>
              <w:snapToGrid w:val="0"/>
              <w:spacing w:line="240" w:lineRule="auto"/>
              <w:jc w:val="center"/>
              <w:rPr>
                <w:rFonts w:hint="default" w:ascii="Times New Roman" w:hAnsi="Times New Roman" w:cs="Times New Roman"/>
                <w:szCs w:val="21"/>
                <w:lang w:eastAsia="zh-CN"/>
              </w:rPr>
            </w:pPr>
          </w:p>
        </w:tc>
        <w:tc>
          <w:tcPr>
            <w:tcW w:w="2639" w:type="dxa"/>
            <w:noWrap w:val="0"/>
            <w:vAlign w:val="center"/>
          </w:tcPr>
          <w:p>
            <w:pPr>
              <w:adjustRightInd w:val="0"/>
              <w:snapToGrid w:val="0"/>
              <w:spacing w:line="240" w:lineRule="auto"/>
              <w:jc w:val="center"/>
              <w:rPr>
                <w:rFonts w:hint="default" w:ascii="Times New Roman" w:hAnsi="Times New Roman" w:cs="Times New Roman"/>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95" w:type="dxa"/>
            <w:noWrap w:val="0"/>
            <w:tcMar>
              <w:top w:w="16" w:type="dxa"/>
              <w:left w:w="16" w:type="dxa"/>
              <w:right w:w="16" w:type="dxa"/>
            </w:tcMar>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建设地点</w:t>
            </w:r>
          </w:p>
        </w:tc>
        <w:tc>
          <w:tcPr>
            <w:tcW w:w="7375" w:type="dxa"/>
            <w:gridSpan w:val="3"/>
            <w:noWrap w:val="0"/>
            <w:vAlign w:val="center"/>
          </w:tcPr>
          <w:p>
            <w:pPr>
              <w:adjustRightInd w:val="0"/>
              <w:snapToGrid w:val="0"/>
              <w:jc w:val="center"/>
              <w:rPr>
                <w:rFonts w:hint="default" w:ascii="宋体" w:hAnsi="宋体" w:cs="宋体"/>
                <w:szCs w:val="21"/>
                <w:highlight w:val="none"/>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95" w:type="dxa"/>
            <w:noWrap w:val="0"/>
            <w:tcMar>
              <w:top w:w="16" w:type="dxa"/>
              <w:left w:w="16" w:type="dxa"/>
              <w:right w:w="16" w:type="dxa"/>
            </w:tcMar>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地理坐标</w:t>
            </w:r>
          </w:p>
        </w:tc>
        <w:tc>
          <w:tcPr>
            <w:tcW w:w="7375" w:type="dxa"/>
            <w:gridSpan w:val="3"/>
            <w:noWrap w:val="0"/>
            <w:vAlign w:val="center"/>
          </w:tcPr>
          <w:p>
            <w:pPr>
              <w:jc w:val="center"/>
              <w:rPr>
                <w:rFonts w:hint="eastAsia" w:ascii="宋体" w:hAnsi="宋体" w:cs="宋体"/>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95" w:type="dxa"/>
            <w:noWrap w:val="0"/>
            <w:tcMar>
              <w:top w:w="16" w:type="dxa"/>
              <w:left w:w="16" w:type="dxa"/>
              <w:right w:w="16" w:type="dxa"/>
            </w:tcMar>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国民经济</w:t>
            </w:r>
          </w:p>
          <w:p>
            <w:pPr>
              <w:adjustRightInd w:val="0"/>
              <w:snapToGrid w:val="0"/>
              <w:jc w:val="center"/>
              <w:rPr>
                <w:rFonts w:ascii="宋体" w:hAnsi="宋体" w:cs="宋体"/>
                <w:szCs w:val="21"/>
                <w:highlight w:val="none"/>
              </w:rPr>
            </w:pPr>
            <w:r>
              <w:rPr>
                <w:rFonts w:hint="eastAsia" w:ascii="宋体" w:hAnsi="宋体" w:cs="宋体"/>
                <w:szCs w:val="21"/>
                <w:highlight w:val="none"/>
              </w:rPr>
              <w:t>行业类别</w:t>
            </w:r>
          </w:p>
        </w:tc>
        <w:tc>
          <w:tcPr>
            <w:tcW w:w="2940" w:type="dxa"/>
            <w:noWrap w:val="0"/>
            <w:vAlign w:val="center"/>
          </w:tcPr>
          <w:p>
            <w:pPr>
              <w:adjustRightInd w:val="0"/>
              <w:snapToGrid w:val="0"/>
              <w:jc w:val="center"/>
              <w:rPr>
                <w:rFonts w:ascii="宋体" w:hAnsi="宋体" w:cs="宋体"/>
                <w:szCs w:val="21"/>
                <w:highlight w:val="none"/>
              </w:rPr>
            </w:pPr>
            <w:r>
              <w:rPr>
                <w:rFonts w:hint="default" w:ascii="Times New Roman" w:hAnsi="Times New Roman" w:eastAsia="宋体" w:cs="Times New Roman"/>
                <w:szCs w:val="21"/>
                <w:highlight w:val="none"/>
              </w:rPr>
              <w:t>C3021</w:t>
            </w:r>
            <w:r>
              <w:rPr>
                <w:rFonts w:hint="eastAsia" w:ascii="宋体" w:hAnsi="宋体" w:eastAsia="宋体" w:cs="宋体"/>
                <w:szCs w:val="21"/>
                <w:highlight w:val="none"/>
              </w:rPr>
              <w:t>水泥制品制造</w:t>
            </w:r>
          </w:p>
        </w:tc>
        <w:tc>
          <w:tcPr>
            <w:tcW w:w="1796" w:type="dxa"/>
            <w:noWrap w:val="0"/>
            <w:vAlign w:val="center"/>
          </w:tcPr>
          <w:p>
            <w:pPr>
              <w:adjustRightInd w:val="0"/>
              <w:snapToGrid w:val="0"/>
              <w:jc w:val="center"/>
              <w:rPr>
                <w:rFonts w:ascii="宋体" w:hAnsi="宋体" w:cs="宋体"/>
                <w:szCs w:val="21"/>
                <w:highlight w:val="none"/>
              </w:rPr>
            </w:pPr>
            <w:bookmarkStart w:id="0" w:name="_Hlk49843745"/>
            <w:r>
              <w:rPr>
                <w:rFonts w:hint="eastAsia" w:ascii="宋体" w:hAnsi="宋体" w:cs="宋体"/>
                <w:szCs w:val="21"/>
                <w:highlight w:val="none"/>
              </w:rPr>
              <w:t>建设项目</w:t>
            </w:r>
          </w:p>
          <w:p>
            <w:pPr>
              <w:adjustRightInd w:val="0"/>
              <w:snapToGrid w:val="0"/>
              <w:jc w:val="center"/>
              <w:rPr>
                <w:rFonts w:ascii="宋体" w:hAnsi="宋体" w:cs="宋体"/>
                <w:szCs w:val="21"/>
                <w:highlight w:val="none"/>
              </w:rPr>
            </w:pPr>
            <w:r>
              <w:rPr>
                <w:rFonts w:hint="eastAsia" w:ascii="宋体" w:hAnsi="宋体" w:cs="宋体"/>
                <w:szCs w:val="21"/>
                <w:highlight w:val="none"/>
              </w:rPr>
              <w:t>行业类别</w:t>
            </w:r>
            <w:bookmarkEnd w:id="0"/>
          </w:p>
        </w:tc>
        <w:tc>
          <w:tcPr>
            <w:tcW w:w="2639" w:type="dxa"/>
            <w:noWrap w:val="0"/>
            <w:vAlign w:val="center"/>
          </w:tcPr>
          <w:p>
            <w:pPr>
              <w:adjustRightInd w:val="0"/>
              <w:snapToGrid w:val="0"/>
              <w:rPr>
                <w:rFonts w:ascii="宋体" w:hAnsi="宋体" w:cs="宋体"/>
                <w:szCs w:val="21"/>
                <w:highlight w:val="none"/>
              </w:rPr>
            </w:pPr>
            <w:r>
              <w:rPr>
                <w:rFonts w:hint="default" w:ascii="Times New Roman" w:hAnsi="Times New Roman" w:eastAsia="宋体" w:cs="Times New Roman"/>
                <w:szCs w:val="21"/>
                <w:highlight w:val="none"/>
              </w:rPr>
              <w:t>二十七、非金属矿物制品业-55、石膏水泥制品及类似制品</w:t>
            </w:r>
            <w:r>
              <w:rPr>
                <w:rFonts w:hint="eastAsia" w:cs="Times New Roman"/>
                <w:szCs w:val="21"/>
                <w:highlight w:val="none"/>
                <w:lang w:val="en-US" w:eastAsia="zh-CN"/>
              </w:rPr>
              <w:t>制造302</w:t>
            </w:r>
            <w:r>
              <w:rPr>
                <w:rFonts w:hint="default" w:ascii="Times New Roman" w:hAnsi="Times New Roman" w:eastAsia="宋体" w:cs="Times New Roman"/>
                <w:szCs w:val="21"/>
                <w:highlight w:val="none"/>
              </w:rPr>
              <w:t>-商品混凝土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95" w:type="dxa"/>
            <w:noWrap w:val="0"/>
            <w:tcMar>
              <w:top w:w="16" w:type="dxa"/>
              <w:left w:w="16" w:type="dxa"/>
              <w:right w:w="16" w:type="dxa"/>
            </w:tcMar>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建设性质</w:t>
            </w:r>
          </w:p>
        </w:tc>
        <w:tc>
          <w:tcPr>
            <w:tcW w:w="2940" w:type="dxa"/>
            <w:noWrap w:val="0"/>
            <w:vAlign w:val="center"/>
          </w:tcPr>
          <w:p>
            <w:pPr>
              <w:jc w:val="left"/>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新建（迁建）</w:t>
            </w:r>
          </w:p>
          <w:p>
            <w:pPr>
              <w:jc w:val="left"/>
              <w:rPr>
                <w:rFonts w:hint="eastAsia" w:ascii="宋体" w:hAnsi="宋体" w:cs="宋体"/>
                <w:szCs w:val="21"/>
                <w:highlight w:val="none"/>
              </w:rPr>
            </w:pPr>
            <w:r>
              <w:rPr>
                <w:rFonts w:hint="eastAsia" w:ascii="宋体" w:hAnsi="宋体" w:cs="宋体"/>
                <w:szCs w:val="21"/>
                <w:highlight w:val="none"/>
              </w:rPr>
              <w:t>□改建</w:t>
            </w:r>
          </w:p>
          <w:p>
            <w:pPr>
              <w:jc w:val="left"/>
              <w:rPr>
                <w:rFonts w:hint="eastAsia" w:ascii="宋体" w:hAnsi="宋体" w:cs="宋体"/>
                <w:szCs w:val="21"/>
                <w:highlight w:val="none"/>
              </w:rPr>
            </w:pPr>
            <w:r>
              <w:rPr>
                <w:rFonts w:hint="eastAsia" w:ascii="宋体" w:hAnsi="宋体" w:cs="宋体"/>
                <w:szCs w:val="21"/>
                <w:highlight w:val="none"/>
              </w:rPr>
              <w:t>□扩建</w:t>
            </w:r>
          </w:p>
          <w:p>
            <w:pPr>
              <w:jc w:val="left"/>
              <w:rPr>
                <w:rFonts w:ascii="宋体" w:hAnsi="宋体" w:cs="宋体"/>
                <w:szCs w:val="21"/>
                <w:highlight w:val="none"/>
              </w:rPr>
            </w:pPr>
            <w:r>
              <w:rPr>
                <w:rFonts w:hint="eastAsia" w:ascii="宋体" w:hAnsi="宋体" w:cs="宋体"/>
                <w:szCs w:val="21"/>
                <w:highlight w:val="none"/>
              </w:rPr>
              <w:t>□技术改造</w:t>
            </w:r>
          </w:p>
        </w:tc>
        <w:tc>
          <w:tcPr>
            <w:tcW w:w="1796" w:type="dxa"/>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建设项目</w:t>
            </w:r>
          </w:p>
          <w:p>
            <w:pPr>
              <w:adjustRightInd w:val="0"/>
              <w:snapToGrid w:val="0"/>
              <w:jc w:val="center"/>
              <w:rPr>
                <w:rFonts w:ascii="宋体" w:hAnsi="宋体" w:cs="宋体"/>
                <w:szCs w:val="21"/>
                <w:highlight w:val="none"/>
              </w:rPr>
            </w:pPr>
            <w:r>
              <w:rPr>
                <w:rFonts w:hint="eastAsia" w:ascii="宋体" w:hAnsi="宋体" w:cs="宋体"/>
                <w:szCs w:val="21"/>
                <w:highlight w:val="none"/>
              </w:rPr>
              <w:t>申报情形</w:t>
            </w:r>
          </w:p>
        </w:tc>
        <w:tc>
          <w:tcPr>
            <w:tcW w:w="2639" w:type="dxa"/>
            <w:noWrap w:val="0"/>
            <w:vAlign w:val="center"/>
          </w:tcPr>
          <w:p>
            <w:pPr>
              <w:jc w:val="left"/>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首次申报项目</w:t>
            </w:r>
            <w:r>
              <w:rPr>
                <w:rFonts w:ascii="宋体" w:hAnsi="宋体" w:cs="宋体"/>
                <w:szCs w:val="21"/>
                <w:highlight w:val="none"/>
              </w:rPr>
              <w:t xml:space="preserve">             </w:t>
            </w:r>
          </w:p>
          <w:p>
            <w:pPr>
              <w:jc w:val="left"/>
              <w:rPr>
                <w:rFonts w:ascii="宋体" w:hAnsi="宋体" w:cs="宋体"/>
                <w:szCs w:val="21"/>
                <w:highlight w:val="none"/>
              </w:rPr>
            </w:pPr>
            <w:r>
              <w:rPr>
                <w:rFonts w:hint="eastAsia" w:ascii="宋体" w:hAnsi="宋体" w:cs="宋体"/>
                <w:szCs w:val="21"/>
                <w:highlight w:val="none"/>
              </w:rPr>
              <w:t>□不予批准后再次申报项目</w:t>
            </w:r>
          </w:p>
          <w:p>
            <w:pPr>
              <w:jc w:val="left"/>
              <w:rPr>
                <w:rFonts w:ascii="宋体" w:hAnsi="宋体" w:cs="宋体"/>
                <w:szCs w:val="21"/>
                <w:highlight w:val="none"/>
              </w:rPr>
            </w:pPr>
            <w:r>
              <w:rPr>
                <w:rFonts w:hint="eastAsia" w:ascii="宋体" w:hAnsi="宋体" w:cs="宋体"/>
                <w:szCs w:val="21"/>
                <w:highlight w:val="none"/>
              </w:rPr>
              <w:t>□超五年重新审核项目</w:t>
            </w:r>
            <w:r>
              <w:rPr>
                <w:rFonts w:ascii="宋体" w:hAnsi="宋体" w:cs="宋体"/>
                <w:szCs w:val="21"/>
                <w:highlight w:val="none"/>
              </w:rPr>
              <w:t xml:space="preserve">     </w:t>
            </w:r>
          </w:p>
          <w:p>
            <w:pPr>
              <w:jc w:val="left"/>
              <w:rPr>
                <w:rFonts w:ascii="宋体" w:hAnsi="宋体" w:cs="宋体"/>
                <w:szCs w:val="21"/>
                <w:highlight w:val="none"/>
              </w:rPr>
            </w:pPr>
            <w:r>
              <w:rPr>
                <w:rFonts w:hint="eastAsia" w:ascii="宋体" w:hAnsi="宋体" w:cs="宋体"/>
                <w:szCs w:val="21"/>
                <w:highlight w:val="none"/>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95" w:type="dxa"/>
            <w:noWrap w:val="0"/>
            <w:tcMar>
              <w:top w:w="16" w:type="dxa"/>
              <w:left w:w="16" w:type="dxa"/>
              <w:right w:w="16" w:type="dxa"/>
            </w:tcMar>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项目审批（核准</w:t>
            </w:r>
            <w:r>
              <w:rPr>
                <w:rFonts w:ascii="宋体" w:hAnsi="宋体" w:cs="宋体"/>
                <w:szCs w:val="21"/>
                <w:highlight w:val="none"/>
              </w:rPr>
              <w:t>/</w:t>
            </w:r>
          </w:p>
          <w:p>
            <w:pPr>
              <w:adjustRightInd w:val="0"/>
              <w:snapToGrid w:val="0"/>
              <w:jc w:val="center"/>
              <w:rPr>
                <w:rFonts w:ascii="宋体" w:hAnsi="宋体" w:cs="宋体"/>
                <w:szCs w:val="21"/>
                <w:highlight w:val="none"/>
              </w:rPr>
            </w:pPr>
            <w:r>
              <w:rPr>
                <w:rFonts w:hint="eastAsia" w:ascii="宋体" w:hAnsi="宋体" w:cs="宋体"/>
                <w:szCs w:val="21"/>
                <w:highlight w:val="none"/>
              </w:rPr>
              <w:t>备案）部门（选填）</w:t>
            </w:r>
          </w:p>
        </w:tc>
        <w:tc>
          <w:tcPr>
            <w:tcW w:w="2940" w:type="dxa"/>
            <w:noWrap w:val="0"/>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新疆库尔勒市发展和改革委员会</w:t>
            </w:r>
          </w:p>
        </w:tc>
        <w:tc>
          <w:tcPr>
            <w:tcW w:w="1796" w:type="dxa"/>
            <w:noWrap w:val="0"/>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项目审批（核准</w:t>
            </w:r>
            <w:r>
              <w:rPr>
                <w:rFonts w:ascii="宋体" w:hAnsi="宋体" w:cs="宋体"/>
                <w:szCs w:val="21"/>
                <w:highlight w:val="none"/>
              </w:rPr>
              <w:t>/</w:t>
            </w:r>
          </w:p>
          <w:p>
            <w:pPr>
              <w:adjustRightInd w:val="0"/>
              <w:snapToGrid w:val="0"/>
              <w:jc w:val="center"/>
              <w:rPr>
                <w:rFonts w:hint="eastAsia" w:ascii="宋体" w:hAnsi="宋体" w:cs="宋体"/>
                <w:szCs w:val="21"/>
                <w:highlight w:val="none"/>
              </w:rPr>
            </w:pPr>
            <w:r>
              <w:rPr>
                <w:rFonts w:hint="eastAsia" w:ascii="宋体" w:hAnsi="宋体" w:cs="宋体"/>
                <w:szCs w:val="21"/>
                <w:highlight w:val="none"/>
              </w:rPr>
              <w:t>备案）文号（选填）</w:t>
            </w:r>
          </w:p>
        </w:tc>
        <w:tc>
          <w:tcPr>
            <w:tcW w:w="2639" w:type="dxa"/>
            <w:noWrap w:val="0"/>
            <w:vAlign w:val="center"/>
          </w:tcPr>
          <w:p>
            <w:pPr>
              <w:adjustRightInd w:val="0"/>
              <w:snapToGrid w:val="0"/>
              <w:jc w:val="center"/>
              <w:rPr>
                <w:rFonts w:hint="default" w:ascii="宋体" w:hAnsi="宋体" w:cs="宋体"/>
                <w:szCs w:val="21"/>
                <w:highlight w:val="none"/>
                <w:lang w:val="en-US"/>
              </w:rPr>
            </w:pPr>
            <w:r>
              <w:rPr>
                <w:rFonts w:hint="default" w:ascii="Times New Roman" w:hAnsi="Times New Roman" w:cs="Times New Roman"/>
                <w:szCs w:val="21"/>
                <w:highlight w:val="none"/>
                <w:lang w:val="en-US" w:eastAsia="zh-CN"/>
              </w:rPr>
              <w:t>2403-652801-17-01-786751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95" w:type="dxa"/>
            <w:noWrap w:val="0"/>
            <w:tcMar>
              <w:top w:w="16" w:type="dxa"/>
              <w:left w:w="16" w:type="dxa"/>
              <w:right w:w="16" w:type="dxa"/>
            </w:tcMar>
            <w:vAlign w:val="center"/>
          </w:tcPr>
          <w:p>
            <w:pPr>
              <w:adjustRightInd w:val="0"/>
              <w:snapToGrid w:val="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总投资（万元）</w:t>
            </w:r>
          </w:p>
        </w:tc>
        <w:tc>
          <w:tcPr>
            <w:tcW w:w="2940" w:type="dxa"/>
            <w:noWrap w:val="0"/>
            <w:vAlign w:val="center"/>
          </w:tcPr>
          <w:p>
            <w:pPr>
              <w:adjustRightInd w:val="0"/>
              <w:snapToGrid w:val="0"/>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1202.01</w:t>
            </w:r>
          </w:p>
        </w:tc>
        <w:tc>
          <w:tcPr>
            <w:tcW w:w="1796" w:type="dxa"/>
            <w:noWrap w:val="0"/>
            <w:tcMar>
              <w:top w:w="16" w:type="dxa"/>
              <w:left w:w="16" w:type="dxa"/>
              <w:right w:w="16" w:type="dxa"/>
            </w:tcMar>
            <w:vAlign w:val="center"/>
          </w:tcPr>
          <w:p>
            <w:pPr>
              <w:adjustRightInd w:val="0"/>
              <w:snapToGrid w:val="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环保投资（万元）</w:t>
            </w:r>
          </w:p>
        </w:tc>
        <w:tc>
          <w:tcPr>
            <w:tcW w:w="2639" w:type="dxa"/>
            <w:noWrap w:val="0"/>
            <w:vAlign w:val="center"/>
          </w:tcPr>
          <w:p>
            <w:pPr>
              <w:adjustRightInd w:val="0"/>
              <w:snapToGrid w:val="0"/>
              <w:jc w:val="center"/>
              <w:rPr>
                <w:rFonts w:hint="default" w:ascii="宋体" w:hAnsi="宋体" w:eastAsia="宋体" w:cs="宋体"/>
                <w:szCs w:val="21"/>
                <w:highlight w:val="none"/>
                <w:lang w:val="en-US" w:eastAsia="zh-CN"/>
              </w:rPr>
            </w:pPr>
            <w:r>
              <w:rPr>
                <w:rFonts w:hint="eastAsia" w:cs="Times New Roman"/>
                <w:szCs w:val="21"/>
                <w:highlight w:val="none"/>
                <w:lang w:val="en-US" w:eastAsia="zh-CN"/>
              </w:rPr>
              <w:t>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95" w:type="dxa"/>
            <w:noWrap w:val="0"/>
            <w:tcMar>
              <w:top w:w="16" w:type="dxa"/>
              <w:left w:w="16" w:type="dxa"/>
              <w:right w:w="16" w:type="dxa"/>
            </w:tcMar>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环保投资占比（</w:t>
            </w:r>
            <w:r>
              <w:rPr>
                <w:rFonts w:ascii="宋体" w:hAnsi="宋体" w:cs="宋体"/>
                <w:szCs w:val="21"/>
                <w:highlight w:val="none"/>
              </w:rPr>
              <w:t>%</w:t>
            </w:r>
            <w:r>
              <w:rPr>
                <w:rFonts w:hint="eastAsia" w:ascii="宋体" w:hAnsi="宋体" w:cs="宋体"/>
                <w:szCs w:val="21"/>
                <w:highlight w:val="none"/>
              </w:rPr>
              <w:t>）</w:t>
            </w:r>
          </w:p>
        </w:tc>
        <w:tc>
          <w:tcPr>
            <w:tcW w:w="2940" w:type="dxa"/>
            <w:noWrap w:val="0"/>
            <w:vAlign w:val="center"/>
          </w:tcPr>
          <w:p>
            <w:pPr>
              <w:adjustRightInd w:val="0"/>
              <w:snapToGrid w:val="0"/>
              <w:jc w:val="center"/>
              <w:rPr>
                <w:rFonts w:hint="default" w:ascii="宋体" w:hAnsi="宋体" w:eastAsia="宋体" w:cs="宋体"/>
                <w:szCs w:val="21"/>
                <w:highlight w:val="none"/>
                <w:lang w:val="en-US" w:eastAsia="zh-CN"/>
              </w:rPr>
            </w:pPr>
            <w:r>
              <w:rPr>
                <w:rFonts w:hint="eastAsia" w:cs="Times New Roman"/>
                <w:szCs w:val="21"/>
                <w:highlight w:val="none"/>
                <w:lang w:val="en-US" w:eastAsia="zh-CN"/>
              </w:rPr>
              <w:t>2.745</w:t>
            </w:r>
          </w:p>
        </w:tc>
        <w:tc>
          <w:tcPr>
            <w:tcW w:w="1796" w:type="dxa"/>
            <w:noWrap w:val="0"/>
            <w:tcMar>
              <w:top w:w="16" w:type="dxa"/>
              <w:left w:w="16" w:type="dxa"/>
              <w:right w:w="16" w:type="dxa"/>
            </w:tcMar>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施工工期</w:t>
            </w:r>
          </w:p>
        </w:tc>
        <w:tc>
          <w:tcPr>
            <w:tcW w:w="2639" w:type="dxa"/>
            <w:noWrap w:val="0"/>
            <w:vAlign w:val="center"/>
          </w:tcPr>
          <w:p>
            <w:pPr>
              <w:adjustRightInd w:val="0"/>
              <w:snapToGrid w:val="0"/>
              <w:jc w:val="center"/>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495" w:type="dxa"/>
            <w:noWrap w:val="0"/>
            <w:tcMar>
              <w:top w:w="16" w:type="dxa"/>
              <w:left w:w="16" w:type="dxa"/>
              <w:right w:w="16" w:type="dxa"/>
            </w:tcMar>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是否开工建设</w:t>
            </w:r>
          </w:p>
        </w:tc>
        <w:tc>
          <w:tcPr>
            <w:tcW w:w="2940" w:type="dxa"/>
            <w:noWrap w:val="0"/>
            <w:vAlign w:val="center"/>
          </w:tcPr>
          <w:p>
            <w:pPr>
              <w:adjustRightInd w:val="0"/>
              <w:snapToGrid w:val="0"/>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否</w:t>
            </w:r>
          </w:p>
          <w:p>
            <w:pPr>
              <w:adjustRightInd w:val="0"/>
              <w:snapToGrid w:val="0"/>
              <w:rPr>
                <w:rFonts w:hint="eastAsia" w:ascii="宋体" w:hAnsi="宋体" w:cs="宋体"/>
                <w:szCs w:val="21"/>
                <w:highlight w:val="none"/>
                <w:lang w:val="en-US" w:eastAsia="zh-CN"/>
              </w:rPr>
            </w:pPr>
            <w:r>
              <w:rPr>
                <w:rFonts w:hint="eastAsia" w:ascii="宋体" w:hAnsi="宋体" w:cs="宋体"/>
                <w:szCs w:val="21"/>
                <w:highlight w:val="none"/>
                <w:lang w:eastAsia="zh-CN"/>
              </w:rPr>
              <w:t>☑</w:t>
            </w:r>
            <w:r>
              <w:rPr>
                <w:rFonts w:hint="eastAsia" w:ascii="宋体" w:hAnsi="宋体" w:cs="宋体"/>
                <w:szCs w:val="21"/>
                <w:highlight w:val="none"/>
              </w:rPr>
              <w:t>是：</w:t>
            </w:r>
            <w:r>
              <w:rPr>
                <w:rFonts w:hint="eastAsia" w:ascii="宋体" w:hAnsi="宋体" w:cs="宋体"/>
                <w:szCs w:val="21"/>
                <w:highlight w:val="none"/>
                <w:lang w:val="en-US" w:eastAsia="zh-CN"/>
              </w:rPr>
              <w:t>项目区已建成内容如下：</w:t>
            </w:r>
          </w:p>
          <w:p>
            <w:pPr>
              <w:adjustRightInd w:val="0"/>
              <w:snapToGrid w:val="0"/>
              <w:rPr>
                <w:rFonts w:hint="default" w:cs="Times New Roman"/>
                <w:highlight w:val="none"/>
                <w:vertAlign w:val="baseline"/>
                <w:lang w:val="en-US" w:eastAsia="zh-CN"/>
              </w:rPr>
            </w:pPr>
            <w:r>
              <w:rPr>
                <w:rFonts w:hint="eastAsia" w:ascii="宋体" w:hAnsi="宋体" w:cs="宋体"/>
                <w:szCs w:val="21"/>
                <w:highlight w:val="none"/>
                <w:lang w:val="en-US" w:eastAsia="zh-CN"/>
              </w:rPr>
              <w:t>一条混凝土生产线（年产10万方混凝土）；</w:t>
            </w:r>
            <w:r>
              <w:rPr>
                <w:rFonts w:hint="default" w:ascii="Times New Roman" w:hAnsi="Times New Roman" w:cs="Times New Roman"/>
                <w:highlight w:val="none"/>
              </w:rPr>
              <w:t>占地面积</w:t>
            </w:r>
            <w:r>
              <w:rPr>
                <w:rFonts w:hint="eastAsia" w:ascii="Times New Roman" w:hAnsi="Times New Roman" w:cs="Times New Roman"/>
                <w:highlight w:val="none"/>
                <w:lang w:val="en-US" w:eastAsia="zh-CN"/>
              </w:rPr>
              <w:t>2</w:t>
            </w:r>
            <w:r>
              <w:rPr>
                <w:rFonts w:hint="eastAsia" w:cs="Times New Roman"/>
                <w:highlight w:val="none"/>
                <w:lang w:val="en-US" w:eastAsia="zh-CN"/>
              </w:rPr>
              <w:t>2</w:t>
            </w:r>
            <w:r>
              <w:rPr>
                <w:rFonts w:hint="eastAsia" w:ascii="Times New Roman" w:hAnsi="Times New Roman" w:cs="Times New Roman"/>
                <w:highlight w:val="none"/>
                <w:lang w:val="en-US" w:eastAsia="zh-CN"/>
              </w:rPr>
              <w:t>00</w:t>
            </w:r>
            <w:r>
              <w:rPr>
                <w:rFonts w:hint="default" w:ascii="Times New Roman" w:hAnsi="Times New Roman" w:cs="Times New Roman"/>
                <w:highlight w:val="none"/>
              </w:rPr>
              <w:t>m</w:t>
            </w:r>
            <w:r>
              <w:rPr>
                <w:rFonts w:hint="default" w:ascii="Times New Roman" w:hAnsi="Times New Roman" w:cs="Times New Roman"/>
                <w:highlight w:val="none"/>
                <w:vertAlign w:val="superscript"/>
              </w:rPr>
              <w:t>2</w:t>
            </w:r>
            <w:r>
              <w:rPr>
                <w:rFonts w:hint="eastAsia" w:cs="Times New Roman"/>
                <w:highlight w:val="none"/>
                <w:vertAlign w:val="baseline"/>
                <w:lang w:val="en-US" w:eastAsia="zh-CN"/>
              </w:rPr>
              <w:t>的原料堆场、5个筒仓、实验室、办公生活区、供水管网、供电系统。</w:t>
            </w:r>
          </w:p>
        </w:tc>
        <w:tc>
          <w:tcPr>
            <w:tcW w:w="1796" w:type="dxa"/>
            <w:noWrap w:val="0"/>
            <w:tcMar>
              <w:top w:w="16" w:type="dxa"/>
              <w:left w:w="16" w:type="dxa"/>
              <w:right w:w="16" w:type="dxa"/>
            </w:tcMar>
            <w:vAlign w:val="center"/>
          </w:tcPr>
          <w:p>
            <w:pPr>
              <w:adjustRightInd w:val="0"/>
              <w:snapToGrid w:val="0"/>
              <w:jc w:val="center"/>
              <w:rPr>
                <w:rFonts w:ascii="宋体" w:hAnsi="宋体" w:cs="宋体"/>
                <w:spacing w:val="-6"/>
                <w:szCs w:val="21"/>
                <w:highlight w:val="none"/>
              </w:rPr>
            </w:pPr>
            <w:r>
              <w:rPr>
                <w:rFonts w:hint="eastAsia" w:ascii="宋体" w:hAnsi="宋体" w:cs="宋体"/>
                <w:spacing w:val="-6"/>
                <w:szCs w:val="21"/>
                <w:highlight w:val="none"/>
              </w:rPr>
              <w:t>用地（用海）</w:t>
            </w:r>
          </w:p>
          <w:p>
            <w:pPr>
              <w:adjustRightInd w:val="0"/>
              <w:snapToGrid w:val="0"/>
              <w:jc w:val="center"/>
              <w:rPr>
                <w:rFonts w:hint="eastAsia" w:ascii="宋体" w:hAnsi="宋体" w:cs="宋体"/>
                <w:szCs w:val="21"/>
                <w:highlight w:val="none"/>
              </w:rPr>
            </w:pPr>
            <w:r>
              <w:rPr>
                <w:rFonts w:hint="eastAsia" w:ascii="宋体" w:hAnsi="宋体" w:cs="宋体"/>
                <w:spacing w:val="-6"/>
                <w:szCs w:val="21"/>
                <w:highlight w:val="none"/>
              </w:rPr>
              <w:t>面积（</w:t>
            </w:r>
            <w:r>
              <w:rPr>
                <w:rFonts w:ascii="宋体" w:hAnsi="宋体" w:cs="宋体"/>
                <w:spacing w:val="-6"/>
                <w:szCs w:val="21"/>
                <w:highlight w:val="none"/>
              </w:rPr>
              <w:t>m</w:t>
            </w:r>
            <w:r>
              <w:rPr>
                <w:rFonts w:ascii="宋体" w:hAnsi="宋体" w:cs="宋体"/>
                <w:spacing w:val="-6"/>
                <w:szCs w:val="21"/>
                <w:highlight w:val="none"/>
                <w:vertAlign w:val="superscript"/>
              </w:rPr>
              <w:t>2</w:t>
            </w:r>
            <w:r>
              <w:rPr>
                <w:rFonts w:hint="eastAsia" w:ascii="宋体" w:hAnsi="宋体" w:cs="宋体"/>
                <w:spacing w:val="-6"/>
                <w:szCs w:val="21"/>
                <w:highlight w:val="none"/>
              </w:rPr>
              <w:t>）</w:t>
            </w:r>
          </w:p>
        </w:tc>
        <w:tc>
          <w:tcPr>
            <w:tcW w:w="2639" w:type="dxa"/>
            <w:noWrap w:val="0"/>
            <w:vAlign w:val="center"/>
          </w:tcPr>
          <w:p>
            <w:pPr>
              <w:adjustRightInd w:val="0"/>
              <w:snapToGrid w:val="0"/>
              <w:jc w:val="center"/>
              <w:rPr>
                <w:rFonts w:hint="default" w:ascii="宋体" w:hAnsi="宋体" w:eastAsia="宋体" w:cs="宋体"/>
                <w:szCs w:val="21"/>
                <w:highlight w:val="none"/>
                <w:lang w:val="en-US" w:eastAsia="zh-CN"/>
              </w:rPr>
            </w:pPr>
            <w:r>
              <w:rPr>
                <w:rFonts w:hint="eastAsia" w:cs="Times New Roman"/>
                <w:szCs w:val="21"/>
                <w:highlight w:val="none"/>
                <w:lang w:val="en-US" w:eastAsia="zh-CN"/>
              </w:rPr>
              <w:t>16898.43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95" w:type="dxa"/>
            <w:noWrap w:val="0"/>
            <w:vAlign w:val="center"/>
          </w:tcPr>
          <w:p>
            <w:pPr>
              <w:autoSpaceDE w:val="0"/>
              <w:autoSpaceDN w:val="0"/>
              <w:adjustRightInd w:val="0"/>
              <w:snapToGrid w:val="0"/>
              <w:jc w:val="center"/>
              <w:rPr>
                <w:rFonts w:ascii="宋体" w:hAnsi="宋体" w:cs="宋体"/>
                <w:kern w:val="0"/>
                <w:szCs w:val="21"/>
                <w:highlight w:val="none"/>
              </w:rPr>
            </w:pPr>
            <w:r>
              <w:rPr>
                <w:rFonts w:hint="eastAsia" w:ascii="宋体" w:hAnsi="宋体" w:cs="宋体"/>
                <w:kern w:val="0"/>
                <w:szCs w:val="21"/>
                <w:highlight w:val="none"/>
              </w:rPr>
              <w:t>专项评价设置情况</w:t>
            </w:r>
          </w:p>
        </w:tc>
        <w:tc>
          <w:tcPr>
            <w:tcW w:w="7375" w:type="dxa"/>
            <w:gridSpan w:val="3"/>
            <w:noWrap w:val="0"/>
            <w:vAlign w:val="center"/>
          </w:tcPr>
          <w:p>
            <w:pPr>
              <w:autoSpaceDE w:val="0"/>
              <w:autoSpaceDN w:val="0"/>
              <w:adjustRightInd w:val="0"/>
              <w:snapToGrid w:val="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95" w:type="dxa"/>
            <w:noWrap w:val="0"/>
            <w:vAlign w:val="center"/>
          </w:tcPr>
          <w:p>
            <w:pPr>
              <w:autoSpaceDE w:val="0"/>
              <w:autoSpaceDN w:val="0"/>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规划情况</w:t>
            </w:r>
          </w:p>
        </w:tc>
        <w:tc>
          <w:tcPr>
            <w:tcW w:w="7375" w:type="dxa"/>
            <w:gridSpan w:val="3"/>
            <w:noWrap w:val="0"/>
            <w:vAlign w:val="center"/>
          </w:tcPr>
          <w:p>
            <w:pPr>
              <w:autoSpaceDE w:val="0"/>
              <w:autoSpaceDN w:val="0"/>
              <w:adjustRightInd w:val="0"/>
              <w:snapToGrid w:val="0"/>
              <w:jc w:val="left"/>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规划名称：《库尔勒市国土空间总体规划（2021-2035年）》；</w:t>
            </w:r>
          </w:p>
          <w:p>
            <w:pPr>
              <w:autoSpaceDE w:val="0"/>
              <w:autoSpaceDN w:val="0"/>
              <w:adjustRightInd w:val="0"/>
              <w:snapToGrid w:val="0"/>
              <w:jc w:val="left"/>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审批机关：新疆维吾尔自治区人民政府；</w:t>
            </w:r>
          </w:p>
          <w:p>
            <w:pPr>
              <w:autoSpaceDE w:val="0"/>
              <w:autoSpaceDN w:val="0"/>
              <w:adjustRightInd w:val="0"/>
              <w:snapToGrid w:val="0"/>
              <w:jc w:val="left"/>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审批文件名称及文号：《新疆维吾尔自治区人民政府关于〈库尔勒市国土空间总体规划（2021-2035年）〉的批复》（新政函〔2024〕136号）。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95" w:type="dxa"/>
            <w:noWrap w:val="0"/>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规划环境影响</w:t>
            </w:r>
          </w:p>
          <w:p>
            <w:pPr>
              <w:adjustRightInd w:val="0"/>
              <w:snapToGrid w:val="0"/>
              <w:jc w:val="center"/>
              <w:rPr>
                <w:rFonts w:hint="eastAsia" w:ascii="宋体" w:hAnsi="宋体" w:cs="宋体"/>
                <w:kern w:val="0"/>
                <w:szCs w:val="21"/>
                <w:highlight w:val="none"/>
              </w:rPr>
            </w:pPr>
            <w:r>
              <w:rPr>
                <w:rFonts w:hint="eastAsia" w:ascii="宋体" w:hAnsi="宋体" w:cs="宋体"/>
                <w:szCs w:val="21"/>
                <w:highlight w:val="none"/>
              </w:rPr>
              <w:t>评价情况</w:t>
            </w:r>
          </w:p>
        </w:tc>
        <w:tc>
          <w:tcPr>
            <w:tcW w:w="7375" w:type="dxa"/>
            <w:gridSpan w:val="3"/>
            <w:noWrap w:val="0"/>
            <w:vAlign w:val="center"/>
          </w:tcPr>
          <w:p>
            <w:pPr>
              <w:autoSpaceDE w:val="0"/>
              <w:autoSpaceDN w:val="0"/>
              <w:adjustRightInd w:val="0"/>
              <w:snapToGrid w:val="0"/>
              <w:jc w:val="center"/>
              <w:rPr>
                <w:rFonts w:ascii="宋体" w:hAnsi="宋体" w:cs="宋体"/>
                <w:kern w:val="0"/>
                <w:szCs w:val="21"/>
                <w:highlight w:val="none"/>
              </w:rPr>
            </w:pPr>
            <w:r>
              <w:rPr>
                <w:rFonts w:hint="eastAsia" w:ascii="宋体" w:hAnsi="宋体" w:cs="宋体"/>
                <w:kern w:val="0"/>
                <w:szCs w:val="21"/>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95" w:type="dxa"/>
            <w:noWrap w:val="0"/>
            <w:vAlign w:val="center"/>
          </w:tcPr>
          <w:p>
            <w:pPr>
              <w:autoSpaceDE w:val="0"/>
              <w:autoSpaceDN w:val="0"/>
              <w:adjustRightInd w:val="0"/>
              <w:snapToGrid w:val="0"/>
              <w:jc w:val="center"/>
              <w:rPr>
                <w:rFonts w:ascii="宋体" w:hAnsi="宋体" w:cs="宋体"/>
                <w:kern w:val="0"/>
                <w:szCs w:val="21"/>
                <w:highlight w:val="none"/>
              </w:rPr>
            </w:pPr>
            <w:r>
              <w:rPr>
                <w:rFonts w:hint="eastAsia" w:ascii="宋体" w:hAnsi="宋体" w:cs="宋体"/>
                <w:kern w:val="0"/>
                <w:szCs w:val="21"/>
                <w:highlight w:val="none"/>
              </w:rPr>
              <w:t>规划及规划环境影响评价符合性分析</w:t>
            </w:r>
          </w:p>
        </w:tc>
        <w:tc>
          <w:tcPr>
            <w:tcW w:w="737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0" w:firstLine="482" w:firstLineChars="200"/>
              <w:textAlignment w:val="auto"/>
              <w:rPr>
                <w:rFonts w:hint="eastAsia"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1、与《库尔勒市国土空间总体规划（2021-2035年）》的相符性分析</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落实最严格的节约集约用地制度，对建设用地布局、结构、用途、规模、开发强度等实施管控，通过近期实施规划、年度土地利用计划、用地标准、市场引导、增存挂钩等手段，引导建设用地优先项经济发展潜力大，集约用地程度高的区域供应，确保土地资源配置与国家战略布局、经济社会发展、民生基本保障整体协调。</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库尔勒与库车、阿克苏建设石油化工纺织产业集聚区。重点布局石油化工、精细化工、天然气化工、化学纤维产业、纺织服装及印染产业、新型建材、林果深加工、石油化工等产业，建设大型油气生产加工和军民融合产业基地。</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本项目位于</w:t>
            </w:r>
            <w:r>
              <w:rPr>
                <w:rFonts w:hint="default" w:ascii="Times New Roman" w:hAnsi="Times New Roman" w:eastAsia="宋体" w:cs="Times New Roman"/>
                <w:kern w:val="0"/>
                <w:sz w:val="24"/>
                <w:szCs w:val="24"/>
                <w:lang w:val="en-US" w:eastAsia="zh-CN"/>
              </w:rPr>
              <w:t>库尔勒市华凌花鸟鱼市场以西3公里处</w:t>
            </w:r>
            <w:r>
              <w:rPr>
                <w:rFonts w:hint="eastAsia" w:ascii="Times New Roman" w:hAnsi="Times New Roman" w:eastAsia="宋体" w:cs="Times New Roman"/>
                <w:kern w:val="0"/>
                <w:sz w:val="24"/>
                <w:szCs w:val="24"/>
                <w:lang w:val="en-US" w:eastAsia="zh-CN"/>
              </w:rPr>
              <w:t>（库尔勒市天山辖区G3012高速北侧），项目用地属于工业用地，</w:t>
            </w:r>
            <w:r>
              <w:rPr>
                <w:rFonts w:ascii="宋体" w:hAnsi="宋体" w:eastAsia="宋体" w:cs="宋体"/>
                <w:sz w:val="24"/>
                <w:szCs w:val="24"/>
              </w:rPr>
              <w:t>项目不占用永久基本农田、粮食生产功能区和重要农产品生产保护区，不涉及孔雀河流域农业发展主导区域，不突破乡村建设用地管控边界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项目</w:t>
            </w:r>
            <w:r>
              <w:rPr>
                <w:rFonts w:hint="eastAsia" w:ascii="Times New Roman" w:hAnsi="Times New Roman" w:eastAsia="宋体" w:cs="Times New Roman"/>
                <w:kern w:val="0"/>
                <w:sz w:val="24"/>
                <w:szCs w:val="24"/>
                <w:lang w:val="en-US" w:eastAsia="zh-CN"/>
              </w:rPr>
              <w:t>主要进行商品混凝土生产，属于</w:t>
            </w:r>
            <w:r>
              <w:rPr>
                <w:rFonts w:hint="default" w:ascii="Times New Roman" w:hAnsi="Times New Roman" w:eastAsia="宋体" w:cs="Times New Roman"/>
                <w:kern w:val="0"/>
                <w:sz w:val="24"/>
                <w:szCs w:val="24"/>
                <w:lang w:val="en-US" w:eastAsia="zh-CN"/>
              </w:rPr>
              <w:t>石膏水泥制品及类似制品</w:t>
            </w:r>
            <w:r>
              <w:rPr>
                <w:rFonts w:hint="eastAsia" w:ascii="Times New Roman" w:hAnsi="Times New Roman" w:eastAsia="宋体" w:cs="Times New Roman"/>
                <w:kern w:val="0"/>
                <w:sz w:val="24"/>
                <w:szCs w:val="24"/>
                <w:lang w:val="en-US" w:eastAsia="zh-CN"/>
              </w:rPr>
              <w:t>制造业，</w:t>
            </w:r>
            <w:r>
              <w:rPr>
                <w:rFonts w:ascii="宋体" w:hAnsi="宋体" w:eastAsia="宋体" w:cs="宋体"/>
                <w:sz w:val="24"/>
                <w:szCs w:val="24"/>
              </w:rPr>
              <w:t>可为南疆现代化区域性中心城市建设、城乡融合发展提供原材料支撑</w:t>
            </w:r>
            <w:r>
              <w:rPr>
                <w:rFonts w:hint="eastAsia" w:ascii="宋体" w:hAnsi="宋体" w:eastAsia="宋体" w:cs="宋体"/>
                <w:sz w:val="24"/>
                <w:szCs w:val="24"/>
                <w:lang w:eastAsia="zh-CN"/>
              </w:rPr>
              <w:t>，</w:t>
            </w:r>
            <w:r>
              <w:rPr>
                <w:rFonts w:ascii="宋体" w:hAnsi="宋体" w:eastAsia="宋体" w:cs="宋体"/>
                <w:sz w:val="24"/>
                <w:szCs w:val="24"/>
              </w:rPr>
              <w:t>用地配置符合市域工业空间布局逻辑，</w:t>
            </w:r>
            <w:r>
              <w:rPr>
                <w:rFonts w:hint="eastAsia" w:ascii="Times New Roman" w:hAnsi="Times New Roman" w:eastAsia="宋体" w:cs="Times New Roman"/>
                <w:kern w:val="0"/>
                <w:sz w:val="24"/>
                <w:szCs w:val="24"/>
                <w:lang w:val="en-US" w:eastAsia="zh-CN"/>
              </w:rPr>
              <w:t>符合《库尔勒市国土空间总体规划（2021-2035年）》，项目与库尔勒市中心城区土地使用规划图位置关系见附图6。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95" w:type="dxa"/>
            <w:noWrap w:val="0"/>
            <w:vAlign w:val="center"/>
          </w:tcPr>
          <w:p>
            <w:pPr>
              <w:autoSpaceDE w:val="0"/>
              <w:autoSpaceDN w:val="0"/>
              <w:adjustRightInd w:val="0"/>
              <w:snapToGrid w:val="0"/>
              <w:jc w:val="center"/>
              <w:rPr>
                <w:rFonts w:hint="eastAsia" w:ascii="宋体" w:hAnsi="宋体" w:cs="宋体"/>
                <w:kern w:val="0"/>
                <w:szCs w:val="21"/>
                <w:highlight w:val="none"/>
              </w:rPr>
            </w:pPr>
            <w:r>
              <w:rPr>
                <w:rFonts w:hint="eastAsia" w:ascii="宋体" w:hAnsi="宋体" w:cs="宋体"/>
                <w:kern w:val="0"/>
                <w:szCs w:val="21"/>
                <w:highlight w:val="none"/>
              </w:rPr>
              <w:t>其他符合性分析</w:t>
            </w:r>
          </w:p>
        </w:tc>
        <w:tc>
          <w:tcPr>
            <w:tcW w:w="7375"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jc w:val="both"/>
              <w:textAlignment w:val="auto"/>
              <w:rPr>
                <w:rFonts w:hint="default" w:ascii="Times New Roman" w:hAnsi="Times New Roman" w:cs="Times New Roman"/>
                <w:b/>
                <w:kern w:val="0"/>
                <w:sz w:val="24"/>
                <w:szCs w:val="24"/>
                <w:lang w:val="en-US" w:eastAsia="zh-CN"/>
              </w:rPr>
            </w:pPr>
            <w:r>
              <w:rPr>
                <w:rFonts w:hint="default" w:ascii="Times New Roman" w:hAnsi="Times New Roman" w:cs="Times New Roman"/>
                <w:b/>
                <w:kern w:val="0"/>
                <w:sz w:val="24"/>
                <w:szCs w:val="24"/>
                <w:lang w:val="en-US" w:eastAsia="zh-CN"/>
              </w:rPr>
              <w:t>1、与产业政策、地方性法规相符性</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kern w:val="0"/>
                <w:sz w:val="24"/>
                <w:szCs w:val="24"/>
              </w:rPr>
            </w:pPr>
            <w:r>
              <w:rPr>
                <w:rFonts w:hint="eastAsia" w:ascii="Times New Roman" w:hAnsi="Times New Roman" w:eastAsia="宋体" w:cs="Times New Roman"/>
                <w:kern w:val="0"/>
                <w:sz w:val="24"/>
                <w:szCs w:val="24"/>
                <w:lang w:val="en-US" w:eastAsia="zh-CN"/>
              </w:rPr>
              <w:t>本项目属于</w:t>
            </w:r>
            <w:r>
              <w:rPr>
                <w:rFonts w:hint="default" w:ascii="Times New Roman" w:hAnsi="Times New Roman" w:eastAsia="宋体" w:cs="Times New Roman"/>
                <w:kern w:val="0"/>
                <w:sz w:val="24"/>
                <w:szCs w:val="24"/>
                <w:lang w:val="en-US" w:eastAsia="zh-CN"/>
              </w:rPr>
              <w:t>石膏水泥制品及类似制品</w:t>
            </w:r>
            <w:r>
              <w:rPr>
                <w:rFonts w:hint="eastAsia" w:ascii="Times New Roman" w:hAnsi="Times New Roman" w:eastAsia="宋体" w:cs="Times New Roman"/>
                <w:kern w:val="0"/>
                <w:sz w:val="24"/>
                <w:szCs w:val="24"/>
                <w:lang w:val="en-US" w:eastAsia="zh-CN"/>
              </w:rPr>
              <w:t>制造</w:t>
            </w:r>
            <w:r>
              <w:rPr>
                <w:rFonts w:hint="eastAsia" w:cs="Times New Roman"/>
                <w:kern w:val="0"/>
                <w:sz w:val="24"/>
                <w:szCs w:val="24"/>
                <w:lang w:val="en-US" w:eastAsia="zh-CN"/>
              </w:rPr>
              <w:t>业</w:t>
            </w:r>
            <w:r>
              <w:rPr>
                <w:rFonts w:hint="eastAsia" w:ascii="Times New Roman" w:hAnsi="Times New Roman" w:eastAsia="宋体" w:cs="Times New Roman"/>
                <w:kern w:val="0"/>
                <w:sz w:val="24"/>
                <w:szCs w:val="24"/>
                <w:lang w:val="en-US" w:eastAsia="zh-CN"/>
              </w:rPr>
              <w:t>，</w:t>
            </w:r>
            <w:r>
              <w:rPr>
                <w:rFonts w:hint="default" w:ascii="Times New Roman" w:hAnsi="Times New Roman" w:eastAsia="宋体" w:cs="Times New Roman"/>
                <w:kern w:val="0"/>
                <w:sz w:val="24"/>
                <w:szCs w:val="24"/>
                <w:lang w:val="en-US" w:eastAsia="zh-CN"/>
              </w:rPr>
              <w:t>根据国家发展和改革委员会发布的《产业结构调整指导目录（2024年本）》，本项目不属于鼓励类、限制类和淘汰类项目</w:t>
            </w:r>
            <w:r>
              <w:rPr>
                <w:rFonts w:hint="eastAsia" w:ascii="Times New Roman" w:hAnsi="Times New Roman" w:eastAsia="宋体" w:cs="Times New Roman"/>
                <w:kern w:val="0"/>
                <w:sz w:val="24"/>
                <w:szCs w:val="24"/>
                <w:lang w:val="en-US" w:eastAsia="zh-CN"/>
              </w:rPr>
              <w:t>，属于允许类，符合国家产业政策</w:t>
            </w:r>
            <w:r>
              <w:rPr>
                <w:rFonts w:hint="default" w:ascii="Times New Roman" w:hAnsi="Times New Roman" w:eastAsia="宋体" w:cs="Times New Roman"/>
                <w:kern w:val="0"/>
                <w:sz w:val="24"/>
                <w:szCs w:val="24"/>
                <w:lang w:val="en-US" w:eastAsia="zh-CN"/>
              </w:rPr>
              <w:t>。</w:t>
            </w:r>
          </w:p>
          <w:p>
            <w:pPr>
              <w:keepNext w:val="0"/>
              <w:keepLines w:val="0"/>
              <w:pageBreakBefore w:val="0"/>
              <w:widowControl w:val="0"/>
              <w:kinsoku/>
              <w:wordWrap/>
              <w:overflowPunct/>
              <w:topLinePunct w:val="0"/>
              <w:bidi w:val="0"/>
              <w:adjustRightInd/>
              <w:snapToGrid/>
              <w:spacing w:line="520" w:lineRule="exact"/>
              <w:ind w:left="0" w:leftChars="0" w:firstLine="0" w:firstLineChars="0"/>
              <w:jc w:val="both"/>
              <w:textAlignment w:val="auto"/>
              <w:rPr>
                <w:rFonts w:hint="default" w:ascii="Times New Roman" w:hAnsi="Times New Roman" w:cs="Times New Roman"/>
                <w:b/>
                <w:kern w:val="0"/>
                <w:sz w:val="24"/>
                <w:szCs w:val="24"/>
                <w:highlight w:val="none"/>
                <w:lang w:val="en-US" w:eastAsia="zh-CN"/>
              </w:rPr>
            </w:pPr>
            <w:r>
              <w:rPr>
                <w:rFonts w:hint="eastAsia" w:ascii="Times New Roman" w:hAnsi="Times New Roman" w:cs="Times New Roman"/>
                <w:b/>
                <w:kern w:val="0"/>
                <w:sz w:val="24"/>
                <w:szCs w:val="24"/>
                <w:highlight w:val="none"/>
                <w:lang w:val="en-US" w:eastAsia="zh-CN"/>
              </w:rPr>
              <w:t>2</w:t>
            </w:r>
            <w:r>
              <w:rPr>
                <w:rFonts w:hint="default" w:ascii="Times New Roman" w:hAnsi="Times New Roman" w:cs="Times New Roman"/>
                <w:b/>
                <w:kern w:val="0"/>
                <w:sz w:val="24"/>
                <w:szCs w:val="24"/>
                <w:highlight w:val="none"/>
                <w:lang w:val="en-US" w:eastAsia="zh-CN"/>
              </w:rPr>
              <w:t>、</w:t>
            </w:r>
            <w:r>
              <w:rPr>
                <w:rFonts w:hint="eastAsia" w:ascii="Times New Roman" w:hAnsi="Times New Roman" w:cs="Times New Roman"/>
                <w:b/>
                <w:kern w:val="0"/>
                <w:sz w:val="24"/>
                <w:szCs w:val="24"/>
                <w:highlight w:val="none"/>
                <w:lang w:val="en-US" w:eastAsia="zh-CN"/>
              </w:rPr>
              <w:t>生态环境分区管控方案符合性分析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both"/>
              <w:textAlignment w:val="auto"/>
              <w:rPr>
                <w:rFonts w:hint="default" w:ascii="Times New Roman" w:hAnsi="Times New Roman" w:cs="Times New Roman"/>
                <w:b/>
                <w:bCs/>
                <w:sz w:val="24"/>
                <w:szCs w:val="24"/>
                <w:highlight w:val="none"/>
                <w:lang w:eastAsia="zh-CN"/>
              </w:rPr>
            </w:pPr>
            <w:r>
              <w:rPr>
                <w:rFonts w:hint="eastAsia" w:cs="Times New Roman"/>
                <w:b/>
                <w:bCs/>
                <w:sz w:val="24"/>
                <w:szCs w:val="24"/>
                <w:highlight w:val="none"/>
                <w:lang w:val="en-US" w:eastAsia="zh-CN"/>
              </w:rPr>
              <w:t>2</w:t>
            </w:r>
            <w:r>
              <w:rPr>
                <w:rFonts w:hint="eastAsia" w:ascii="Times New Roman" w:hAnsi="Times New Roman" w:eastAsia="宋体" w:cs="Times New Roman"/>
                <w:b/>
                <w:bCs/>
                <w:sz w:val="24"/>
                <w:szCs w:val="24"/>
                <w:highlight w:val="none"/>
                <w:lang w:val="en-US" w:eastAsia="zh-CN"/>
              </w:rPr>
              <w:t>.1</w:t>
            </w:r>
            <w:r>
              <w:rPr>
                <w:rFonts w:hint="default" w:ascii="Times New Roman" w:hAnsi="Times New Roman" w:eastAsia="宋体" w:cs="Times New Roman"/>
                <w:b/>
                <w:bCs/>
                <w:sz w:val="24"/>
                <w:szCs w:val="24"/>
                <w:highlight w:val="none"/>
                <w:lang w:val="en-US" w:eastAsia="zh-CN"/>
              </w:rPr>
              <w:t>《关于印发〈新疆维吾尔自治区生态环境分区管控动态更新成果〉的通知》（新环环评发〔2024〕157号）符合性分析</w:t>
            </w:r>
          </w:p>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项目与《关于印发〈新疆维吾尔自治区生态环境分区管控动态更新成果〉的通知》（新环环评发〔2024〕157号）符合性分析详见下表。</w:t>
            </w:r>
          </w:p>
          <w:p>
            <w:pPr>
              <w:pStyle w:val="69"/>
              <w:bidi w:val="0"/>
              <w:rPr>
                <w:rFonts w:hint="default"/>
                <w:lang w:val="en-US" w:eastAsia="zh-CN"/>
              </w:rPr>
            </w:pPr>
            <w:r>
              <w:rPr>
                <w:rFonts w:hint="default"/>
                <w:lang w:val="en-US" w:eastAsia="zh-CN"/>
              </w:rPr>
              <w:t>表1-</w:t>
            </w:r>
            <w:r>
              <w:rPr>
                <w:rFonts w:hint="eastAsia"/>
                <w:lang w:val="en-US" w:eastAsia="zh-CN"/>
              </w:rPr>
              <w:t>1</w:t>
            </w:r>
            <w:r>
              <w:rPr>
                <w:rFonts w:hint="default"/>
                <w:lang w:val="en-US" w:eastAsia="zh-CN"/>
              </w:rPr>
              <w:t xml:space="preserve">  与《新疆维吾尔自治区生态环境分区管控动态更新成果》符合性分析</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906"/>
              <w:gridCol w:w="2365"/>
              <w:gridCol w:w="2393"/>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165" w:type="pct"/>
                  <w:gridSpan w:val="2"/>
                  <w:noWrap w:val="0"/>
                  <w:vAlign w:val="center"/>
                </w:tcPr>
                <w:p>
                  <w:pPr>
                    <w:pStyle w:val="70"/>
                    <w:bidi w:val="0"/>
                    <w:jc w:val="center"/>
                    <w:rPr>
                      <w:rFonts w:hint="eastAsia"/>
                      <w:lang w:val="en-US" w:eastAsia="zh-CN"/>
                    </w:rPr>
                  </w:pPr>
                  <w:r>
                    <w:rPr>
                      <w:rFonts w:hint="eastAsia"/>
                      <w:lang w:val="en-US" w:eastAsia="zh-CN"/>
                    </w:rPr>
                    <w:t>管控要求</w:t>
                  </w:r>
                </w:p>
              </w:tc>
              <w:tc>
                <w:tcPr>
                  <w:tcW w:w="1654" w:type="pct"/>
                  <w:noWrap w:val="0"/>
                  <w:vAlign w:val="center"/>
                </w:tcPr>
                <w:p>
                  <w:pPr>
                    <w:pStyle w:val="70"/>
                    <w:bidi w:val="0"/>
                    <w:jc w:val="center"/>
                    <w:rPr>
                      <w:rFonts w:hint="default"/>
                      <w:lang w:val="en-US" w:eastAsia="zh-CN"/>
                    </w:rPr>
                  </w:pPr>
                  <w:r>
                    <w:rPr>
                      <w:rFonts w:hint="eastAsia"/>
                      <w:lang w:val="en-US" w:eastAsia="zh-CN"/>
                    </w:rPr>
                    <w:t>部分环境管理政策有关要求</w:t>
                  </w:r>
                </w:p>
              </w:tc>
              <w:tc>
                <w:tcPr>
                  <w:tcW w:w="1674" w:type="pct"/>
                  <w:noWrap w:val="0"/>
                  <w:vAlign w:val="center"/>
                </w:tcPr>
                <w:p>
                  <w:pPr>
                    <w:pStyle w:val="70"/>
                    <w:bidi w:val="0"/>
                    <w:jc w:val="center"/>
                    <w:rPr>
                      <w:rFonts w:hint="default"/>
                      <w:lang w:val="en-US" w:eastAsia="zh-CN"/>
                    </w:rPr>
                  </w:pPr>
                  <w:r>
                    <w:rPr>
                      <w:rFonts w:hint="eastAsia"/>
                      <w:lang w:val="en-US" w:eastAsia="zh-CN"/>
                    </w:rPr>
                    <w:t>本项目情况</w:t>
                  </w:r>
                </w:p>
              </w:tc>
              <w:tc>
                <w:tcPr>
                  <w:tcW w:w="504" w:type="pct"/>
                  <w:noWrap w:val="0"/>
                  <w:vAlign w:val="center"/>
                </w:tcPr>
                <w:p>
                  <w:pPr>
                    <w:pStyle w:val="70"/>
                    <w:bidi w:val="0"/>
                    <w:jc w:val="center"/>
                    <w:rPr>
                      <w:rFonts w:hint="default"/>
                      <w:lang w:val="en-US" w:eastAsia="zh-CN"/>
                    </w:rPr>
                  </w:pPr>
                  <w:r>
                    <w:rPr>
                      <w:rFonts w:hint="eastAsia"/>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 w:type="pct"/>
                  <w:vMerge w:val="restart"/>
                  <w:noWrap w:val="0"/>
                  <w:vAlign w:val="center"/>
                </w:tcPr>
                <w:p>
                  <w:pPr>
                    <w:pStyle w:val="70"/>
                    <w:bidi w:val="0"/>
                    <w:jc w:val="center"/>
                    <w:rPr>
                      <w:rFonts w:hint="default"/>
                      <w:lang w:val="en-US" w:eastAsia="zh-CN"/>
                    </w:rPr>
                  </w:pPr>
                  <w:r>
                    <w:rPr>
                      <w:rFonts w:hint="default"/>
                      <w:lang w:val="en-US" w:eastAsia="zh-CN"/>
                    </w:rPr>
                    <w:t>A1</w:t>
                  </w:r>
                  <w:r>
                    <w:rPr>
                      <w:rFonts w:hint="eastAsia"/>
                      <w:lang w:val="en-US" w:eastAsia="zh-CN"/>
                    </w:rPr>
                    <w:t>空间布局约束</w:t>
                  </w:r>
                </w:p>
              </w:tc>
              <w:tc>
                <w:tcPr>
                  <w:tcW w:w="634" w:type="pct"/>
                  <w:vMerge w:val="restart"/>
                  <w:noWrap w:val="0"/>
                  <w:vAlign w:val="center"/>
                </w:tcPr>
                <w:p>
                  <w:pPr>
                    <w:pStyle w:val="70"/>
                    <w:bidi w:val="0"/>
                    <w:jc w:val="center"/>
                    <w:rPr>
                      <w:rFonts w:hint="default"/>
                      <w:lang w:val="en-US" w:eastAsia="zh-CN"/>
                    </w:rPr>
                  </w:pPr>
                  <w:r>
                    <w:rPr>
                      <w:rFonts w:hint="default"/>
                      <w:lang w:val="en-US" w:eastAsia="zh-CN"/>
                    </w:rPr>
                    <w:t>A1.1禁止开发建设的活动</w:t>
                  </w:r>
                </w:p>
              </w:tc>
              <w:tc>
                <w:tcPr>
                  <w:tcW w:w="1654" w:type="pct"/>
                  <w:noWrap w:val="0"/>
                  <w:vAlign w:val="center"/>
                </w:tcPr>
                <w:p>
                  <w:pPr>
                    <w:pStyle w:val="70"/>
                    <w:bidi w:val="0"/>
                    <w:jc w:val="center"/>
                    <w:rPr>
                      <w:rFonts w:hint="default"/>
                      <w:lang w:val="en-US" w:eastAsia="zh-CN"/>
                    </w:rPr>
                  </w:pPr>
                  <w:r>
                    <w:rPr>
                      <w:rFonts w:hint="default"/>
                      <w:lang w:val="en-US" w:eastAsia="zh-CN"/>
                    </w:rPr>
                    <w:t>〔A1.1-1〕禁止新建、扩建《产业结构调整指导目录</w:t>
                  </w:r>
                  <w:r>
                    <w:rPr>
                      <w:rFonts w:hint="eastAsia"/>
                      <w:lang w:val="en-US" w:eastAsia="zh-CN"/>
                    </w:rPr>
                    <w:t>（</w:t>
                  </w:r>
                  <w:r>
                    <w:rPr>
                      <w:rFonts w:hint="default"/>
                      <w:lang w:val="en-US" w:eastAsia="zh-CN"/>
                    </w:rPr>
                    <w:t>2024年本</w:t>
                  </w:r>
                  <w:r>
                    <w:rPr>
                      <w:rFonts w:hint="eastAsia"/>
                      <w:lang w:val="en-US" w:eastAsia="zh-CN"/>
                    </w:rPr>
                    <w:t>）</w:t>
                  </w:r>
                  <w:r>
                    <w:rPr>
                      <w:rFonts w:hint="default"/>
                      <w:lang w:val="en-US" w:eastAsia="zh-CN"/>
                    </w:rPr>
                    <w:t>》中淘汰类项目。禁止引入《市场准入负面清单</w:t>
                  </w:r>
                  <w:r>
                    <w:rPr>
                      <w:rFonts w:hint="eastAsia"/>
                      <w:lang w:val="en-US" w:eastAsia="zh-CN"/>
                    </w:rPr>
                    <w:t>（</w:t>
                  </w:r>
                  <w:r>
                    <w:rPr>
                      <w:rFonts w:hint="default"/>
                      <w:lang w:val="en-US" w:eastAsia="zh-CN"/>
                    </w:rPr>
                    <w:t>2022年版</w:t>
                  </w:r>
                  <w:r>
                    <w:rPr>
                      <w:rFonts w:hint="eastAsia"/>
                      <w:lang w:val="en-US" w:eastAsia="zh-CN"/>
                    </w:rPr>
                    <w:t>）》</w:t>
                  </w:r>
                  <w:r>
                    <w:rPr>
                      <w:rFonts w:hint="default"/>
                      <w:lang w:val="en-US" w:eastAsia="zh-CN"/>
                    </w:rPr>
                    <w:t>禁止准入类事项。</w:t>
                  </w:r>
                </w:p>
              </w:tc>
              <w:tc>
                <w:tcPr>
                  <w:tcW w:w="1674" w:type="pct"/>
                  <w:noWrap w:val="0"/>
                  <w:vAlign w:val="center"/>
                </w:tcPr>
                <w:p>
                  <w:pPr>
                    <w:pStyle w:val="70"/>
                    <w:bidi w:val="0"/>
                    <w:jc w:val="center"/>
                    <w:rPr>
                      <w:rFonts w:hint="eastAsia"/>
                      <w:lang w:val="en-US" w:eastAsia="zh-CN"/>
                    </w:rPr>
                  </w:pPr>
                  <w:r>
                    <w:rPr>
                      <w:rFonts w:hint="eastAsia"/>
                      <w:lang w:val="en-US" w:eastAsia="zh-CN"/>
                    </w:rPr>
                    <w:t>本项目不属于鼓励类、限制类与淘汰类，因此属于允许类，符合</w:t>
                  </w:r>
                  <w:r>
                    <w:rPr>
                      <w:rFonts w:hint="default"/>
                      <w:lang w:val="en-US" w:eastAsia="zh-CN"/>
                    </w:rPr>
                    <w:t>《产业结构调整指导目录</w:t>
                  </w:r>
                  <w:r>
                    <w:rPr>
                      <w:rFonts w:hint="eastAsia"/>
                      <w:lang w:val="en-US" w:eastAsia="zh-CN"/>
                    </w:rPr>
                    <w:t>（</w:t>
                  </w:r>
                  <w:r>
                    <w:rPr>
                      <w:rFonts w:hint="default"/>
                      <w:lang w:val="en-US" w:eastAsia="zh-CN"/>
                    </w:rPr>
                    <w:t>2024年本</w:t>
                  </w:r>
                  <w:r>
                    <w:rPr>
                      <w:rFonts w:hint="eastAsia"/>
                      <w:lang w:val="en-US" w:eastAsia="zh-CN"/>
                    </w:rPr>
                    <w:t>）</w:t>
                  </w:r>
                  <w:r>
                    <w:rPr>
                      <w:rFonts w:hint="default"/>
                      <w:lang w:val="en-US" w:eastAsia="zh-CN"/>
                    </w:rPr>
                    <w:t>》</w:t>
                  </w:r>
                  <w:r>
                    <w:rPr>
                      <w:rFonts w:hint="default"/>
                    </w:rPr>
                    <w:t>；</w:t>
                  </w:r>
                  <w:r>
                    <w:rPr>
                      <w:rFonts w:hint="eastAsia"/>
                      <w:lang w:val="en-US" w:eastAsia="zh-CN"/>
                    </w:rPr>
                    <w:t>不属于</w:t>
                  </w:r>
                  <w:r>
                    <w:rPr>
                      <w:rFonts w:hint="default"/>
                      <w:lang w:val="en-US" w:eastAsia="zh-CN"/>
                    </w:rPr>
                    <w:t>《市场准入负面清单</w:t>
                  </w:r>
                  <w:r>
                    <w:rPr>
                      <w:rFonts w:hint="eastAsia"/>
                      <w:lang w:val="en-US" w:eastAsia="zh-CN"/>
                    </w:rPr>
                    <w:t>（</w:t>
                  </w:r>
                  <w:r>
                    <w:rPr>
                      <w:rFonts w:hint="default"/>
                      <w:lang w:val="en-US" w:eastAsia="zh-CN"/>
                    </w:rPr>
                    <w:t>202</w:t>
                  </w:r>
                  <w:r>
                    <w:rPr>
                      <w:rFonts w:hint="eastAsia"/>
                      <w:lang w:val="en-US" w:eastAsia="zh-CN"/>
                    </w:rPr>
                    <w:t>5</w:t>
                  </w:r>
                  <w:r>
                    <w:rPr>
                      <w:rFonts w:hint="default"/>
                      <w:lang w:val="en-US" w:eastAsia="zh-CN"/>
                    </w:rPr>
                    <w:t>年版</w:t>
                  </w:r>
                  <w:r>
                    <w:rPr>
                      <w:rFonts w:hint="eastAsia"/>
                      <w:lang w:val="en-US" w:eastAsia="zh-CN"/>
                    </w:rPr>
                    <w:t>）》的项目。</w:t>
                  </w:r>
                  <w:r>
                    <w:rPr>
                      <w:rFonts w:hint="default"/>
                    </w:rPr>
                    <w:t>符合</w:t>
                  </w:r>
                  <w:r>
                    <w:rPr>
                      <w:rFonts w:hint="eastAsia"/>
                      <w:lang w:val="en-US" w:eastAsia="zh-CN"/>
                    </w:rPr>
                    <w:t>相关要求</w:t>
                  </w:r>
                  <w:r>
                    <w:rPr>
                      <w:rFonts w:hint="eastAsia"/>
                      <w:lang w:eastAsia="zh-CN"/>
                    </w:rPr>
                    <w:t>。</w:t>
                  </w:r>
                </w:p>
              </w:tc>
              <w:tc>
                <w:tcPr>
                  <w:tcW w:w="504" w:type="pct"/>
                  <w:noWrap w:val="0"/>
                  <w:vAlign w:val="center"/>
                </w:tcPr>
                <w:p>
                  <w:pPr>
                    <w:pStyle w:val="70"/>
                    <w:bidi w:val="0"/>
                    <w:jc w:val="center"/>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 w:type="pct"/>
                  <w:vMerge w:val="continue"/>
                  <w:noWrap w:val="0"/>
                  <w:vAlign w:val="center"/>
                </w:tcPr>
                <w:p>
                  <w:pPr>
                    <w:pStyle w:val="70"/>
                    <w:bidi w:val="0"/>
                    <w:jc w:val="center"/>
                    <w:rPr>
                      <w:rFonts w:hint="eastAsia"/>
                    </w:rPr>
                  </w:pPr>
                </w:p>
              </w:tc>
              <w:tc>
                <w:tcPr>
                  <w:tcW w:w="634" w:type="pct"/>
                  <w:vMerge w:val="continue"/>
                  <w:noWrap w:val="0"/>
                  <w:vAlign w:val="center"/>
                </w:tcPr>
                <w:p>
                  <w:pPr>
                    <w:pStyle w:val="70"/>
                    <w:bidi w:val="0"/>
                    <w:jc w:val="center"/>
                    <w:rPr>
                      <w:rFonts w:hint="default"/>
                      <w:lang w:val="en-US" w:eastAsia="zh-CN"/>
                    </w:rPr>
                  </w:pPr>
                </w:p>
              </w:tc>
              <w:tc>
                <w:tcPr>
                  <w:tcW w:w="1654" w:type="pct"/>
                  <w:noWrap w:val="0"/>
                  <w:vAlign w:val="center"/>
                </w:tcPr>
                <w:p>
                  <w:pPr>
                    <w:pStyle w:val="70"/>
                    <w:bidi w:val="0"/>
                    <w:jc w:val="center"/>
                    <w:rPr>
                      <w:rFonts w:hint="default"/>
                      <w:lang w:val="en-US" w:eastAsia="zh-CN"/>
                    </w:rPr>
                  </w:pPr>
                  <w:r>
                    <w:rPr>
                      <w:rFonts w:hint="default"/>
                      <w:lang w:val="en-US" w:eastAsia="zh-CN"/>
                    </w:rPr>
                    <w:t>〔A1.1-</w:t>
                  </w:r>
                  <w:r>
                    <w:rPr>
                      <w:rFonts w:hint="eastAsia"/>
                      <w:lang w:val="en-US" w:eastAsia="zh-CN"/>
                    </w:rPr>
                    <w:t>6</w:t>
                  </w:r>
                  <w:r>
                    <w:rPr>
                      <w:rFonts w:hint="default"/>
                      <w:lang w:val="en-US" w:eastAsia="zh-CN"/>
                    </w:rPr>
                    <w:t>〕禁止在</w:t>
                  </w:r>
                  <w:r>
                    <w:rPr>
                      <w:rFonts w:hint="eastAsia"/>
                      <w:lang w:val="en-US" w:eastAsia="zh-CN"/>
                    </w:rPr>
                    <w:t>自治区行政区域内引进能（水）耗不符合相关国家标准中准入要求且污染物排放和环境风险防控不符合国家（地方）标准及有关产业准入条件的高污染（排放）、高能（水）耗、高环境风险的工业项目。</w:t>
                  </w:r>
                </w:p>
              </w:tc>
              <w:tc>
                <w:tcPr>
                  <w:tcW w:w="1674" w:type="pct"/>
                  <w:noWrap w:val="0"/>
                  <w:vAlign w:val="center"/>
                </w:tcPr>
                <w:p>
                  <w:pPr>
                    <w:pStyle w:val="70"/>
                    <w:bidi w:val="0"/>
                    <w:jc w:val="center"/>
                    <w:rPr>
                      <w:rFonts w:hint="default"/>
                      <w:lang w:val="en-US" w:eastAsia="zh-CN"/>
                    </w:rPr>
                  </w:pPr>
                  <w:r>
                    <w:rPr>
                      <w:rFonts w:hint="eastAsia"/>
                      <w:lang w:val="en-US" w:eastAsia="zh-CN"/>
                    </w:rPr>
                    <w:t>本项目属于</w:t>
                  </w:r>
                  <w:r>
                    <w:rPr>
                      <w:rFonts w:hint="default" w:ascii="Times New Roman" w:hAnsi="Times New Roman" w:eastAsia="宋体" w:cs="Times New Roman"/>
                      <w:szCs w:val="21"/>
                      <w:highlight w:val="none"/>
                    </w:rPr>
                    <w:t>石膏水泥制品及类似制品</w:t>
                  </w:r>
                  <w:r>
                    <w:rPr>
                      <w:rFonts w:hint="eastAsia" w:cs="Times New Roman"/>
                      <w:szCs w:val="21"/>
                      <w:highlight w:val="none"/>
                      <w:lang w:val="en-US" w:eastAsia="zh-CN"/>
                    </w:rPr>
                    <w:t>制造</w:t>
                  </w:r>
                  <w:r>
                    <w:rPr>
                      <w:rFonts w:hint="eastAsia" w:ascii="Times New Roman" w:hAnsi="Times New Roman" w:eastAsia="宋体" w:cs="Times New Roman"/>
                      <w:lang w:val="en-US" w:eastAsia="zh-CN"/>
                    </w:rPr>
                    <w:t>，不</w:t>
                  </w:r>
                  <w:r>
                    <w:rPr>
                      <w:rFonts w:hint="eastAsia"/>
                      <w:lang w:val="en-US" w:eastAsia="zh-CN"/>
                    </w:rPr>
                    <w:t>属于高污染（排放）、高能（水）耗、高环境风险的工业项目。</w:t>
                  </w:r>
                </w:p>
              </w:tc>
              <w:tc>
                <w:tcPr>
                  <w:tcW w:w="504" w:type="pct"/>
                  <w:noWrap w:val="0"/>
                  <w:vAlign w:val="center"/>
                </w:tcPr>
                <w:p>
                  <w:pPr>
                    <w:pStyle w:val="70"/>
                    <w:bidi w:val="0"/>
                    <w:jc w:val="center"/>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 w:type="pct"/>
                  <w:noWrap w:val="0"/>
                  <w:vAlign w:val="center"/>
                </w:tcPr>
                <w:p>
                  <w:pPr>
                    <w:pStyle w:val="70"/>
                    <w:bidi w:val="0"/>
                    <w:jc w:val="center"/>
                    <w:rPr>
                      <w:rFonts w:hint="default"/>
                      <w:lang w:val="en-US" w:eastAsia="zh-CN"/>
                    </w:rPr>
                  </w:pPr>
                  <w:r>
                    <w:rPr>
                      <w:rFonts w:hint="default"/>
                      <w:lang w:val="en-US" w:eastAsia="zh-CN"/>
                    </w:rPr>
                    <w:t>A2污染物排放管控</w:t>
                  </w:r>
                </w:p>
              </w:tc>
              <w:tc>
                <w:tcPr>
                  <w:tcW w:w="634" w:type="pct"/>
                  <w:noWrap w:val="0"/>
                  <w:vAlign w:val="center"/>
                </w:tcPr>
                <w:p>
                  <w:pPr>
                    <w:pStyle w:val="70"/>
                    <w:bidi w:val="0"/>
                    <w:jc w:val="center"/>
                    <w:rPr>
                      <w:rFonts w:hint="default"/>
                      <w:lang w:val="en-US" w:eastAsia="zh-CN"/>
                    </w:rPr>
                  </w:pPr>
                  <w:r>
                    <w:rPr>
                      <w:rFonts w:hint="default"/>
                      <w:lang w:val="en-US" w:eastAsia="zh-CN"/>
                    </w:rPr>
                    <w:t>A2</w:t>
                  </w:r>
                  <w:r>
                    <w:rPr>
                      <w:rFonts w:hint="eastAsia"/>
                      <w:lang w:val="en-US" w:eastAsia="zh-CN"/>
                    </w:rPr>
                    <w:t>.2污染控制措施要求</w:t>
                  </w:r>
                </w:p>
              </w:tc>
              <w:tc>
                <w:tcPr>
                  <w:tcW w:w="1654" w:type="pct"/>
                  <w:noWrap w:val="0"/>
                  <w:vAlign w:val="center"/>
                </w:tcPr>
                <w:p>
                  <w:pPr>
                    <w:pStyle w:val="70"/>
                    <w:bidi w:val="0"/>
                    <w:jc w:val="center"/>
                    <w:rPr>
                      <w:rFonts w:hint="default"/>
                      <w:lang w:val="en-US" w:eastAsia="zh-CN"/>
                    </w:rPr>
                  </w:pPr>
                  <w:r>
                    <w:rPr>
                      <w:rFonts w:hint="default"/>
                      <w:lang w:val="en-US" w:eastAsia="zh-CN"/>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氮燃烧改造、工业园区内轨道运输</w:t>
                  </w:r>
                  <w:r>
                    <w:rPr>
                      <w:rFonts w:hint="eastAsia"/>
                      <w:lang w:val="en-US" w:eastAsia="zh-CN"/>
                    </w:rPr>
                    <w:t>、</w:t>
                  </w:r>
                  <w:r>
                    <w:rPr>
                      <w:rFonts w:hint="default"/>
                      <w:lang w:val="en-US" w:eastAsia="zh-CN"/>
                    </w:rPr>
                    <w:t>大宗货物</w:t>
                  </w:r>
                  <w:r>
                    <w:rPr>
                      <w:rFonts w:hint="eastAsia"/>
                      <w:lang w:val="en-US" w:eastAsia="zh-CN"/>
                    </w:rPr>
                    <w:t>“</w:t>
                  </w:r>
                  <w:r>
                    <w:rPr>
                      <w:rFonts w:hint="default"/>
                      <w:lang w:val="en-US" w:eastAsia="zh-CN"/>
                    </w:rPr>
                    <w:t>公转铁</w:t>
                  </w:r>
                  <w:r>
                    <w:rPr>
                      <w:rFonts w:hint="eastAsia"/>
                      <w:lang w:val="en-US" w:eastAsia="zh-CN"/>
                    </w:rPr>
                    <w:t>”</w:t>
                  </w:r>
                  <w:r>
                    <w:rPr>
                      <w:rFonts w:hint="default"/>
                      <w:lang w:val="en-US" w:eastAsia="zh-CN"/>
                    </w:rPr>
                    <w:t>、柴油货车治理、锅炉</w:t>
                  </w:r>
                  <w:r>
                    <w:rPr>
                      <w:rFonts w:hint="eastAsia"/>
                      <w:lang w:val="en-US" w:eastAsia="zh-CN"/>
                    </w:rPr>
                    <w:t>炉窑</w:t>
                  </w:r>
                  <w:r>
                    <w:rPr>
                      <w:rFonts w:hint="default"/>
                      <w:lang w:val="en-US" w:eastAsia="zh-CN"/>
                    </w:rPr>
                    <w:t>综合治理等工程项目。全面推行绿色施工，持续推动城市建成区重污染企业搬迁或关闭退出。</w:t>
                  </w:r>
                </w:p>
              </w:tc>
              <w:tc>
                <w:tcPr>
                  <w:tcW w:w="1674" w:type="pct"/>
                  <w:noWrap w:val="0"/>
                  <w:vAlign w:val="center"/>
                </w:tcPr>
                <w:p>
                  <w:pPr>
                    <w:pStyle w:val="70"/>
                    <w:bidi w:val="0"/>
                    <w:jc w:val="center"/>
                    <w:rPr>
                      <w:rFonts w:hint="default"/>
                      <w:lang w:val="en-US" w:eastAsia="zh-CN"/>
                    </w:rPr>
                  </w:pPr>
                  <w:r>
                    <w:rPr>
                      <w:rFonts w:hint="eastAsia"/>
                      <w:lang w:val="en-US" w:eastAsia="zh-CN"/>
                    </w:rPr>
                    <w:t>本项目产生的废气经相应的环保设施处理后能够达标排放，对环境空气质量影响较小，不会降低区域环境空气质量。</w:t>
                  </w:r>
                </w:p>
              </w:tc>
              <w:tc>
                <w:tcPr>
                  <w:tcW w:w="504" w:type="pct"/>
                  <w:noWrap w:val="0"/>
                  <w:vAlign w:val="center"/>
                </w:tcPr>
                <w:p>
                  <w:pPr>
                    <w:pStyle w:val="70"/>
                    <w:bidi w:val="0"/>
                    <w:jc w:val="center"/>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noWrap w:val="0"/>
                  <w:vAlign w:val="center"/>
                </w:tcPr>
                <w:p>
                  <w:pPr>
                    <w:pStyle w:val="70"/>
                    <w:bidi w:val="0"/>
                    <w:jc w:val="center"/>
                    <w:rPr>
                      <w:rFonts w:hint="default"/>
                      <w:lang w:val="en-US" w:eastAsia="zh-CN"/>
                    </w:rPr>
                  </w:pPr>
                  <w:r>
                    <w:rPr>
                      <w:rFonts w:hint="eastAsia"/>
                      <w:lang w:val="en-US" w:eastAsia="zh-CN"/>
                    </w:rPr>
                    <w:t>A3环境风险防控</w:t>
                  </w:r>
                </w:p>
              </w:tc>
              <w:tc>
                <w:tcPr>
                  <w:tcW w:w="634" w:type="pct"/>
                  <w:noWrap w:val="0"/>
                  <w:vAlign w:val="center"/>
                </w:tcPr>
                <w:p>
                  <w:pPr>
                    <w:pStyle w:val="70"/>
                    <w:bidi w:val="0"/>
                    <w:jc w:val="center"/>
                    <w:rPr>
                      <w:rFonts w:hint="default"/>
                      <w:lang w:val="en-US" w:eastAsia="zh-CN"/>
                    </w:rPr>
                  </w:pPr>
                  <w:r>
                    <w:rPr>
                      <w:rFonts w:hint="eastAsia"/>
                      <w:lang w:val="en-US" w:eastAsia="zh-CN"/>
                    </w:rPr>
                    <w:t>A3.2联防联控要求</w:t>
                  </w:r>
                </w:p>
              </w:tc>
              <w:tc>
                <w:tcPr>
                  <w:tcW w:w="1654" w:type="pct"/>
                  <w:noWrap w:val="0"/>
                  <w:vAlign w:val="center"/>
                </w:tcPr>
                <w:p>
                  <w:pPr>
                    <w:pStyle w:val="70"/>
                    <w:bidi w:val="0"/>
                    <w:jc w:val="center"/>
                    <w:rPr>
                      <w:rFonts w:hint="default"/>
                      <w:lang w:val="en-US" w:eastAsia="zh-CN"/>
                    </w:rPr>
                  </w:pPr>
                  <w:r>
                    <w:rPr>
                      <w:rFonts w:hint="default"/>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674" w:type="pct"/>
                  <w:noWrap w:val="0"/>
                  <w:vAlign w:val="center"/>
                </w:tcPr>
                <w:p>
                  <w:pPr>
                    <w:pStyle w:val="70"/>
                    <w:bidi w:val="0"/>
                    <w:jc w:val="center"/>
                    <w:rPr>
                      <w:rFonts w:hint="default"/>
                      <w:lang w:val="en-US" w:eastAsia="zh-CN"/>
                    </w:rPr>
                  </w:pPr>
                  <w:r>
                    <w:rPr>
                      <w:rFonts w:hint="default"/>
                      <w:lang w:val="en-US" w:eastAsia="zh-CN"/>
                    </w:rPr>
                    <w:t>本项目</w:t>
                  </w:r>
                  <w:r>
                    <w:rPr>
                      <w:rFonts w:hint="eastAsia"/>
                      <w:lang w:val="en-US" w:eastAsia="zh-CN"/>
                    </w:rPr>
                    <w:t>通过建立</w:t>
                  </w:r>
                  <w:r>
                    <w:rPr>
                      <w:rFonts w:hint="default"/>
                      <w:lang w:val="en-US" w:eastAsia="zh-CN"/>
                    </w:rPr>
                    <w:t>环境突发事件应急管理领导机构、完善环境突发应急预案体系、</w:t>
                  </w:r>
                  <w:r>
                    <w:rPr>
                      <w:rFonts w:hint="eastAsia"/>
                      <w:lang w:val="en-US" w:eastAsia="zh-CN"/>
                    </w:rPr>
                    <w:t>配备</w:t>
                  </w:r>
                  <w:r>
                    <w:rPr>
                      <w:rFonts w:hint="default"/>
                      <w:lang w:val="en-US" w:eastAsia="zh-CN"/>
                    </w:rPr>
                    <w:t>应急物资等手段来加强环境风险防控</w:t>
                  </w:r>
                  <w:r>
                    <w:rPr>
                      <w:rFonts w:hint="eastAsia"/>
                      <w:lang w:val="en-US" w:eastAsia="zh-CN"/>
                    </w:rPr>
                    <w:t>，</w:t>
                  </w:r>
                  <w:r>
                    <w:rPr>
                      <w:rFonts w:hint="default"/>
                      <w:lang w:val="en-US" w:eastAsia="zh-CN"/>
                    </w:rPr>
                    <w:t>加强应急物资储备及应急物资信息化建设</w:t>
                  </w:r>
                  <w:r>
                    <w:rPr>
                      <w:rFonts w:hint="eastAsia"/>
                      <w:lang w:val="en-US" w:eastAsia="zh-CN"/>
                    </w:rPr>
                    <w:t>，</w:t>
                  </w:r>
                  <w:r>
                    <w:rPr>
                      <w:rFonts w:hint="default"/>
                      <w:lang w:val="en-US" w:eastAsia="zh-CN"/>
                    </w:rPr>
                    <w:t>增强实战能力。</w:t>
                  </w:r>
                </w:p>
              </w:tc>
              <w:tc>
                <w:tcPr>
                  <w:tcW w:w="504" w:type="pct"/>
                  <w:noWrap w:val="0"/>
                  <w:vAlign w:val="center"/>
                </w:tcPr>
                <w:p>
                  <w:pPr>
                    <w:pStyle w:val="70"/>
                    <w:bidi w:val="0"/>
                    <w:jc w:val="center"/>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1" w:type="pct"/>
                  <w:noWrap w:val="0"/>
                  <w:vAlign w:val="center"/>
                </w:tcPr>
                <w:p>
                  <w:pPr>
                    <w:pStyle w:val="70"/>
                    <w:bidi w:val="0"/>
                    <w:jc w:val="center"/>
                    <w:rPr>
                      <w:rFonts w:hint="default"/>
                      <w:lang w:val="en-US" w:eastAsia="zh-CN"/>
                    </w:rPr>
                  </w:pPr>
                  <w:r>
                    <w:rPr>
                      <w:rFonts w:hint="eastAsia"/>
                      <w:lang w:val="en-US" w:eastAsia="zh-CN"/>
                    </w:rPr>
                    <w:t>A4资源利用要求</w:t>
                  </w:r>
                </w:p>
              </w:tc>
              <w:tc>
                <w:tcPr>
                  <w:tcW w:w="634" w:type="pct"/>
                  <w:noWrap w:val="0"/>
                  <w:vAlign w:val="center"/>
                </w:tcPr>
                <w:p>
                  <w:pPr>
                    <w:pStyle w:val="70"/>
                    <w:bidi w:val="0"/>
                    <w:jc w:val="center"/>
                    <w:rPr>
                      <w:rFonts w:hint="default"/>
                      <w:lang w:val="en-US" w:eastAsia="zh-CN"/>
                    </w:rPr>
                  </w:pPr>
                  <w:r>
                    <w:rPr>
                      <w:rFonts w:hint="eastAsia"/>
                      <w:lang w:val="en-US" w:eastAsia="zh-CN"/>
                    </w:rPr>
                    <w:t>A4.3能源利用</w:t>
                  </w:r>
                </w:p>
              </w:tc>
              <w:tc>
                <w:tcPr>
                  <w:tcW w:w="1654" w:type="pct"/>
                  <w:noWrap w:val="0"/>
                  <w:vAlign w:val="center"/>
                </w:tcPr>
                <w:p>
                  <w:pPr>
                    <w:pStyle w:val="70"/>
                    <w:bidi w:val="0"/>
                    <w:jc w:val="center"/>
                    <w:rPr>
                      <w:rFonts w:hint="default"/>
                      <w:lang w:val="en-US" w:eastAsia="zh-CN"/>
                    </w:rPr>
                  </w:pPr>
                  <w:r>
                    <w:rPr>
                      <w:rFonts w:hint="default"/>
                      <w:lang w:val="en-US" w:eastAsia="zh-CN"/>
                    </w:rPr>
                    <w:t>〔A4.3-</w:t>
                  </w:r>
                  <w:r>
                    <w:rPr>
                      <w:rFonts w:hint="eastAsia"/>
                      <w:lang w:val="en-US" w:eastAsia="zh-CN"/>
                    </w:rPr>
                    <w:t>5</w:t>
                  </w:r>
                  <w:r>
                    <w:rPr>
                      <w:rFonts w:hint="default"/>
                      <w:lang w:val="en-US" w:eastAsia="zh-CN"/>
                    </w:rPr>
                    <w:t>〕</w:t>
                  </w:r>
                  <w:r>
                    <w:rPr>
                      <w:rFonts w:hint="eastAsia"/>
                      <w:lang w:val="en-US" w:eastAsia="zh-CN"/>
                    </w:rPr>
                    <w:t>以碳达峰碳中和工作为引领，着力提高能源资源利用效率。引导重点行业深入实施清洁生产改造，钢铁、建材、石油化工等重点行业以及其他行业重点用能单位持续开展节能降耗。</w:t>
                  </w:r>
                </w:p>
              </w:tc>
              <w:tc>
                <w:tcPr>
                  <w:tcW w:w="1674" w:type="pct"/>
                  <w:noWrap w:val="0"/>
                  <w:vAlign w:val="center"/>
                </w:tcPr>
                <w:p>
                  <w:pPr>
                    <w:pStyle w:val="70"/>
                    <w:bidi w:val="0"/>
                    <w:jc w:val="center"/>
                    <w:rPr>
                      <w:rFonts w:hint="default"/>
                      <w:lang w:val="en-US" w:eastAsia="zh-CN"/>
                    </w:rPr>
                  </w:pPr>
                  <w:r>
                    <w:rPr>
                      <w:rFonts w:hint="eastAsia"/>
                      <w:lang w:val="en-US" w:eastAsia="zh-CN"/>
                    </w:rPr>
                    <w:t>本项目不属于重点行业。</w:t>
                  </w:r>
                </w:p>
              </w:tc>
              <w:tc>
                <w:tcPr>
                  <w:tcW w:w="504" w:type="pct"/>
                  <w:noWrap w:val="0"/>
                  <w:vAlign w:val="center"/>
                </w:tcPr>
                <w:p>
                  <w:pPr>
                    <w:pStyle w:val="70"/>
                    <w:bidi w:val="0"/>
                    <w:jc w:val="center"/>
                    <w:rPr>
                      <w:rFonts w:hint="default"/>
                      <w:lang w:val="en-US" w:eastAsia="zh-CN"/>
                    </w:rPr>
                  </w:pPr>
                  <w:r>
                    <w:rPr>
                      <w:rFonts w:hint="eastAsia"/>
                      <w:lang w:val="en-US" w:eastAsia="zh-CN"/>
                    </w:rPr>
                    <w:t>符合</w:t>
                  </w:r>
                </w:p>
              </w:tc>
            </w:tr>
          </w:tbl>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both"/>
              <w:textAlignment w:val="auto"/>
              <w:rPr>
                <w:rFonts w:hint="default"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2.2与</w:t>
            </w:r>
            <w:r>
              <w:rPr>
                <w:rFonts w:hint="default" w:ascii="Times New Roman" w:hAnsi="Times New Roman" w:cs="Times New Roman"/>
                <w:b/>
                <w:bCs/>
                <w:sz w:val="24"/>
                <w:szCs w:val="24"/>
                <w:highlight w:val="none"/>
                <w:lang w:val="en-US" w:eastAsia="zh-CN"/>
              </w:rPr>
              <w:t>《巴音郭楞蒙古自治州“三线一单”生态环境分区管控动态更新成果（2023年）》符合性分析</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eastAsia" w:ascii="Times New Roman" w:hAnsi="Times New Roman" w:cs="Times New Roman"/>
                <w:b/>
                <w:bCs/>
                <w:kern w:val="0"/>
                <w:sz w:val="24"/>
                <w:szCs w:val="24"/>
                <w:lang w:val="en-US" w:eastAsia="zh-CN"/>
              </w:rPr>
            </w:pPr>
            <w:r>
              <w:rPr>
                <w:rFonts w:hint="eastAsia" w:ascii="Times New Roman" w:hAnsi="Times New Roman" w:cs="Times New Roman"/>
                <w:b/>
                <w:bCs/>
                <w:kern w:val="0"/>
                <w:sz w:val="24"/>
                <w:szCs w:val="24"/>
                <w:lang w:val="en-US" w:eastAsia="zh-CN"/>
              </w:rPr>
              <w:t>表1-</w:t>
            </w:r>
            <w:r>
              <w:rPr>
                <w:rFonts w:hint="eastAsia" w:cs="Times New Roman"/>
                <w:b/>
                <w:bCs/>
                <w:kern w:val="0"/>
                <w:sz w:val="24"/>
                <w:szCs w:val="24"/>
                <w:lang w:val="en-US" w:eastAsia="zh-CN"/>
              </w:rPr>
              <w:t>2</w:t>
            </w:r>
            <w:r>
              <w:rPr>
                <w:rFonts w:hint="eastAsia" w:ascii="Times New Roman" w:hAnsi="Times New Roman" w:cs="Times New Roman"/>
                <w:b/>
                <w:bCs/>
                <w:kern w:val="0"/>
                <w:sz w:val="24"/>
                <w:szCs w:val="24"/>
                <w:lang w:val="en-US" w:eastAsia="zh-CN"/>
              </w:rPr>
              <w:t>《巴音郭楞蒙古自治州“三线一单”生态环境分区管控方案》符合性分析</w:t>
            </w:r>
          </w:p>
          <w:tbl>
            <w:tblPr>
              <w:tblStyle w:val="24"/>
              <w:tblW w:w="7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682"/>
              <w:gridCol w:w="699"/>
              <w:gridCol w:w="407"/>
              <w:gridCol w:w="2069"/>
              <w:gridCol w:w="1982"/>
              <w:gridCol w:w="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8" w:hRule="atLeast"/>
              </w:trPr>
              <w:tc>
                <w:tcPr>
                  <w:tcW w:w="451"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环境管控单元编码</w:t>
                  </w:r>
                </w:p>
              </w:tc>
              <w:tc>
                <w:tcPr>
                  <w:tcW w:w="477" w:type="pc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环境管控单元名称</w:t>
                  </w:r>
                </w:p>
              </w:tc>
              <w:tc>
                <w:tcPr>
                  <w:tcW w:w="489" w:type="pc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环境管控单元类别</w:t>
                  </w:r>
                </w:p>
              </w:tc>
              <w:tc>
                <w:tcPr>
                  <w:tcW w:w="1733" w:type="pct"/>
                  <w:gridSpan w:val="2"/>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管控要求</w:t>
                  </w:r>
                </w:p>
              </w:tc>
              <w:tc>
                <w:tcPr>
                  <w:tcW w:w="1387"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工程具体情况</w:t>
                  </w:r>
                </w:p>
              </w:tc>
              <w:tc>
                <w:tcPr>
                  <w:tcW w:w="459"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5" w:hRule="atLeast"/>
              </w:trPr>
              <w:tc>
                <w:tcPr>
                  <w:tcW w:w="451" w:type="pct"/>
                  <w:vMerge w:val="restar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ZH6528</w:t>
                  </w:r>
                  <w:r>
                    <w:rPr>
                      <w:rFonts w:hint="eastAsia" w:ascii="Times New Roman" w:hAnsi="Times New Roman" w:cs="Times New Roman"/>
                      <w:vertAlign w:val="baseline"/>
                      <w:lang w:val="en-US" w:eastAsia="zh-CN"/>
                    </w:rPr>
                    <w:t>0120001</w:t>
                  </w:r>
                </w:p>
              </w:tc>
              <w:tc>
                <w:tcPr>
                  <w:tcW w:w="477" w:type="pct"/>
                  <w:vMerge w:val="restar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库尔勒市大气布局敏感区</w:t>
                  </w:r>
                </w:p>
              </w:tc>
              <w:tc>
                <w:tcPr>
                  <w:tcW w:w="489" w:type="pct"/>
                  <w:vMerge w:val="restar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重点管控单元</w:t>
                  </w:r>
                </w:p>
              </w:tc>
              <w:tc>
                <w:tcPr>
                  <w:tcW w:w="285" w:type="pct"/>
                  <w:vMerge w:val="restar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空间布局约束</w:t>
                  </w:r>
                </w:p>
              </w:tc>
              <w:tc>
                <w:tcPr>
                  <w:tcW w:w="1447" w:type="pc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1.实施严格的环境准入和环境管理措施，提高建设项目节能环保准入门槛，库尔勒大气联防联控区的火电、钢铁、水泥、石化行业和燃煤锅炉执行大气污染物特别排放限值。</w:t>
                  </w:r>
                </w:p>
              </w:tc>
              <w:tc>
                <w:tcPr>
                  <w:tcW w:w="1387"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本项目位于库尔勒大气联防联控区内，属于</w:t>
                  </w:r>
                  <w:r>
                    <w:rPr>
                      <w:rFonts w:hint="default" w:ascii="Times New Roman" w:hAnsi="Times New Roman" w:eastAsia="宋体" w:cs="Times New Roman"/>
                      <w:szCs w:val="21"/>
                      <w:highlight w:val="none"/>
                    </w:rPr>
                    <w:t>石膏水泥制品及类似制品</w:t>
                  </w:r>
                  <w:r>
                    <w:rPr>
                      <w:rFonts w:hint="eastAsia" w:cs="Times New Roman"/>
                      <w:szCs w:val="21"/>
                      <w:highlight w:val="none"/>
                      <w:lang w:val="en-US" w:eastAsia="zh-CN"/>
                    </w:rPr>
                    <w:t>制造</w:t>
                  </w:r>
                  <w:r>
                    <w:rPr>
                      <w:rFonts w:hint="eastAsia" w:ascii="Times New Roman" w:hAnsi="Times New Roman" w:cs="Times New Roman"/>
                      <w:vertAlign w:val="baseline"/>
                      <w:lang w:val="en-US" w:eastAsia="zh-CN"/>
                    </w:rPr>
                    <w:t>行业，因此本项目执行大气污染物特别排放限值。</w:t>
                  </w:r>
                </w:p>
              </w:tc>
              <w:tc>
                <w:tcPr>
                  <w:tcW w:w="459" w:type="pct"/>
                  <w:noWrap w:val="0"/>
                  <w:vAlign w:val="center"/>
                </w:tcPr>
                <w:p>
                  <w:pPr>
                    <w:jc w:val="center"/>
                    <w:rPr>
                      <w:rFonts w:hint="eastAsia"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17" w:hRule="atLeast"/>
              </w:trPr>
              <w:tc>
                <w:tcPr>
                  <w:tcW w:w="451" w:type="pct"/>
                  <w:vMerge w:val="continue"/>
                  <w:noWrap w:val="0"/>
                  <w:vAlign w:val="center"/>
                </w:tcPr>
                <w:p>
                  <w:pPr>
                    <w:jc w:val="center"/>
                    <w:rPr>
                      <w:rFonts w:hint="default" w:ascii="Times New Roman" w:hAnsi="Times New Roman" w:cs="Times New Roman"/>
                      <w:vertAlign w:val="baseline"/>
                      <w:lang w:val="en-US" w:eastAsia="zh-CN"/>
                    </w:rPr>
                  </w:pPr>
                </w:p>
              </w:tc>
              <w:tc>
                <w:tcPr>
                  <w:tcW w:w="477" w:type="pct"/>
                  <w:vMerge w:val="continue"/>
                  <w:noWrap w:val="0"/>
                  <w:vAlign w:val="center"/>
                </w:tcPr>
                <w:p>
                  <w:pPr>
                    <w:jc w:val="center"/>
                    <w:rPr>
                      <w:rFonts w:hint="eastAsia" w:ascii="Times New Roman" w:hAnsi="Times New Roman" w:cs="Times New Roman"/>
                      <w:vertAlign w:val="baseline"/>
                      <w:lang w:val="en-US" w:eastAsia="zh-CN"/>
                    </w:rPr>
                  </w:pPr>
                </w:p>
              </w:tc>
              <w:tc>
                <w:tcPr>
                  <w:tcW w:w="489" w:type="pct"/>
                  <w:vMerge w:val="continue"/>
                  <w:noWrap w:val="0"/>
                  <w:vAlign w:val="center"/>
                </w:tcPr>
                <w:p>
                  <w:pPr>
                    <w:jc w:val="center"/>
                    <w:rPr>
                      <w:rFonts w:hint="eastAsia" w:ascii="Times New Roman" w:hAnsi="Times New Roman" w:cs="Times New Roman"/>
                      <w:vertAlign w:val="baseline"/>
                      <w:lang w:val="en-US" w:eastAsia="zh-CN"/>
                    </w:rPr>
                  </w:pPr>
                </w:p>
              </w:tc>
              <w:tc>
                <w:tcPr>
                  <w:tcW w:w="285" w:type="pct"/>
                  <w:vMerge w:val="continue"/>
                  <w:noWrap w:val="0"/>
                  <w:vAlign w:val="center"/>
                </w:tcPr>
                <w:p>
                  <w:pPr>
                    <w:jc w:val="center"/>
                    <w:rPr>
                      <w:rFonts w:hint="default" w:ascii="Times New Roman" w:hAnsi="Times New Roman" w:cs="Times New Roman"/>
                      <w:vertAlign w:val="baseline"/>
                      <w:lang w:val="en-US" w:eastAsia="zh-CN"/>
                    </w:rPr>
                  </w:pPr>
                </w:p>
              </w:tc>
              <w:tc>
                <w:tcPr>
                  <w:tcW w:w="1447" w:type="pc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2.禁止引进国家和自治区明令禁止或淘汰的产业及工艺、园区规划的项目</w:t>
                  </w:r>
                  <w:r>
                    <w:rPr>
                      <w:rFonts w:hint="eastAsia" w:ascii="Times New Roman" w:hAnsi="Times New Roman" w:cs="Times New Roman"/>
                      <w:vertAlign w:val="baseline"/>
                      <w:lang w:val="en-US" w:eastAsia="zh-CN"/>
                    </w:rPr>
                    <w:t>：</w:t>
                  </w:r>
                  <w:r>
                    <w:rPr>
                      <w:rFonts w:hint="default" w:ascii="Times New Roman" w:hAnsi="Times New Roman" w:cs="Times New Roman"/>
                      <w:vertAlign w:val="baseline"/>
                      <w:lang w:val="en-US" w:eastAsia="zh-CN"/>
                    </w:rPr>
                    <w:t>引进符合国家产业政策和清洁生产要求的、采用先进生产工艺和设备的、自动化程度高的、具有可靠先进的污染治理技术的生产项目。</w:t>
                  </w:r>
                </w:p>
              </w:tc>
              <w:tc>
                <w:tcPr>
                  <w:tcW w:w="1387" w:type="pct"/>
                  <w:noWrap w:val="0"/>
                  <w:vAlign w:val="center"/>
                </w:tcPr>
                <w:p>
                  <w:pPr>
                    <w:jc w:val="center"/>
                    <w:rPr>
                      <w:rFonts w:hint="eastAsia" w:ascii="Times New Roman" w:hAnsi="Times New Roman" w:cs="Times New Roman"/>
                      <w:vertAlign w:val="baseline"/>
                      <w:lang w:val="en-US" w:eastAsia="zh-CN"/>
                    </w:rPr>
                  </w:pPr>
                  <w:r>
                    <w:rPr>
                      <w:rFonts w:hint="default" w:ascii="Times New Roman" w:hAnsi="Times New Roman" w:cs="Times New Roman"/>
                      <w:vertAlign w:val="baseline"/>
                      <w:lang w:val="en-US" w:eastAsia="zh-CN"/>
                    </w:rPr>
                    <w:t>根据国家发展和改革委员会发布的《产业结构调整指导目录（2024年本）》，本项目不属于鼓励类、限制类和淘汰类项目</w:t>
                  </w:r>
                  <w:r>
                    <w:rPr>
                      <w:rFonts w:hint="eastAsia" w:ascii="Times New Roman" w:hAnsi="Times New Roman" w:cs="Times New Roman"/>
                      <w:vertAlign w:val="baseline"/>
                      <w:lang w:val="en-US" w:eastAsia="zh-CN"/>
                    </w:rPr>
                    <w:t>，属于允许类，符合国家产业政策</w:t>
                  </w:r>
                  <w:r>
                    <w:rPr>
                      <w:rFonts w:hint="default" w:ascii="Times New Roman" w:hAnsi="Times New Roman" w:cs="Times New Roman"/>
                      <w:vertAlign w:val="baseline"/>
                      <w:lang w:val="en-US" w:eastAsia="zh-CN"/>
                    </w:rPr>
                    <w:t>。</w:t>
                  </w:r>
                </w:p>
              </w:tc>
              <w:tc>
                <w:tcPr>
                  <w:tcW w:w="459"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0" w:hRule="atLeast"/>
              </w:trPr>
              <w:tc>
                <w:tcPr>
                  <w:tcW w:w="451" w:type="pct"/>
                  <w:vMerge w:val="continue"/>
                  <w:noWrap w:val="0"/>
                  <w:vAlign w:val="center"/>
                </w:tcPr>
                <w:p>
                  <w:pPr>
                    <w:jc w:val="center"/>
                    <w:rPr>
                      <w:rFonts w:hint="default" w:ascii="Times New Roman" w:hAnsi="Times New Roman" w:cs="Times New Roman"/>
                      <w:vertAlign w:val="baseline"/>
                      <w:lang w:val="en-US" w:eastAsia="zh-CN"/>
                    </w:rPr>
                  </w:pPr>
                </w:p>
              </w:tc>
              <w:tc>
                <w:tcPr>
                  <w:tcW w:w="477" w:type="pct"/>
                  <w:vMerge w:val="continue"/>
                  <w:noWrap w:val="0"/>
                  <w:vAlign w:val="center"/>
                </w:tcPr>
                <w:p>
                  <w:pPr>
                    <w:jc w:val="center"/>
                    <w:rPr>
                      <w:rFonts w:hint="default" w:ascii="Times New Roman" w:hAnsi="Times New Roman" w:cs="Times New Roman"/>
                      <w:vertAlign w:val="baseline"/>
                      <w:lang w:val="en-US" w:eastAsia="zh-CN"/>
                    </w:rPr>
                  </w:pPr>
                </w:p>
              </w:tc>
              <w:tc>
                <w:tcPr>
                  <w:tcW w:w="489" w:type="pct"/>
                  <w:vMerge w:val="continue"/>
                  <w:noWrap w:val="0"/>
                  <w:vAlign w:val="center"/>
                </w:tcPr>
                <w:p>
                  <w:pPr>
                    <w:jc w:val="center"/>
                    <w:rPr>
                      <w:rFonts w:hint="default" w:ascii="Times New Roman" w:hAnsi="Times New Roman" w:cs="Times New Roman"/>
                      <w:vertAlign w:val="baseline"/>
                      <w:lang w:val="en-US" w:eastAsia="zh-CN"/>
                    </w:rPr>
                  </w:pPr>
                </w:p>
              </w:tc>
              <w:tc>
                <w:tcPr>
                  <w:tcW w:w="285" w:type="pct"/>
                  <w:vMerge w:val="restar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污染物排放管控</w:t>
                  </w:r>
                </w:p>
              </w:tc>
              <w:tc>
                <w:tcPr>
                  <w:tcW w:w="1447" w:type="pc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1.执行环境空气质量二级标准。</w:t>
                  </w:r>
                </w:p>
              </w:tc>
              <w:tc>
                <w:tcPr>
                  <w:tcW w:w="1387"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本项目执行环境空气质量二级标准。</w:t>
                  </w:r>
                </w:p>
              </w:tc>
              <w:tc>
                <w:tcPr>
                  <w:tcW w:w="459"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5" w:hRule="atLeast"/>
              </w:trPr>
              <w:tc>
                <w:tcPr>
                  <w:tcW w:w="451" w:type="pct"/>
                  <w:vMerge w:val="continue"/>
                  <w:noWrap w:val="0"/>
                  <w:vAlign w:val="center"/>
                </w:tcPr>
                <w:p>
                  <w:pPr>
                    <w:jc w:val="center"/>
                    <w:rPr>
                      <w:rFonts w:hint="default" w:ascii="Times New Roman" w:hAnsi="Times New Roman" w:cs="Times New Roman"/>
                      <w:vertAlign w:val="baseline"/>
                      <w:lang w:val="en-US" w:eastAsia="zh-CN"/>
                    </w:rPr>
                  </w:pPr>
                </w:p>
              </w:tc>
              <w:tc>
                <w:tcPr>
                  <w:tcW w:w="477" w:type="pct"/>
                  <w:vMerge w:val="continue"/>
                  <w:noWrap w:val="0"/>
                  <w:vAlign w:val="center"/>
                </w:tcPr>
                <w:p>
                  <w:pPr>
                    <w:jc w:val="center"/>
                    <w:rPr>
                      <w:rFonts w:hint="default" w:ascii="Times New Roman" w:hAnsi="Times New Roman" w:cs="Times New Roman"/>
                      <w:vertAlign w:val="baseline"/>
                      <w:lang w:val="en-US" w:eastAsia="zh-CN"/>
                    </w:rPr>
                  </w:pPr>
                </w:p>
              </w:tc>
              <w:tc>
                <w:tcPr>
                  <w:tcW w:w="489" w:type="pct"/>
                  <w:vMerge w:val="continue"/>
                  <w:noWrap w:val="0"/>
                  <w:vAlign w:val="center"/>
                </w:tcPr>
                <w:p>
                  <w:pPr>
                    <w:jc w:val="center"/>
                    <w:rPr>
                      <w:rFonts w:hint="default" w:ascii="Times New Roman" w:hAnsi="Times New Roman" w:cs="Times New Roman"/>
                      <w:vertAlign w:val="baseline"/>
                      <w:lang w:val="en-US" w:eastAsia="zh-CN"/>
                    </w:rPr>
                  </w:pPr>
                </w:p>
              </w:tc>
              <w:tc>
                <w:tcPr>
                  <w:tcW w:w="285" w:type="pct"/>
                  <w:vMerge w:val="continue"/>
                  <w:noWrap w:val="0"/>
                  <w:vAlign w:val="center"/>
                </w:tcPr>
                <w:p>
                  <w:pPr>
                    <w:jc w:val="center"/>
                    <w:rPr>
                      <w:rFonts w:hint="default" w:ascii="Times New Roman" w:hAnsi="Times New Roman" w:cs="Times New Roman"/>
                      <w:vertAlign w:val="baseline"/>
                      <w:lang w:val="en-US" w:eastAsia="zh-CN"/>
                    </w:rPr>
                  </w:pPr>
                </w:p>
              </w:tc>
              <w:tc>
                <w:tcPr>
                  <w:tcW w:w="1447" w:type="pc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严格实施污染物总量控制和排污许可证制度，严格落实大气主要污染物排放总量控制，实现区域污染物减排目标。加强环境监管工作，严格执行建设项目环境保护“三同时”制度，所有新建项目必须实现污染物达标排放才能允许生产，从源头上控制污染物的排放。</w:t>
                  </w:r>
                </w:p>
              </w:tc>
              <w:tc>
                <w:tcPr>
                  <w:tcW w:w="1387"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本项目严格实施污染物总量控制和排污许可证制度，</w:t>
                  </w:r>
                  <w:r>
                    <w:rPr>
                      <w:rFonts w:hint="default" w:ascii="Times New Roman" w:hAnsi="Times New Roman" w:cs="Times New Roman"/>
                      <w:vertAlign w:val="baseline"/>
                      <w:lang w:val="en-US" w:eastAsia="zh-CN"/>
                    </w:rPr>
                    <w:t>本项目是已经建成的项目</w:t>
                  </w:r>
                  <w:r>
                    <w:rPr>
                      <w:rFonts w:hint="eastAsia" w:ascii="Times New Roman" w:hAnsi="Times New Roman" w:cs="Times New Roman"/>
                      <w:vertAlign w:val="baseline"/>
                      <w:lang w:val="en-US" w:eastAsia="zh-CN"/>
                    </w:rPr>
                    <w:t>，原料堆场采用密闭式结构；采用封闭式搅拌楼，配置一套反吹风袋式</w:t>
                  </w:r>
                  <w:r>
                    <w:rPr>
                      <w:rFonts w:hint="default" w:ascii="Times New Roman" w:hAnsi="Times New Roman" w:cs="Times New Roman"/>
                      <w:vertAlign w:val="baseline"/>
                      <w:lang w:val="en-US" w:eastAsia="zh-CN"/>
                    </w:rPr>
                    <w:t>除尘器</w:t>
                  </w:r>
                  <w:r>
                    <w:rPr>
                      <w:rFonts w:hint="eastAsia" w:ascii="Times New Roman" w:hAnsi="Times New Roman" w:cs="Times New Roman"/>
                      <w:vertAlign w:val="baseline"/>
                      <w:lang w:val="en-US" w:eastAsia="zh-CN"/>
                    </w:rPr>
                    <w:t>，运行过程中密闭，收集的粉尘回到搅拌机中，利用系统内的循环烟气反吹清灰，不设排气筒；封闭式筒仓，设置5套</w:t>
                  </w:r>
                  <w:r>
                    <w:rPr>
                      <w:rFonts w:hint="default" w:ascii="Times New Roman" w:hAnsi="Times New Roman" w:cs="Times New Roman"/>
                      <w:vertAlign w:val="baseline"/>
                      <w:lang w:val="en-US" w:eastAsia="zh-CN"/>
                    </w:rPr>
                    <w:t>脉冲布袋式</w:t>
                  </w:r>
                  <w:r>
                    <w:rPr>
                      <w:rFonts w:hint="eastAsia" w:ascii="Times New Roman" w:hAnsi="Times New Roman" w:cs="Times New Roman"/>
                      <w:vertAlign w:val="baseline"/>
                      <w:lang w:val="en-US" w:eastAsia="zh-CN"/>
                    </w:rPr>
                    <w:t>除</w:t>
                  </w:r>
                  <w:r>
                    <w:rPr>
                      <w:rFonts w:hint="default" w:ascii="Times New Roman" w:hAnsi="Times New Roman" w:cs="Times New Roman"/>
                      <w:vertAlign w:val="baseline"/>
                      <w:lang w:val="en-US" w:eastAsia="zh-CN"/>
                    </w:rPr>
                    <w:t>尘器</w:t>
                  </w:r>
                  <w:r>
                    <w:rPr>
                      <w:rFonts w:hint="eastAsia" w:ascii="Times New Roman" w:hAnsi="Times New Roman" w:cs="Times New Roman"/>
                      <w:vertAlign w:val="baseline"/>
                      <w:lang w:val="en-US" w:eastAsia="zh-CN"/>
                    </w:rPr>
                    <w:t>，处理达标后经过仓顶排放口无组织排放。</w:t>
                  </w:r>
                </w:p>
              </w:tc>
              <w:tc>
                <w:tcPr>
                  <w:tcW w:w="459"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451" w:type="pct"/>
                  <w:vMerge w:val="continue"/>
                  <w:noWrap w:val="0"/>
                  <w:vAlign w:val="center"/>
                </w:tcPr>
                <w:p>
                  <w:pPr>
                    <w:jc w:val="center"/>
                    <w:rPr>
                      <w:rFonts w:hint="default" w:ascii="Times New Roman" w:hAnsi="Times New Roman" w:cs="Times New Roman"/>
                      <w:vertAlign w:val="baseline"/>
                      <w:lang w:val="en-US" w:eastAsia="zh-CN"/>
                    </w:rPr>
                  </w:pPr>
                </w:p>
              </w:tc>
              <w:tc>
                <w:tcPr>
                  <w:tcW w:w="477" w:type="pct"/>
                  <w:vMerge w:val="continue"/>
                  <w:noWrap w:val="0"/>
                  <w:vAlign w:val="center"/>
                </w:tcPr>
                <w:p>
                  <w:pPr>
                    <w:jc w:val="center"/>
                    <w:rPr>
                      <w:rFonts w:hint="default" w:ascii="Times New Roman" w:hAnsi="Times New Roman" w:cs="Times New Roman"/>
                      <w:vertAlign w:val="baseline"/>
                      <w:lang w:val="en-US" w:eastAsia="zh-CN"/>
                    </w:rPr>
                  </w:pPr>
                </w:p>
              </w:tc>
              <w:tc>
                <w:tcPr>
                  <w:tcW w:w="489" w:type="pct"/>
                  <w:vMerge w:val="continue"/>
                  <w:noWrap w:val="0"/>
                  <w:vAlign w:val="center"/>
                </w:tcPr>
                <w:p>
                  <w:pPr>
                    <w:jc w:val="center"/>
                    <w:rPr>
                      <w:rFonts w:hint="default" w:ascii="Times New Roman" w:hAnsi="Times New Roman" w:cs="Times New Roman"/>
                      <w:vertAlign w:val="baseline"/>
                      <w:lang w:val="en-US" w:eastAsia="zh-CN"/>
                    </w:rPr>
                  </w:pPr>
                </w:p>
              </w:tc>
              <w:tc>
                <w:tcPr>
                  <w:tcW w:w="285" w:type="pc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环境风险防控</w:t>
                  </w:r>
                </w:p>
              </w:tc>
              <w:tc>
                <w:tcPr>
                  <w:tcW w:w="1447" w:type="pc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合理规划居住区与工业功能区，在居住区和工业区、工业企业之间设置防护绿化隔离带。</w:t>
                  </w:r>
                </w:p>
              </w:tc>
              <w:tc>
                <w:tcPr>
                  <w:tcW w:w="1387"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本项目与居住区距离较远，且中间有道路和绿化阻隔，符合管控要求。</w:t>
                  </w:r>
                </w:p>
              </w:tc>
              <w:tc>
                <w:tcPr>
                  <w:tcW w:w="459"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451" w:type="pct"/>
                  <w:vMerge w:val="continue"/>
                  <w:noWrap w:val="0"/>
                  <w:vAlign w:val="center"/>
                </w:tcPr>
                <w:p>
                  <w:pPr>
                    <w:jc w:val="center"/>
                    <w:rPr>
                      <w:rFonts w:hint="default" w:ascii="Times New Roman" w:hAnsi="Times New Roman" w:cs="Times New Roman"/>
                      <w:vertAlign w:val="baseline"/>
                      <w:lang w:val="en-US" w:eastAsia="zh-CN"/>
                    </w:rPr>
                  </w:pPr>
                </w:p>
              </w:tc>
              <w:tc>
                <w:tcPr>
                  <w:tcW w:w="477" w:type="pct"/>
                  <w:vMerge w:val="continue"/>
                  <w:noWrap w:val="0"/>
                  <w:vAlign w:val="center"/>
                </w:tcPr>
                <w:p>
                  <w:pPr>
                    <w:jc w:val="center"/>
                    <w:rPr>
                      <w:rFonts w:hint="default" w:ascii="Times New Roman" w:hAnsi="Times New Roman" w:cs="Times New Roman"/>
                      <w:vertAlign w:val="baseline"/>
                      <w:lang w:val="en-US" w:eastAsia="zh-CN"/>
                    </w:rPr>
                  </w:pPr>
                </w:p>
              </w:tc>
              <w:tc>
                <w:tcPr>
                  <w:tcW w:w="489" w:type="pct"/>
                  <w:vMerge w:val="continue"/>
                  <w:noWrap w:val="0"/>
                  <w:vAlign w:val="center"/>
                </w:tcPr>
                <w:p>
                  <w:pPr>
                    <w:jc w:val="center"/>
                    <w:rPr>
                      <w:rFonts w:hint="default" w:ascii="Times New Roman" w:hAnsi="Times New Roman" w:cs="Times New Roman"/>
                      <w:vertAlign w:val="baseline"/>
                      <w:lang w:val="en-US" w:eastAsia="zh-CN"/>
                    </w:rPr>
                  </w:pPr>
                </w:p>
              </w:tc>
              <w:tc>
                <w:tcPr>
                  <w:tcW w:w="285" w:type="pct"/>
                  <w:vMerge w:val="restar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资源利用效率</w:t>
                  </w:r>
                </w:p>
              </w:tc>
              <w:tc>
                <w:tcPr>
                  <w:tcW w:w="1447" w:type="pct"/>
                  <w:noWrap w:val="0"/>
                  <w:vAlign w:val="center"/>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1.大力发展循环经济，推广高效绿色适用技术，降低污染物排放强度。</w:t>
                  </w:r>
                </w:p>
              </w:tc>
              <w:tc>
                <w:tcPr>
                  <w:tcW w:w="1387"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本项目用电接市政电网；用水接市政供水管网</w:t>
                  </w:r>
                  <w:r>
                    <w:rPr>
                      <w:rFonts w:hint="default" w:ascii="Times New Roman" w:hAnsi="Times New Roman" w:cs="Times New Roman"/>
                      <w:vertAlign w:val="baseline"/>
                      <w:lang w:val="en-US" w:eastAsia="zh-CN"/>
                    </w:rPr>
                    <w:t>。</w:t>
                  </w:r>
                </w:p>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项目生产废水均回用于生产或抑尘，不外排。</w:t>
                  </w:r>
                </w:p>
              </w:tc>
              <w:tc>
                <w:tcPr>
                  <w:tcW w:w="459"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51" w:type="pct"/>
                  <w:vMerge w:val="continue"/>
                  <w:noWrap w:val="0"/>
                  <w:vAlign w:val="center"/>
                </w:tcPr>
                <w:p>
                  <w:pPr>
                    <w:jc w:val="center"/>
                    <w:rPr>
                      <w:rFonts w:hint="default" w:ascii="Times New Roman" w:hAnsi="Times New Roman" w:cs="Times New Roman"/>
                      <w:vertAlign w:val="baseline"/>
                      <w:lang w:val="en-US" w:eastAsia="zh-CN"/>
                    </w:rPr>
                  </w:pPr>
                </w:p>
              </w:tc>
              <w:tc>
                <w:tcPr>
                  <w:tcW w:w="477" w:type="pct"/>
                  <w:vMerge w:val="continue"/>
                  <w:noWrap w:val="0"/>
                  <w:vAlign w:val="center"/>
                </w:tcPr>
                <w:p>
                  <w:pPr>
                    <w:jc w:val="center"/>
                    <w:rPr>
                      <w:rFonts w:hint="default" w:ascii="Times New Roman" w:hAnsi="Times New Roman" w:cs="Times New Roman"/>
                      <w:vertAlign w:val="baseline"/>
                      <w:lang w:val="en-US" w:eastAsia="zh-CN"/>
                    </w:rPr>
                  </w:pPr>
                </w:p>
              </w:tc>
              <w:tc>
                <w:tcPr>
                  <w:tcW w:w="489" w:type="pct"/>
                  <w:vMerge w:val="continue"/>
                  <w:noWrap w:val="0"/>
                  <w:vAlign w:val="center"/>
                </w:tcPr>
                <w:p>
                  <w:pPr>
                    <w:jc w:val="center"/>
                    <w:rPr>
                      <w:rFonts w:hint="default" w:ascii="Times New Roman" w:hAnsi="Times New Roman" w:cs="Times New Roman"/>
                      <w:vertAlign w:val="baseline"/>
                      <w:lang w:val="en-US" w:eastAsia="zh-CN"/>
                    </w:rPr>
                  </w:pPr>
                </w:p>
              </w:tc>
              <w:tc>
                <w:tcPr>
                  <w:tcW w:w="285" w:type="pct"/>
                  <w:vMerge w:val="continue"/>
                  <w:noWrap w:val="0"/>
                  <w:vAlign w:val="center"/>
                </w:tcPr>
                <w:p>
                  <w:pPr>
                    <w:jc w:val="center"/>
                    <w:rPr>
                      <w:rFonts w:hint="default" w:ascii="Times New Roman" w:hAnsi="Times New Roman" w:cs="Times New Roman"/>
                      <w:vertAlign w:val="baseline"/>
                      <w:lang w:val="en-US" w:eastAsia="zh-CN"/>
                    </w:rPr>
                  </w:pPr>
                </w:p>
              </w:tc>
              <w:tc>
                <w:tcPr>
                  <w:tcW w:w="1447" w:type="pct"/>
                  <w:noWrap w:val="0"/>
                  <w:vAlign w:val="center"/>
                </w:tcPr>
                <w:p>
                  <w:pPr>
                    <w:jc w:val="center"/>
                    <w:rPr>
                      <w:rFonts w:hint="eastAsia"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2.重点控制区实施燃煤总量控制，通过政策补偿等措施，逐步推行以天然气或电替代煤炭</w:t>
                  </w:r>
                  <w:r>
                    <w:rPr>
                      <w:rFonts w:hint="eastAsia" w:ascii="Times New Roman" w:hAnsi="Times New Roman" w:cs="Times New Roman"/>
                      <w:vertAlign w:val="baseline"/>
                      <w:lang w:val="en-US" w:eastAsia="zh-CN"/>
                    </w:rPr>
                    <w:t>。</w:t>
                  </w:r>
                </w:p>
              </w:tc>
              <w:tc>
                <w:tcPr>
                  <w:tcW w:w="1387"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本项目不涉及使用燃煤。</w:t>
                  </w:r>
                </w:p>
              </w:tc>
              <w:tc>
                <w:tcPr>
                  <w:tcW w:w="459" w:type="pct"/>
                  <w:noWrap w:val="0"/>
                  <w:vAlign w:val="center"/>
                </w:tcPr>
                <w:p>
                  <w:pPr>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符合</w:t>
                  </w:r>
                </w:p>
              </w:tc>
            </w:tr>
          </w:tbl>
          <w:p>
            <w:pPr>
              <w:keepNext w:val="0"/>
              <w:keepLines w:val="0"/>
              <w:pageBreakBefore w:val="0"/>
              <w:widowControl w:val="0"/>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综合以上分析判定结果，本项目符合</w:t>
            </w:r>
            <w:r>
              <w:rPr>
                <w:rFonts w:hint="default" w:ascii="Times New Roman" w:hAnsi="Times New Roman" w:eastAsia="宋体" w:cs="Times New Roman"/>
                <w:sz w:val="24"/>
                <w:szCs w:val="24"/>
                <w:highlight w:val="none"/>
                <w:lang w:val="en-US" w:eastAsia="zh-CN"/>
              </w:rPr>
              <w:t>《关于印发〈新疆维吾尔自治区生态环境分区管控动态更新成果〉的通知》</w:t>
            </w:r>
            <w:r>
              <w:rPr>
                <w:rFonts w:hint="eastAsia" w:ascii="Times New Roman" w:hAnsi="Times New Roman" w:eastAsia="宋体" w:cs="Times New Roman"/>
                <w:sz w:val="24"/>
                <w:szCs w:val="24"/>
                <w:highlight w:val="none"/>
                <w:lang w:val="en-US" w:eastAsia="zh-CN"/>
              </w:rPr>
              <w:t>和</w:t>
            </w:r>
            <w:r>
              <w:rPr>
                <w:rFonts w:hint="default" w:ascii="Times New Roman" w:hAnsi="Times New Roman" w:eastAsia="宋体" w:cs="Times New Roman"/>
                <w:sz w:val="24"/>
                <w:szCs w:val="24"/>
                <w:highlight w:val="none"/>
                <w:lang w:val="en-US" w:eastAsia="zh-CN"/>
              </w:rPr>
              <w:t>《巴音郭楞蒙古自治州“三线一单”生态环境分区管控动态更新成果（2023年）》</w:t>
            </w:r>
            <w:r>
              <w:rPr>
                <w:rFonts w:hint="eastAsia" w:ascii="Times New Roman" w:hAnsi="Times New Roman" w:eastAsia="宋体" w:cs="Times New Roman"/>
                <w:sz w:val="24"/>
                <w:szCs w:val="24"/>
                <w:highlight w:val="none"/>
                <w:lang w:val="en-US" w:eastAsia="zh-CN"/>
              </w:rPr>
              <w:t>的</w:t>
            </w:r>
            <w:r>
              <w:rPr>
                <w:rFonts w:hint="default" w:ascii="Times New Roman" w:hAnsi="Times New Roman" w:eastAsia="宋体" w:cs="Times New Roman"/>
                <w:sz w:val="24"/>
                <w:szCs w:val="24"/>
                <w:highlight w:val="none"/>
                <w:lang w:val="en-US" w:eastAsia="zh-CN"/>
              </w:rPr>
              <w:t>要求</w:t>
            </w:r>
            <w:r>
              <w:rPr>
                <w:rFonts w:hint="eastAsia" w:ascii="Times New Roman" w:hAnsi="Times New Roman" w:eastAsia="宋体" w:cs="Times New Roman"/>
                <w:sz w:val="24"/>
                <w:szCs w:val="24"/>
                <w:highlight w:val="none"/>
                <w:lang w:val="en-US" w:eastAsia="zh-CN"/>
              </w:rPr>
              <w:t>。</w:t>
            </w:r>
          </w:p>
          <w:p>
            <w:pPr>
              <w:keepNext w:val="0"/>
              <w:keepLines w:val="0"/>
              <w:pageBreakBefore w:val="0"/>
              <w:widowControl w:val="0"/>
              <w:kinsoku/>
              <w:wordWrap/>
              <w:overflowPunct/>
              <w:topLinePunct w:val="0"/>
              <w:bidi w:val="0"/>
              <w:adjustRightInd/>
              <w:snapToGrid/>
              <w:spacing w:line="520" w:lineRule="exact"/>
              <w:ind w:left="0" w:leftChars="0" w:firstLine="0" w:firstLineChars="0"/>
              <w:jc w:val="both"/>
              <w:textAlignment w:val="auto"/>
              <w:rPr>
                <w:rFonts w:hint="eastAsia" w:ascii="Times New Roman" w:hAnsi="Times New Roman" w:cs="Times New Roman"/>
                <w:b/>
                <w:kern w:val="0"/>
                <w:sz w:val="24"/>
                <w:szCs w:val="24"/>
                <w:highlight w:val="none"/>
                <w:lang w:val="en-US" w:eastAsia="zh-CN"/>
              </w:rPr>
            </w:pPr>
            <w:r>
              <w:rPr>
                <w:rFonts w:hint="default" w:ascii="Times New Roman" w:hAnsi="Times New Roman" w:cs="Times New Roman"/>
                <w:b/>
                <w:kern w:val="0"/>
                <w:sz w:val="24"/>
                <w:szCs w:val="24"/>
                <w:highlight w:val="none"/>
                <w:lang w:val="en-US" w:eastAsia="zh-CN"/>
              </w:rPr>
              <w:t>3、</w:t>
            </w:r>
            <w:r>
              <w:rPr>
                <w:rFonts w:hint="eastAsia" w:ascii="Times New Roman" w:hAnsi="Times New Roman" w:cs="Times New Roman"/>
                <w:b/>
                <w:kern w:val="0"/>
                <w:sz w:val="24"/>
                <w:szCs w:val="24"/>
                <w:highlight w:val="none"/>
                <w:lang w:val="en-US" w:eastAsia="zh-CN"/>
              </w:rPr>
              <w:t>环境管理政策分析</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eastAsia" w:ascii="Times New Roman" w:hAnsi="Times New Roman" w:cs="Times New Roman"/>
                <w:b/>
                <w:bCs/>
                <w:kern w:val="0"/>
                <w:sz w:val="24"/>
                <w:szCs w:val="24"/>
                <w:lang w:val="en-US" w:eastAsia="zh-CN"/>
              </w:rPr>
            </w:pPr>
            <w:r>
              <w:rPr>
                <w:rFonts w:hint="eastAsia" w:ascii="Times New Roman" w:hAnsi="Times New Roman" w:cs="Times New Roman"/>
                <w:b/>
                <w:bCs/>
                <w:kern w:val="0"/>
                <w:sz w:val="24"/>
                <w:szCs w:val="24"/>
                <w:lang w:val="en-US" w:eastAsia="zh-CN"/>
              </w:rPr>
              <w:t>表</w:t>
            </w:r>
            <w:r>
              <w:rPr>
                <w:rFonts w:hint="default" w:ascii="Times New Roman" w:hAnsi="Times New Roman" w:cs="Times New Roman"/>
                <w:b/>
                <w:bCs/>
                <w:kern w:val="0"/>
                <w:sz w:val="24"/>
                <w:szCs w:val="24"/>
                <w:lang w:val="en-US" w:eastAsia="zh-CN"/>
              </w:rPr>
              <w:t>1-</w:t>
            </w:r>
            <w:r>
              <w:rPr>
                <w:rFonts w:hint="eastAsia" w:cs="Times New Roman"/>
                <w:b/>
                <w:bCs/>
                <w:kern w:val="0"/>
                <w:sz w:val="24"/>
                <w:szCs w:val="24"/>
                <w:lang w:val="en-US" w:eastAsia="zh-CN"/>
              </w:rPr>
              <w:t>3</w:t>
            </w:r>
            <w:r>
              <w:rPr>
                <w:rFonts w:hint="eastAsia" w:ascii="Times New Roman" w:hAnsi="Times New Roman" w:cs="Times New Roman"/>
                <w:b/>
                <w:bCs/>
                <w:kern w:val="0"/>
                <w:sz w:val="24"/>
                <w:szCs w:val="24"/>
                <w:lang w:val="en-US" w:eastAsia="zh-CN"/>
              </w:rPr>
              <w:t xml:space="preserve">    环境管理政策相符性分析</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3287"/>
              <w:gridCol w:w="2059"/>
              <w:gridCol w:w="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61"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文件</w:t>
                  </w:r>
                </w:p>
              </w:tc>
              <w:tc>
                <w:tcPr>
                  <w:tcW w:w="22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环境管理政策要求</w:t>
                  </w:r>
                </w:p>
              </w:tc>
              <w:tc>
                <w:tcPr>
                  <w:tcW w:w="1440"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本项目情况</w:t>
                  </w:r>
                </w:p>
              </w:tc>
              <w:tc>
                <w:tcPr>
                  <w:tcW w:w="3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shd w:val="clear" w:color="auto" w:fill="auto"/>
                  <w:noWrap w:val="0"/>
                  <w:vAlign w:val="center"/>
                </w:tcPr>
                <w:p>
                  <w:pPr>
                    <w:pStyle w:val="70"/>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1"/>
                      <w:lang w:val="en-US" w:eastAsia="zh-CN" w:bidi="ar-SA"/>
                    </w:rPr>
                  </w:pPr>
                  <w:r>
                    <w:rPr>
                      <w:rFonts w:hint="eastAsia"/>
                    </w:rPr>
                    <w:t>《</w:t>
                  </w:r>
                  <w:r>
                    <w:rPr>
                      <w:rFonts w:hint="eastAsia"/>
                      <w:lang w:eastAsia="zh-CN"/>
                    </w:rPr>
                    <w:t>中华人民共和国</w:t>
                  </w:r>
                  <w:r>
                    <w:rPr>
                      <w:rFonts w:hint="eastAsia"/>
                    </w:rPr>
                    <w:t>大气污染防治法》</w:t>
                  </w:r>
                  <w:r>
                    <w:rPr>
                      <w:rFonts w:hint="eastAsia"/>
                      <w:lang w:eastAsia="zh-CN"/>
                    </w:rPr>
                    <w:t>（</w:t>
                  </w:r>
                  <w:r>
                    <w:rPr>
                      <w:rFonts w:hint="eastAsia"/>
                      <w:lang w:val="en-US" w:eastAsia="zh-CN"/>
                    </w:rPr>
                    <w:t>2018-11-13</w:t>
                  </w:r>
                  <w:r>
                    <w:rPr>
                      <w:rFonts w:hint="eastAsia"/>
                      <w:lang w:eastAsia="zh-CN"/>
                    </w:rPr>
                    <w:t>）</w:t>
                  </w:r>
                </w:p>
              </w:tc>
              <w:tc>
                <w:tcPr>
                  <w:tcW w:w="2299" w:type="pct"/>
                  <w:shd w:val="clear" w:color="auto" w:fill="auto"/>
                  <w:noWrap w:val="0"/>
                  <w:vAlign w:val="center"/>
                </w:tcPr>
                <w:p>
                  <w:pPr>
                    <w:pStyle w:val="70"/>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1"/>
                      <w:lang w:val="en-US" w:eastAsia="zh-CN" w:bidi="ar-SA"/>
                    </w:rPr>
                  </w:pPr>
                  <w:r>
                    <w:rPr>
                      <w:rFonts w:hint="eastAsia"/>
                    </w:rPr>
                    <w:t>第七条：企业事业单位和其他生产经营者，应当采取有效措施，防止、减少大气污染，对所造成的损害依法承担责任</w:t>
                  </w:r>
                  <w:r>
                    <w:rPr>
                      <w:rFonts w:hint="eastAsia"/>
                      <w:lang w:eastAsia="zh-CN"/>
                    </w:rPr>
                    <w:t>。</w:t>
                  </w:r>
                </w:p>
              </w:tc>
              <w:tc>
                <w:tcPr>
                  <w:tcW w:w="1440" w:type="pct"/>
                  <w:shd w:val="clear" w:color="auto" w:fill="auto"/>
                  <w:noWrap w:val="0"/>
                  <w:vAlign w:val="center"/>
                </w:tcPr>
                <w:p>
                  <w:pPr>
                    <w:pStyle w:val="70"/>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1"/>
                      <w:lang w:val="en-US" w:eastAsia="zh-CN" w:bidi="ar-SA"/>
                    </w:rPr>
                  </w:pPr>
                  <w:r>
                    <w:rPr>
                      <w:rFonts w:hint="default"/>
                    </w:rPr>
                    <w:t>本项目生产过程中</w:t>
                  </w:r>
                  <w:r>
                    <w:rPr>
                      <w:rFonts w:hint="eastAsia"/>
                      <w:lang w:val="en-US" w:eastAsia="zh-CN"/>
                    </w:rPr>
                    <w:t>筒仓</w:t>
                  </w:r>
                  <w:r>
                    <w:rPr>
                      <w:rFonts w:hint="default"/>
                    </w:rPr>
                    <w:t>产生的颗粒物经</w:t>
                  </w:r>
                  <w:r>
                    <w:rPr>
                      <w:rFonts w:hint="eastAsia"/>
                      <w:lang w:val="en-US" w:eastAsia="zh-CN"/>
                    </w:rPr>
                    <w:t>仓顶</w:t>
                  </w:r>
                  <w:r>
                    <w:rPr>
                      <w:rFonts w:hint="default"/>
                    </w:rPr>
                    <w:t>除尘器处理后</w:t>
                  </w:r>
                  <w:r>
                    <w:rPr>
                      <w:rFonts w:hint="eastAsia"/>
                      <w:lang w:val="en-US" w:eastAsia="zh-CN"/>
                    </w:rPr>
                    <w:t>无组织排放</w:t>
                  </w:r>
                  <w:r>
                    <w:rPr>
                      <w:rFonts w:hint="eastAsia"/>
                      <w:lang w:eastAsia="zh-CN"/>
                    </w:rPr>
                    <w:t>；</w:t>
                  </w:r>
                  <w:r>
                    <w:rPr>
                      <w:rFonts w:hint="eastAsia"/>
                      <w:lang w:val="en-US" w:eastAsia="zh-CN"/>
                    </w:rPr>
                    <w:t>搅拌粉尘经反吹风式布袋除尘器治理后粉尘回落至搅拌机内继续生产，少量粉尘无组织排放。</w:t>
                  </w:r>
                </w:p>
              </w:tc>
              <w:tc>
                <w:tcPr>
                  <w:tcW w:w="399" w:type="pct"/>
                  <w:shd w:val="clear" w:color="auto" w:fill="auto"/>
                  <w:noWrap w:val="0"/>
                  <w:vAlign w:val="center"/>
                </w:tcPr>
                <w:p>
                  <w:pPr>
                    <w:pStyle w:val="70"/>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shd w:val="clear" w:color="auto" w:fill="auto"/>
                  <w:noWrap w:val="0"/>
                  <w:vAlign w:val="center"/>
                </w:tcPr>
                <w:p>
                  <w:pPr>
                    <w:pStyle w:val="70"/>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1"/>
                      <w:lang w:val="en-US" w:eastAsia="zh-CN" w:bidi="ar-SA"/>
                    </w:rPr>
                  </w:pPr>
                  <w:r>
                    <w:rPr>
                      <w:rFonts w:hint="eastAsia"/>
                    </w:rPr>
                    <w:t>《中华人民共和国噪声污染防治法》</w:t>
                  </w:r>
                  <w:r>
                    <w:rPr>
                      <w:rFonts w:hint="eastAsia"/>
                      <w:lang w:eastAsia="zh-CN"/>
                    </w:rPr>
                    <w:t>（</w:t>
                  </w:r>
                  <w:r>
                    <w:rPr>
                      <w:rFonts w:hint="eastAsia"/>
                      <w:lang w:val="en-US" w:eastAsia="zh-CN"/>
                    </w:rPr>
                    <w:t>2021-12-25</w:t>
                  </w:r>
                  <w:r>
                    <w:rPr>
                      <w:rFonts w:hint="eastAsia"/>
                      <w:lang w:eastAsia="zh-CN"/>
                    </w:rPr>
                    <w:t>）</w:t>
                  </w:r>
                </w:p>
              </w:tc>
              <w:tc>
                <w:tcPr>
                  <w:tcW w:w="2299" w:type="pct"/>
                  <w:shd w:val="clear" w:color="auto" w:fill="auto"/>
                  <w:noWrap w:val="0"/>
                  <w:vAlign w:val="center"/>
                </w:tcPr>
                <w:p>
                  <w:pPr>
                    <w:pStyle w:val="70"/>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1"/>
                      <w:lang w:val="en-US" w:eastAsia="zh-CN" w:bidi="ar-SA"/>
                    </w:rPr>
                  </w:pPr>
                  <w:r>
                    <w:rPr>
                      <w:rFonts w:hint="default"/>
                    </w:rPr>
                    <w:t>第三十六条</w:t>
                  </w:r>
                  <w:r>
                    <w:rPr>
                      <w:rFonts w:hint="eastAsia"/>
                      <w:lang w:eastAsia="zh-CN"/>
                    </w:rPr>
                    <w:t>：</w:t>
                  </w:r>
                  <w:r>
                    <w:rPr>
                      <w:rFonts w:hint="default"/>
                    </w:rPr>
                    <w:t>排放工业噪声的企业事业单位和其他生产经营者，应当采取有效措施，减少振动、降低噪声，依法取得排污许可证或者填报排污登记表。</w:t>
                  </w:r>
                </w:p>
              </w:tc>
              <w:tc>
                <w:tcPr>
                  <w:tcW w:w="1440" w:type="pct"/>
                  <w:shd w:val="clear" w:color="auto" w:fill="auto"/>
                  <w:noWrap w:val="0"/>
                  <w:vAlign w:val="center"/>
                </w:tcPr>
                <w:p>
                  <w:pPr>
                    <w:pStyle w:val="70"/>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1"/>
                      <w:lang w:val="en-US" w:eastAsia="zh-CN" w:bidi="ar-SA"/>
                    </w:rPr>
                  </w:pPr>
                  <w:r>
                    <w:rPr>
                      <w:rFonts w:hint="default"/>
                    </w:rPr>
                    <w:t>对各类主要噪声源采用</w:t>
                  </w:r>
                  <w:r>
                    <w:rPr>
                      <w:rFonts w:hint="eastAsia"/>
                      <w:lang w:eastAsia="zh-CN"/>
                    </w:rPr>
                    <w:t>低噪声</w:t>
                  </w:r>
                  <w:r>
                    <w:rPr>
                      <w:rFonts w:hint="default"/>
                    </w:rPr>
                    <w:t>设备</w:t>
                  </w:r>
                  <w:r>
                    <w:rPr>
                      <w:rFonts w:hint="eastAsia"/>
                      <w:lang w:eastAsia="zh-CN"/>
                    </w:rPr>
                    <w:t>，</w:t>
                  </w:r>
                  <w:r>
                    <w:rPr>
                      <w:rFonts w:hint="default"/>
                    </w:rPr>
                    <w:t>并采取减振、隔声等措施</w:t>
                  </w:r>
                  <w:r>
                    <w:rPr>
                      <w:rFonts w:hint="eastAsia"/>
                      <w:lang w:eastAsia="zh-CN"/>
                    </w:rPr>
                    <w:t>，</w:t>
                  </w:r>
                  <w:r>
                    <w:rPr>
                      <w:rFonts w:hint="eastAsia"/>
                      <w:lang w:val="en-US" w:eastAsia="zh-CN"/>
                    </w:rPr>
                    <w:t>可正常使用，符合相关标准。企业在生产前完成排污许可证的申请。</w:t>
                  </w:r>
                </w:p>
              </w:tc>
              <w:tc>
                <w:tcPr>
                  <w:tcW w:w="399" w:type="pct"/>
                  <w:shd w:val="clear" w:color="auto" w:fill="auto"/>
                  <w:noWrap w:val="0"/>
                  <w:vAlign w:val="center"/>
                </w:tcPr>
                <w:p>
                  <w:pPr>
                    <w:pStyle w:val="70"/>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highlight w:val="none"/>
                    </w:rPr>
                  </w:pPr>
                  <w:r>
                    <w:rPr>
                      <w:rFonts w:hint="eastAsia" w:ascii="Times New Roman" w:hAnsi="Times New Roman" w:cs="仿宋"/>
                      <w:kern w:val="0"/>
                      <w:szCs w:val="21"/>
                      <w:highlight w:val="none"/>
                    </w:rPr>
                    <w:t>《</w:t>
                  </w:r>
                  <w:r>
                    <w:rPr>
                      <w:rFonts w:hint="eastAsia" w:ascii="Times New Roman" w:hAnsi="Times New Roman" w:cs="仿宋"/>
                      <w:kern w:val="0"/>
                      <w:szCs w:val="21"/>
                      <w:highlight w:val="none"/>
                      <w:lang w:eastAsia="zh-CN"/>
                    </w:rPr>
                    <w:t>巴音郭楞蒙古自治州大气污染防治办法</w:t>
                  </w:r>
                  <w:r>
                    <w:rPr>
                      <w:rFonts w:hint="eastAsia" w:ascii="Times New Roman" w:hAnsi="Times New Roman" w:cs="仿宋"/>
                      <w:kern w:val="0"/>
                      <w:szCs w:val="21"/>
                      <w:highlight w:val="none"/>
                    </w:rPr>
                    <w:t>》州人大常委会公告，2019年第5号</w:t>
                  </w:r>
                </w:p>
              </w:tc>
              <w:tc>
                <w:tcPr>
                  <w:tcW w:w="22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highlight w:val="none"/>
                    </w:rPr>
                  </w:pPr>
                  <w:r>
                    <w:rPr>
                      <w:rFonts w:hint="eastAsia" w:ascii="Times New Roman" w:hAnsi="Times New Roman" w:cs="仿宋"/>
                      <w:kern w:val="0"/>
                      <w:szCs w:val="21"/>
                      <w:highlight w:val="none"/>
                    </w:rPr>
                    <w:t>禁止新建、改建、扩建严重污染大气环境的项目。向大气排放污染物的企事业单位和其他生产经营者应当履行大</w:t>
                  </w:r>
                  <w:r>
                    <w:rPr>
                      <w:rFonts w:hint="eastAsia" w:ascii="Times New Roman" w:hAnsi="Times New Roman" w:cs="仿宋"/>
                      <w:kern w:val="0"/>
                      <w:szCs w:val="21"/>
                      <w:highlight w:val="none"/>
                      <w:lang w:val="en-US" w:eastAsia="zh-CN"/>
                    </w:rPr>
                    <w:t>气</w:t>
                  </w:r>
                  <w:r>
                    <w:rPr>
                      <w:rFonts w:hint="eastAsia" w:ascii="Times New Roman" w:hAnsi="Times New Roman" w:cs="仿宋"/>
                      <w:kern w:val="0"/>
                      <w:szCs w:val="21"/>
                      <w:highlight w:val="none"/>
                    </w:rPr>
                    <w:t>污染防治的法治义务，执行大气污染物排放标准，遵守大气污染物排放总量控制要求。</w:t>
                  </w:r>
                </w:p>
              </w:tc>
              <w:tc>
                <w:tcPr>
                  <w:tcW w:w="1440"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highlight w:val="none"/>
                    </w:rPr>
                  </w:pPr>
                  <w:r>
                    <w:rPr>
                      <w:rFonts w:hint="eastAsia" w:ascii="Times New Roman" w:hAnsi="Times New Roman" w:cs="仿宋"/>
                      <w:kern w:val="0"/>
                      <w:szCs w:val="21"/>
                      <w:highlight w:val="none"/>
                    </w:rPr>
                    <w:t>本项目不属于严重污染大气环境的项目。本项目生产产生的废气都</w:t>
                  </w:r>
                  <w:r>
                    <w:rPr>
                      <w:rFonts w:hint="eastAsia" w:cs="仿宋"/>
                      <w:kern w:val="0"/>
                      <w:szCs w:val="21"/>
                      <w:highlight w:val="none"/>
                      <w:lang w:eastAsia="zh-CN"/>
                    </w:rPr>
                    <w:t>采取了有效</w:t>
                  </w:r>
                  <w:r>
                    <w:rPr>
                      <w:rFonts w:hint="eastAsia" w:ascii="Times New Roman" w:hAnsi="Times New Roman" w:cs="仿宋"/>
                      <w:kern w:val="0"/>
                      <w:szCs w:val="21"/>
                      <w:highlight w:val="none"/>
                    </w:rPr>
                    <w:t>的环保措施，排放的废气满足大气污染物排放限值</w:t>
                  </w:r>
                  <w:r>
                    <w:rPr>
                      <w:rFonts w:hint="eastAsia" w:cs="仿宋"/>
                      <w:kern w:val="0"/>
                      <w:szCs w:val="21"/>
                      <w:highlight w:val="none"/>
                      <w:lang w:eastAsia="zh-CN"/>
                    </w:rPr>
                    <w:t>要求</w:t>
                  </w:r>
                  <w:r>
                    <w:rPr>
                      <w:rFonts w:hint="eastAsia" w:ascii="Times New Roman" w:hAnsi="Times New Roman" w:cs="仿宋"/>
                      <w:kern w:val="0"/>
                      <w:szCs w:val="21"/>
                      <w:highlight w:val="none"/>
                      <w:lang w:eastAsia="zh-CN"/>
                    </w:rPr>
                    <w:t>。</w:t>
                  </w:r>
                </w:p>
              </w:tc>
              <w:tc>
                <w:tcPr>
                  <w:tcW w:w="3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vMerge w:val="restar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highlight w:val="none"/>
                      <w:lang w:eastAsia="zh-CN"/>
                    </w:rPr>
                  </w:pPr>
                  <w:r>
                    <w:rPr>
                      <w:rFonts w:hint="eastAsia" w:ascii="Times New Roman" w:hAnsi="Times New Roman" w:cs="仿宋"/>
                      <w:kern w:val="0"/>
                      <w:szCs w:val="21"/>
                      <w:highlight w:val="none"/>
                      <w:lang w:eastAsia="zh-CN"/>
                    </w:rPr>
                    <w:t>《</w:t>
                  </w:r>
                  <w:r>
                    <w:rPr>
                      <w:rFonts w:hint="eastAsia" w:ascii="Times New Roman" w:hAnsi="Times New Roman" w:cs="仿宋"/>
                      <w:kern w:val="0"/>
                      <w:szCs w:val="21"/>
                      <w:highlight w:val="none"/>
                    </w:rPr>
                    <w:t>新疆维吾尔自治区大气污染防治条例</w:t>
                  </w:r>
                  <w:r>
                    <w:rPr>
                      <w:rFonts w:hint="eastAsia" w:ascii="Times New Roman" w:hAnsi="Times New Roman" w:cs="仿宋"/>
                      <w:kern w:val="0"/>
                      <w:szCs w:val="21"/>
                      <w:highlight w:val="none"/>
                      <w:lang w:eastAsia="zh-CN"/>
                    </w:rPr>
                    <w:t>》（</w:t>
                  </w:r>
                  <w:r>
                    <w:rPr>
                      <w:rFonts w:hint="eastAsia" w:ascii="Times New Roman" w:hAnsi="Times New Roman" w:cs="仿宋"/>
                      <w:kern w:val="0"/>
                      <w:szCs w:val="21"/>
                      <w:highlight w:val="none"/>
                      <w:lang w:val="en-US" w:eastAsia="zh-CN"/>
                    </w:rPr>
                    <w:t>2019</w:t>
                  </w:r>
                  <w:r>
                    <w:rPr>
                      <w:rFonts w:hint="eastAsia" w:ascii="Times New Roman" w:hAnsi="Times New Roman" w:cs="仿宋"/>
                      <w:kern w:val="0"/>
                      <w:szCs w:val="21"/>
                      <w:highlight w:val="none"/>
                      <w:lang w:eastAsia="zh-CN"/>
                    </w:rPr>
                    <w:t>）</w:t>
                  </w:r>
                </w:p>
              </w:tc>
              <w:tc>
                <w:tcPr>
                  <w:tcW w:w="22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highlight w:val="none"/>
                    </w:rPr>
                  </w:pPr>
                  <w:r>
                    <w:rPr>
                      <w:rFonts w:hint="eastAsia" w:ascii="Times New Roman" w:hAnsi="Times New Roman" w:cs="仿宋"/>
                      <w:kern w:val="0"/>
                      <w:szCs w:val="21"/>
                      <w:highlight w:val="none"/>
                    </w:rPr>
                    <w:t>推进城市建成区、工业园区实行集中供热，使用清洁燃料。在集中供热管网覆盖区域内，禁止新建、改建、扩建燃煤供热锅炉，集中供热管网覆盖前，已建成使用的燃煤供热锅炉应当限期停止使用</w:t>
                  </w:r>
                  <w:r>
                    <w:rPr>
                      <w:rFonts w:hint="eastAsia" w:ascii="Times New Roman" w:hAnsi="Times New Roman" w:cs="仿宋"/>
                      <w:kern w:val="0"/>
                      <w:szCs w:val="21"/>
                      <w:highlight w:val="none"/>
                      <w:lang w:eastAsia="zh-CN"/>
                    </w:rPr>
                    <w:t>。</w:t>
                  </w:r>
                </w:p>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eastAsia="宋体" w:cs="仿宋"/>
                      <w:kern w:val="0"/>
                      <w:szCs w:val="21"/>
                      <w:highlight w:val="none"/>
                      <w:lang w:eastAsia="zh-CN"/>
                    </w:rPr>
                  </w:pPr>
                  <w:r>
                    <w:rPr>
                      <w:rFonts w:hint="eastAsia" w:ascii="Times New Roman" w:hAnsi="Times New Roman" w:cs="仿宋"/>
                      <w:kern w:val="0"/>
                      <w:szCs w:val="21"/>
                      <w:highlight w:val="none"/>
                    </w:rPr>
                    <w:t>城市人民政府应当限期淘汰不符合国家和自治区规定规模的燃煤锅炉</w:t>
                  </w:r>
                  <w:r>
                    <w:rPr>
                      <w:rFonts w:hint="eastAsia" w:cs="仿宋"/>
                      <w:kern w:val="0"/>
                      <w:szCs w:val="21"/>
                      <w:highlight w:val="none"/>
                      <w:lang w:eastAsia="zh-CN"/>
                    </w:rPr>
                    <w:t>。</w:t>
                  </w:r>
                </w:p>
              </w:tc>
              <w:tc>
                <w:tcPr>
                  <w:tcW w:w="1440"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仿宋"/>
                      <w:kern w:val="0"/>
                      <w:szCs w:val="21"/>
                      <w:highlight w:val="none"/>
                      <w:lang w:val="en-US"/>
                    </w:rPr>
                  </w:pPr>
                  <w:r>
                    <w:rPr>
                      <w:rFonts w:hint="default" w:ascii="Times New Roman" w:hAnsi="Times New Roman" w:cs="仿宋"/>
                      <w:kern w:val="0"/>
                      <w:szCs w:val="21"/>
                      <w:highlight w:val="none"/>
                      <w:lang w:val="en-US" w:eastAsia="zh-CN"/>
                    </w:rPr>
                    <w:t>本项目</w:t>
                  </w:r>
                  <w:r>
                    <w:rPr>
                      <w:rFonts w:hint="eastAsia" w:ascii="Times New Roman" w:hAnsi="Times New Roman" w:cs="仿宋"/>
                      <w:kern w:val="0"/>
                      <w:szCs w:val="21"/>
                      <w:highlight w:val="none"/>
                      <w:lang w:val="en-US" w:eastAsia="zh-CN"/>
                    </w:rPr>
                    <w:t>不在工业园区内，</w:t>
                  </w:r>
                  <w:r>
                    <w:rPr>
                      <w:rFonts w:hint="default" w:ascii="Times New Roman" w:hAnsi="Times New Roman" w:cs="仿宋"/>
                      <w:kern w:val="0"/>
                      <w:szCs w:val="21"/>
                      <w:highlight w:val="none"/>
                      <w:lang w:val="en-US" w:eastAsia="zh-CN"/>
                    </w:rPr>
                    <w:t>冬季不生产，不</w:t>
                  </w:r>
                  <w:r>
                    <w:rPr>
                      <w:rFonts w:hint="eastAsia" w:ascii="Times New Roman" w:hAnsi="Times New Roman" w:cs="仿宋"/>
                      <w:kern w:val="0"/>
                      <w:szCs w:val="21"/>
                      <w:highlight w:val="none"/>
                      <w:lang w:val="en-US" w:eastAsia="zh-CN"/>
                    </w:rPr>
                    <w:t>需供暖</w:t>
                  </w:r>
                  <w:r>
                    <w:rPr>
                      <w:rFonts w:hint="default" w:ascii="Times New Roman" w:hAnsi="Times New Roman" w:cs="仿宋"/>
                      <w:kern w:val="0"/>
                      <w:szCs w:val="21"/>
                      <w:highlight w:val="none"/>
                      <w:lang w:val="en-US" w:eastAsia="zh-CN"/>
                    </w:rPr>
                    <w:t>。</w:t>
                  </w:r>
                  <w:r>
                    <w:rPr>
                      <w:rFonts w:hint="eastAsia" w:ascii="Times New Roman" w:hAnsi="Times New Roman" w:cs="仿宋"/>
                      <w:kern w:val="0"/>
                      <w:szCs w:val="21"/>
                      <w:highlight w:val="none"/>
                      <w:lang w:val="en-US" w:eastAsia="zh-CN"/>
                    </w:rPr>
                    <w:t>生产过程中也无需锅炉供热</w:t>
                  </w:r>
                  <w:r>
                    <w:rPr>
                      <w:rFonts w:hint="eastAsia" w:cs="仿宋"/>
                      <w:kern w:val="0"/>
                      <w:szCs w:val="21"/>
                      <w:highlight w:val="none"/>
                      <w:lang w:val="en-US" w:eastAsia="zh-CN"/>
                    </w:rPr>
                    <w:t>。</w:t>
                  </w:r>
                </w:p>
              </w:tc>
              <w:tc>
                <w:tcPr>
                  <w:tcW w:w="3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vMerge w:val="continue"/>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p>
              </w:tc>
              <w:tc>
                <w:tcPr>
                  <w:tcW w:w="22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禁止在自治区行政区域内引进能（水）耗不符合相关国家标准中准入值要求且污染物排放和环境风险防控不符合国家（地方）标准及有关产业准入条件的高污染（排放）、高能（水）耗、高环境风险的工业项目</w:t>
                  </w:r>
                  <w:r>
                    <w:rPr>
                      <w:rFonts w:hint="eastAsia" w:ascii="Times New Roman" w:hAnsi="Times New Roman" w:cs="仿宋"/>
                      <w:kern w:val="0"/>
                      <w:szCs w:val="21"/>
                      <w:lang w:eastAsia="zh-CN"/>
                    </w:rPr>
                    <w:t>。</w:t>
                  </w:r>
                </w:p>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eastAsia="宋体" w:cs="仿宋"/>
                      <w:kern w:val="0"/>
                      <w:szCs w:val="21"/>
                      <w:lang w:eastAsia="zh-CN"/>
                    </w:rPr>
                  </w:pPr>
                  <w:r>
                    <w:rPr>
                      <w:rFonts w:hint="eastAsia" w:ascii="Times New Roman" w:hAnsi="Times New Roman" w:cs="仿宋"/>
                      <w:kern w:val="0"/>
                      <w:szCs w:val="21"/>
                    </w:rPr>
                    <w:t>自治区人民政府应当制定或者适时修订高污染</w:t>
                  </w:r>
                  <w:r>
                    <w:rPr>
                      <w:rFonts w:hint="eastAsia" w:ascii="Times New Roman" w:hAnsi="Times New Roman" w:cs="仿宋"/>
                      <w:kern w:val="0"/>
                      <w:szCs w:val="21"/>
                      <w:lang w:eastAsia="zh-CN"/>
                    </w:rPr>
                    <w:t>（排放）</w:t>
                  </w:r>
                  <w:r>
                    <w:rPr>
                      <w:rFonts w:hint="eastAsia" w:ascii="Times New Roman" w:hAnsi="Times New Roman" w:cs="仿宋"/>
                      <w:kern w:val="0"/>
                      <w:szCs w:val="21"/>
                    </w:rPr>
                    <w:t>、高能</w:t>
                  </w:r>
                  <w:r>
                    <w:rPr>
                      <w:rFonts w:hint="eastAsia" w:ascii="Times New Roman" w:hAnsi="Times New Roman" w:cs="仿宋"/>
                      <w:kern w:val="0"/>
                      <w:szCs w:val="21"/>
                      <w:lang w:eastAsia="zh-CN"/>
                    </w:rPr>
                    <w:t>（水耗）</w:t>
                  </w:r>
                  <w:r>
                    <w:rPr>
                      <w:rFonts w:hint="eastAsia" w:ascii="Times New Roman" w:hAnsi="Times New Roman" w:cs="仿宋"/>
                      <w:kern w:val="0"/>
                      <w:szCs w:val="21"/>
                    </w:rPr>
                    <w:t>、高环境风险项目认定标准，并向社会公布</w:t>
                  </w:r>
                  <w:r>
                    <w:rPr>
                      <w:rFonts w:hint="eastAsia" w:cs="仿宋"/>
                      <w:kern w:val="0"/>
                      <w:szCs w:val="21"/>
                      <w:lang w:eastAsia="zh-CN"/>
                    </w:rPr>
                    <w:t>。</w:t>
                  </w:r>
                </w:p>
              </w:tc>
              <w:tc>
                <w:tcPr>
                  <w:tcW w:w="1440"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lang w:val="en-US" w:eastAsia="zh-CN"/>
                    </w:rPr>
                    <w:t>本项目耗能（水）较少，符合相关国家标准中的准入值，并且排放的污染物经过环保设施处理后都能达到排放标准要求，不会对周边环境造成影响。</w:t>
                  </w:r>
                </w:p>
              </w:tc>
              <w:tc>
                <w:tcPr>
                  <w:tcW w:w="3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vMerge w:val="continue"/>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p>
              </w:tc>
              <w:tc>
                <w:tcPr>
                  <w:tcW w:w="22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贮存易产生扬尘的煤炭、煤矸石、煤渣、煤灰、水泥、石灰、石膏、砂土等物料的堆场应当密闭；输送的物料应当在装料、卸料处配备吸尘、喷淋等防尘设施</w:t>
                  </w:r>
                </w:p>
              </w:tc>
              <w:tc>
                <w:tcPr>
                  <w:tcW w:w="1440"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本项目采用全封闭式原料堆场；物料筒仓、搅拌主机均采用全封闭式结构，并配备除尘设施，符合</w:t>
                  </w:r>
                  <w:r>
                    <w:rPr>
                      <w:rFonts w:hint="eastAsia" w:ascii="Times New Roman" w:hAnsi="Times New Roman" w:cs="仿宋"/>
                      <w:kern w:val="0"/>
                      <w:szCs w:val="21"/>
                      <w:lang w:eastAsia="zh-CN"/>
                    </w:rPr>
                    <w:t>《新疆维吾尔自治区大气污染防治条例》</w:t>
                  </w:r>
                  <w:r>
                    <w:rPr>
                      <w:rFonts w:hint="eastAsia" w:ascii="Times New Roman" w:hAnsi="Times New Roman" w:cs="仿宋"/>
                      <w:kern w:val="0"/>
                      <w:szCs w:val="21"/>
                    </w:rPr>
                    <w:t>相关要求</w:t>
                  </w:r>
                </w:p>
              </w:tc>
              <w:tc>
                <w:tcPr>
                  <w:tcW w:w="3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符</w:t>
                  </w:r>
                </w:p>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vMerge w:val="restar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highlight w:val="none"/>
                    </w:rPr>
                  </w:pPr>
                  <w:r>
                    <w:rPr>
                      <w:rFonts w:hint="default" w:ascii="Times New Roman" w:hAnsi="Times New Roman" w:cs="仿宋"/>
                      <w:kern w:val="0"/>
                      <w:szCs w:val="21"/>
                      <w:highlight w:val="none"/>
                      <w:lang w:val="en-US" w:eastAsia="zh-CN"/>
                    </w:rPr>
                    <w:t>《工业料堆场扬尘整治规范》（DB 65/T 4061-2017）</w:t>
                  </w:r>
                </w:p>
              </w:tc>
              <w:tc>
                <w:tcPr>
                  <w:tcW w:w="22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仿宋"/>
                      <w:kern w:val="0"/>
                      <w:szCs w:val="21"/>
                      <w:highlight w:val="none"/>
                      <w:lang w:val="en-US" w:eastAsia="zh-CN"/>
                    </w:rPr>
                  </w:pPr>
                  <w:r>
                    <w:rPr>
                      <w:rFonts w:hint="eastAsia" w:ascii="Times New Roman" w:hAnsi="Times New Roman" w:cs="仿宋"/>
                      <w:kern w:val="0"/>
                      <w:szCs w:val="21"/>
                      <w:highlight w:val="none"/>
                      <w:lang w:val="en-US" w:eastAsia="zh-CN"/>
                    </w:rPr>
                    <w:t>对工业料堆场内装卸、运输等作业过程中，易产生扬尘污染的物料必须采取封闭、遮盖、洒水降尘措施，密闭输送物料必须在装料、卸料处配备吸尘、喷淋防尘措施。</w:t>
                  </w:r>
                </w:p>
              </w:tc>
              <w:tc>
                <w:tcPr>
                  <w:tcW w:w="1440"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highlight w:val="none"/>
                    </w:rPr>
                  </w:pPr>
                  <w:r>
                    <w:rPr>
                      <w:rFonts w:hint="eastAsia" w:ascii="Times New Roman" w:hAnsi="Times New Roman" w:cs="仿宋"/>
                      <w:kern w:val="0"/>
                      <w:szCs w:val="21"/>
                      <w:highlight w:val="none"/>
                    </w:rPr>
                    <w:t>本项目采用全封闭式原料堆场；物料筒仓、搅拌主机均采用全封闭式结构，并配备除尘设施，符合</w:t>
                  </w:r>
                  <w:r>
                    <w:rPr>
                      <w:rFonts w:hint="default" w:ascii="Times New Roman" w:hAnsi="Times New Roman" w:cs="仿宋"/>
                      <w:kern w:val="0"/>
                      <w:szCs w:val="21"/>
                      <w:highlight w:val="none"/>
                      <w:lang w:val="en-US" w:eastAsia="zh-CN"/>
                    </w:rPr>
                    <w:t>《工业料堆场扬尘整治规范》（DB 65/T 4061-2017）</w:t>
                  </w:r>
                  <w:r>
                    <w:rPr>
                      <w:rFonts w:hint="eastAsia" w:ascii="Times New Roman" w:hAnsi="Times New Roman" w:cs="仿宋"/>
                      <w:kern w:val="0"/>
                      <w:szCs w:val="21"/>
                      <w:highlight w:val="none"/>
                    </w:rPr>
                    <w:t>相关要求</w:t>
                  </w:r>
                </w:p>
              </w:tc>
              <w:tc>
                <w:tcPr>
                  <w:tcW w:w="3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lang w:val="en-US" w:eastAsia="zh-CN"/>
                    </w:rPr>
                  </w:pPr>
                  <w:r>
                    <w:rPr>
                      <w:rFonts w:hint="eastAsia" w:ascii="Times New Roman" w:hAnsi="Times New Roman" w:cs="仿宋"/>
                      <w:kern w:val="0"/>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vMerge w:val="continue"/>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highlight w:val="none"/>
                    </w:rPr>
                  </w:pPr>
                </w:p>
              </w:tc>
              <w:tc>
                <w:tcPr>
                  <w:tcW w:w="22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highlight w:val="none"/>
                      <w:lang w:val="en-US" w:eastAsia="zh-CN"/>
                    </w:rPr>
                  </w:pPr>
                  <w:r>
                    <w:rPr>
                      <w:rFonts w:hint="eastAsia" w:ascii="Times New Roman" w:hAnsi="Times New Roman" w:cs="仿宋"/>
                      <w:kern w:val="0"/>
                      <w:szCs w:val="21"/>
                      <w:highlight w:val="none"/>
                    </w:rPr>
                    <w:t>在工业料堆场出口处设置车辆清洗的专用场地，配备运输车辆冲洗保洁设施，冲洗沉积物必须</w:t>
                  </w:r>
                  <w:r>
                    <w:rPr>
                      <w:rFonts w:hint="eastAsia" w:ascii="Times New Roman" w:hAnsi="Times New Roman" w:cs="仿宋"/>
                      <w:kern w:val="0"/>
                      <w:szCs w:val="21"/>
                      <w:highlight w:val="none"/>
                      <w:lang w:eastAsia="zh-CN"/>
                    </w:rPr>
                    <w:t>及时</w:t>
                  </w:r>
                  <w:r>
                    <w:rPr>
                      <w:rFonts w:hint="eastAsia" w:ascii="Times New Roman" w:hAnsi="Times New Roman" w:cs="仿宋"/>
                      <w:kern w:val="0"/>
                      <w:szCs w:val="21"/>
                      <w:highlight w:val="none"/>
                    </w:rPr>
                    <w:t>清理和清运，冲洗污水必须经回收系统收集、处理，处理符合GB 8978的规定后排放。</w:t>
                  </w:r>
                </w:p>
              </w:tc>
              <w:tc>
                <w:tcPr>
                  <w:tcW w:w="1440"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仿宋"/>
                      <w:kern w:val="0"/>
                      <w:szCs w:val="21"/>
                      <w:highlight w:val="none"/>
                      <w:lang w:val="en-US" w:eastAsia="zh-CN"/>
                    </w:rPr>
                  </w:pPr>
                  <w:r>
                    <w:rPr>
                      <w:rFonts w:hint="eastAsia" w:ascii="Times New Roman" w:hAnsi="Times New Roman" w:cs="仿宋"/>
                      <w:kern w:val="0"/>
                      <w:szCs w:val="21"/>
                      <w:highlight w:val="none"/>
                      <w:lang w:val="en-US" w:eastAsia="zh-CN"/>
                    </w:rPr>
                    <w:t>本项目在料场右侧设置了洗车区，</w:t>
                  </w:r>
                  <w:r>
                    <w:rPr>
                      <w:rFonts w:hint="eastAsia" w:ascii="Times New Roman" w:hAnsi="Times New Roman" w:cs="仿宋"/>
                      <w:kern w:val="0"/>
                      <w:szCs w:val="21"/>
                      <w:highlight w:val="none"/>
                    </w:rPr>
                    <w:t>配备运输车辆冲洗保洁设施，冲洗沉积物</w:t>
                  </w:r>
                  <w:r>
                    <w:rPr>
                      <w:rFonts w:hint="eastAsia" w:ascii="Times New Roman" w:hAnsi="Times New Roman" w:cs="仿宋"/>
                      <w:kern w:val="0"/>
                      <w:szCs w:val="21"/>
                      <w:highlight w:val="none"/>
                      <w:lang w:eastAsia="zh-CN"/>
                    </w:rPr>
                    <w:t>及时</w:t>
                  </w:r>
                  <w:r>
                    <w:rPr>
                      <w:rFonts w:hint="eastAsia" w:ascii="Times New Roman" w:hAnsi="Times New Roman" w:cs="仿宋"/>
                      <w:kern w:val="0"/>
                      <w:szCs w:val="21"/>
                      <w:highlight w:val="none"/>
                    </w:rPr>
                    <w:t>清理和清运，冲洗污水</w:t>
                  </w:r>
                  <w:r>
                    <w:rPr>
                      <w:rFonts w:hint="eastAsia" w:cs="仿宋"/>
                      <w:kern w:val="0"/>
                      <w:szCs w:val="21"/>
                      <w:highlight w:val="none"/>
                      <w:lang w:eastAsia="zh-CN"/>
                    </w:rPr>
                    <w:t>、</w:t>
                  </w:r>
                  <w:r>
                    <w:rPr>
                      <w:rFonts w:hint="default" w:ascii="Times New Roman" w:hAnsi="Times New Roman" w:cs="仿宋"/>
                      <w:kern w:val="0"/>
                      <w:szCs w:val="21"/>
                      <w:highlight w:val="none"/>
                      <w:lang w:val="en-US" w:eastAsia="zh-CN"/>
                    </w:rPr>
                    <w:t>清洗废水排入三级沉淀池，经沉淀后回用于</w:t>
                  </w:r>
                  <w:r>
                    <w:rPr>
                      <w:rFonts w:hint="eastAsia" w:ascii="Times New Roman" w:hAnsi="Times New Roman" w:cs="仿宋"/>
                      <w:kern w:val="0"/>
                      <w:szCs w:val="21"/>
                      <w:highlight w:val="none"/>
                      <w:lang w:val="en-US" w:eastAsia="zh-CN"/>
                    </w:rPr>
                    <w:t>生产，不外排</w:t>
                  </w:r>
                  <w:r>
                    <w:rPr>
                      <w:rFonts w:hint="default" w:ascii="Times New Roman" w:hAnsi="Times New Roman" w:cs="仿宋"/>
                      <w:kern w:val="0"/>
                      <w:szCs w:val="21"/>
                      <w:highlight w:val="none"/>
                      <w:lang w:val="en-US" w:eastAsia="zh-CN"/>
                    </w:rPr>
                    <w:t>。</w:t>
                  </w:r>
                </w:p>
              </w:tc>
              <w:tc>
                <w:tcPr>
                  <w:tcW w:w="3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lang w:val="en-US" w:eastAsia="zh-CN"/>
                    </w:rPr>
                  </w:pPr>
                  <w:r>
                    <w:rPr>
                      <w:rFonts w:hint="eastAsia" w:ascii="Times New Roman" w:hAnsi="Times New Roman" w:cs="仿宋"/>
                      <w:kern w:val="0"/>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vMerge w:val="restar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highlight w:val="none"/>
                    </w:rPr>
                  </w:pPr>
                  <w:r>
                    <w:rPr>
                      <w:rFonts w:hint="eastAsia" w:ascii="Times New Roman" w:hAnsi="Times New Roman" w:cs="仿宋"/>
                      <w:kern w:val="0"/>
                      <w:szCs w:val="21"/>
                      <w:highlight w:val="none"/>
                    </w:rPr>
                    <w:t>《自治州大气污染防治三年攻坚行动方案（2023－2025年）》</w:t>
                  </w:r>
                </w:p>
              </w:tc>
              <w:tc>
                <w:tcPr>
                  <w:tcW w:w="22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highlight w:val="none"/>
                    </w:rPr>
                  </w:pPr>
                  <w:r>
                    <w:rPr>
                      <w:rFonts w:hint="default" w:ascii="Times New Roman" w:hAnsi="Times New Roman" w:cs="仿宋"/>
                      <w:kern w:val="0"/>
                      <w:szCs w:val="21"/>
                      <w:highlight w:val="none"/>
                      <w:lang w:val="en-US" w:eastAsia="zh-CN"/>
                    </w:rPr>
                    <w:t>推进燃煤自备电厂、平板玻璃、金属冶炼、砖瓦窑、石灰等行业全面稳定达标排放。对铸造、水泥、砖瓦、石灰、金属冶炼以及石油化工等行业开展排查，严格控制物料储存、输送及生产工艺过程无组织排放。</w:t>
                  </w:r>
                </w:p>
              </w:tc>
              <w:tc>
                <w:tcPr>
                  <w:tcW w:w="1440"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仿宋"/>
                      <w:kern w:val="0"/>
                      <w:szCs w:val="21"/>
                      <w:highlight w:val="none"/>
                      <w:lang w:val="en-US" w:eastAsia="zh-CN"/>
                    </w:rPr>
                  </w:pPr>
                  <w:r>
                    <w:rPr>
                      <w:rFonts w:hint="eastAsia" w:ascii="Times New Roman" w:hAnsi="Times New Roman" w:cs="仿宋"/>
                      <w:kern w:val="0"/>
                      <w:szCs w:val="21"/>
                      <w:highlight w:val="none"/>
                      <w:lang w:val="en-US" w:eastAsia="zh-CN"/>
                    </w:rPr>
                    <w:t>本项目为商品混凝土制造，项目在生产过程中依据本报告对生产设备设置相应环保措施后均可达标排放。</w:t>
                  </w:r>
                </w:p>
              </w:tc>
              <w:tc>
                <w:tcPr>
                  <w:tcW w:w="3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仿宋"/>
                      <w:kern w:val="0"/>
                      <w:szCs w:val="21"/>
                      <w:lang w:val="en-US" w:eastAsia="zh-CN"/>
                    </w:rPr>
                  </w:pPr>
                  <w:r>
                    <w:rPr>
                      <w:rFonts w:hint="eastAsia" w:ascii="Times New Roman" w:hAnsi="Times New Roman" w:cs="仿宋"/>
                      <w:kern w:val="0"/>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vMerge w:val="continue"/>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p>
              </w:tc>
              <w:tc>
                <w:tcPr>
                  <w:tcW w:w="22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仿宋"/>
                      <w:kern w:val="0"/>
                      <w:szCs w:val="21"/>
                      <w:lang w:val="en-US" w:eastAsia="zh-CN"/>
                    </w:rPr>
                  </w:pPr>
                  <w:r>
                    <w:rPr>
                      <w:rFonts w:hint="default" w:ascii="Times New Roman" w:hAnsi="Times New Roman" w:cs="仿宋"/>
                      <w:kern w:val="0"/>
                      <w:szCs w:val="21"/>
                      <w:lang w:val="en-US" w:eastAsia="zh-CN"/>
                    </w:rPr>
                    <w:t>落实原料堆场、投料、传输、搅拌、出料全环节密闭；厂区和运输道路实现硬化，并洒水降尘；进出车辆高效冲洗，确保厂区内外无积尘</w:t>
                  </w:r>
                  <w:r>
                    <w:rPr>
                      <w:rFonts w:hint="eastAsia" w:ascii="Times New Roman" w:hAnsi="Times New Roman" w:cs="仿宋"/>
                      <w:kern w:val="0"/>
                      <w:szCs w:val="21"/>
                      <w:lang w:val="en-US" w:eastAsia="zh-CN"/>
                    </w:rPr>
                    <w:t>。</w:t>
                  </w:r>
                </w:p>
              </w:tc>
              <w:tc>
                <w:tcPr>
                  <w:tcW w:w="1440"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仿宋"/>
                      <w:kern w:val="0"/>
                      <w:szCs w:val="21"/>
                      <w:lang w:val="en-US" w:eastAsia="zh-CN"/>
                    </w:rPr>
                  </w:pPr>
                  <w:r>
                    <w:rPr>
                      <w:rFonts w:hint="eastAsia" w:ascii="Times New Roman" w:hAnsi="Times New Roman" w:cs="仿宋"/>
                      <w:kern w:val="0"/>
                      <w:szCs w:val="21"/>
                      <w:lang w:val="en-US" w:eastAsia="zh-CN"/>
                    </w:rPr>
                    <w:t>本项目堆场采取全密闭堆场，在生产上料的过程中采取密闭式上料，厂区地面均进行硬化处理，进厂道路定期洒水抑尘。</w:t>
                  </w:r>
                </w:p>
              </w:tc>
              <w:tc>
                <w:tcPr>
                  <w:tcW w:w="3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仿宋"/>
                      <w:kern w:val="0"/>
                      <w:szCs w:val="21"/>
                      <w:lang w:val="en-US" w:eastAsia="zh-CN"/>
                    </w:rPr>
                  </w:pPr>
                  <w:r>
                    <w:rPr>
                      <w:rFonts w:hint="eastAsia" w:ascii="Times New Roman" w:hAnsi="Times New Roman" w:cs="仿宋"/>
                      <w:kern w:val="0"/>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vMerge w:val="restar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r>
                    <w:rPr>
                      <w:rFonts w:hint="eastAsia" w:ascii="Times New Roman" w:hAnsi="Times New Roman" w:cs="仿宋"/>
                      <w:kern w:val="0"/>
                      <w:szCs w:val="21"/>
                    </w:rPr>
                    <w:t>《巴音郭楞蒙古自治州生态环境“十四五”规划》</w:t>
                  </w:r>
                </w:p>
              </w:tc>
              <w:tc>
                <w:tcPr>
                  <w:tcW w:w="22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仿宋"/>
                      <w:kern w:val="0"/>
                      <w:szCs w:val="21"/>
                      <w:lang w:val="en-US" w:eastAsia="zh-CN"/>
                    </w:rPr>
                  </w:pPr>
                  <w:r>
                    <w:rPr>
                      <w:rFonts w:hint="eastAsia" w:ascii="Times New Roman" w:hAnsi="Times New Roman" w:cs="仿宋"/>
                      <w:kern w:val="0"/>
                      <w:szCs w:val="21"/>
                      <w:lang w:eastAsia="zh-CN"/>
                    </w:rPr>
                    <w:t>加强固体废物处置。加强固体废物源头减量和资源化利用，最大限度减少填埋量。持续开展固体废物非法转移和倾倒排查整治，推动开展塑料行业专项清理，持续推进废塑料加工利用行业整治，加强废塑料回收、利用、处置等环节的环境监管，降低污染风险。加强工业固体废物堆存场所环境整治。持续推进工业固体废物综合利用和环境整治，不断提高大宗工业固体废物资源化</w:t>
                  </w:r>
                  <w:r>
                    <w:rPr>
                      <w:rFonts w:hint="eastAsia" w:ascii="Times New Roman" w:hAnsi="Times New Roman" w:cs="仿宋"/>
                      <w:kern w:val="0"/>
                      <w:szCs w:val="21"/>
                      <w:lang w:val="en-US" w:eastAsia="zh-CN"/>
                    </w:rPr>
                    <w:t>利用水平。</w:t>
                  </w:r>
                </w:p>
              </w:tc>
              <w:tc>
                <w:tcPr>
                  <w:tcW w:w="1440"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仿宋"/>
                      <w:kern w:val="0"/>
                      <w:szCs w:val="21"/>
                      <w:lang w:val="en-US" w:eastAsia="zh-CN"/>
                    </w:rPr>
                  </w:pPr>
                  <w:r>
                    <w:rPr>
                      <w:rFonts w:hint="eastAsia" w:ascii="Times New Roman" w:hAnsi="Times New Roman" w:cs="仿宋"/>
                      <w:kern w:val="0"/>
                      <w:szCs w:val="21"/>
                      <w:lang w:val="en-US" w:eastAsia="zh-CN"/>
                    </w:rPr>
                    <w:t>本项目固废中，袋式除尘器收集的粉尘回用于生产；实验室固废</w:t>
                  </w:r>
                  <w:r>
                    <w:rPr>
                      <w:rFonts w:hint="eastAsia" w:cs="仿宋"/>
                      <w:kern w:val="0"/>
                      <w:szCs w:val="21"/>
                      <w:lang w:val="en-US" w:eastAsia="zh-CN"/>
                    </w:rPr>
                    <w:t>作为</w:t>
                  </w:r>
                  <w:r>
                    <w:rPr>
                      <w:rFonts w:hint="eastAsia" w:ascii="Times New Roman" w:hAnsi="Times New Roman" w:cs="仿宋"/>
                      <w:kern w:val="0"/>
                      <w:szCs w:val="21"/>
                      <w:lang w:val="en-US" w:eastAsia="zh-CN"/>
                    </w:rPr>
                    <w:t>一般固废定期拉运</w:t>
                  </w:r>
                  <w:r>
                    <w:rPr>
                      <w:rFonts w:hint="eastAsia" w:cs="仿宋"/>
                      <w:kern w:val="0"/>
                      <w:szCs w:val="21"/>
                      <w:lang w:val="en-US" w:eastAsia="zh-CN"/>
                    </w:rPr>
                    <w:t>至一般固废填埋场</w:t>
                  </w:r>
                  <w:r>
                    <w:rPr>
                      <w:rFonts w:hint="eastAsia" w:ascii="Times New Roman" w:hAnsi="Times New Roman" w:cs="仿宋"/>
                      <w:kern w:val="0"/>
                      <w:szCs w:val="21"/>
                      <w:lang w:val="en-US" w:eastAsia="zh-CN"/>
                    </w:rPr>
                    <w:t>处理。生活垃圾交由环卫部门定期清理；废机油属于危废，交由有资质的单位定期清运。本项目所有固废均落实去向，尽可能减少固废外排。</w:t>
                  </w:r>
                </w:p>
              </w:tc>
              <w:tc>
                <w:tcPr>
                  <w:tcW w:w="399" w:type="pct"/>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default" w:ascii="Times New Roman" w:hAnsi="Times New Roman" w:cs="仿宋"/>
                      <w:kern w:val="0"/>
                      <w:szCs w:val="21"/>
                      <w:lang w:val="en-US" w:eastAsia="zh-CN"/>
                    </w:rPr>
                  </w:pPr>
                  <w:r>
                    <w:rPr>
                      <w:rFonts w:hint="eastAsia" w:ascii="Times New Roman" w:hAnsi="Times New Roman" w:cs="仿宋"/>
                      <w:kern w:val="0"/>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vMerge w:val="continue"/>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p>
              </w:tc>
              <w:tc>
                <w:tcPr>
                  <w:tcW w:w="2299" w:type="pct"/>
                  <w:shd w:val="clear" w:color="auto" w:fill="auto"/>
                  <w:noWrap w:val="0"/>
                  <w:vAlign w:val="center"/>
                </w:tcPr>
                <w:p>
                  <w:pPr>
                    <w:pStyle w:val="70"/>
                    <w:bidi w:val="0"/>
                    <w:jc w:val="center"/>
                    <w:rPr>
                      <w:rFonts w:hint="eastAsia" w:ascii="Times New Roman" w:hAnsi="Times New Roman" w:eastAsia="宋体" w:cs="Times New Roman"/>
                      <w:kern w:val="2"/>
                      <w:sz w:val="21"/>
                      <w:szCs w:val="21"/>
                      <w:lang w:val="en-US" w:eastAsia="zh-CN" w:bidi="ar-SA"/>
                    </w:rPr>
                  </w:pPr>
                  <w:r>
                    <w:rPr>
                      <w:rFonts w:hint="default"/>
                      <w:lang w:val="en-US" w:eastAsia="zh-CN"/>
                    </w:rPr>
                    <w:t>强化大气污染分区控制和分类管理，加强污染源解析，实行差异化控制要求，制定有针对性的污染防治措施。库尔勒等大气复合型污染区域，重点针对不同时段PM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、O</w:t>
                  </w:r>
                  <w:r>
                    <w:rPr>
                      <w:rFonts w:hint="default"/>
                      <w:vertAlign w:val="subscript"/>
                      <w:lang w:val="en-US" w:eastAsia="zh-CN"/>
                    </w:rPr>
                    <w:t>3</w:t>
                  </w:r>
                  <w:r>
                    <w:rPr>
                      <w:rFonts w:hint="default"/>
                      <w:lang w:val="en-US" w:eastAsia="zh-CN"/>
                    </w:rPr>
                    <w:t>等突出问题，加强采暖季燃煤污染控制以及机动车、VOCs（挥发性有机物）污染防治；库尉轮地区及且若区域沙尘污染严重区，重点做好防风固沙、生态环境保护修复等工作，同时持续加强传统煤烟型、扬尘污染的控制，实现空气质量持续改善</w:t>
                  </w:r>
                  <w:r>
                    <w:rPr>
                      <w:rFonts w:hint="eastAsia"/>
                      <w:lang w:val="en-US" w:eastAsia="zh-CN"/>
                    </w:rPr>
                    <w:t>。</w:t>
                  </w:r>
                </w:p>
              </w:tc>
              <w:tc>
                <w:tcPr>
                  <w:tcW w:w="1440" w:type="pct"/>
                  <w:shd w:val="clear" w:color="auto" w:fill="auto"/>
                  <w:noWrap w:val="0"/>
                  <w:vAlign w:val="center"/>
                </w:tcPr>
                <w:p>
                  <w:pPr>
                    <w:pStyle w:val="70"/>
                    <w:bidi w:val="0"/>
                    <w:jc w:val="center"/>
                    <w:rPr>
                      <w:rFonts w:hint="eastAsia" w:ascii="Times New Roman" w:hAnsi="Times New Roman" w:eastAsia="宋体" w:cs="Times New Roman"/>
                      <w:kern w:val="2"/>
                      <w:sz w:val="21"/>
                      <w:szCs w:val="21"/>
                      <w:lang w:val="en-US" w:eastAsia="zh-CN" w:bidi="ar-SA"/>
                    </w:rPr>
                  </w:pPr>
                  <w:r>
                    <w:rPr>
                      <w:rFonts w:hint="default"/>
                      <w:lang w:val="en-US" w:eastAsia="zh-CN"/>
                    </w:rPr>
                    <w:t>本项目产生的废气经相应的环保设施处理后能够达标排放，对环境空气质量影响较小，不会降低区域环境空气质量。</w:t>
                  </w:r>
                </w:p>
              </w:tc>
              <w:tc>
                <w:tcPr>
                  <w:tcW w:w="399" w:type="pct"/>
                  <w:shd w:val="clear" w:color="auto" w:fill="auto"/>
                  <w:noWrap w:val="0"/>
                  <w:vAlign w:val="center"/>
                </w:tcPr>
                <w:p>
                  <w:pPr>
                    <w:pStyle w:val="70"/>
                    <w:bidi w:val="0"/>
                    <w:jc w:val="center"/>
                    <w:rPr>
                      <w:rFonts w:hint="eastAsia" w:ascii="Times New Roman" w:hAnsi="Times New Roman" w:eastAsia="宋体" w:cs="Times New Roman"/>
                      <w:kern w:val="2"/>
                      <w:sz w:val="21"/>
                      <w:szCs w:val="21"/>
                      <w:lang w:val="en-US" w:eastAsia="zh-CN" w:bidi="ar-SA"/>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pct"/>
                  <w:vMerge w:val="continue"/>
                  <w:noWrap w:val="0"/>
                  <w:vAlign w:val="center"/>
                </w:tcPr>
                <w:p>
                  <w:pPr>
                    <w:keepNext w:val="0"/>
                    <w:keepLines w:val="0"/>
                    <w:pageBreakBefore w:val="0"/>
                    <w:kinsoku/>
                    <w:wordWrap/>
                    <w:overflowPunct/>
                    <w:topLinePunct w:val="0"/>
                    <w:autoSpaceDE w:val="0"/>
                    <w:autoSpaceDN w:val="0"/>
                    <w:bidi w:val="0"/>
                    <w:adjustRightInd/>
                    <w:snapToGrid/>
                    <w:spacing w:line="300" w:lineRule="exact"/>
                    <w:jc w:val="center"/>
                    <w:textAlignment w:val="auto"/>
                    <w:rPr>
                      <w:rFonts w:hint="eastAsia" w:ascii="Times New Roman" w:hAnsi="Times New Roman" w:cs="仿宋"/>
                      <w:kern w:val="0"/>
                      <w:szCs w:val="21"/>
                    </w:rPr>
                  </w:pPr>
                </w:p>
              </w:tc>
              <w:tc>
                <w:tcPr>
                  <w:tcW w:w="2299" w:type="pct"/>
                  <w:shd w:val="clear" w:color="auto" w:fill="auto"/>
                  <w:noWrap w:val="0"/>
                  <w:vAlign w:val="center"/>
                </w:tcPr>
                <w:p>
                  <w:pPr>
                    <w:pStyle w:val="70"/>
                    <w:bidi w:val="0"/>
                    <w:jc w:val="center"/>
                    <w:rPr>
                      <w:rFonts w:hint="eastAsia" w:ascii="Times New Roman" w:hAnsi="Times New Roman" w:eastAsia="宋体" w:cs="Times New Roman"/>
                      <w:kern w:val="2"/>
                      <w:sz w:val="21"/>
                      <w:szCs w:val="21"/>
                      <w:lang w:val="en-US" w:eastAsia="zh-CN" w:bidi="ar-SA"/>
                    </w:rPr>
                  </w:pPr>
                  <w:r>
                    <w:rPr>
                      <w:rFonts w:hint="default"/>
                      <w:lang w:val="en-US" w:eastAsia="zh-CN"/>
                    </w:rPr>
                    <w:t>加强环境噪声污染防控。加强噪声污染源监管，继续强化和深入推进交通运输、建筑施工、社会生活、工业企业、机场周边噪声污染防治，推进工业企业噪声纳入排污许可管理。优化重点</w:t>
                  </w:r>
                  <w:r>
                    <w:rPr>
                      <w:rFonts w:hint="eastAsia"/>
                      <w:lang w:val="en-US" w:eastAsia="zh-CN"/>
                    </w:rPr>
                    <w:t>区域</w:t>
                  </w:r>
                  <w:r>
                    <w:rPr>
                      <w:rFonts w:hint="default"/>
                      <w:lang w:val="en-US" w:eastAsia="zh-CN"/>
                    </w:rPr>
                    <w:t>声环境质量监测点位，加强城市环境、道路交通、功能区噪声例行监测与评价，推动库尔勒市功能区声环境质量自动监测，强化声环境功能区管理，适时调整完善声环境功能区</w:t>
                  </w:r>
                  <w:r>
                    <w:rPr>
                      <w:rFonts w:hint="eastAsia"/>
                      <w:lang w:val="en-US" w:eastAsia="zh-CN"/>
                    </w:rPr>
                    <w:t>。</w:t>
                  </w:r>
                </w:p>
              </w:tc>
              <w:tc>
                <w:tcPr>
                  <w:tcW w:w="1440" w:type="pct"/>
                  <w:shd w:val="clear" w:color="auto" w:fill="auto"/>
                  <w:noWrap w:val="0"/>
                  <w:vAlign w:val="center"/>
                </w:tcPr>
                <w:p>
                  <w:pPr>
                    <w:pStyle w:val="70"/>
                    <w:bidi w:val="0"/>
                    <w:jc w:val="center"/>
                    <w:rPr>
                      <w:rFonts w:hint="eastAsia" w:ascii="Times New Roman" w:hAnsi="Times New Roman" w:eastAsia="宋体" w:cs="Times New Roman"/>
                      <w:kern w:val="2"/>
                      <w:sz w:val="21"/>
                      <w:szCs w:val="21"/>
                      <w:lang w:val="en-US" w:eastAsia="zh-CN" w:bidi="ar-SA"/>
                    </w:rPr>
                  </w:pPr>
                  <w:r>
                    <w:rPr>
                      <w:rFonts w:hint="eastAsia"/>
                      <w:lang w:val="en-US" w:eastAsia="zh-CN"/>
                    </w:rPr>
                    <w:t>本项目噪声主要是机械、运输设备噪声。采用低噪声设备、合理布置设备位置，基础减震等措施，噪声可以达标排放；项目建设完成后，建设单位将按照排污许可管理办法，在排污行为发生之前，完成排污许可登记。</w:t>
                  </w:r>
                </w:p>
              </w:tc>
              <w:tc>
                <w:tcPr>
                  <w:tcW w:w="399" w:type="pct"/>
                  <w:shd w:val="clear" w:color="auto" w:fill="auto"/>
                  <w:noWrap w:val="0"/>
                  <w:vAlign w:val="center"/>
                </w:tcPr>
                <w:p>
                  <w:pPr>
                    <w:pStyle w:val="70"/>
                    <w:bidi w:val="0"/>
                    <w:jc w:val="center"/>
                    <w:rPr>
                      <w:rFonts w:hint="eastAsia" w:ascii="Times New Roman" w:hAnsi="Times New Roman" w:eastAsia="宋体" w:cs="Times New Roman"/>
                      <w:kern w:val="2"/>
                      <w:sz w:val="21"/>
                      <w:szCs w:val="21"/>
                      <w:lang w:val="en-US" w:eastAsia="zh-CN" w:bidi="ar-SA"/>
                    </w:rPr>
                  </w:pPr>
                  <w:r>
                    <w:rPr>
                      <w:rFonts w:hint="eastAsia"/>
                      <w:lang w:val="en-US" w:eastAsia="zh-CN"/>
                    </w:rPr>
                    <w:t>符合</w:t>
                  </w:r>
                </w:p>
              </w:tc>
            </w:tr>
          </w:tbl>
          <w:p>
            <w:pPr>
              <w:autoSpaceDE w:val="0"/>
              <w:autoSpaceDN w:val="0"/>
              <w:adjustRightInd w:val="0"/>
              <w:snapToGrid w:val="0"/>
              <w:jc w:val="center"/>
              <w:rPr>
                <w:rFonts w:ascii="宋体" w:hAnsi="宋体" w:cs="宋体"/>
                <w:kern w:val="0"/>
                <w:szCs w:val="21"/>
                <w:highlight w:val="none"/>
              </w:rPr>
            </w:pPr>
          </w:p>
        </w:tc>
      </w:tr>
    </w:tbl>
    <w:p>
      <w:pPr>
        <w:spacing w:line="360" w:lineRule="auto"/>
        <w:outlineLvl w:val="0"/>
        <w:rPr>
          <w:rFonts w:eastAsia="黑体"/>
          <w:sz w:val="30"/>
        </w:rPr>
        <w:sectPr>
          <w:footerReference r:id="rId5" w:type="default"/>
          <w:pgSz w:w="11906" w:h="16838"/>
          <w:pgMar w:top="1701" w:right="1531" w:bottom="1701" w:left="1531" w:header="851" w:footer="1077" w:gutter="0"/>
          <w:pgNumType w:start="1"/>
          <w:cols w:space="720" w:num="1"/>
          <w:docGrid w:linePitch="312" w:charSpace="0"/>
        </w:sectPr>
      </w:pPr>
    </w:p>
    <w:p>
      <w:pPr>
        <w:pStyle w:val="21"/>
        <w:jc w:val="center"/>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23"/>
        <w:tblpPr w:leftFromText="180" w:rightFromText="180" w:vertAnchor="text" w:tblpXSpec="center" w:tblpY="1"/>
        <w:tblOverlap w:val="never"/>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8"/>
        <w:gridCol w:w="84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jc w:val="center"/>
        </w:trPr>
        <w:tc>
          <w:tcPr>
            <w:tcW w:w="578" w:type="dxa"/>
            <w:noWrap w:val="0"/>
            <w:vAlign w:val="center"/>
          </w:tcPr>
          <w:p>
            <w:pPr>
              <w:pStyle w:val="21"/>
              <w:adjustRightInd w:val="0"/>
              <w:snapToGrid w:val="0"/>
              <w:spacing w:before="0" w:beforeAutospacing="0" w:after="0" w:afterAutospacing="0"/>
              <w:jc w:val="center"/>
              <w:rPr>
                <w:rFonts w:cs="宋体"/>
                <w:sz w:val="21"/>
                <w:szCs w:val="21"/>
              </w:rPr>
            </w:pPr>
            <w:r>
              <w:rPr>
                <w:rFonts w:hint="eastAsia" w:cs="宋体"/>
                <w:sz w:val="21"/>
                <w:szCs w:val="21"/>
              </w:rPr>
              <w:t>建设内容</w:t>
            </w:r>
          </w:p>
        </w:tc>
        <w:tc>
          <w:tcPr>
            <w:tcW w:w="8482" w:type="dxa"/>
            <w:noWrap w:val="0"/>
            <w:vAlign w:val="top"/>
          </w:tcPr>
          <w:p>
            <w:pPr>
              <w:spacing w:line="520" w:lineRule="exact"/>
              <w:ind w:firstLine="482" w:firstLineChars="200"/>
              <w:rPr>
                <w:rFonts w:hint="default" w:ascii="Times New Roman" w:hAnsi="Times New Roman" w:cs="Times New Roman"/>
                <w:b/>
                <w:bCs/>
                <w:sz w:val="24"/>
                <w:lang w:val="en-US" w:eastAsia="zh-CN"/>
              </w:rPr>
            </w:pPr>
            <w:r>
              <w:rPr>
                <w:rFonts w:hint="eastAsia" w:ascii="Times New Roman" w:hAnsi="Times New Roman" w:cs="Times New Roman"/>
                <w:b/>
                <w:bCs/>
                <w:sz w:val="24"/>
                <w:lang w:val="en-US" w:eastAsia="zh-CN"/>
              </w:rPr>
              <w:t>一、项目情况</w:t>
            </w:r>
          </w:p>
          <w:p>
            <w:pPr>
              <w:keepNext w:val="0"/>
              <w:keepLines w:val="0"/>
              <w:pageBreakBefore w:val="0"/>
              <w:widowControl w:val="0"/>
              <w:numPr>
                <w:ilvl w:val="0"/>
                <w:numId w:val="0"/>
              </w:numPr>
              <w:kinsoku/>
              <w:wordWrap/>
              <w:overflowPunct/>
              <w:topLinePunct w:val="0"/>
              <w:bidi w:val="0"/>
              <w:adjustRightInd/>
              <w:snapToGrid/>
              <w:spacing w:line="520" w:lineRule="exact"/>
              <w:ind w:firstLine="482" w:firstLineChars="200"/>
              <w:textAlignment w:val="auto"/>
              <w:rPr>
                <w:rFonts w:hint="default" w:ascii="Times New Roman" w:hAnsi="Times New Roman" w:cs="Times New Roman"/>
                <w:b/>
                <w:kern w:val="0"/>
                <w:sz w:val="24"/>
                <w:highlight w:val="none"/>
                <w:lang w:val="en-US" w:eastAsia="zh-CN"/>
              </w:rPr>
            </w:pPr>
            <w:r>
              <w:rPr>
                <w:rFonts w:hint="eastAsia" w:ascii="Times New Roman" w:hAnsi="Times New Roman" w:cs="Times New Roman"/>
                <w:b/>
                <w:kern w:val="0"/>
                <w:sz w:val="24"/>
                <w:highlight w:val="none"/>
                <w:lang w:val="en-US" w:eastAsia="zh-CN"/>
              </w:rPr>
              <w:t>1</w:t>
            </w:r>
            <w:r>
              <w:rPr>
                <w:rFonts w:hint="default" w:ascii="Times New Roman" w:hAnsi="Times New Roman" w:cs="Times New Roman"/>
                <w:b/>
                <w:kern w:val="0"/>
                <w:sz w:val="24"/>
                <w:highlight w:val="none"/>
                <w:lang w:val="en-US" w:eastAsia="zh-CN"/>
              </w:rPr>
              <w:t>、项目由来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新疆鸿雁建材有限公司2022年5月成立，2022年5月收购库尔勒市政工程建设有限责任公司商品混凝土搅拌站，</w:t>
            </w:r>
            <w:r>
              <w:rPr>
                <w:rFonts w:hint="eastAsia" w:cs="Times New Roman"/>
                <w:sz w:val="24"/>
                <w:szCs w:val="24"/>
                <w:highlight w:val="none"/>
                <w:lang w:val="en-US" w:eastAsia="zh-CN"/>
              </w:rPr>
              <w:t>由于该拌和站在收购前一直未办理相关环保手续，由</w:t>
            </w:r>
            <w:r>
              <w:rPr>
                <w:rFonts w:hint="default" w:ascii="Times New Roman" w:hAnsi="Times New Roman" w:cs="Times New Roman"/>
                <w:sz w:val="24"/>
                <w:szCs w:val="24"/>
                <w:highlight w:val="none"/>
                <w:lang w:val="en-US" w:eastAsia="zh-CN"/>
              </w:rPr>
              <w:t>新疆鸿雁建材有限公司</w:t>
            </w:r>
            <w:r>
              <w:rPr>
                <w:rFonts w:hint="eastAsia" w:cs="Times New Roman"/>
                <w:sz w:val="24"/>
                <w:szCs w:val="24"/>
                <w:highlight w:val="none"/>
                <w:lang w:val="en-US" w:eastAsia="zh-CN"/>
              </w:rPr>
              <w:t>收购后开始</w:t>
            </w:r>
            <w:r>
              <w:rPr>
                <w:rFonts w:hint="default" w:ascii="Times New Roman" w:hAnsi="Times New Roman" w:cs="Times New Roman"/>
                <w:sz w:val="24"/>
                <w:szCs w:val="24"/>
                <w:highlight w:val="none"/>
                <w:lang w:val="en-US" w:eastAsia="zh-CN"/>
              </w:rPr>
              <w:t>办理相关手续</w:t>
            </w:r>
            <w:r>
              <w:rPr>
                <w:rFonts w:hint="eastAsia" w:cs="Times New Roman"/>
                <w:sz w:val="24"/>
                <w:szCs w:val="24"/>
                <w:highlight w:val="none"/>
                <w:lang w:val="en-US" w:eastAsia="zh-CN"/>
              </w:rPr>
              <w:t>，该拌和站目前正常生产运行</w:t>
            </w:r>
            <w:r>
              <w:rPr>
                <w:rFonts w:hint="default" w:ascii="Times New Roman" w:hAnsi="Times New Roman" w:cs="Times New Roman"/>
                <w:sz w:val="24"/>
                <w:szCs w:val="24"/>
                <w:highlight w:val="none"/>
                <w:lang w:val="en-US" w:eastAsia="zh-CN"/>
              </w:rPr>
              <w:t>。</w:t>
            </w:r>
          </w:p>
          <w:p>
            <w:pPr>
              <w:keepNext w:val="0"/>
              <w:keepLines w:val="0"/>
              <w:pageBreakBefore w:val="0"/>
              <w:widowControl w:val="0"/>
              <w:numPr>
                <w:ilvl w:val="0"/>
                <w:numId w:val="0"/>
              </w:numPr>
              <w:kinsoku/>
              <w:wordWrap/>
              <w:overflowPunct/>
              <w:topLinePunct w:val="0"/>
              <w:bidi w:val="0"/>
              <w:adjustRightInd/>
              <w:snapToGrid/>
              <w:spacing w:line="520" w:lineRule="exact"/>
              <w:ind w:firstLine="482" w:firstLineChars="200"/>
              <w:textAlignment w:val="auto"/>
              <w:rPr>
                <w:rFonts w:hint="default" w:ascii="Times New Roman" w:hAnsi="Times New Roman" w:eastAsia="宋体" w:cs="Times New Roman"/>
                <w:b/>
                <w:kern w:val="0"/>
                <w:sz w:val="24"/>
                <w:highlight w:val="none"/>
                <w:lang w:val="en-US" w:eastAsia="zh-CN"/>
              </w:rPr>
            </w:pPr>
            <w:r>
              <w:rPr>
                <w:rFonts w:hint="eastAsia" w:ascii="Times New Roman" w:hAnsi="Times New Roman" w:eastAsia="宋体" w:cs="Times New Roman"/>
                <w:b/>
                <w:kern w:val="0"/>
                <w:sz w:val="24"/>
                <w:highlight w:val="none"/>
                <w:lang w:val="en-US" w:eastAsia="zh-CN"/>
              </w:rPr>
              <w:t>2、编制依据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按照</w:t>
            </w:r>
            <w:r>
              <w:rPr>
                <w:rFonts w:hint="eastAsia" w:ascii="Times New Roman" w:hAnsi="Times New Roman" w:cs="Times New Roman"/>
                <w:sz w:val="24"/>
                <w:szCs w:val="24"/>
                <w:highlight w:val="none"/>
                <w:lang w:val="en-US" w:eastAsia="zh-CN"/>
              </w:rPr>
              <w:t>《中华人民共和国环境保护法》《建设项目环境保护管理条例》和</w:t>
            </w:r>
            <w:r>
              <w:rPr>
                <w:rFonts w:hint="default" w:ascii="Times New Roman" w:hAnsi="Times New Roman" w:cs="Times New Roman"/>
                <w:sz w:val="24"/>
                <w:szCs w:val="24"/>
                <w:highlight w:val="none"/>
                <w:lang w:val="en-US" w:eastAsia="zh-CN"/>
              </w:rPr>
              <w:t>《建设项目环境影响评价分类管理名录》等有关</w:t>
            </w:r>
            <w:r>
              <w:rPr>
                <w:rFonts w:hint="eastAsia" w:ascii="Times New Roman" w:hAnsi="Times New Roman" w:cs="Times New Roman"/>
                <w:sz w:val="24"/>
                <w:szCs w:val="24"/>
                <w:highlight w:val="none"/>
                <w:lang w:val="en-US" w:eastAsia="zh-CN"/>
              </w:rPr>
              <w:t>法律法规</w:t>
            </w:r>
            <w:r>
              <w:rPr>
                <w:rFonts w:hint="default" w:ascii="Times New Roman" w:hAnsi="Times New Roman" w:cs="Times New Roman"/>
                <w:sz w:val="24"/>
                <w:szCs w:val="24"/>
                <w:highlight w:val="none"/>
                <w:lang w:val="en-US" w:eastAsia="zh-CN"/>
              </w:rPr>
              <w:t>规定，项目属《名录》所列“二十七、非金属矿物制品业 30水泥制品及类似制品制造302商品混凝土”，本项目应编制环境影响报告表。受建设单位委托，新疆领畅环保科技有限公司承担了本项目的环境影响评价工作。接受委托后，环评单位在现场踏勘和资料收集的基础上，编制完成了《新疆鸿雁建材有限公司年产10万方混凝土搅拌站建设项目》环境影响报告表，审批后作为</w:t>
            </w:r>
            <w:r>
              <w:rPr>
                <w:rFonts w:hint="eastAsia" w:cs="Times New Roman"/>
                <w:sz w:val="24"/>
                <w:szCs w:val="24"/>
                <w:highlight w:val="none"/>
                <w:lang w:val="en-US" w:eastAsia="zh-CN"/>
              </w:rPr>
              <w:t>生态环境主管部门</w:t>
            </w:r>
            <w:r>
              <w:rPr>
                <w:rFonts w:hint="default" w:ascii="Times New Roman" w:hAnsi="Times New Roman" w:cs="Times New Roman"/>
                <w:sz w:val="24"/>
                <w:szCs w:val="24"/>
                <w:highlight w:val="none"/>
                <w:lang w:val="en-US" w:eastAsia="zh-CN"/>
              </w:rPr>
              <w:t>和该企业进行环境管理的依据。</w:t>
            </w:r>
          </w:p>
          <w:p>
            <w:pPr>
              <w:keepNext w:val="0"/>
              <w:keepLines w:val="0"/>
              <w:pageBreakBefore w:val="0"/>
              <w:widowControl w:val="0"/>
              <w:numPr>
                <w:ilvl w:val="0"/>
                <w:numId w:val="0"/>
              </w:numPr>
              <w:kinsoku/>
              <w:wordWrap/>
              <w:overflowPunct/>
              <w:topLinePunct w:val="0"/>
              <w:bidi w:val="0"/>
              <w:adjustRightInd/>
              <w:snapToGrid/>
              <w:spacing w:line="520" w:lineRule="exact"/>
              <w:ind w:firstLine="482" w:firstLineChars="200"/>
              <w:textAlignment w:val="auto"/>
              <w:rPr>
                <w:rFonts w:hint="default" w:ascii="Times New Roman" w:hAnsi="Times New Roman" w:cs="Times New Roman"/>
                <w:b/>
                <w:kern w:val="0"/>
                <w:sz w:val="24"/>
                <w:highlight w:val="none"/>
                <w:lang w:val="en-US" w:eastAsia="zh-CN"/>
              </w:rPr>
            </w:pPr>
            <w:r>
              <w:rPr>
                <w:rFonts w:hint="eastAsia" w:cs="Times New Roman"/>
                <w:b/>
                <w:kern w:val="0"/>
                <w:sz w:val="24"/>
                <w:highlight w:val="none"/>
                <w:lang w:val="en-US" w:eastAsia="zh-CN"/>
              </w:rPr>
              <w:t>3</w:t>
            </w:r>
            <w:r>
              <w:rPr>
                <w:rFonts w:hint="eastAsia" w:ascii="Times New Roman" w:hAnsi="Times New Roman" w:cs="Times New Roman"/>
                <w:b/>
                <w:kern w:val="0"/>
                <w:sz w:val="24"/>
                <w:highlight w:val="none"/>
                <w:lang w:val="en-US" w:eastAsia="zh-CN"/>
              </w:rPr>
              <w:t>、</w:t>
            </w:r>
            <w:r>
              <w:rPr>
                <w:rFonts w:hint="default" w:ascii="Times New Roman" w:hAnsi="Times New Roman" w:cs="Times New Roman"/>
                <w:b/>
                <w:kern w:val="0"/>
                <w:sz w:val="24"/>
                <w:highlight w:val="none"/>
                <w:lang w:val="en-US" w:eastAsia="zh-CN"/>
              </w:rPr>
              <w:t>项目地理位置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本项目选址于新疆</w:t>
            </w:r>
            <w:r>
              <w:rPr>
                <w:rFonts w:hint="eastAsia" w:ascii="Times New Roman" w:hAnsi="Times New Roman" w:eastAsia="宋体" w:cs="Times New Roman"/>
                <w:sz w:val="24"/>
                <w:szCs w:val="24"/>
                <w:highlight w:val="none"/>
                <w:lang w:val="en-US" w:eastAsia="zh-CN"/>
              </w:rPr>
              <w:t>维吾尔自治区</w:t>
            </w:r>
            <w:r>
              <w:rPr>
                <w:rFonts w:hint="default" w:ascii="Times New Roman" w:hAnsi="Times New Roman" w:eastAsia="宋体" w:cs="Times New Roman"/>
                <w:sz w:val="24"/>
                <w:szCs w:val="24"/>
                <w:highlight w:val="none"/>
                <w:lang w:val="en-US" w:eastAsia="zh-CN"/>
              </w:rPr>
              <w:t>巴音郭楞蒙古自治州</w:t>
            </w:r>
            <w:r>
              <w:rPr>
                <w:rFonts w:hint="eastAsia" w:ascii="Times New Roman" w:hAnsi="Times New Roman" w:eastAsia="宋体" w:cs="Times New Roman"/>
                <w:sz w:val="24"/>
                <w:szCs w:val="24"/>
                <w:highlight w:val="none"/>
                <w:lang w:val="en-US" w:eastAsia="zh-CN"/>
              </w:rPr>
              <w:t>库尔勒市314国道北侧，</w:t>
            </w:r>
            <w:r>
              <w:rPr>
                <w:rFonts w:hint="default" w:ascii="Times New Roman" w:hAnsi="Times New Roman" w:eastAsia="宋体" w:cs="Times New Roman"/>
                <w:sz w:val="24"/>
                <w:szCs w:val="24"/>
                <w:highlight w:val="none"/>
                <w:lang w:val="en-US" w:eastAsia="zh-CN"/>
              </w:rPr>
              <w:t>中心地理坐标为：东经</w:t>
            </w:r>
            <w:r>
              <w:rPr>
                <w:rFonts w:hint="eastAsia" w:ascii="Times New Roman" w:hAnsi="Times New Roman" w:eastAsia="宋体" w:cs="Times New Roman"/>
                <w:sz w:val="24"/>
                <w:szCs w:val="24"/>
                <w:highlight w:val="none"/>
                <w:lang w:val="en-US" w:eastAsia="zh-CN"/>
              </w:rPr>
              <w:t>86</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06</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50.816</w:t>
            </w:r>
            <w:r>
              <w:rPr>
                <w:rFonts w:hint="default" w:ascii="Times New Roman" w:hAnsi="Times New Roman" w:eastAsia="宋体" w:cs="Times New Roman"/>
                <w:sz w:val="24"/>
                <w:szCs w:val="24"/>
                <w:highlight w:val="none"/>
                <w:lang w:val="en-US" w:eastAsia="zh-CN"/>
              </w:rPr>
              <w:t>″，北纬</w:t>
            </w:r>
            <w:r>
              <w:rPr>
                <w:rFonts w:hint="eastAsia" w:ascii="Times New Roman" w:hAnsi="Times New Roman" w:eastAsia="宋体" w:cs="Times New Roman"/>
                <w:sz w:val="24"/>
                <w:szCs w:val="24"/>
                <w:highlight w:val="none"/>
                <w:lang w:val="en-US" w:eastAsia="zh-CN"/>
              </w:rPr>
              <w:t>41</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48</w:t>
            </w:r>
            <w:r>
              <w:rPr>
                <w:rFonts w:hint="default" w:ascii="Times New Roman" w:hAnsi="Times New Roman" w:eastAsia="宋体" w:cs="Times New Roman"/>
                <w:sz w:val="24"/>
                <w:szCs w:val="24"/>
                <w:highlight w:val="none"/>
                <w:lang w:val="en-US" w:eastAsia="zh-CN"/>
              </w:rPr>
              <w:t>′1</w:t>
            </w:r>
            <w:r>
              <w:rPr>
                <w:rFonts w:hint="eastAsia" w:ascii="Times New Roman" w:hAnsi="Times New Roman" w:eastAsia="宋体" w:cs="Times New Roman"/>
                <w:sz w:val="24"/>
                <w:szCs w:val="24"/>
                <w:highlight w:val="none"/>
                <w:lang w:val="en-US" w:eastAsia="zh-CN"/>
              </w:rPr>
              <w:t>9.493</w:t>
            </w:r>
            <w:r>
              <w:rPr>
                <w:rFonts w:hint="default" w:ascii="Times New Roman" w:hAnsi="Times New Roman" w:eastAsia="宋体" w:cs="Times New Roman"/>
                <w:sz w:val="24"/>
                <w:szCs w:val="24"/>
                <w:highlight w:val="none"/>
                <w:lang w:val="en-US" w:eastAsia="zh-CN"/>
              </w:rPr>
              <w:t>″。具体地理位置详见附图1建设项目地理位置示意图。</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项目用地性质属于工业用地，项目南侧</w:t>
            </w:r>
            <w:r>
              <w:rPr>
                <w:rFonts w:hint="eastAsia" w:cs="Times New Roman"/>
                <w:sz w:val="24"/>
                <w:szCs w:val="24"/>
                <w:highlight w:val="none"/>
                <w:lang w:val="en-US" w:eastAsia="zh-CN"/>
              </w:rPr>
              <w:t>185</w:t>
            </w:r>
            <w:r>
              <w:rPr>
                <w:rFonts w:hint="eastAsia" w:ascii="Times New Roman" w:hAnsi="Times New Roman" w:eastAsia="宋体" w:cs="Times New Roman"/>
                <w:sz w:val="24"/>
                <w:szCs w:val="24"/>
                <w:highlight w:val="none"/>
                <w:lang w:val="en-US" w:eastAsia="zh-CN"/>
              </w:rPr>
              <w:t>m处为G3012道路，交通便利，便于原料及产品的运输。项目所在区域距离居民居住区较远，且项目为商用混凝土生产，厂区内均已做水泥地面硬化，不存在水污染途径，污染物仅为少量的颗粒物。项目区不涉及自然保护区、风景名胜区、生态脆弱区、饮用水源地和其他需要特别保护的生态敏感目标。综上所述项目选址不存在环境制约因素，选址合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项目</w:t>
            </w:r>
            <w:r>
              <w:rPr>
                <w:rFonts w:hint="eastAsia" w:ascii="Times New Roman" w:hAnsi="Times New Roman" w:eastAsia="宋体" w:cs="Times New Roman"/>
                <w:sz w:val="24"/>
                <w:szCs w:val="24"/>
                <w:highlight w:val="none"/>
                <w:lang w:val="en-US" w:eastAsia="zh-CN"/>
              </w:rPr>
              <w:t>东侧为空地、北侧为山体，西北侧</w:t>
            </w:r>
            <w:r>
              <w:rPr>
                <w:rFonts w:hint="eastAsia" w:cs="Times New Roman"/>
                <w:sz w:val="24"/>
                <w:szCs w:val="24"/>
                <w:highlight w:val="none"/>
                <w:lang w:val="en-US" w:eastAsia="zh-CN"/>
              </w:rPr>
              <w:t>380</w:t>
            </w:r>
            <w:r>
              <w:rPr>
                <w:rFonts w:hint="eastAsia" w:ascii="Times New Roman" w:hAnsi="Times New Roman" w:eastAsia="宋体" w:cs="Times New Roman"/>
                <w:sz w:val="24"/>
                <w:szCs w:val="24"/>
                <w:highlight w:val="none"/>
                <w:lang w:val="en-US" w:eastAsia="zh-CN"/>
              </w:rPr>
              <w:t>m处为巴州九州混凝土制造有限公司、南侧</w:t>
            </w:r>
            <w:r>
              <w:rPr>
                <w:rFonts w:hint="eastAsia" w:cs="Times New Roman"/>
                <w:sz w:val="24"/>
                <w:szCs w:val="24"/>
                <w:highlight w:val="none"/>
                <w:lang w:val="en-US" w:eastAsia="zh-CN"/>
              </w:rPr>
              <w:t>185</w:t>
            </w:r>
            <w:r>
              <w:rPr>
                <w:rFonts w:hint="eastAsia" w:ascii="Times New Roman" w:hAnsi="Times New Roman" w:eastAsia="宋体" w:cs="Times New Roman"/>
                <w:sz w:val="24"/>
                <w:szCs w:val="24"/>
                <w:highlight w:val="none"/>
                <w:lang w:val="en-US" w:eastAsia="zh-CN"/>
              </w:rPr>
              <w:t>m处</w:t>
            </w:r>
            <w:r>
              <w:rPr>
                <w:rFonts w:hint="default" w:ascii="Times New Roman" w:hAnsi="Times New Roman" w:eastAsia="宋体" w:cs="Times New Roman"/>
                <w:sz w:val="24"/>
                <w:szCs w:val="24"/>
                <w:highlight w:val="none"/>
                <w:lang w:val="en-US" w:eastAsia="zh-CN"/>
              </w:rPr>
              <w:t>为G3</w:t>
            </w:r>
            <w:r>
              <w:rPr>
                <w:rFonts w:hint="eastAsia" w:ascii="Times New Roman" w:hAnsi="Times New Roman" w:eastAsia="宋体" w:cs="Times New Roman"/>
                <w:sz w:val="24"/>
                <w:szCs w:val="24"/>
                <w:highlight w:val="none"/>
                <w:lang w:val="en-US" w:eastAsia="zh-CN"/>
              </w:rPr>
              <w:t>012道路</w:t>
            </w:r>
            <w:r>
              <w:rPr>
                <w:rFonts w:hint="default" w:ascii="Times New Roman" w:hAnsi="Times New Roman" w:eastAsia="宋体" w:cs="Times New Roman"/>
                <w:sz w:val="24"/>
                <w:szCs w:val="24"/>
                <w:highlight w:val="none"/>
                <w:lang w:val="en-US" w:eastAsia="zh-CN"/>
              </w:rPr>
              <w:t>。周边环境详见附图</w:t>
            </w:r>
            <w:r>
              <w:rPr>
                <w:rFonts w:hint="eastAsia"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项目周边环境关系与大气环境监测布点示意图。</w:t>
            </w:r>
          </w:p>
          <w:p>
            <w:pPr>
              <w:keepNext w:val="0"/>
              <w:keepLines w:val="0"/>
              <w:pageBreakBefore w:val="0"/>
              <w:widowControl w:val="0"/>
              <w:numPr>
                <w:ilvl w:val="0"/>
                <w:numId w:val="0"/>
              </w:numPr>
              <w:kinsoku/>
              <w:wordWrap/>
              <w:overflowPunct/>
              <w:topLinePunct w:val="0"/>
              <w:bidi w:val="0"/>
              <w:adjustRightInd/>
              <w:snapToGrid/>
              <w:spacing w:line="520" w:lineRule="exact"/>
              <w:ind w:firstLine="482" w:firstLineChars="200"/>
              <w:textAlignment w:val="auto"/>
              <w:rPr>
                <w:rFonts w:hint="default" w:ascii="Times New Roman" w:hAnsi="Times New Roman" w:eastAsia="宋体" w:cs="Times New Roman"/>
                <w:b/>
                <w:kern w:val="0"/>
                <w:sz w:val="24"/>
                <w:highlight w:val="none"/>
                <w:lang w:val="en-US" w:eastAsia="zh-CN"/>
              </w:rPr>
            </w:pPr>
            <w:r>
              <w:rPr>
                <w:rFonts w:hint="eastAsia" w:cs="Times New Roman"/>
                <w:b/>
                <w:kern w:val="0"/>
                <w:sz w:val="24"/>
                <w:highlight w:val="none"/>
                <w:lang w:val="en-US" w:eastAsia="zh-CN"/>
              </w:rPr>
              <w:t>4</w:t>
            </w:r>
            <w:r>
              <w:rPr>
                <w:rFonts w:hint="eastAsia" w:ascii="Times New Roman" w:hAnsi="Times New Roman" w:eastAsia="宋体" w:cs="Times New Roman"/>
                <w:b/>
                <w:kern w:val="0"/>
                <w:sz w:val="24"/>
                <w:highlight w:val="none"/>
                <w:lang w:val="en-US" w:eastAsia="zh-CN"/>
              </w:rPr>
              <w:t>、</w:t>
            </w:r>
            <w:r>
              <w:rPr>
                <w:rFonts w:hint="default" w:ascii="Times New Roman" w:hAnsi="Times New Roman" w:eastAsia="宋体" w:cs="Times New Roman"/>
                <w:b/>
                <w:kern w:val="0"/>
                <w:sz w:val="24"/>
                <w:highlight w:val="none"/>
                <w:lang w:val="en-US" w:eastAsia="zh-CN"/>
              </w:rPr>
              <w:t>建设内容与规模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项目厂房均已建成，</w:t>
            </w:r>
            <w:r>
              <w:rPr>
                <w:rFonts w:hint="default" w:ascii="Times New Roman" w:hAnsi="Times New Roman" w:eastAsia="宋体" w:cs="Times New Roman"/>
                <w:sz w:val="24"/>
                <w:szCs w:val="24"/>
                <w:highlight w:val="none"/>
                <w:lang w:val="en-US" w:eastAsia="zh-CN"/>
              </w:rPr>
              <w:t>本项目厂区总占地面积约</w:t>
            </w:r>
            <w:r>
              <w:rPr>
                <w:rFonts w:hint="eastAsia" w:ascii="Times New Roman" w:hAnsi="Times New Roman" w:eastAsia="宋体" w:cs="Times New Roman"/>
                <w:sz w:val="24"/>
                <w:szCs w:val="24"/>
                <w:highlight w:val="none"/>
                <w:lang w:val="en-US" w:eastAsia="zh-CN"/>
              </w:rPr>
              <w:t>16898.43</w:t>
            </w:r>
            <w:r>
              <w:rPr>
                <w:rFonts w:hint="default" w:ascii="Times New Roman" w:hAnsi="Times New Roman" w:eastAsia="宋体" w:cs="Times New Roman"/>
                <w:sz w:val="24"/>
                <w:szCs w:val="24"/>
                <w:highlight w:val="none"/>
                <w:lang w:val="en-US" w:eastAsia="zh-CN"/>
              </w:rPr>
              <w:t>m</w:t>
            </w:r>
            <w:r>
              <w:rPr>
                <w:rFonts w:hint="default" w:ascii="Times New Roman" w:hAnsi="Times New Roman" w:eastAsia="宋体" w:cs="Times New Roman"/>
                <w:sz w:val="24"/>
                <w:szCs w:val="24"/>
                <w:highlight w:val="none"/>
                <w:vertAlign w:val="superscript"/>
                <w:lang w:val="en-US" w:eastAsia="zh-CN"/>
              </w:rPr>
              <w:t>2</w:t>
            </w:r>
            <w:r>
              <w:rPr>
                <w:rFonts w:hint="default" w:ascii="Times New Roman" w:hAnsi="Times New Roman" w:eastAsia="宋体" w:cs="Times New Roman"/>
                <w:sz w:val="24"/>
                <w:szCs w:val="24"/>
                <w:highlight w:val="none"/>
                <w:lang w:val="en-US" w:eastAsia="zh-CN"/>
              </w:rPr>
              <w:t>，建筑总面积</w:t>
            </w:r>
            <w:r>
              <w:rPr>
                <w:rFonts w:hint="eastAsia" w:ascii="Times New Roman" w:hAnsi="Times New Roman" w:eastAsia="宋体" w:cs="Times New Roman"/>
                <w:sz w:val="24"/>
                <w:szCs w:val="24"/>
                <w:highlight w:val="none"/>
                <w:lang w:val="en-US" w:eastAsia="zh-CN"/>
              </w:rPr>
              <w:t>1759.33</w:t>
            </w:r>
            <w:r>
              <w:rPr>
                <w:rFonts w:hint="default" w:ascii="Times New Roman" w:hAnsi="Times New Roman" w:eastAsia="宋体" w:cs="Times New Roman"/>
                <w:sz w:val="24"/>
                <w:szCs w:val="24"/>
                <w:highlight w:val="none"/>
                <w:lang w:val="en-US" w:eastAsia="zh-CN"/>
              </w:rPr>
              <w:t>m</w:t>
            </w:r>
            <w:r>
              <w:rPr>
                <w:rFonts w:hint="default" w:ascii="Times New Roman" w:hAnsi="Times New Roman" w:eastAsia="宋体" w:cs="Times New Roman"/>
                <w:sz w:val="24"/>
                <w:szCs w:val="24"/>
                <w:highlight w:val="none"/>
                <w:vertAlign w:val="superscript"/>
                <w:lang w:val="en-US" w:eastAsia="zh-CN"/>
              </w:rPr>
              <w:t>2</w:t>
            </w:r>
            <w:r>
              <w:rPr>
                <w:rFonts w:hint="default" w:ascii="Times New Roman" w:hAnsi="Times New Roman" w:eastAsia="宋体" w:cs="Times New Roman"/>
                <w:sz w:val="24"/>
                <w:szCs w:val="24"/>
                <w:highlight w:val="none"/>
                <w:lang w:val="en-US" w:eastAsia="zh-CN"/>
              </w:rPr>
              <w:t>，用地性质为</w:t>
            </w:r>
            <w:r>
              <w:rPr>
                <w:rFonts w:hint="eastAsia" w:cs="Times New Roman"/>
                <w:sz w:val="24"/>
                <w:szCs w:val="24"/>
                <w:highlight w:val="none"/>
                <w:lang w:val="en-US" w:eastAsia="zh-CN"/>
              </w:rPr>
              <w:t>工业用地</w:t>
            </w:r>
            <w:r>
              <w:rPr>
                <w:rFonts w:hint="default" w:ascii="Times New Roman" w:hAnsi="Times New Roman" w:eastAsia="宋体"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本项目建设内容包括：</w:t>
            </w:r>
            <w:r>
              <w:rPr>
                <w:rFonts w:hint="eastAsia" w:ascii="Times New Roman" w:hAnsi="Times New Roman" w:eastAsia="宋体" w:cs="Times New Roman"/>
                <w:sz w:val="24"/>
                <w:szCs w:val="24"/>
                <w:highlight w:val="none"/>
                <w:lang w:val="en-US" w:eastAsia="zh-CN"/>
              </w:rPr>
              <w:t>一条年产1</w:t>
            </w:r>
            <w:r>
              <w:rPr>
                <w:rFonts w:hint="default" w:ascii="Times New Roman" w:hAnsi="Times New Roman" w:eastAsia="宋体" w:cs="Times New Roman"/>
                <w:sz w:val="24"/>
                <w:szCs w:val="24"/>
                <w:highlight w:val="none"/>
                <w:lang w:val="en-US" w:eastAsia="zh-CN"/>
              </w:rPr>
              <w:t>0万</w:t>
            </w:r>
            <w:r>
              <w:rPr>
                <w:rFonts w:hint="eastAsia" w:ascii="Times New Roman" w:hAnsi="Times New Roman" w:eastAsia="宋体" w:cs="Times New Roman"/>
                <w:sz w:val="24"/>
                <w:szCs w:val="24"/>
                <w:highlight w:val="none"/>
                <w:lang w:val="en-US" w:eastAsia="zh-CN"/>
              </w:rPr>
              <w:t>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的商品混凝土生产线，主要包括1座180型封闭式搅拌楼、3个水泥筒仓、1个粉煤灰筒仓、1个矿粉筒仓、2个外加剂罐、</w:t>
            </w:r>
            <w:r>
              <w:rPr>
                <w:rFonts w:hint="default" w:ascii="Times New Roman" w:hAnsi="Times New Roman" w:eastAsia="宋体" w:cs="Times New Roman"/>
                <w:sz w:val="24"/>
                <w:szCs w:val="24"/>
                <w:highlight w:val="none"/>
                <w:lang w:val="en-US" w:eastAsia="zh-CN"/>
              </w:rPr>
              <w:t>原料堆场区</w:t>
            </w:r>
            <w:r>
              <w:rPr>
                <w:rFonts w:hint="eastAsia" w:ascii="Times New Roman" w:hAnsi="Times New Roman" w:eastAsia="宋体" w:cs="Times New Roman"/>
                <w:sz w:val="24"/>
                <w:szCs w:val="24"/>
                <w:highlight w:val="none"/>
                <w:lang w:val="en-US" w:eastAsia="zh-CN"/>
              </w:rPr>
              <w:t>、三级沉淀池及其他配套工程。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项目建设内容包括主体工程（混凝土搅拌生产线），储运工程（原料储存库，水泥、矿粉、粉煤灰筒仓等），辅助工程（办公生活区等），公用工程（供水、供电等）和环保工程（废气、废水、噪声及固废治理设施等）。</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本项目工程组成一览表见下表。</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表2-1  项目组成一览表</w:t>
            </w:r>
          </w:p>
          <w:tbl>
            <w:tblPr>
              <w:tblStyle w:val="23"/>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Layout w:type="fixed"/>
              <w:tblCellMar>
                <w:top w:w="0" w:type="dxa"/>
                <w:left w:w="108" w:type="dxa"/>
                <w:bottom w:w="0" w:type="dxa"/>
                <w:right w:w="108" w:type="dxa"/>
              </w:tblCellMar>
            </w:tblPr>
            <w:tblGrid>
              <w:gridCol w:w="785"/>
              <w:gridCol w:w="790"/>
              <w:gridCol w:w="1120"/>
              <w:gridCol w:w="4004"/>
              <w:gridCol w:w="154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1634" w:type="pct"/>
                  <w:gridSpan w:val="3"/>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工程内容</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项目组成</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206" w:hRule="atLeast"/>
                <w:jc w:val="center"/>
              </w:trPr>
              <w:tc>
                <w:tcPr>
                  <w:tcW w:w="47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主体工程</w:t>
                  </w:r>
                </w:p>
              </w:tc>
              <w:tc>
                <w:tcPr>
                  <w:tcW w:w="1158"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商品混凝土生产线一条</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设置一条年产10万m</w:t>
                  </w:r>
                  <w:r>
                    <w:rPr>
                      <w:rFonts w:hint="default" w:ascii="Times New Roman" w:hAnsi="Times New Roman" w:eastAsia="宋体" w:cs="Times New Roman"/>
                      <w:sz w:val="21"/>
                      <w:szCs w:val="21"/>
                      <w:highlight w:val="none"/>
                      <w:vertAlign w:val="superscript"/>
                      <w:lang w:val="en-US" w:eastAsia="zh-CN"/>
                    </w:rPr>
                    <w:t>3</w:t>
                  </w:r>
                  <w:r>
                    <w:rPr>
                      <w:rFonts w:hint="default" w:ascii="Times New Roman" w:hAnsi="Times New Roman" w:eastAsia="宋体" w:cs="Times New Roman"/>
                      <w:sz w:val="21"/>
                      <w:szCs w:val="21"/>
                      <w:highlight w:val="none"/>
                      <w:lang w:val="en-US" w:eastAsia="zh-CN"/>
                    </w:rPr>
                    <w:t>的商品混凝土生产线，位于厂区中部，包括输送系统、计量系统、搅拌系统、自动控制室等，年产10万m</w:t>
                  </w:r>
                  <w:r>
                    <w:rPr>
                      <w:rFonts w:hint="default" w:ascii="Times New Roman" w:hAnsi="Times New Roman" w:eastAsia="宋体" w:cs="Times New Roman"/>
                      <w:sz w:val="21"/>
                      <w:szCs w:val="21"/>
                      <w:highlight w:val="none"/>
                      <w:vertAlign w:val="superscript"/>
                      <w:lang w:val="en-US" w:eastAsia="zh-CN"/>
                    </w:rPr>
                    <w:t>3</w:t>
                  </w:r>
                  <w:r>
                    <w:rPr>
                      <w:rFonts w:hint="default" w:ascii="Times New Roman" w:hAnsi="Times New Roman" w:eastAsia="宋体" w:cs="Times New Roman"/>
                      <w:sz w:val="21"/>
                      <w:szCs w:val="21"/>
                      <w:highlight w:val="none"/>
                      <w:lang w:val="en-US" w:eastAsia="zh-CN"/>
                    </w:rPr>
                    <w:t>商品混凝土</w:t>
                  </w:r>
                  <w:r>
                    <w:rPr>
                      <w:rFonts w:hint="eastAsia" w:cs="Times New Roman"/>
                      <w:sz w:val="21"/>
                      <w:szCs w:val="21"/>
                      <w:highlight w:val="none"/>
                      <w:lang w:val="en-US" w:eastAsia="zh-CN"/>
                    </w:rPr>
                    <w:t>。</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54" w:hRule="atLeast"/>
                <w:jc w:val="center"/>
              </w:trPr>
              <w:tc>
                <w:tcPr>
                  <w:tcW w:w="476"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储运工程</w:t>
                  </w:r>
                </w:p>
              </w:tc>
              <w:tc>
                <w:tcPr>
                  <w:tcW w:w="1158"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原料堆场区</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用于堆放搅拌站用料（主要堆放沙子和石子），位于项目区</w:t>
                  </w:r>
                  <w:r>
                    <w:rPr>
                      <w:rFonts w:hint="eastAsia" w:cs="Times New Roman"/>
                      <w:sz w:val="21"/>
                      <w:szCs w:val="21"/>
                      <w:highlight w:val="none"/>
                      <w:lang w:eastAsia="zh-CN"/>
                    </w:rPr>
                    <w:t>中部</w:t>
                  </w:r>
                  <w:r>
                    <w:rPr>
                      <w:rFonts w:hint="default" w:ascii="Times New Roman" w:hAnsi="Times New Roman" w:eastAsia="宋体" w:cs="Times New Roman"/>
                      <w:sz w:val="21"/>
                      <w:szCs w:val="21"/>
                      <w:highlight w:val="none"/>
                    </w:rPr>
                    <w:t>，占地面积</w:t>
                  </w:r>
                  <w:r>
                    <w:rPr>
                      <w:rFonts w:hint="eastAsia" w:ascii="Times New Roman" w:hAnsi="Times New Roman" w:eastAsia="宋体" w:cs="Times New Roman"/>
                      <w:sz w:val="21"/>
                      <w:szCs w:val="21"/>
                      <w:highlight w:val="none"/>
                      <w:lang w:val="en-US" w:eastAsia="zh-CN"/>
                    </w:rPr>
                    <w:t>2</w:t>
                  </w:r>
                  <w:r>
                    <w:rPr>
                      <w:rFonts w:hint="eastAsia" w:cs="Times New Roman"/>
                      <w:sz w:val="21"/>
                      <w:szCs w:val="21"/>
                      <w:highlight w:val="none"/>
                      <w:lang w:val="en-US" w:eastAsia="zh-CN"/>
                    </w:rPr>
                    <w:t>2</w:t>
                  </w:r>
                  <w:r>
                    <w:rPr>
                      <w:rFonts w:hint="eastAsia" w:ascii="Times New Roman" w:hAnsi="Times New Roman" w:eastAsia="宋体" w:cs="Times New Roman"/>
                      <w:sz w:val="21"/>
                      <w:szCs w:val="21"/>
                      <w:highlight w:val="none"/>
                      <w:lang w:val="en-US" w:eastAsia="zh-CN"/>
                    </w:rPr>
                    <w:t>00</w:t>
                  </w:r>
                  <w:r>
                    <w:rPr>
                      <w:rFonts w:hint="default" w:ascii="Times New Roman" w:hAnsi="Times New Roman" w:eastAsia="宋体" w:cs="Times New Roman"/>
                      <w:sz w:val="21"/>
                      <w:szCs w:val="21"/>
                      <w:highlight w:val="none"/>
                    </w:rPr>
                    <w:t>m</w:t>
                  </w:r>
                  <w:r>
                    <w:rPr>
                      <w:rFonts w:hint="default" w:ascii="Times New Roman" w:hAnsi="Times New Roman" w:eastAsia="宋体" w:cs="Times New Roman"/>
                      <w:sz w:val="21"/>
                      <w:szCs w:val="21"/>
                      <w:highlight w:val="none"/>
                      <w:vertAlign w:val="superscript"/>
                    </w:rPr>
                    <w:t>2</w:t>
                  </w:r>
                  <w:r>
                    <w:rPr>
                      <w:rFonts w:hint="eastAsia" w:ascii="Times New Roman" w:hAnsi="Times New Roman" w:eastAsia="宋体" w:cs="Times New Roman"/>
                      <w:sz w:val="21"/>
                      <w:szCs w:val="21"/>
                      <w:highlight w:val="none"/>
                    </w:rPr>
                    <w:t>，采用全封闭式结构，配备洒水喷淋系统</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54"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上料系统</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用于砂石料计量、上料，共计4个料仓，单个处理量45m</w:t>
                  </w:r>
                  <w:r>
                    <w:rPr>
                      <w:rFonts w:hint="eastAsia" w:ascii="Times New Roman" w:hAnsi="Times New Roman" w:eastAsia="宋体" w:cs="Times New Roman"/>
                      <w:sz w:val="21"/>
                      <w:szCs w:val="21"/>
                      <w:highlight w:val="none"/>
                      <w:vertAlign w:val="superscript"/>
                      <w:lang w:val="en-US" w:eastAsia="zh-CN"/>
                    </w:rPr>
                    <w:t>3</w:t>
                  </w:r>
                  <w:r>
                    <w:rPr>
                      <w:rFonts w:hint="eastAsia" w:ascii="Times New Roman" w:hAnsi="Times New Roman" w:eastAsia="宋体" w:cs="Times New Roman"/>
                      <w:sz w:val="21"/>
                      <w:szCs w:val="21"/>
                      <w:highlight w:val="none"/>
                      <w:lang w:val="en-US" w:eastAsia="zh-CN"/>
                    </w:rPr>
                    <w:t>/h。</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水泥筒仓</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共</w:t>
                  </w:r>
                  <w:r>
                    <w:rPr>
                      <w:rFonts w:hint="eastAsia"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rPr>
                    <w:t>单个</w:t>
                  </w:r>
                  <w:r>
                    <w:rPr>
                      <w:rFonts w:hint="default" w:ascii="Times New Roman" w:hAnsi="Times New Roman" w:eastAsia="宋体" w:cs="Times New Roman"/>
                      <w:sz w:val="21"/>
                      <w:szCs w:val="21"/>
                      <w:highlight w:val="none"/>
                    </w:rPr>
                    <w:t>最大容纳量为</w:t>
                  </w:r>
                  <w:r>
                    <w:rPr>
                      <w:rFonts w:hint="eastAsia" w:ascii="Times New Roman" w:hAnsi="Times New Roman" w:eastAsia="宋体" w:cs="Times New Roman"/>
                      <w:sz w:val="21"/>
                      <w:szCs w:val="21"/>
                      <w:highlight w:val="none"/>
                      <w:lang w:val="en-US" w:eastAsia="zh-CN"/>
                    </w:rPr>
                    <w:t>20</w:t>
                  </w:r>
                  <w:r>
                    <w:rPr>
                      <w:rFonts w:hint="default" w:ascii="Times New Roman" w:hAnsi="Times New Roman" w:eastAsia="宋体" w:cs="Times New Roman"/>
                      <w:sz w:val="21"/>
                      <w:szCs w:val="21"/>
                      <w:highlight w:val="none"/>
                    </w:rPr>
                    <w:t>0t</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高25m</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粉煤灰筒仓</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共</w:t>
                  </w: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rPr>
                    <w:t>单个</w:t>
                  </w:r>
                  <w:r>
                    <w:rPr>
                      <w:rFonts w:hint="default" w:ascii="Times New Roman" w:hAnsi="Times New Roman" w:eastAsia="宋体" w:cs="Times New Roman"/>
                      <w:sz w:val="21"/>
                      <w:szCs w:val="21"/>
                      <w:highlight w:val="none"/>
                    </w:rPr>
                    <w:t>最大容纳量为</w:t>
                  </w:r>
                  <w:r>
                    <w:rPr>
                      <w:rFonts w:hint="eastAsia" w:ascii="Times New Roman" w:hAnsi="Times New Roman" w:eastAsia="宋体" w:cs="Times New Roman"/>
                      <w:sz w:val="21"/>
                      <w:szCs w:val="21"/>
                      <w:highlight w:val="none"/>
                      <w:lang w:val="en-US" w:eastAsia="zh-CN"/>
                    </w:rPr>
                    <w:t>20</w:t>
                  </w:r>
                  <w:r>
                    <w:rPr>
                      <w:rFonts w:hint="default" w:ascii="Times New Roman" w:hAnsi="Times New Roman" w:eastAsia="宋体" w:cs="Times New Roman"/>
                      <w:sz w:val="21"/>
                      <w:szCs w:val="21"/>
                      <w:highlight w:val="none"/>
                    </w:rPr>
                    <w:t>0t</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高25m</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矿粉筒仓</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共</w:t>
                  </w:r>
                  <w:r>
                    <w:rPr>
                      <w:rFonts w:hint="eastAsia"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rPr>
                    <w:t>单个</w:t>
                  </w:r>
                  <w:r>
                    <w:rPr>
                      <w:rFonts w:hint="default" w:ascii="Times New Roman" w:hAnsi="Times New Roman" w:eastAsia="宋体" w:cs="Times New Roman"/>
                      <w:sz w:val="21"/>
                      <w:szCs w:val="21"/>
                      <w:highlight w:val="none"/>
                    </w:rPr>
                    <w:t>最大容纳量为</w:t>
                  </w:r>
                  <w:r>
                    <w:rPr>
                      <w:rFonts w:hint="eastAsia" w:ascii="Times New Roman" w:hAnsi="Times New Roman" w:eastAsia="宋体" w:cs="Times New Roman"/>
                      <w:sz w:val="21"/>
                      <w:szCs w:val="21"/>
                      <w:highlight w:val="none"/>
                      <w:lang w:val="en-US" w:eastAsia="zh-CN"/>
                    </w:rPr>
                    <w:t>20</w:t>
                  </w:r>
                  <w:r>
                    <w:rPr>
                      <w:rFonts w:hint="default" w:ascii="Times New Roman" w:hAnsi="Times New Roman" w:eastAsia="宋体" w:cs="Times New Roman"/>
                      <w:sz w:val="21"/>
                      <w:szCs w:val="21"/>
                      <w:highlight w:val="none"/>
                    </w:rPr>
                    <w:t>0t</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高25m</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外加剂</w:t>
                  </w:r>
                  <w:r>
                    <w:rPr>
                      <w:rFonts w:hint="eastAsia" w:ascii="Times New Roman" w:hAnsi="Times New Roman" w:eastAsia="宋体" w:cs="Times New Roman"/>
                      <w:sz w:val="21"/>
                      <w:szCs w:val="21"/>
                      <w:highlight w:val="none"/>
                      <w:lang w:val="en-US" w:eastAsia="zh-CN"/>
                    </w:rPr>
                    <w:t>罐</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共</w:t>
                  </w: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rPr>
                    <w:t>单个</w:t>
                  </w:r>
                  <w:r>
                    <w:rPr>
                      <w:rFonts w:hint="default" w:ascii="Times New Roman" w:hAnsi="Times New Roman" w:eastAsia="宋体" w:cs="Times New Roman"/>
                      <w:sz w:val="21"/>
                      <w:szCs w:val="21"/>
                      <w:highlight w:val="none"/>
                    </w:rPr>
                    <w:t>最大容纳量为</w:t>
                  </w:r>
                  <w:r>
                    <w:rPr>
                      <w:rFonts w:hint="eastAsia" w:ascii="Times New Roman" w:hAnsi="Times New Roman" w:eastAsia="宋体" w:cs="Times New Roman"/>
                      <w:sz w:val="21"/>
                      <w:szCs w:val="21"/>
                      <w:highlight w:val="none"/>
                      <w:lang w:val="en-US" w:eastAsia="zh-CN"/>
                    </w:rPr>
                    <w:t>10t</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高1m</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PE材质，已建设完成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tcBorders>
                    <w:top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运输系统</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由社会车辆运进、运出</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堆场右侧设有洗车区</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90" w:hRule="atLeast"/>
                <w:jc w:val="center"/>
              </w:trPr>
              <w:tc>
                <w:tcPr>
                  <w:tcW w:w="476"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辅助工程</w:t>
                  </w:r>
                </w:p>
              </w:tc>
              <w:tc>
                <w:tcPr>
                  <w:tcW w:w="1158"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办公</w:t>
                  </w:r>
                  <w:r>
                    <w:rPr>
                      <w:rFonts w:hint="eastAsia" w:cs="Times New Roman"/>
                      <w:sz w:val="21"/>
                      <w:szCs w:val="21"/>
                      <w:highlight w:val="none"/>
                      <w:lang w:val="en-US" w:eastAsia="zh-CN"/>
                    </w:rPr>
                    <w:t>生活区</w:t>
                  </w:r>
                  <w:r>
                    <w:rPr>
                      <w:rFonts w:hint="eastAsia" w:ascii="Times New Roman" w:hAnsi="Times New Roman" w:eastAsia="宋体" w:cs="Times New Roman"/>
                      <w:sz w:val="21"/>
                      <w:szCs w:val="21"/>
                      <w:highlight w:val="none"/>
                      <w:lang w:val="en-US" w:eastAsia="zh-CN"/>
                    </w:rPr>
                    <w:t>（2层）</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占地面积</w:t>
                  </w:r>
                  <w:r>
                    <w:rPr>
                      <w:rFonts w:hint="eastAsia" w:ascii="Times New Roman" w:hAnsi="Times New Roman" w:eastAsia="宋体" w:cs="Times New Roman"/>
                      <w:sz w:val="21"/>
                      <w:szCs w:val="21"/>
                      <w:highlight w:val="none"/>
                      <w:lang w:val="en-US" w:eastAsia="zh-CN"/>
                    </w:rPr>
                    <w:t>962</w:t>
                  </w:r>
                  <w:r>
                    <w:rPr>
                      <w:rFonts w:hint="default" w:ascii="Times New Roman" w:hAnsi="Times New Roman" w:eastAsia="宋体" w:cs="Times New Roman"/>
                      <w:sz w:val="21"/>
                      <w:szCs w:val="21"/>
                      <w:highlight w:val="none"/>
                    </w:rPr>
                    <w:t>m</w:t>
                  </w:r>
                  <w:r>
                    <w:rPr>
                      <w:rFonts w:hint="default" w:ascii="Times New Roman" w:hAnsi="Times New Roman" w:eastAsia="宋体" w:cs="Times New Roman"/>
                      <w:sz w:val="21"/>
                      <w:szCs w:val="21"/>
                      <w:highlight w:val="none"/>
                      <w:vertAlign w:val="superscript"/>
                    </w:rPr>
                    <w:t>2</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砖混，已建设完成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87"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eastAsia"/>
                      <w:lang w:val="en-US" w:eastAsia="zh-CN"/>
                    </w:rPr>
                    <w:t>实验室</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rPr>
                  </w:pPr>
                  <w:r>
                    <w:rPr>
                      <w:rFonts w:hint="eastAsia" w:eastAsia="宋体" w:cs="Times New Roman"/>
                      <w:sz w:val="21"/>
                      <w:szCs w:val="21"/>
                      <w:highlight w:val="none"/>
                      <w:lang w:val="en-US" w:eastAsia="zh-CN"/>
                    </w:rPr>
                    <w:t>占地面积595.33m</w:t>
                  </w:r>
                  <w:r>
                    <w:rPr>
                      <w:rFonts w:hint="eastAsia" w:eastAsia="宋体" w:cs="Times New Roman"/>
                      <w:sz w:val="21"/>
                      <w:szCs w:val="21"/>
                      <w:highlight w:val="none"/>
                      <w:vertAlign w:val="superscript"/>
                      <w:lang w:val="en-US" w:eastAsia="zh-CN"/>
                    </w:rPr>
                    <w:t>2</w:t>
                  </w:r>
                  <w:r>
                    <w:rPr>
                      <w:rFonts w:hint="eastAsia" w:eastAsia="宋体" w:cs="Times New Roman"/>
                      <w:sz w:val="21"/>
                      <w:szCs w:val="21"/>
                      <w:highlight w:val="none"/>
                      <w:lang w:val="en-US" w:eastAsia="zh-CN"/>
                    </w:rPr>
                    <w:t>，主要用于</w:t>
                  </w:r>
                  <w:r>
                    <w:rPr>
                      <w:rFonts w:hint="eastAsia" w:cs="Times New Roman"/>
                      <w:sz w:val="21"/>
                      <w:szCs w:val="21"/>
                      <w:highlight w:val="none"/>
                      <w:lang w:val="en-US" w:eastAsia="zh-CN"/>
                    </w:rPr>
                    <w:t>产品实验及留样。</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砖混，已建设完成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6"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公用</w:t>
                  </w:r>
                </w:p>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工程</w:t>
                  </w:r>
                </w:p>
              </w:tc>
              <w:tc>
                <w:tcPr>
                  <w:tcW w:w="1158"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给水系统</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由</w:t>
                  </w:r>
                  <w:r>
                    <w:rPr>
                      <w:rFonts w:hint="eastAsia" w:ascii="Times New Roman" w:hAnsi="Times New Roman" w:eastAsia="宋体" w:cs="Times New Roman"/>
                      <w:sz w:val="21"/>
                      <w:szCs w:val="21"/>
                      <w:highlight w:val="none"/>
                      <w:lang w:val="en-US" w:eastAsia="zh-CN"/>
                    </w:rPr>
                    <w:t>库尔勒市政供水管网供水</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排水系统</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生活</w:t>
                  </w:r>
                  <w:r>
                    <w:rPr>
                      <w:rFonts w:hint="eastAsia" w:ascii="Times New Roman" w:hAnsi="Times New Roman" w:eastAsia="宋体" w:cs="Times New Roman"/>
                      <w:sz w:val="21"/>
                      <w:szCs w:val="21"/>
                      <w:highlight w:val="none"/>
                      <w:lang w:val="en-US" w:eastAsia="zh-CN"/>
                    </w:rPr>
                    <w:t>污水</w:t>
                  </w:r>
                  <w:r>
                    <w:rPr>
                      <w:rFonts w:hint="default" w:ascii="Times New Roman" w:hAnsi="Times New Roman" w:eastAsia="宋体" w:cs="Times New Roman"/>
                      <w:sz w:val="21"/>
                      <w:szCs w:val="21"/>
                      <w:highlight w:val="none"/>
                    </w:rPr>
                    <w:t>经</w:t>
                  </w:r>
                  <w:r>
                    <w:rPr>
                      <w:rFonts w:hint="eastAsia" w:ascii="Times New Roman" w:hAnsi="Times New Roman" w:eastAsia="宋体" w:cs="Times New Roman"/>
                      <w:sz w:val="21"/>
                      <w:szCs w:val="21"/>
                      <w:highlight w:val="none"/>
                      <w:lang w:val="en-US" w:eastAsia="zh-CN"/>
                    </w:rPr>
                    <w:t>化粪</w:t>
                  </w:r>
                  <w:r>
                    <w:rPr>
                      <w:rFonts w:hint="default" w:ascii="Times New Roman" w:hAnsi="Times New Roman" w:eastAsia="宋体" w:cs="Times New Roman"/>
                      <w:sz w:val="21"/>
                      <w:szCs w:val="21"/>
                      <w:highlight w:val="none"/>
                      <w:lang w:val="en-US" w:eastAsia="zh-CN"/>
                    </w:rPr>
                    <w:t>池</w:t>
                  </w:r>
                  <w:r>
                    <w:rPr>
                      <w:rFonts w:hint="eastAsia" w:cs="Times New Roman"/>
                      <w:sz w:val="21"/>
                      <w:szCs w:val="21"/>
                      <w:highlight w:val="none"/>
                      <w:lang w:val="en-US" w:eastAsia="zh-CN"/>
                    </w:rPr>
                    <w:t>预处理后</w:t>
                  </w:r>
                  <w:r>
                    <w:rPr>
                      <w:rFonts w:hint="default" w:ascii="Times New Roman" w:hAnsi="Times New Roman" w:eastAsia="宋体" w:cs="Times New Roman"/>
                      <w:sz w:val="21"/>
                      <w:szCs w:val="21"/>
                      <w:highlight w:val="none"/>
                      <w:lang w:val="en-US" w:eastAsia="zh-CN"/>
                    </w:rPr>
                    <w:t>拉运至</w:t>
                  </w:r>
                  <w:r>
                    <w:rPr>
                      <w:rFonts w:hint="eastAsia" w:ascii="Times New Roman" w:hAnsi="Times New Roman" w:eastAsia="宋体" w:cs="Times New Roman"/>
                      <w:sz w:val="21"/>
                      <w:szCs w:val="21"/>
                      <w:highlight w:val="none"/>
                    </w:rPr>
                    <w:t>库尔勒南市区污水处理厂</w:t>
                  </w:r>
                  <w:r>
                    <w:rPr>
                      <w:rFonts w:hint="default" w:ascii="Times New Roman" w:hAnsi="Times New Roman" w:eastAsia="宋体" w:cs="Times New Roman"/>
                      <w:sz w:val="21"/>
                      <w:szCs w:val="21"/>
                      <w:highlight w:val="none"/>
                      <w:lang w:val="en-US" w:eastAsia="zh-CN"/>
                    </w:rPr>
                    <w:t>。</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供电系统</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由当地电网</w:t>
                  </w:r>
                  <w:r>
                    <w:rPr>
                      <w:rFonts w:hint="default" w:ascii="Times New Roman" w:hAnsi="Times New Roman" w:eastAsia="宋体" w:cs="Times New Roman"/>
                      <w:sz w:val="21"/>
                      <w:szCs w:val="21"/>
                      <w:highlight w:val="none"/>
                      <w:lang w:val="en-US" w:eastAsia="zh-CN"/>
                    </w:rPr>
                    <w:t>引入</w:t>
                  </w:r>
                  <w:r>
                    <w:rPr>
                      <w:rFonts w:hint="eastAsia" w:ascii="Times New Roman" w:hAnsi="Times New Roman" w:eastAsia="宋体" w:cs="Times New Roman"/>
                      <w:sz w:val="21"/>
                      <w:szCs w:val="21"/>
                      <w:highlight w:val="none"/>
                      <w:lang w:val="en-US" w:eastAsia="zh-CN"/>
                    </w:rPr>
                    <w:t>本</w:t>
                  </w:r>
                  <w:r>
                    <w:rPr>
                      <w:rFonts w:hint="default" w:ascii="Times New Roman" w:hAnsi="Times New Roman" w:eastAsia="宋体" w:cs="Times New Roman"/>
                      <w:sz w:val="21"/>
                      <w:szCs w:val="21"/>
                      <w:highlight w:val="none"/>
                      <w:lang w:val="en-US" w:eastAsia="zh-CN"/>
                    </w:rPr>
                    <w:t>项目配电室后配送</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90" w:hRule="atLeast"/>
                <w:jc w:val="center"/>
              </w:trPr>
              <w:tc>
                <w:tcPr>
                  <w:tcW w:w="476"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环保工程</w:t>
                  </w:r>
                </w:p>
              </w:tc>
              <w:tc>
                <w:tcPr>
                  <w:tcW w:w="479"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废气</w:t>
                  </w:r>
                </w:p>
              </w:tc>
              <w:tc>
                <w:tcPr>
                  <w:tcW w:w="67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原料储存</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采用</w:t>
                  </w:r>
                  <w:r>
                    <w:rPr>
                      <w:rFonts w:hint="eastAsia" w:ascii="Times New Roman" w:hAnsi="Times New Roman" w:eastAsia="宋体" w:cs="Times New Roman"/>
                      <w:sz w:val="21"/>
                      <w:szCs w:val="21"/>
                      <w:highlight w:val="none"/>
                      <w:lang w:val="en-US" w:eastAsia="zh-CN"/>
                    </w:rPr>
                    <w:t>密闭</w:t>
                  </w:r>
                  <w:r>
                    <w:rPr>
                      <w:rFonts w:hint="eastAsia" w:ascii="Times New Roman" w:hAnsi="Times New Roman" w:eastAsia="宋体" w:cs="Times New Roman"/>
                      <w:sz w:val="21"/>
                      <w:szCs w:val="21"/>
                      <w:highlight w:val="none"/>
                    </w:rPr>
                    <w:t>式结构，配套洒水喷淋系统</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9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筒仓粉尘</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水泥等粉状物料储存在原料筒仓</w:t>
                  </w:r>
                  <w:r>
                    <w:rPr>
                      <w:rFonts w:hint="eastAsia" w:ascii="Times New Roman" w:hAnsi="Times New Roman" w:eastAsia="宋体" w:cs="Times New Roman"/>
                      <w:sz w:val="21"/>
                      <w:szCs w:val="21"/>
                      <w:highlight w:val="none"/>
                      <w:lang w:val="en-US" w:eastAsia="zh-CN"/>
                    </w:rPr>
                    <w:t>内</w:t>
                  </w:r>
                  <w:r>
                    <w:rPr>
                      <w:rFonts w:hint="default"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分别</w:t>
                  </w:r>
                  <w:r>
                    <w:rPr>
                      <w:rFonts w:hint="eastAsia" w:ascii="Times New Roman" w:hAnsi="Times New Roman" w:eastAsia="宋体" w:cs="Times New Roman"/>
                      <w:sz w:val="21"/>
                      <w:szCs w:val="21"/>
                      <w:highlight w:val="none"/>
                    </w:rPr>
                    <w:t>设置</w:t>
                  </w:r>
                  <w:r>
                    <w:rPr>
                      <w:rFonts w:hint="eastAsia" w:ascii="Times New Roman" w:hAnsi="Times New Roman" w:eastAsia="宋体" w:cs="Times New Roman"/>
                      <w:sz w:val="21"/>
                      <w:szCs w:val="21"/>
                      <w:highlight w:val="none"/>
                      <w:lang w:val="en-US" w:eastAsia="zh-CN"/>
                    </w:rPr>
                    <w:t>5</w:t>
                  </w:r>
                  <w:r>
                    <w:rPr>
                      <w:rFonts w:hint="eastAsia" w:ascii="Times New Roman" w:hAnsi="Times New Roman" w:eastAsia="宋体" w:cs="Times New Roman"/>
                      <w:sz w:val="21"/>
                      <w:szCs w:val="21"/>
                      <w:highlight w:val="none"/>
                    </w:rPr>
                    <w:t>套</w:t>
                  </w:r>
                  <w:r>
                    <w:rPr>
                      <w:rFonts w:hint="default" w:ascii="Times New Roman" w:hAnsi="Times New Roman" w:eastAsia="宋体" w:cs="Times New Roman"/>
                      <w:sz w:val="21"/>
                      <w:szCs w:val="21"/>
                      <w:highlight w:val="none"/>
                      <w:lang w:val="en-US" w:eastAsia="zh-CN"/>
                    </w:rPr>
                    <w:t>脉冲布袋式</w:t>
                  </w:r>
                  <w:r>
                    <w:rPr>
                      <w:rFonts w:hint="eastAsia" w:ascii="Times New Roman" w:hAnsi="Times New Roman" w:eastAsia="宋体" w:cs="Times New Roman"/>
                      <w:sz w:val="21"/>
                      <w:szCs w:val="21"/>
                      <w:highlight w:val="none"/>
                      <w:lang w:val="en-US" w:eastAsia="zh-CN"/>
                    </w:rPr>
                    <w:t>除</w:t>
                  </w:r>
                  <w:r>
                    <w:rPr>
                      <w:rFonts w:hint="default" w:ascii="Times New Roman" w:hAnsi="Times New Roman" w:eastAsia="宋体" w:cs="Times New Roman"/>
                      <w:sz w:val="21"/>
                      <w:szCs w:val="21"/>
                      <w:highlight w:val="none"/>
                      <w:lang w:val="en-US" w:eastAsia="zh-CN"/>
                    </w:rPr>
                    <w:t>尘器</w:t>
                  </w:r>
                  <w:r>
                    <w:rPr>
                      <w:rFonts w:hint="eastAsia"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处理达标后</w:t>
                  </w:r>
                  <w:r>
                    <w:rPr>
                      <w:rFonts w:hint="eastAsia" w:ascii="Times New Roman" w:hAnsi="Times New Roman" w:eastAsia="宋体" w:cs="Times New Roman"/>
                      <w:sz w:val="21"/>
                      <w:szCs w:val="21"/>
                      <w:highlight w:val="none"/>
                      <w:lang w:val="en-US" w:eastAsia="zh-CN"/>
                    </w:rPr>
                    <w:t>经过仓顶排放口</w:t>
                  </w:r>
                  <w:r>
                    <w:rPr>
                      <w:rFonts w:hint="eastAsia" w:ascii="Times New Roman" w:hAnsi="Times New Roman" w:cs="Times New Roman"/>
                      <w:sz w:val="21"/>
                      <w:szCs w:val="21"/>
                      <w:highlight w:val="none"/>
                      <w:lang w:val="en-US" w:eastAsia="zh-CN"/>
                    </w:rPr>
                    <w:t>无</w:t>
                  </w:r>
                  <w:r>
                    <w:rPr>
                      <w:rFonts w:hint="eastAsia" w:ascii="Times New Roman" w:hAnsi="Times New Roman" w:eastAsia="宋体" w:cs="Times New Roman"/>
                      <w:sz w:val="21"/>
                      <w:szCs w:val="21"/>
                      <w:highlight w:val="none"/>
                      <w:lang w:val="en-US" w:eastAsia="zh-CN"/>
                    </w:rPr>
                    <w:t>组织排放</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678"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骨料输送皮带</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rPr>
                    <w:t>进料斗设置</w:t>
                  </w:r>
                  <w:r>
                    <w:rPr>
                      <w:rFonts w:hint="eastAsia" w:cs="Times New Roman"/>
                      <w:sz w:val="21"/>
                      <w:szCs w:val="21"/>
                      <w:highlight w:val="none"/>
                      <w:lang w:eastAsia="zh-CN"/>
                    </w:rPr>
                    <w:t>在</w:t>
                  </w:r>
                  <w:r>
                    <w:rPr>
                      <w:rFonts w:hint="eastAsia" w:ascii="Times New Roman" w:hAnsi="Times New Roman" w:eastAsia="宋体" w:cs="Times New Roman"/>
                      <w:sz w:val="21"/>
                      <w:szCs w:val="21"/>
                      <w:highlight w:val="none"/>
                      <w:lang w:val="en-US" w:eastAsia="zh-CN"/>
                    </w:rPr>
                    <w:t>全密闭</w:t>
                  </w:r>
                  <w:r>
                    <w:rPr>
                      <w:rFonts w:hint="eastAsia" w:cs="Times New Roman"/>
                      <w:sz w:val="21"/>
                      <w:szCs w:val="21"/>
                      <w:highlight w:val="none"/>
                      <w:lang w:val="en-US" w:eastAsia="zh-CN"/>
                    </w:rPr>
                    <w:t>砂石料堆场内</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678"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全封闭廊道皮带输送</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搅拌机粉尘</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rPr>
                    <w:t>采用</w:t>
                  </w:r>
                  <w:r>
                    <w:rPr>
                      <w:rFonts w:hint="eastAsia" w:ascii="Times New Roman" w:hAnsi="Times New Roman" w:eastAsia="宋体" w:cs="Times New Roman"/>
                      <w:sz w:val="21"/>
                      <w:szCs w:val="21"/>
                      <w:highlight w:val="none"/>
                      <w:lang w:val="en-US" w:eastAsia="zh-CN"/>
                    </w:rPr>
                    <w:t>全</w:t>
                  </w:r>
                  <w:r>
                    <w:rPr>
                      <w:rFonts w:hint="eastAsia" w:ascii="Times New Roman" w:hAnsi="Times New Roman" w:eastAsia="宋体" w:cs="Times New Roman"/>
                      <w:sz w:val="21"/>
                      <w:szCs w:val="21"/>
                      <w:highlight w:val="none"/>
                    </w:rPr>
                    <w:t>封闭式搅拌楼，搅拌粉尘经自带</w:t>
                  </w:r>
                  <w:r>
                    <w:rPr>
                      <w:rFonts w:hint="eastAsia" w:ascii="Times New Roman" w:hAnsi="Times New Roman" w:eastAsia="宋体" w:cs="Times New Roman"/>
                      <w:sz w:val="21"/>
                      <w:szCs w:val="21"/>
                      <w:highlight w:val="none"/>
                      <w:lang w:val="en-US" w:eastAsia="zh-CN"/>
                    </w:rPr>
                    <w:t>反吹风袋式</w:t>
                  </w:r>
                  <w:r>
                    <w:rPr>
                      <w:rFonts w:hint="default" w:ascii="Times New Roman" w:hAnsi="Times New Roman" w:eastAsia="宋体" w:cs="Times New Roman"/>
                      <w:sz w:val="21"/>
                      <w:szCs w:val="21"/>
                      <w:highlight w:val="none"/>
                      <w:lang w:val="en-US" w:eastAsia="zh-CN"/>
                    </w:rPr>
                    <w:t>除尘器</w:t>
                  </w:r>
                  <w:r>
                    <w:rPr>
                      <w:rFonts w:hint="eastAsia"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运行过程中密闭，</w:t>
                  </w:r>
                  <w:r>
                    <w:rPr>
                      <w:rFonts w:hint="eastAsia" w:ascii="Times New Roman" w:hAnsi="Times New Roman" w:eastAsia="宋体" w:cs="Times New Roman"/>
                      <w:sz w:val="21"/>
                      <w:szCs w:val="21"/>
                      <w:highlight w:val="none"/>
                      <w:lang w:val="en-US" w:eastAsia="zh-CN"/>
                    </w:rPr>
                    <w:t>收集的粉尘回到搅拌机中，利用系统内的循环烟气反吹清灰，不设排气筒</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846"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79"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废水</w:t>
                  </w:r>
                </w:p>
              </w:tc>
              <w:tc>
                <w:tcPr>
                  <w:tcW w:w="67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生活污水</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本项目</w:t>
                  </w:r>
                  <w:r>
                    <w:rPr>
                      <w:rFonts w:hint="eastAsia" w:ascii="Times New Roman" w:hAnsi="Times New Roman" w:eastAsia="宋体" w:cs="Times New Roman"/>
                      <w:sz w:val="21"/>
                      <w:szCs w:val="21"/>
                      <w:highlight w:val="none"/>
                      <w:lang w:val="en-US" w:eastAsia="zh-CN"/>
                    </w:rPr>
                    <w:t>食堂污水经油水分离器分离后排入化粪池，其余</w:t>
                  </w:r>
                  <w:r>
                    <w:rPr>
                      <w:rFonts w:hint="eastAsia" w:ascii="Times New Roman" w:hAnsi="Times New Roman" w:eastAsia="宋体" w:cs="Times New Roman"/>
                      <w:sz w:val="21"/>
                      <w:szCs w:val="21"/>
                      <w:highlight w:val="none"/>
                    </w:rPr>
                    <w:t>生活污水</w:t>
                  </w:r>
                  <w:r>
                    <w:rPr>
                      <w:rFonts w:hint="eastAsia" w:ascii="Times New Roman" w:hAnsi="Times New Roman" w:eastAsia="宋体" w:cs="Times New Roman"/>
                      <w:sz w:val="21"/>
                      <w:szCs w:val="21"/>
                      <w:highlight w:val="none"/>
                      <w:lang w:val="en-US" w:eastAsia="zh-CN"/>
                    </w:rPr>
                    <w:t>直接排入化粪池</w:t>
                  </w:r>
                  <w:r>
                    <w:rPr>
                      <w:rFonts w:hint="eastAsia"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经化粪池收集后定期</w:t>
                  </w:r>
                  <w:r>
                    <w:rPr>
                      <w:rFonts w:hint="default" w:ascii="Times New Roman" w:hAnsi="Times New Roman" w:eastAsia="宋体" w:cs="Times New Roman"/>
                      <w:sz w:val="21"/>
                      <w:szCs w:val="21"/>
                      <w:highlight w:val="none"/>
                      <w:lang w:val="en-US" w:eastAsia="zh-CN"/>
                    </w:rPr>
                    <w:t>由清污车拉运至</w:t>
                  </w:r>
                  <w:r>
                    <w:rPr>
                      <w:rFonts w:hint="eastAsia" w:ascii="Times New Roman" w:hAnsi="Times New Roman" w:eastAsia="宋体" w:cs="Times New Roman"/>
                      <w:sz w:val="21"/>
                      <w:szCs w:val="21"/>
                      <w:highlight w:val="none"/>
                    </w:rPr>
                    <w:t>库尔勒南市区污水处理厂</w:t>
                  </w:r>
                  <w:r>
                    <w:rPr>
                      <w:rFonts w:hint="default" w:ascii="Times New Roman" w:hAnsi="Times New Roman" w:eastAsia="宋体" w:cs="Times New Roman"/>
                      <w:sz w:val="21"/>
                      <w:szCs w:val="21"/>
                      <w:highlight w:val="none"/>
                    </w:rPr>
                    <w:t>。</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846"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罐车清洗废水</w:t>
                  </w:r>
                </w:p>
              </w:tc>
              <w:tc>
                <w:tcPr>
                  <w:tcW w:w="2428"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设置</w:t>
                  </w:r>
                  <w:r>
                    <w:rPr>
                      <w:rFonts w:hint="eastAsia"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rPr>
                    <w:t>座</w:t>
                  </w:r>
                  <w:r>
                    <w:rPr>
                      <w:rFonts w:hint="eastAsia" w:ascii="Times New Roman" w:hAnsi="Times New Roman" w:eastAsia="宋体" w:cs="Times New Roman"/>
                      <w:sz w:val="21"/>
                      <w:szCs w:val="21"/>
                      <w:highlight w:val="none"/>
                      <w:lang w:val="en-US" w:eastAsia="zh-CN"/>
                    </w:rPr>
                    <w:t>76</w:t>
                  </w:r>
                  <w:r>
                    <w:rPr>
                      <w:rFonts w:hint="default" w:ascii="Times New Roman" w:hAnsi="Times New Roman" w:eastAsia="宋体" w:cs="Times New Roman"/>
                      <w:sz w:val="21"/>
                      <w:szCs w:val="21"/>
                      <w:highlight w:val="none"/>
                    </w:rPr>
                    <w:t>m</w:t>
                  </w:r>
                  <w:r>
                    <w:rPr>
                      <w:rFonts w:hint="eastAsia" w:ascii="Times New Roman" w:hAnsi="Times New Roman" w:eastAsia="宋体" w:cs="Times New Roman"/>
                      <w:sz w:val="21"/>
                      <w:szCs w:val="21"/>
                      <w:highlight w:val="none"/>
                      <w:vertAlign w:val="superscript"/>
                      <w:lang w:val="en-US" w:eastAsia="zh-CN"/>
                    </w:rPr>
                    <w:t>3</w:t>
                  </w:r>
                  <w:r>
                    <w:rPr>
                      <w:rFonts w:hint="default" w:ascii="Times New Roman" w:hAnsi="Times New Roman" w:eastAsia="宋体" w:cs="Times New Roman"/>
                      <w:sz w:val="21"/>
                      <w:szCs w:val="21"/>
                      <w:highlight w:val="none"/>
                    </w:rPr>
                    <w:t>的</w:t>
                  </w:r>
                  <w:r>
                    <w:rPr>
                      <w:rFonts w:hint="eastAsia" w:ascii="Times New Roman" w:hAnsi="Times New Roman" w:eastAsia="宋体" w:cs="Times New Roman"/>
                      <w:sz w:val="21"/>
                      <w:szCs w:val="21"/>
                      <w:highlight w:val="none"/>
                    </w:rPr>
                    <w:t>防渗三级</w:t>
                  </w:r>
                  <w:r>
                    <w:rPr>
                      <w:rFonts w:hint="default" w:ascii="Times New Roman" w:hAnsi="Times New Roman" w:eastAsia="宋体" w:cs="Times New Roman"/>
                      <w:sz w:val="21"/>
                      <w:szCs w:val="21"/>
                      <w:highlight w:val="none"/>
                    </w:rPr>
                    <w:t>沉淀池，位于生产区</w:t>
                  </w:r>
                  <w:r>
                    <w:rPr>
                      <w:rFonts w:hint="eastAsia" w:ascii="Times New Roman" w:hAnsi="Times New Roman" w:eastAsia="宋体" w:cs="Times New Roman"/>
                      <w:sz w:val="21"/>
                      <w:szCs w:val="21"/>
                      <w:highlight w:val="none"/>
                      <w:lang w:val="en-US" w:eastAsia="zh-CN"/>
                    </w:rPr>
                    <w:t>东北</w:t>
                  </w:r>
                  <w:r>
                    <w:rPr>
                      <w:rFonts w:hint="eastAsia" w:ascii="Times New Roman" w:hAnsi="Times New Roman" w:eastAsia="宋体" w:cs="Times New Roman"/>
                      <w:sz w:val="21"/>
                      <w:szCs w:val="21"/>
                      <w:highlight w:val="none"/>
                    </w:rPr>
                    <w:t>侧</w:t>
                  </w:r>
                  <w:r>
                    <w:rPr>
                      <w:rFonts w:hint="default" w:ascii="Times New Roman" w:hAnsi="Times New Roman" w:eastAsia="宋体" w:cs="Times New Roman"/>
                      <w:sz w:val="21"/>
                      <w:szCs w:val="21"/>
                      <w:highlight w:val="none"/>
                    </w:rPr>
                    <w:t>，用于收集沉淀罐</w:t>
                  </w:r>
                  <w:r>
                    <w:rPr>
                      <w:rFonts w:hint="eastAsia" w:ascii="Times New Roman" w:hAnsi="Times New Roman" w:eastAsia="宋体" w:cs="Times New Roman"/>
                      <w:sz w:val="21"/>
                      <w:szCs w:val="21"/>
                      <w:highlight w:val="none"/>
                      <w:lang w:val="en-US" w:eastAsia="zh-CN"/>
                    </w:rPr>
                    <w:t>车</w:t>
                  </w:r>
                  <w:r>
                    <w:rPr>
                      <w:rFonts w:hint="default" w:ascii="Times New Roman" w:hAnsi="Times New Roman" w:eastAsia="宋体" w:cs="Times New Roman"/>
                      <w:sz w:val="21"/>
                      <w:szCs w:val="21"/>
                      <w:highlight w:val="none"/>
                    </w:rPr>
                    <w:t>清洗废水</w:t>
                  </w:r>
                  <w:r>
                    <w:rPr>
                      <w:rFonts w:hint="eastAsia" w:cs="Times New Roman"/>
                      <w:sz w:val="21"/>
                      <w:szCs w:val="21"/>
                      <w:highlight w:val="none"/>
                      <w:lang w:val="en-US" w:eastAsia="zh-CN"/>
                    </w:rPr>
                    <w:t>和搅拌机清洗废水</w:t>
                  </w:r>
                  <w:r>
                    <w:rPr>
                      <w:rFonts w:hint="default" w:ascii="Times New Roman" w:hAnsi="Times New Roman" w:eastAsia="宋体" w:cs="Times New Roman"/>
                      <w:sz w:val="21"/>
                      <w:szCs w:val="21"/>
                      <w:highlight w:val="none"/>
                    </w:rPr>
                    <w:t>，沉淀后循环利用</w:t>
                  </w:r>
                </w:p>
              </w:tc>
              <w:tc>
                <w:tcPr>
                  <w:tcW w:w="936"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846"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479"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搅拌机清洗废水</w:t>
                  </w:r>
                </w:p>
              </w:tc>
              <w:tc>
                <w:tcPr>
                  <w:tcW w:w="2428"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93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CellMar>
                  <w:top w:w="0" w:type="dxa"/>
                  <w:left w:w="108" w:type="dxa"/>
                  <w:bottom w:w="0" w:type="dxa"/>
                  <w:right w:w="108" w:type="dxa"/>
                </w:tblCellMar>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噪声</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低噪声设备、减振</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绿化</w:t>
                  </w:r>
                  <w:r>
                    <w:rPr>
                      <w:rFonts w:hint="default" w:ascii="Times New Roman" w:hAnsi="Times New Roman" w:eastAsia="宋体" w:cs="Times New Roman"/>
                      <w:sz w:val="21"/>
                      <w:szCs w:val="21"/>
                      <w:highlight w:val="none"/>
                    </w:rPr>
                    <w:t>等。</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固废</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设置垃圾收集桶，</w:t>
                  </w:r>
                  <w:r>
                    <w:rPr>
                      <w:rFonts w:hint="eastAsia" w:ascii="Times New Roman" w:hAnsi="Times New Roman" w:eastAsia="宋体" w:cs="Times New Roman"/>
                      <w:sz w:val="21"/>
                      <w:szCs w:val="21"/>
                      <w:highlight w:val="none"/>
                    </w:rPr>
                    <w:t>生活垃圾</w:t>
                  </w:r>
                  <w:r>
                    <w:rPr>
                      <w:rFonts w:hint="default" w:ascii="Times New Roman" w:hAnsi="Times New Roman" w:eastAsia="宋体" w:cs="Times New Roman"/>
                      <w:sz w:val="21"/>
                      <w:szCs w:val="21"/>
                      <w:highlight w:val="none"/>
                    </w:rPr>
                    <w:t>集中收集后运至附近垃圾收集点集中处理</w:t>
                  </w:r>
                  <w:r>
                    <w:rPr>
                      <w:rFonts w:hint="eastAsia" w:ascii="Times New Roman" w:hAnsi="Times New Roman" w:eastAsia="宋体" w:cs="Times New Roman"/>
                      <w:sz w:val="21"/>
                      <w:szCs w:val="21"/>
                      <w:highlight w:val="none"/>
                    </w:rPr>
                    <w:t>；除尘装置收集的粉尘作为原料回收利用，不外排；废旧滤袋厂家回收；沉淀池沉渣</w:t>
                  </w:r>
                  <w:r>
                    <w:rPr>
                      <w:rFonts w:hint="eastAsia" w:cs="Times New Roman"/>
                      <w:sz w:val="21"/>
                      <w:szCs w:val="21"/>
                      <w:highlight w:val="none"/>
                      <w:lang w:val="en-US" w:eastAsia="zh-CN"/>
                    </w:rPr>
                    <w:t>经砂石分离机分离后回用于生产</w:t>
                  </w:r>
                  <w:r>
                    <w:rPr>
                      <w:rFonts w:hint="eastAsia" w:ascii="Times New Roman" w:hAnsi="Times New Roman" w:eastAsia="宋体" w:cs="Times New Roman"/>
                      <w:sz w:val="21"/>
                      <w:szCs w:val="21"/>
                      <w:highlight w:val="none"/>
                    </w:rPr>
                    <w:t>、实验室废弃混凝土块</w:t>
                  </w:r>
                  <w:r>
                    <w:rPr>
                      <w:rFonts w:hint="eastAsia" w:cs="Times New Roman"/>
                      <w:sz w:val="21"/>
                      <w:szCs w:val="21"/>
                      <w:highlight w:val="none"/>
                      <w:lang w:val="en-US" w:eastAsia="zh-CN"/>
                    </w:rPr>
                    <w:t>作为</w:t>
                  </w:r>
                  <w:r>
                    <w:rPr>
                      <w:rFonts w:hint="eastAsia" w:ascii="Times New Roman" w:hAnsi="Times New Roman" w:eastAsia="宋体" w:cs="Times New Roman"/>
                      <w:sz w:val="21"/>
                      <w:szCs w:val="21"/>
                      <w:highlight w:val="none"/>
                      <w:lang w:val="en-US" w:eastAsia="zh-CN"/>
                    </w:rPr>
                    <w:t>一般固废</w:t>
                  </w:r>
                  <w:r>
                    <w:rPr>
                      <w:rFonts w:hint="eastAsia" w:cs="Times New Roman"/>
                      <w:sz w:val="21"/>
                      <w:szCs w:val="21"/>
                      <w:highlight w:val="none"/>
                      <w:lang w:val="en-US" w:eastAsia="zh-CN"/>
                    </w:rPr>
                    <w:t>拉运至一般固废填埋场</w:t>
                  </w:r>
                  <w:r>
                    <w:rPr>
                      <w:rFonts w:hint="eastAsia" w:ascii="Times New Roman" w:hAnsi="Times New Roman" w:eastAsia="宋体" w:cs="Times New Roman"/>
                      <w:sz w:val="21"/>
                      <w:szCs w:val="21"/>
                      <w:highlight w:val="none"/>
                      <w:lang w:eastAsia="zh-CN"/>
                    </w:rPr>
                    <w:t>。</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已建设完成</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2" w:space="0"/>
                </w:tblBorders>
              </w:tblPrEx>
              <w:trPr>
                <w:trHeight w:val="340" w:hRule="atLeast"/>
                <w:jc w:val="center"/>
              </w:trPr>
              <w:tc>
                <w:tcPr>
                  <w:tcW w:w="47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p>
              </w:tc>
              <w:tc>
                <w:tcPr>
                  <w:tcW w:w="1158" w:type="pct"/>
                  <w:gridSpan w:val="2"/>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危废贮存</w:t>
                  </w:r>
                  <w:r>
                    <w:rPr>
                      <w:rFonts w:hint="eastAsia" w:cs="Times New Roman"/>
                      <w:sz w:val="21"/>
                      <w:szCs w:val="21"/>
                      <w:highlight w:val="none"/>
                      <w:lang w:val="en-US" w:eastAsia="zh-CN"/>
                    </w:rPr>
                    <w:t>点</w:t>
                  </w:r>
                </w:p>
              </w:tc>
              <w:tc>
                <w:tcPr>
                  <w:tcW w:w="2428"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占地面积</w:t>
                  </w:r>
                  <w:r>
                    <w:rPr>
                      <w:rFonts w:hint="eastAsia" w:ascii="Times New Roman" w:hAnsi="Times New Roman" w:eastAsia="宋体" w:cs="Times New Roman"/>
                      <w:sz w:val="21"/>
                      <w:szCs w:val="21"/>
                      <w:highlight w:val="none"/>
                      <w:lang w:val="en-US" w:eastAsia="zh-CN"/>
                    </w:rPr>
                    <w:t>20</w:t>
                  </w:r>
                  <w:r>
                    <w:rPr>
                      <w:rFonts w:hint="default" w:ascii="Times New Roman" w:hAnsi="Times New Roman" w:eastAsia="宋体" w:cs="Times New Roman"/>
                      <w:sz w:val="21"/>
                      <w:szCs w:val="21"/>
                      <w:highlight w:val="none"/>
                    </w:rPr>
                    <w:t>m</w:t>
                  </w:r>
                  <w:r>
                    <w:rPr>
                      <w:rFonts w:hint="default" w:ascii="Times New Roman" w:hAnsi="Times New Roman" w:eastAsia="宋体" w:cs="Times New Roman"/>
                      <w:sz w:val="21"/>
                      <w:szCs w:val="21"/>
                      <w:highlight w:val="none"/>
                      <w:vertAlign w:val="superscript"/>
                    </w:rPr>
                    <w:t>2</w:t>
                  </w:r>
                </w:p>
              </w:tc>
              <w:tc>
                <w:tcPr>
                  <w:tcW w:w="936" w:type="pct"/>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default" w:ascii="Times New Roman" w:hAnsi="Times New Roman" w:eastAsia="宋体" w:cs="Times New Roman"/>
                      <w:sz w:val="21"/>
                      <w:szCs w:val="21"/>
                      <w:highlight w:val="none"/>
                      <w:lang w:val="en-US"/>
                    </w:rPr>
                  </w:pPr>
                  <w:r>
                    <w:rPr>
                      <w:rFonts w:hint="eastAsia" w:ascii="Times New Roman" w:hAnsi="Times New Roman" w:eastAsia="宋体" w:cs="Times New Roman"/>
                      <w:sz w:val="21"/>
                      <w:szCs w:val="21"/>
                      <w:highlight w:val="none"/>
                      <w:lang w:val="en-US" w:eastAsia="zh-CN"/>
                    </w:rPr>
                    <w:t>砖混</w:t>
                  </w:r>
                  <w:r>
                    <w:rPr>
                      <w:rFonts w:hint="default" w:ascii="Times New Roman" w:hAnsi="Times New Roman" w:eastAsia="宋体" w:cs="Times New Roman"/>
                      <w:sz w:val="21"/>
                      <w:szCs w:val="21"/>
                      <w:highlight w:val="none"/>
                      <w:lang w:val="en-US" w:eastAsia="zh-CN"/>
                    </w:rPr>
                    <w:t>式</w:t>
                  </w:r>
                  <w:r>
                    <w:rPr>
                      <w:rFonts w:hint="default"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重点防渗，新增未建设</w:t>
                  </w:r>
                </w:p>
              </w:tc>
            </w:tr>
          </w:tbl>
          <w:p>
            <w:pPr>
              <w:spacing w:line="520" w:lineRule="exact"/>
              <w:ind w:firstLine="482" w:firstLineChars="200"/>
              <w:rPr>
                <w:rFonts w:hint="default" w:ascii="Times New Roman" w:hAnsi="Times New Roman" w:cs="Times New Roman"/>
                <w:b/>
                <w:bCs/>
                <w:sz w:val="24"/>
              </w:rPr>
            </w:pPr>
            <w:r>
              <w:rPr>
                <w:rFonts w:hint="eastAsia" w:ascii="Times New Roman" w:hAnsi="Times New Roman" w:cs="Times New Roman"/>
                <w:b/>
                <w:bCs/>
                <w:sz w:val="24"/>
                <w:lang w:val="en-US" w:eastAsia="zh-CN"/>
              </w:rPr>
              <w:t>二</w:t>
            </w:r>
            <w:r>
              <w:rPr>
                <w:rFonts w:hint="default" w:ascii="Times New Roman" w:hAnsi="Times New Roman" w:cs="Times New Roman"/>
                <w:b/>
                <w:bCs/>
                <w:sz w:val="24"/>
              </w:rPr>
              <w:t>、主要设备清单</w:t>
            </w:r>
          </w:p>
          <w:p>
            <w:pPr>
              <w:spacing w:line="520" w:lineRule="exact"/>
              <w:ind w:firstLine="480" w:firstLineChars="200"/>
              <w:rPr>
                <w:rFonts w:hint="default" w:ascii="Times New Roman" w:hAnsi="Times New Roman" w:cs="Times New Roman"/>
                <w:sz w:val="24"/>
              </w:rPr>
            </w:pPr>
            <w:r>
              <w:rPr>
                <w:rFonts w:hint="default" w:ascii="Times New Roman" w:hAnsi="Times New Roman" w:cs="Times New Roman"/>
                <w:sz w:val="24"/>
              </w:rPr>
              <w:t>本项目主要</w:t>
            </w:r>
            <w:r>
              <w:rPr>
                <w:rFonts w:hint="eastAsia" w:cs="Times New Roman"/>
                <w:sz w:val="24"/>
                <w:lang w:val="en-US" w:eastAsia="zh-CN"/>
              </w:rPr>
              <w:t>生产</w:t>
            </w:r>
            <w:r>
              <w:rPr>
                <w:rFonts w:hint="default" w:ascii="Times New Roman" w:hAnsi="Times New Roman" w:cs="Times New Roman"/>
                <w:sz w:val="24"/>
              </w:rPr>
              <w:t>设备</w:t>
            </w:r>
            <w:r>
              <w:rPr>
                <w:rFonts w:hint="eastAsia" w:cs="Times New Roman"/>
                <w:sz w:val="24"/>
                <w:lang w:val="en-US" w:eastAsia="zh-CN"/>
              </w:rPr>
              <w:t>见</w:t>
            </w:r>
            <w:r>
              <w:rPr>
                <w:rFonts w:hint="default" w:ascii="Times New Roman" w:hAnsi="Times New Roman" w:cs="Times New Roman"/>
                <w:sz w:val="24"/>
              </w:rPr>
              <w:t>下表</w:t>
            </w:r>
            <w:r>
              <w:rPr>
                <w:rFonts w:hint="default" w:ascii="Times New Roman" w:hAnsi="Times New Roman" w:cs="Times New Roman"/>
              </w:rPr>
              <w:t>。</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表2-2</w:t>
            </w:r>
            <w:r>
              <w:rPr>
                <w:rFonts w:hint="eastAsia"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lang w:val="en-US" w:eastAsia="zh-CN"/>
              </w:rPr>
              <w:t xml:space="preserve"> 主要设备清单一览表</w:t>
            </w:r>
          </w:p>
          <w:tbl>
            <w:tblPr>
              <w:tblStyle w:val="2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984"/>
              <w:gridCol w:w="944"/>
              <w:gridCol w:w="1294"/>
              <w:gridCol w:w="1710"/>
              <w:gridCol w:w="537"/>
              <w:gridCol w:w="459"/>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序号</w:t>
                  </w:r>
                </w:p>
              </w:tc>
              <w:tc>
                <w:tcPr>
                  <w:tcW w:w="59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主要生产单元</w:t>
                  </w:r>
                </w:p>
              </w:tc>
              <w:tc>
                <w:tcPr>
                  <w:tcW w:w="57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主要工艺</w:t>
                  </w: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名称</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技术规格</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单位</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数量</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p>
              </w:tc>
              <w:tc>
                <w:tcPr>
                  <w:tcW w:w="596"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骨料预处理系统</w:t>
                  </w:r>
                </w:p>
              </w:tc>
              <w:tc>
                <w:tcPr>
                  <w:tcW w:w="572"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砂石料上料</w:t>
                  </w: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双料仓</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PLD800</w:t>
                  </w:r>
                  <w:r>
                    <w:rPr>
                      <w:rFonts w:hint="default" w:ascii="Times New Roman" w:hAnsi="Times New Roman" w:cs="Times New Roman"/>
                      <w:kern w:val="2"/>
                      <w:sz w:val="21"/>
                      <w:szCs w:val="21"/>
                      <w:highlight w:val="none"/>
                      <w:lang w:val="en-US" w:eastAsia="zh-CN" w:bidi="ar-SA"/>
                    </w:rPr>
                    <w:t>，45</w:t>
                  </w:r>
                  <w:r>
                    <w:rPr>
                      <w:rFonts w:hint="eastAsia" w:ascii="Times New Roman" w:hAnsi="Times New Roman" w:cs="Times New Roman"/>
                      <w:kern w:val="2"/>
                      <w:sz w:val="21"/>
                      <w:szCs w:val="21"/>
                      <w:highlight w:val="none"/>
                      <w:lang w:val="en-US" w:eastAsia="zh-CN" w:bidi="ar-SA"/>
                    </w:rPr>
                    <w:t>m</w:t>
                  </w:r>
                  <w:r>
                    <w:rPr>
                      <w:rFonts w:hint="eastAsia" w:ascii="Times New Roman" w:hAnsi="Times New Roman" w:cs="Times New Roman"/>
                      <w:kern w:val="2"/>
                      <w:sz w:val="21"/>
                      <w:szCs w:val="21"/>
                      <w:highlight w:val="none"/>
                      <w:vertAlign w:val="superscript"/>
                      <w:lang w:val="en-US" w:eastAsia="zh-CN" w:bidi="ar-SA"/>
                    </w:rPr>
                    <w:t>3</w:t>
                  </w:r>
                  <w:r>
                    <w:rPr>
                      <w:rFonts w:hint="default" w:ascii="Times New Roman" w:hAnsi="Times New Roman" w:cs="Times New Roman"/>
                      <w:kern w:val="2"/>
                      <w:sz w:val="21"/>
                      <w:szCs w:val="21"/>
                      <w:highlight w:val="none"/>
                      <w:lang w:val="en-US" w:eastAsia="zh-CN" w:bidi="ar-SA"/>
                    </w:rPr>
                    <w:t>/</w:t>
                  </w:r>
                  <w:r>
                    <w:rPr>
                      <w:rFonts w:hint="eastAsia" w:ascii="Times New Roman" w:hAnsi="Times New Roman" w:cs="Times New Roman"/>
                      <w:kern w:val="2"/>
                      <w:sz w:val="21"/>
                      <w:szCs w:val="21"/>
                      <w:highlight w:val="none"/>
                      <w:lang w:val="en-US" w:eastAsia="zh-CN" w:bidi="ar-SA"/>
                    </w:rPr>
                    <w:t>h</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个</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4</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砂石料上料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w:t>
                  </w:r>
                </w:p>
              </w:tc>
              <w:tc>
                <w:tcPr>
                  <w:tcW w:w="5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572"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皮带</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800m</w:t>
                  </w:r>
                  <w:r>
                    <w:rPr>
                      <w:rFonts w:hint="default" w:ascii="Times New Roman" w:hAnsi="Times New Roman" w:cs="Times New Roman"/>
                      <w:kern w:val="2"/>
                      <w:sz w:val="21"/>
                      <w:szCs w:val="21"/>
                      <w:highlight w:val="none"/>
                      <w:lang w:val="en-US" w:eastAsia="zh-CN" w:bidi="ar-SA"/>
                    </w:rPr>
                    <w:t>m</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条</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砂石料输送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3</w:t>
                  </w:r>
                </w:p>
              </w:tc>
              <w:tc>
                <w:tcPr>
                  <w:tcW w:w="5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572"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螺杆机</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BK15-8G</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个</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砂石料输送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4</w:t>
                  </w:r>
                </w:p>
              </w:tc>
              <w:tc>
                <w:tcPr>
                  <w:tcW w:w="5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572"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粉料储存、供应</w:t>
                  </w: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外加剂罐</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PE材质，</w:t>
                  </w:r>
                  <w:r>
                    <w:rPr>
                      <w:rFonts w:hint="eastAsia" w:ascii="Times New Roman" w:hAnsi="Times New Roman" w:cs="Times New Roman"/>
                      <w:kern w:val="2"/>
                      <w:sz w:val="21"/>
                      <w:szCs w:val="21"/>
                      <w:highlight w:val="none"/>
                      <w:lang w:val="en-US" w:eastAsia="zh-CN" w:bidi="ar-SA"/>
                    </w:rPr>
                    <w:t>10T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个</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2</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外加剂贮存及供给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5</w:t>
                  </w:r>
                </w:p>
              </w:tc>
              <w:tc>
                <w:tcPr>
                  <w:tcW w:w="5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572"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水泥筒仓</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20</w:t>
                  </w:r>
                  <w:r>
                    <w:rPr>
                      <w:rFonts w:hint="default" w:ascii="Times New Roman" w:hAnsi="Times New Roman" w:cs="Times New Roman"/>
                      <w:kern w:val="2"/>
                      <w:sz w:val="21"/>
                      <w:szCs w:val="21"/>
                      <w:highlight w:val="none"/>
                      <w:lang w:val="en-US" w:eastAsia="zh-CN" w:bidi="ar-SA"/>
                    </w:rPr>
                    <w:t>0T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套</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3</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水泥贮存及供给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6</w:t>
                  </w:r>
                </w:p>
              </w:tc>
              <w:tc>
                <w:tcPr>
                  <w:tcW w:w="5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572"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矿粉筒仓</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20</w:t>
                  </w:r>
                  <w:r>
                    <w:rPr>
                      <w:rFonts w:hint="default" w:ascii="Times New Roman" w:hAnsi="Times New Roman" w:cs="Times New Roman"/>
                      <w:kern w:val="2"/>
                      <w:sz w:val="21"/>
                      <w:szCs w:val="21"/>
                      <w:highlight w:val="none"/>
                      <w:lang w:val="en-US" w:eastAsia="zh-CN" w:bidi="ar-SA"/>
                    </w:rPr>
                    <w:t>0T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套</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矿粉贮存及供给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7</w:t>
                  </w:r>
                </w:p>
              </w:tc>
              <w:tc>
                <w:tcPr>
                  <w:tcW w:w="5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572"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粉煤灰筒仓</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20</w:t>
                  </w:r>
                  <w:r>
                    <w:rPr>
                      <w:rFonts w:hint="default" w:ascii="Times New Roman" w:hAnsi="Times New Roman" w:cs="Times New Roman"/>
                      <w:kern w:val="2"/>
                      <w:sz w:val="21"/>
                      <w:szCs w:val="21"/>
                      <w:highlight w:val="none"/>
                      <w:lang w:val="en-US" w:eastAsia="zh-CN" w:bidi="ar-SA"/>
                    </w:rPr>
                    <w:t>0T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套</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粉煤灰贮存及供给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8</w:t>
                  </w:r>
                </w:p>
              </w:tc>
              <w:tc>
                <w:tcPr>
                  <w:tcW w:w="59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供水系统</w:t>
                  </w:r>
                </w:p>
              </w:tc>
              <w:tc>
                <w:tcPr>
                  <w:tcW w:w="57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供水</w:t>
                  </w: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供水水泵</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个</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水的供给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10</w:t>
                  </w:r>
                </w:p>
              </w:tc>
              <w:tc>
                <w:tcPr>
                  <w:tcW w:w="596" w:type="pct"/>
                  <w:vMerge w:val="restar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拌合系统</w:t>
                  </w:r>
                </w:p>
              </w:tc>
              <w:tc>
                <w:tcPr>
                  <w:tcW w:w="57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搅拌</w:t>
                  </w: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搅拌机</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HZS180C8</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套</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商品混凝土搅拌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r>
                    <w:rPr>
                      <w:rFonts w:hint="eastAsia" w:ascii="Times New Roman" w:hAnsi="Times New Roman" w:cs="Times New Roman"/>
                      <w:kern w:val="2"/>
                      <w:sz w:val="21"/>
                      <w:szCs w:val="21"/>
                      <w:highlight w:val="none"/>
                      <w:lang w:val="en-US" w:eastAsia="zh-CN" w:bidi="ar-SA"/>
                    </w:rPr>
                    <w:t>1</w:t>
                  </w:r>
                </w:p>
              </w:tc>
              <w:tc>
                <w:tcPr>
                  <w:tcW w:w="5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57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除尘</w:t>
                  </w: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反吹风袋式</w:t>
                  </w:r>
                  <w:r>
                    <w:rPr>
                      <w:rFonts w:hint="default" w:ascii="Times New Roman" w:hAnsi="Times New Roman" w:cs="Times New Roman"/>
                      <w:kern w:val="2"/>
                      <w:sz w:val="21"/>
                      <w:szCs w:val="21"/>
                      <w:highlight w:val="none"/>
                      <w:lang w:val="en-US" w:eastAsia="zh-CN" w:bidi="ar-SA"/>
                    </w:rPr>
                    <w:t>除尘器</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SCD-24C型</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套</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处理砂石料输送搅拌产生的粉尘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r>
                    <w:rPr>
                      <w:rFonts w:hint="eastAsia" w:ascii="Times New Roman" w:hAnsi="Times New Roman" w:cs="Times New Roman"/>
                      <w:kern w:val="2"/>
                      <w:sz w:val="21"/>
                      <w:szCs w:val="21"/>
                      <w:highlight w:val="none"/>
                      <w:lang w:val="en-US" w:eastAsia="zh-CN" w:bidi="ar-SA"/>
                    </w:rPr>
                    <w:t>2</w:t>
                  </w:r>
                </w:p>
              </w:tc>
              <w:tc>
                <w:tcPr>
                  <w:tcW w:w="596" w:type="pct"/>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572"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计量</w:t>
                  </w: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电子衡器</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SCS</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套</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称重计量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r>
                    <w:rPr>
                      <w:rFonts w:hint="eastAsia" w:ascii="Times New Roman" w:hAnsi="Times New Roman" w:cs="Times New Roman"/>
                      <w:kern w:val="2"/>
                      <w:sz w:val="21"/>
                      <w:szCs w:val="21"/>
                      <w:highlight w:val="none"/>
                      <w:lang w:val="en-US" w:eastAsia="zh-CN" w:bidi="ar-SA"/>
                    </w:rPr>
                    <w:t>3</w:t>
                  </w:r>
                </w:p>
              </w:tc>
              <w:tc>
                <w:tcPr>
                  <w:tcW w:w="1168" w:type="pct"/>
                  <w:gridSpan w:val="2"/>
                  <w:vMerge w:val="restar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公用单元</w:t>
                  </w: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螺旋输送机</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水泥粉煤灰输送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r>
                    <w:rPr>
                      <w:rFonts w:hint="eastAsia" w:ascii="Times New Roman" w:hAnsi="Times New Roman" w:cs="Times New Roman"/>
                      <w:kern w:val="2"/>
                      <w:sz w:val="21"/>
                      <w:szCs w:val="21"/>
                      <w:highlight w:val="none"/>
                      <w:lang w:val="en-US" w:eastAsia="zh-CN" w:bidi="ar-SA"/>
                    </w:rPr>
                    <w:t>4</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搅拌车</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12t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辆</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10</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混凝土运输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15</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泵车</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辆</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3</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将混凝土从搅拌车泵送到需要浇筑水泥的建筑物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16</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皮卡车</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辆</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输送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17</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装载机</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10t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辆</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砂石料装卸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18</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砂石分离机</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LX-SF3D-2</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辆</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砂石清洗分离</w:t>
                  </w:r>
                  <w:r>
                    <w:rPr>
                      <w:rFonts w:hint="eastAsia"/>
                      <w:lang w:eastAsia="zh-CN"/>
                    </w:rPr>
                    <w:t>（</w:t>
                  </w:r>
                  <w:r>
                    <w:rPr>
                      <w:rFonts w:hint="eastAsia"/>
                      <w:lang w:val="en-US" w:eastAsia="zh-CN"/>
                    </w:rPr>
                    <w:t>位于三级沉淀池旁，用于处置沉淀池沉渣</w:t>
                  </w: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19</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电子衡器</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120t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套</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default"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20</w:t>
                  </w:r>
                </w:p>
              </w:tc>
              <w:tc>
                <w:tcPr>
                  <w:tcW w:w="1168" w:type="pct"/>
                  <w:gridSpan w:val="2"/>
                  <w:vMerge w:val="restar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实验室</w:t>
                  </w: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数字式压力试验机</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DYE-2000型</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产品试压试验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21</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全自动恒应力水泥抗折抗压试验机</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TYE-300T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产品抗压试验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22</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水泥胶砂搅拌机</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JJ-5型</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套</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试验原料搅拌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23</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水泥净浆搅拌机</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NJ-160</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套</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试验原料搅拌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24</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电子天平</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TD20002(2000g)</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试验原料称量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25</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电子台秤</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TZS100型 (100</w:t>
                  </w:r>
                  <w:r>
                    <w:rPr>
                      <w:rFonts w:hint="eastAsia" w:cs="Times New Roman"/>
                      <w:kern w:val="2"/>
                      <w:sz w:val="21"/>
                      <w:szCs w:val="21"/>
                      <w:highlight w:val="none"/>
                      <w:lang w:val="en-US" w:eastAsia="zh-CN" w:bidi="ar-SA"/>
                    </w:rPr>
                    <w:t>kg</w:t>
                  </w:r>
                  <w:r>
                    <w:rPr>
                      <w:rFonts w:hint="eastAsia" w:ascii="Times New Roman" w:hAnsi="Times New Roman" w:cs="Times New Roman"/>
                      <w:kern w:val="2"/>
                      <w:sz w:val="21"/>
                      <w:szCs w:val="21"/>
                      <w:highlight w:val="none"/>
                      <w:lang w:val="en-US" w:eastAsia="zh-CN" w:bidi="ar-SA"/>
                    </w:rPr>
                    <w:t>)</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试验原料称量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26</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水泥胶砂振实台</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ZT96型</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水泥强度检测试验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27</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 xml:space="preserve">沸煮箱 </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FZ-31A型</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实验材料加热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28</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水泥标准恒温恒湿养护箱</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YH-40B</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试验水泥养护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29</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自控水泥流动胶砂流动度测定仪</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NLD-3</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水泥胶砂流动度试验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30</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数显鼓风恒温干燥箱</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101-2型</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试验干燥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31</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水泥细度负压筛析仪</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FSY-150</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测定原材料细度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32</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震击式标准震筛机</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ZBSX-92A型</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试验原料筛选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33</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单卧轴强制式混凝土搅拌机</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HJW-60型</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套</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试验原料搅拌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34</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标准养护恒温恒湿控制仪</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BYS-30S型</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试验水泥养护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35</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比表面积仪</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FBT-9型</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测定产品的比表面积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36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36</w:t>
                  </w:r>
                </w:p>
              </w:tc>
              <w:tc>
                <w:tcPr>
                  <w:tcW w:w="1168" w:type="pct"/>
                  <w:gridSpan w:val="2"/>
                  <w:vMerge w:val="continue"/>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p>
              </w:tc>
              <w:tc>
                <w:tcPr>
                  <w:tcW w:w="784"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eastAsia"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电子天平</w:t>
                  </w:r>
                </w:p>
              </w:tc>
              <w:tc>
                <w:tcPr>
                  <w:tcW w:w="1036"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YP5001型</w:t>
                  </w:r>
                </w:p>
              </w:tc>
              <w:tc>
                <w:tcPr>
                  <w:tcW w:w="325"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台</w:t>
                  </w:r>
                </w:p>
              </w:tc>
              <w:tc>
                <w:tcPr>
                  <w:tcW w:w="278"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w:t>
                  </w:r>
                </w:p>
              </w:tc>
              <w:tc>
                <w:tcPr>
                  <w:tcW w:w="1041" w:type="pct"/>
                  <w:noWrap w:val="0"/>
                  <w:vAlign w:val="center"/>
                </w:tcPr>
                <w:p>
                  <w:pPr>
                    <w:keepNext w:val="0"/>
                    <w:keepLines w:val="0"/>
                    <w:pageBreakBefore w:val="0"/>
                    <w:kinsoku/>
                    <w:wordWrap/>
                    <w:overflowPunct/>
                    <w:topLinePunct w:val="0"/>
                    <w:autoSpaceDE/>
                    <w:autoSpaceDN/>
                    <w:bidi w:val="0"/>
                    <w:adjustRightInd/>
                    <w:snapToGrid/>
                    <w:spacing w:line="300" w:lineRule="exact"/>
                    <w:ind w:firstLine="4" w:firstLineChars="2"/>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试验原料称量</w:t>
                  </w:r>
                </w:p>
              </w:tc>
            </w:tr>
          </w:tbl>
          <w:p>
            <w:pPr>
              <w:numPr>
                <w:ilvl w:val="0"/>
                <w:numId w:val="0"/>
              </w:numPr>
              <w:spacing w:line="360" w:lineRule="auto"/>
              <w:ind w:firstLine="482" w:firstLineChars="200"/>
              <w:rPr>
                <w:rFonts w:hint="eastAsia" w:ascii="宋体" w:hAnsi="宋体" w:cs="宋体"/>
                <w:b/>
                <w:bCs/>
                <w:sz w:val="24"/>
                <w:highlight w:val="none"/>
              </w:rPr>
            </w:pPr>
            <w:r>
              <w:rPr>
                <w:rFonts w:hint="eastAsia"/>
                <w:b/>
                <w:sz w:val="24"/>
                <w:highlight w:val="none"/>
                <w:lang w:val="en-US" w:eastAsia="zh-CN"/>
              </w:rPr>
              <w:t>三、</w:t>
            </w:r>
            <w:r>
              <w:rPr>
                <w:b/>
                <w:sz w:val="24"/>
                <w:highlight w:val="none"/>
              </w:rPr>
              <w:t>产品方案</w:t>
            </w:r>
            <w:r>
              <w:rPr>
                <w:rFonts w:hint="eastAsia"/>
                <w:b/>
                <w:sz w:val="24"/>
                <w:highlight w:val="none"/>
              </w:rPr>
              <w:t>及</w:t>
            </w:r>
            <w:r>
              <w:rPr>
                <w:rFonts w:hint="eastAsia" w:ascii="宋体" w:hAnsi="宋体" w:cs="宋体"/>
                <w:b/>
                <w:bCs/>
                <w:sz w:val="24"/>
                <w:highlight w:val="none"/>
              </w:rPr>
              <w:t>主要原辅材料和能源消耗</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1、产品方案</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本项目混凝土强度等级为</w:t>
            </w:r>
            <w:r>
              <w:rPr>
                <w:rFonts w:hint="default" w:ascii="Times New Roman" w:hAnsi="Times New Roman" w:eastAsia="宋体" w:cs="Times New Roman"/>
                <w:sz w:val="24"/>
                <w:szCs w:val="24"/>
                <w:highlight w:val="none"/>
                <w:lang w:val="en-US" w:eastAsia="zh-CN"/>
              </w:rPr>
              <w:t>C30-C</w:t>
            </w:r>
            <w:r>
              <w:rPr>
                <w:rFonts w:hint="eastAsia" w:ascii="Times New Roman" w:hAnsi="Times New Roman" w:eastAsia="宋体" w:cs="Times New Roman"/>
                <w:sz w:val="24"/>
                <w:szCs w:val="24"/>
                <w:highlight w:val="none"/>
                <w:lang w:val="en-US" w:eastAsia="zh-CN"/>
              </w:rPr>
              <w:t>60，项目产品方案见下表。</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表2-3    项目产品方案</w:t>
            </w:r>
          </w:p>
          <w:tbl>
            <w:tblPr>
              <w:tblStyle w:val="23"/>
              <w:tblW w:w="4995"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98"/>
              <w:gridCol w:w="980"/>
              <w:gridCol w:w="1242"/>
              <w:gridCol w:w="1237"/>
              <w:gridCol w:w="876"/>
              <w:gridCol w:w="1354"/>
              <w:gridCol w:w="1088"/>
              <w:gridCol w:w="96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0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序号</w:t>
                  </w:r>
                </w:p>
              </w:tc>
              <w:tc>
                <w:tcPr>
                  <w:tcW w:w="59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产品名称</w:t>
                  </w:r>
                </w:p>
              </w:tc>
              <w:tc>
                <w:tcPr>
                  <w:tcW w:w="753"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产品规格</w:t>
                  </w:r>
                </w:p>
              </w:tc>
              <w:tc>
                <w:tcPr>
                  <w:tcW w:w="7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主要生产单元</w:t>
                  </w:r>
                </w:p>
              </w:tc>
              <w:tc>
                <w:tcPr>
                  <w:tcW w:w="53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主要工艺</w:t>
                  </w:r>
                </w:p>
              </w:tc>
              <w:tc>
                <w:tcPr>
                  <w:tcW w:w="82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质量标准</w:t>
                  </w:r>
                </w:p>
              </w:tc>
              <w:tc>
                <w:tcPr>
                  <w:tcW w:w="66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生产能力m</w:t>
                  </w:r>
                  <w:r>
                    <w:rPr>
                      <w:rFonts w:hint="default" w:ascii="Times New Roman" w:hAnsi="Times New Roman" w:eastAsia="宋体" w:cs="Times New Roman"/>
                      <w:color w:val="000000" w:themeColor="text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/a</w:t>
                  </w:r>
                </w:p>
              </w:tc>
              <w:tc>
                <w:tcPr>
                  <w:tcW w:w="58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年运行天数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trPr>
              <w:tc>
                <w:tcPr>
                  <w:tcW w:w="30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1</w:t>
                  </w:r>
                </w:p>
              </w:tc>
              <w:tc>
                <w:tcPr>
                  <w:tcW w:w="59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商品混凝土</w:t>
                  </w:r>
                </w:p>
              </w:tc>
              <w:tc>
                <w:tcPr>
                  <w:tcW w:w="753"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C30-C60</w:t>
                  </w:r>
                </w:p>
              </w:tc>
              <w:tc>
                <w:tcPr>
                  <w:tcW w:w="7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混凝土生产线</w:t>
                  </w:r>
                </w:p>
              </w:tc>
              <w:tc>
                <w:tcPr>
                  <w:tcW w:w="53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混合搅拌</w:t>
                  </w:r>
                </w:p>
              </w:tc>
              <w:tc>
                <w:tcPr>
                  <w:tcW w:w="82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《预拌混凝土》</w:t>
                  </w:r>
                  <w:r>
                    <w:rPr>
                      <w:rFonts w:hint="eastAsia" w:ascii="Times New Roman" w:hAnsi="Times New Roman" w:cs="Times New Roman"/>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GB/T 14902-2012</w:t>
                  </w:r>
                  <w:r>
                    <w:rPr>
                      <w:rFonts w:hint="eastAsia" w:ascii="Times New Roman" w:hAnsi="Times New Roman" w:cs="Times New Roman"/>
                      <w:color w:val="000000" w:themeColor="text1"/>
                      <w:szCs w:val="21"/>
                      <w:highlight w:val="none"/>
                      <w:lang w:val="en-US" w:eastAsia="zh-CN"/>
                      <w14:textFill>
                        <w14:solidFill>
                          <w14:schemeClr w14:val="tx1"/>
                        </w14:solidFill>
                      </w14:textFill>
                    </w:rPr>
                    <w:t>）</w:t>
                  </w:r>
                </w:p>
              </w:tc>
              <w:tc>
                <w:tcPr>
                  <w:tcW w:w="66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万</w:t>
                  </w:r>
                </w:p>
              </w:tc>
              <w:tc>
                <w:tcPr>
                  <w:tcW w:w="584" w:type="pct"/>
                  <w:noWrap w:val="0"/>
                  <w:tcMar>
                    <w:left w:w="0" w:type="dxa"/>
                    <w:right w:w="0" w:type="dxa"/>
                  </w:tcMar>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w:t>
                  </w:r>
                </w:p>
              </w:tc>
            </w:tr>
          </w:tbl>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2</w:t>
            </w:r>
            <w:r>
              <w:rPr>
                <w:rFonts w:hint="eastAsia" w:ascii="Times New Roman" w:hAnsi="Times New Roman" w:cs="Times New Roman"/>
                <w:b/>
                <w:bCs/>
                <w:sz w:val="24"/>
                <w:szCs w:val="24"/>
                <w:highlight w:val="none"/>
                <w:lang w:val="en-US" w:eastAsia="zh-CN"/>
              </w:rPr>
              <w:t>、主要原辅材料和能源消耗</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本项目主要生产C30-C60强度商品混凝土，各主要原辅材料及品质设计需要进行配比，按照《普通混凝土配合比设计规程》（JGJ55-2011）要求。所需主要原辅材料、能源消耗及来源见下表。</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表2-4  项目主要原辅材料、能源消耗和来源一览表</w:t>
            </w:r>
          </w:p>
          <w:tbl>
            <w:tblPr>
              <w:tblStyle w:val="2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834"/>
              <w:gridCol w:w="1073"/>
              <w:gridCol w:w="901"/>
              <w:gridCol w:w="1134"/>
              <w:gridCol w:w="2147"/>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序号</w:t>
                  </w:r>
                </w:p>
              </w:tc>
              <w:tc>
                <w:tcPr>
                  <w:tcW w:w="505"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名称</w:t>
                  </w:r>
                </w:p>
              </w:tc>
              <w:tc>
                <w:tcPr>
                  <w:tcW w:w="6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名称</w:t>
                  </w:r>
                </w:p>
              </w:tc>
              <w:tc>
                <w:tcPr>
                  <w:tcW w:w="54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单位</w:t>
                  </w:r>
                </w:p>
              </w:tc>
              <w:tc>
                <w:tcPr>
                  <w:tcW w:w="68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年耗量</w:t>
                  </w:r>
                </w:p>
              </w:tc>
              <w:tc>
                <w:tcPr>
                  <w:tcW w:w="130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来源</w:t>
                  </w:r>
                </w:p>
              </w:tc>
              <w:tc>
                <w:tcPr>
                  <w:tcW w:w="87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3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1</w:t>
                  </w:r>
                </w:p>
              </w:tc>
              <w:tc>
                <w:tcPr>
                  <w:tcW w:w="505" w:type="pct"/>
                  <w:vMerge w:val="restar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商品混凝土</w:t>
                  </w:r>
                </w:p>
              </w:tc>
              <w:tc>
                <w:tcPr>
                  <w:tcW w:w="6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大石子</w:t>
                  </w:r>
                </w:p>
              </w:tc>
              <w:tc>
                <w:tcPr>
                  <w:tcW w:w="54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t/a</w:t>
                  </w:r>
                </w:p>
              </w:tc>
              <w:tc>
                <w:tcPr>
                  <w:tcW w:w="68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37</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000</w:t>
                  </w:r>
                </w:p>
              </w:tc>
              <w:tc>
                <w:tcPr>
                  <w:tcW w:w="130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外购，车辆运输</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粒径</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20</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mm-</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31.5</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mm</w:t>
                  </w:r>
                </w:p>
              </w:tc>
              <w:tc>
                <w:tcPr>
                  <w:tcW w:w="872" w:type="pct"/>
                  <w:vMerge w:val="restar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原料堆场区内储存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2</w:t>
                  </w:r>
                </w:p>
              </w:tc>
              <w:tc>
                <w:tcPr>
                  <w:tcW w:w="505"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6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小石子</w:t>
                  </w:r>
                </w:p>
              </w:tc>
              <w:tc>
                <w:tcPr>
                  <w:tcW w:w="54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t/a</w:t>
                  </w:r>
                </w:p>
              </w:tc>
              <w:tc>
                <w:tcPr>
                  <w:tcW w:w="68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6</w:t>
                  </w:r>
                  <w:r>
                    <w:rPr>
                      <w:rFonts w:hint="eastAsia" w:cs="Times New Roman"/>
                      <w:color w:val="000000" w:themeColor="text1"/>
                      <w:szCs w:val="21"/>
                      <w:highlight w:val="none"/>
                      <w:lang w:val="en-US" w:eastAsia="zh-CN"/>
                      <w14:textFill>
                        <w14:solidFill>
                          <w14:schemeClr w14:val="tx1"/>
                        </w14:solidFill>
                      </w14:textFill>
                    </w:rPr>
                    <w:t>0</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000</w:t>
                  </w:r>
                </w:p>
              </w:tc>
              <w:tc>
                <w:tcPr>
                  <w:tcW w:w="130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外购，车辆运输</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粒径5mm-</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25</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mm</w:t>
                  </w:r>
                </w:p>
              </w:tc>
              <w:tc>
                <w:tcPr>
                  <w:tcW w:w="872"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3</w:t>
                  </w:r>
                </w:p>
              </w:tc>
              <w:tc>
                <w:tcPr>
                  <w:tcW w:w="505"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6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砂子</w:t>
                  </w:r>
                </w:p>
              </w:tc>
              <w:tc>
                <w:tcPr>
                  <w:tcW w:w="54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t/a</w:t>
                  </w:r>
                </w:p>
              </w:tc>
              <w:tc>
                <w:tcPr>
                  <w:tcW w:w="68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850</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00</w:t>
                  </w:r>
                </w:p>
              </w:tc>
              <w:tc>
                <w:tcPr>
                  <w:tcW w:w="130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外购，车辆运输</w:t>
                  </w:r>
                </w:p>
              </w:tc>
              <w:tc>
                <w:tcPr>
                  <w:tcW w:w="872"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43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4</w:t>
                  </w:r>
                </w:p>
              </w:tc>
              <w:tc>
                <w:tcPr>
                  <w:tcW w:w="505"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6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水泥</w:t>
                  </w:r>
                </w:p>
              </w:tc>
              <w:tc>
                <w:tcPr>
                  <w:tcW w:w="54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t/a</w:t>
                  </w:r>
                </w:p>
              </w:tc>
              <w:tc>
                <w:tcPr>
                  <w:tcW w:w="68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25</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000</w:t>
                  </w:r>
                </w:p>
              </w:tc>
              <w:tc>
                <w:tcPr>
                  <w:tcW w:w="130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外购，专用罐拉运</w:t>
                  </w:r>
                </w:p>
              </w:tc>
              <w:tc>
                <w:tcPr>
                  <w:tcW w:w="87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水泥筒仓</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5</w:t>
                  </w:r>
                </w:p>
              </w:tc>
              <w:tc>
                <w:tcPr>
                  <w:tcW w:w="505"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6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粉煤灰</w:t>
                  </w:r>
                </w:p>
              </w:tc>
              <w:tc>
                <w:tcPr>
                  <w:tcW w:w="54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t/a</w:t>
                  </w:r>
                </w:p>
              </w:tc>
              <w:tc>
                <w:tcPr>
                  <w:tcW w:w="68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7000</w:t>
                  </w:r>
                </w:p>
              </w:tc>
              <w:tc>
                <w:tcPr>
                  <w:tcW w:w="130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外购，专用罐拉运</w:t>
                  </w:r>
                </w:p>
              </w:tc>
              <w:tc>
                <w:tcPr>
                  <w:tcW w:w="87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粉煤灰筒仓</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3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6</w:t>
                  </w:r>
                </w:p>
              </w:tc>
              <w:tc>
                <w:tcPr>
                  <w:tcW w:w="505"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6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矿粉</w:t>
                  </w:r>
                </w:p>
              </w:tc>
              <w:tc>
                <w:tcPr>
                  <w:tcW w:w="54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t/a</w:t>
                  </w:r>
                </w:p>
              </w:tc>
              <w:tc>
                <w:tcPr>
                  <w:tcW w:w="68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6000</w:t>
                  </w:r>
                </w:p>
              </w:tc>
              <w:tc>
                <w:tcPr>
                  <w:tcW w:w="130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外购，专用罐拉运</w:t>
                  </w:r>
                </w:p>
              </w:tc>
              <w:tc>
                <w:tcPr>
                  <w:tcW w:w="87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矿粉筒仓储存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43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7</w:t>
                  </w:r>
                </w:p>
              </w:tc>
              <w:tc>
                <w:tcPr>
                  <w:tcW w:w="505"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6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外加剂（减水剂）</w:t>
                  </w:r>
                </w:p>
              </w:tc>
              <w:tc>
                <w:tcPr>
                  <w:tcW w:w="54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t/a</w:t>
                  </w:r>
                </w:p>
              </w:tc>
              <w:tc>
                <w:tcPr>
                  <w:tcW w:w="68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760</w:t>
                  </w:r>
                </w:p>
              </w:tc>
              <w:tc>
                <w:tcPr>
                  <w:tcW w:w="130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外购，专用罐拉运</w:t>
                  </w:r>
                </w:p>
              </w:tc>
              <w:tc>
                <w:tcPr>
                  <w:tcW w:w="87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8</w:t>
                  </w:r>
                </w:p>
              </w:tc>
              <w:tc>
                <w:tcPr>
                  <w:tcW w:w="505" w:type="pct"/>
                  <w:vMerge w:val="restar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资源、能源</w:t>
                  </w:r>
                </w:p>
              </w:tc>
              <w:tc>
                <w:tcPr>
                  <w:tcW w:w="6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用水</w:t>
                  </w:r>
                </w:p>
              </w:tc>
              <w:tc>
                <w:tcPr>
                  <w:tcW w:w="54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/a</w:t>
                  </w:r>
                </w:p>
              </w:tc>
              <w:tc>
                <w:tcPr>
                  <w:tcW w:w="68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lang w:val="en-US" w:eastAsia="zh-CN"/>
                    </w:rPr>
                    <w:t>15411.04</w:t>
                  </w:r>
                </w:p>
              </w:tc>
              <w:tc>
                <w:tcPr>
                  <w:tcW w:w="130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库尔勒市政供水管网</w:t>
                  </w:r>
                </w:p>
              </w:tc>
              <w:tc>
                <w:tcPr>
                  <w:tcW w:w="87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3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9</w:t>
                  </w:r>
                </w:p>
              </w:tc>
              <w:tc>
                <w:tcPr>
                  <w:tcW w:w="505"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p>
              </w:tc>
              <w:tc>
                <w:tcPr>
                  <w:tcW w:w="650"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用电</w:t>
                  </w:r>
                </w:p>
              </w:tc>
              <w:tc>
                <w:tcPr>
                  <w:tcW w:w="546"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kWh/a</w:t>
                  </w:r>
                </w:p>
              </w:tc>
              <w:tc>
                <w:tcPr>
                  <w:tcW w:w="687"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150</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000</w:t>
                  </w:r>
                </w:p>
              </w:tc>
              <w:tc>
                <w:tcPr>
                  <w:tcW w:w="1301"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供电管网供电</w:t>
                  </w:r>
                </w:p>
              </w:tc>
              <w:tc>
                <w:tcPr>
                  <w:tcW w:w="87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p>
              </w:tc>
            </w:tr>
          </w:tbl>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3、原辅材料理化性质：</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表2</w:t>
            </w:r>
            <w:r>
              <w:rPr>
                <w:rFonts w:hint="default" w:ascii="Times New Roman" w:hAnsi="Times New Roman" w:eastAsia="宋体" w:cs="Times New Roman"/>
                <w:b/>
                <w:bCs/>
                <w:kern w:val="0"/>
                <w:sz w:val="24"/>
                <w:szCs w:val="24"/>
                <w:lang w:val="en-US" w:eastAsia="zh-CN"/>
              </w:rPr>
              <w:t xml:space="preserve">-5  </w:t>
            </w:r>
            <w:r>
              <w:rPr>
                <w:rFonts w:hint="eastAsia" w:ascii="Times New Roman" w:hAnsi="Times New Roman" w:eastAsia="宋体" w:cs="Times New Roman"/>
                <w:b/>
                <w:bCs/>
                <w:kern w:val="0"/>
                <w:sz w:val="24"/>
                <w:szCs w:val="24"/>
                <w:lang w:val="en-US" w:eastAsia="zh-CN"/>
              </w:rPr>
              <w:t>原辅材料物化性质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260"/>
              <w:gridCol w:w="63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noWrap w:val="0"/>
                  <w:vAlign w:val="center"/>
                </w:tcPr>
                <w:p>
                  <w:pPr>
                    <w:pStyle w:val="60"/>
                    <w:rPr>
                      <w:rFonts w:hint="default" w:ascii="Times New Roman" w:hAnsi="Times New Roman" w:eastAsia="宋体" w:cs="Times New Roman"/>
                    </w:rPr>
                  </w:pPr>
                  <w:r>
                    <w:rPr>
                      <w:rFonts w:hint="default" w:ascii="Times New Roman" w:hAnsi="Times New Roman" w:eastAsia="宋体" w:cs="Times New Roman"/>
                    </w:rPr>
                    <w:t>序号</w:t>
                  </w:r>
                </w:p>
              </w:tc>
              <w:tc>
                <w:tcPr>
                  <w:tcW w:w="763" w:type="pct"/>
                  <w:noWrap w:val="0"/>
                  <w:vAlign w:val="center"/>
                </w:tcPr>
                <w:p>
                  <w:pPr>
                    <w:pStyle w:val="60"/>
                    <w:rPr>
                      <w:rFonts w:hint="default" w:ascii="Times New Roman" w:hAnsi="Times New Roman" w:eastAsia="宋体" w:cs="Times New Roman"/>
                    </w:rPr>
                  </w:pPr>
                  <w:r>
                    <w:rPr>
                      <w:rFonts w:hint="default" w:ascii="Times New Roman" w:hAnsi="Times New Roman" w:eastAsia="宋体" w:cs="Times New Roman"/>
                    </w:rPr>
                    <w:t>成分名称</w:t>
                  </w:r>
                </w:p>
              </w:tc>
              <w:tc>
                <w:tcPr>
                  <w:tcW w:w="3824" w:type="pct"/>
                  <w:noWrap w:val="0"/>
                  <w:vAlign w:val="center"/>
                </w:tcPr>
                <w:p>
                  <w:pPr>
                    <w:pStyle w:val="60"/>
                    <w:rPr>
                      <w:rFonts w:hint="default" w:ascii="Times New Roman" w:hAnsi="Times New Roman" w:eastAsia="宋体" w:cs="Times New Roman"/>
                    </w:rPr>
                  </w:pPr>
                  <w:r>
                    <w:rPr>
                      <w:rFonts w:hint="default" w:ascii="Times New Roman" w:hAnsi="Times New Roman" w:eastAsia="宋体" w:cs="Times New Roman"/>
                    </w:rPr>
                    <w:t>物化性质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noWrap w:val="0"/>
                  <w:vAlign w:val="center"/>
                </w:tcPr>
                <w:p>
                  <w:pPr>
                    <w:pStyle w:val="60"/>
                    <w:rPr>
                      <w:rFonts w:hint="default" w:ascii="Times New Roman" w:hAnsi="Times New Roman" w:eastAsia="宋体" w:cs="Times New Roman"/>
                      <w:lang w:val="en-US" w:eastAsia="zh-CN"/>
                    </w:rPr>
                  </w:pPr>
                  <w:r>
                    <w:rPr>
                      <w:rFonts w:hint="eastAsia" w:cs="Times New Roman"/>
                      <w:lang w:val="en-US" w:eastAsia="zh-CN"/>
                    </w:rPr>
                    <w:t>1</w:t>
                  </w:r>
                </w:p>
              </w:tc>
              <w:tc>
                <w:tcPr>
                  <w:tcW w:w="763" w:type="pct"/>
                  <w:noWrap w:val="0"/>
                  <w:vAlign w:val="center"/>
                </w:tcPr>
                <w:p>
                  <w:pPr>
                    <w:pStyle w:val="60"/>
                    <w:rPr>
                      <w:rFonts w:hint="default" w:ascii="Times New Roman" w:hAnsi="Times New Roman" w:eastAsia="宋体" w:cs="Times New Roman"/>
                    </w:rPr>
                  </w:pPr>
                  <w:r>
                    <w:rPr>
                      <w:rFonts w:hint="default" w:ascii="Times New Roman" w:hAnsi="Times New Roman" w:eastAsia="宋体" w:cs="Times New Roman"/>
                    </w:rPr>
                    <w:t>外加剂</w:t>
                  </w:r>
                </w:p>
              </w:tc>
              <w:tc>
                <w:tcPr>
                  <w:tcW w:w="3824" w:type="pct"/>
                  <w:noWrap w:val="0"/>
                  <w:vAlign w:val="center"/>
                </w:tcPr>
                <w:p>
                  <w:pPr>
                    <w:pStyle w:val="60"/>
                    <w:jc w:val="both"/>
                    <w:rPr>
                      <w:rFonts w:hint="default" w:ascii="Times New Roman" w:hAnsi="Times New Roman" w:eastAsia="宋体" w:cs="Times New Roman"/>
                    </w:rPr>
                  </w:pPr>
                  <w:r>
                    <w:rPr>
                      <w:rFonts w:hint="default" w:ascii="Times New Roman" w:hAnsi="Times New Roman" w:eastAsia="宋体" w:cs="Times New Roman"/>
                    </w:rPr>
                    <w:t>外加剂主要为减水剂，减水剂可维持混凝土坍落度基本不变的条件下，能减少拌合用水量的混凝土外加剂。</w:t>
                  </w:r>
                  <w:r>
                    <w:rPr>
                      <w:rFonts w:hint="eastAsia" w:cs="Times New Roman"/>
                      <w:lang w:eastAsia="zh-CN"/>
                    </w:rPr>
                    <w:t>大多</w:t>
                  </w:r>
                  <w:r>
                    <w:rPr>
                      <w:rFonts w:hint="default" w:ascii="Times New Roman" w:hAnsi="Times New Roman" w:eastAsia="宋体" w:cs="Times New Roman"/>
                    </w:rPr>
                    <w:t>属于阴离子表面活性剂，加入混凝土拌合物后对水泥颗粒有分散作用，能改善其工作性，减少单位用水量，改善混凝土拌合物的流动性；或减少单位水泥用量，节约水泥</w:t>
                  </w:r>
                </w:p>
              </w:tc>
            </w:tr>
          </w:tbl>
          <w:p>
            <w:pPr>
              <w:pStyle w:val="67"/>
              <w:keepNext w:val="0"/>
              <w:keepLines w:val="0"/>
              <w:pageBreakBefore w:val="0"/>
              <w:widowControl w:val="0"/>
              <w:kinsoku/>
              <w:overflowPunct/>
              <w:topLinePunct w:val="0"/>
              <w:autoSpaceDE/>
              <w:autoSpaceDN/>
              <w:bidi w:val="0"/>
              <w:adjustRightInd/>
              <w:snapToGrid/>
              <w:spacing w:line="520" w:lineRule="exact"/>
              <w:ind w:left="0" w:leftChars="0" w:firstLine="482" w:firstLineChars="200"/>
              <w:textAlignment w:val="auto"/>
              <w:rPr>
                <w:rFonts w:hint="default"/>
                <w:b/>
                <w:bCs/>
                <w:highlight w:val="none"/>
                <w:lang w:val="en-US" w:eastAsia="zh-CN"/>
              </w:rPr>
            </w:pPr>
            <w:r>
              <w:rPr>
                <w:rFonts w:hint="default"/>
                <w:b/>
                <w:bCs/>
                <w:highlight w:val="none"/>
                <w:lang w:val="en-US" w:eastAsia="zh-CN"/>
              </w:rPr>
              <w:t>4</w:t>
            </w:r>
            <w:r>
              <w:rPr>
                <w:rFonts w:hint="eastAsia"/>
                <w:b/>
                <w:bCs/>
                <w:highlight w:val="none"/>
                <w:lang w:val="en-US" w:eastAsia="zh-CN"/>
              </w:rPr>
              <w:t>、</w:t>
            </w:r>
            <w:r>
              <w:rPr>
                <w:rFonts w:hint="default"/>
                <w:b/>
                <w:bCs/>
                <w:highlight w:val="none"/>
                <w:lang w:val="en-US" w:eastAsia="zh-CN"/>
              </w:rPr>
              <w:t>劳动定员及工作制度</w:t>
            </w:r>
          </w:p>
          <w:p>
            <w:pPr>
              <w:pStyle w:val="67"/>
              <w:keepNext w:val="0"/>
              <w:keepLines w:val="0"/>
              <w:pageBreakBefore w:val="0"/>
              <w:widowControl w:val="0"/>
              <w:kinsoku/>
              <w:overflowPunct/>
              <w:topLinePunct w:val="0"/>
              <w:autoSpaceDE/>
              <w:autoSpaceDN/>
              <w:bidi w:val="0"/>
              <w:adjustRightInd/>
              <w:snapToGrid/>
              <w:spacing w:line="520" w:lineRule="exact"/>
              <w:textAlignment w:val="auto"/>
              <w:rPr>
                <w:rFonts w:hint="default"/>
                <w:highlight w:val="none"/>
                <w:lang w:val="en-US" w:eastAsia="zh-CN"/>
              </w:rPr>
            </w:pPr>
            <w:r>
              <w:rPr>
                <w:rFonts w:hint="default"/>
                <w:highlight w:val="none"/>
                <w:lang w:val="en-US" w:eastAsia="zh-CN"/>
              </w:rPr>
              <w:t>本项目劳动定员</w:t>
            </w:r>
            <w:r>
              <w:rPr>
                <w:rFonts w:hint="eastAsia"/>
                <w:highlight w:val="none"/>
                <w:lang w:val="en-US" w:eastAsia="zh-CN"/>
              </w:rPr>
              <w:t>20</w:t>
            </w:r>
            <w:r>
              <w:rPr>
                <w:rFonts w:hint="default"/>
                <w:highlight w:val="none"/>
                <w:lang w:val="en-US" w:eastAsia="zh-CN"/>
              </w:rPr>
              <w:t>人，项目年生产期约2</w:t>
            </w:r>
            <w:r>
              <w:rPr>
                <w:rFonts w:hint="eastAsia"/>
                <w:highlight w:val="none"/>
                <w:lang w:val="en-US" w:eastAsia="zh-CN"/>
              </w:rPr>
              <w:t>4</w:t>
            </w:r>
            <w:r>
              <w:rPr>
                <w:rFonts w:hint="default"/>
                <w:highlight w:val="none"/>
                <w:lang w:val="en-US" w:eastAsia="zh-CN"/>
              </w:rPr>
              <w:t>0天，冬季不生产，生产期生产制度实行</w:t>
            </w:r>
            <w:r>
              <w:rPr>
                <w:rFonts w:hint="eastAsia"/>
                <w:highlight w:val="none"/>
                <w:lang w:val="en-US" w:eastAsia="zh-CN"/>
              </w:rPr>
              <w:t>三班两倒</w:t>
            </w:r>
            <w:r>
              <w:rPr>
                <w:rFonts w:hint="default"/>
                <w:highlight w:val="none"/>
                <w:lang w:val="en-US" w:eastAsia="zh-CN"/>
              </w:rPr>
              <w:t>工作制，每天工作</w:t>
            </w:r>
            <w:r>
              <w:rPr>
                <w:rFonts w:hint="eastAsia"/>
                <w:highlight w:val="none"/>
                <w:lang w:val="en-US" w:eastAsia="zh-CN"/>
              </w:rPr>
              <w:t>24</w:t>
            </w:r>
            <w:r>
              <w:rPr>
                <w:rFonts w:hint="default"/>
                <w:highlight w:val="none"/>
                <w:lang w:val="en-US" w:eastAsia="zh-CN"/>
              </w:rPr>
              <w:t>小时，职工在厂内</w:t>
            </w:r>
            <w:r>
              <w:rPr>
                <w:rFonts w:hint="eastAsia"/>
                <w:highlight w:val="none"/>
                <w:lang w:val="en-US" w:eastAsia="zh-CN"/>
              </w:rPr>
              <w:t>用餐</w:t>
            </w:r>
            <w:r>
              <w:rPr>
                <w:rFonts w:hint="default"/>
                <w:highlight w:val="none"/>
                <w:lang w:val="en-US" w:eastAsia="zh-CN"/>
              </w:rPr>
              <w:t>。</w:t>
            </w:r>
          </w:p>
          <w:p>
            <w:pPr>
              <w:pStyle w:val="67"/>
              <w:keepNext w:val="0"/>
              <w:keepLines w:val="0"/>
              <w:pageBreakBefore w:val="0"/>
              <w:widowControl w:val="0"/>
              <w:kinsoku/>
              <w:overflowPunct/>
              <w:topLinePunct w:val="0"/>
              <w:autoSpaceDE/>
              <w:autoSpaceDN/>
              <w:bidi w:val="0"/>
              <w:adjustRightInd/>
              <w:snapToGrid/>
              <w:spacing w:line="520" w:lineRule="exact"/>
              <w:ind w:left="0" w:leftChars="0" w:firstLine="482" w:firstLineChars="200"/>
              <w:textAlignment w:val="auto"/>
              <w:rPr>
                <w:rFonts w:hint="default"/>
                <w:b/>
                <w:bCs/>
                <w:highlight w:val="none"/>
                <w:lang w:val="en-US" w:eastAsia="zh-CN"/>
              </w:rPr>
            </w:pPr>
            <w:r>
              <w:rPr>
                <w:rFonts w:hint="default"/>
                <w:b/>
                <w:bCs/>
                <w:highlight w:val="none"/>
                <w:lang w:val="en-US" w:eastAsia="zh-CN"/>
              </w:rPr>
              <w:t>5</w:t>
            </w:r>
            <w:r>
              <w:rPr>
                <w:rFonts w:hint="eastAsia"/>
                <w:b/>
                <w:bCs/>
                <w:highlight w:val="none"/>
                <w:lang w:val="en-US" w:eastAsia="zh-CN"/>
              </w:rPr>
              <w:t>、</w:t>
            </w:r>
            <w:r>
              <w:rPr>
                <w:rFonts w:hint="default"/>
                <w:b/>
                <w:bCs/>
                <w:highlight w:val="none"/>
                <w:lang w:val="en-US" w:eastAsia="zh-CN"/>
              </w:rPr>
              <w:t>平面布置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本项目厂区出入口位于项目区</w:t>
            </w:r>
            <w:r>
              <w:rPr>
                <w:rFonts w:hint="eastAsia" w:ascii="宋体" w:hAnsi="宋体" w:eastAsia="宋体" w:cs="宋体"/>
                <w:sz w:val="24"/>
                <w:szCs w:val="24"/>
                <w:highlight w:val="none"/>
                <w:lang w:val="en-US" w:eastAsia="zh-CN"/>
              </w:rPr>
              <w:t>西南角</w:t>
            </w:r>
            <w:r>
              <w:rPr>
                <w:rFonts w:hint="default" w:ascii="宋体" w:hAnsi="宋体" w:eastAsia="宋体" w:cs="宋体"/>
                <w:sz w:val="24"/>
                <w:szCs w:val="24"/>
                <w:highlight w:val="none"/>
                <w:lang w:val="en-US" w:eastAsia="zh-CN"/>
              </w:rPr>
              <w:t>，供运输车辆和工人出入厂区；</w:t>
            </w:r>
            <w:r>
              <w:rPr>
                <w:rFonts w:hint="eastAsia" w:ascii="宋体" w:hAnsi="宋体" w:cs="宋体"/>
                <w:sz w:val="24"/>
                <w:szCs w:val="24"/>
                <w:highlight w:val="none"/>
                <w:lang w:val="en-US" w:eastAsia="zh-CN"/>
              </w:rPr>
              <w:t>门卫及实验室</w:t>
            </w:r>
            <w:r>
              <w:rPr>
                <w:rFonts w:hint="default" w:ascii="宋体" w:hAnsi="宋体" w:eastAsia="宋体" w:cs="宋体"/>
                <w:sz w:val="24"/>
                <w:szCs w:val="24"/>
                <w:highlight w:val="none"/>
                <w:lang w:val="en-US" w:eastAsia="zh-CN"/>
              </w:rPr>
              <w:t>位于</w:t>
            </w:r>
            <w:r>
              <w:rPr>
                <w:rFonts w:hint="eastAsia" w:ascii="宋体" w:hAnsi="宋体" w:eastAsia="宋体" w:cs="宋体"/>
                <w:sz w:val="24"/>
                <w:szCs w:val="24"/>
                <w:highlight w:val="none"/>
                <w:lang w:val="en-US" w:eastAsia="zh-CN"/>
              </w:rPr>
              <w:t>项目区</w:t>
            </w:r>
            <w:r>
              <w:rPr>
                <w:rFonts w:hint="eastAsia" w:ascii="宋体" w:hAnsi="宋体" w:cs="宋体"/>
                <w:sz w:val="24"/>
                <w:szCs w:val="24"/>
                <w:highlight w:val="none"/>
                <w:lang w:val="en-US" w:eastAsia="zh-CN"/>
              </w:rPr>
              <w:t>西</w:t>
            </w:r>
            <w:r>
              <w:rPr>
                <w:rFonts w:hint="eastAsia" w:ascii="宋体" w:hAnsi="宋体" w:eastAsia="宋体" w:cs="宋体"/>
                <w:sz w:val="24"/>
                <w:szCs w:val="24"/>
                <w:highlight w:val="none"/>
                <w:lang w:val="en-US" w:eastAsia="zh-CN"/>
              </w:rPr>
              <w:t>南</w:t>
            </w:r>
            <w:r>
              <w:rPr>
                <w:rFonts w:hint="eastAsia" w:ascii="宋体" w:hAnsi="宋体" w:cs="宋体"/>
                <w:sz w:val="24"/>
                <w:szCs w:val="24"/>
                <w:highlight w:val="none"/>
                <w:lang w:val="en-US" w:eastAsia="zh-CN"/>
              </w:rPr>
              <w:t>角</w:t>
            </w:r>
            <w:r>
              <w:rPr>
                <w:rFonts w:hint="default"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厂区东南角</w:t>
            </w:r>
            <w:r>
              <w:rPr>
                <w:rFonts w:hint="eastAsia" w:ascii="宋体" w:hAnsi="宋体" w:eastAsia="宋体" w:cs="宋体"/>
                <w:sz w:val="24"/>
                <w:szCs w:val="24"/>
                <w:highlight w:val="none"/>
                <w:lang w:val="en-US" w:eastAsia="zh-CN"/>
              </w:rPr>
              <w:t>为危废</w:t>
            </w:r>
            <w:r>
              <w:rPr>
                <w:rFonts w:hint="eastAsia" w:ascii="宋体" w:hAnsi="宋体" w:cs="宋体"/>
                <w:sz w:val="24"/>
                <w:szCs w:val="24"/>
                <w:highlight w:val="none"/>
                <w:lang w:val="en-US" w:eastAsia="zh-CN"/>
              </w:rPr>
              <w:t>贮存点</w:t>
            </w:r>
            <w:r>
              <w:rPr>
                <w:rFonts w:hint="eastAsia" w:ascii="宋体" w:hAnsi="宋体" w:eastAsia="宋体" w:cs="宋体"/>
                <w:sz w:val="24"/>
                <w:szCs w:val="24"/>
                <w:highlight w:val="none"/>
                <w:lang w:val="en-US" w:eastAsia="zh-CN"/>
              </w:rPr>
              <w:t>，搅拌站及</w:t>
            </w:r>
            <w:r>
              <w:rPr>
                <w:rFonts w:hint="default" w:ascii="宋体" w:hAnsi="宋体" w:eastAsia="宋体" w:cs="宋体"/>
                <w:sz w:val="24"/>
                <w:szCs w:val="24"/>
                <w:highlight w:val="none"/>
                <w:lang w:val="en-US" w:eastAsia="zh-CN"/>
              </w:rPr>
              <w:t>原料堆场位于厂区</w:t>
            </w:r>
            <w:r>
              <w:rPr>
                <w:rFonts w:hint="eastAsia" w:ascii="宋体" w:hAnsi="宋体" w:eastAsia="宋体" w:cs="宋体"/>
                <w:sz w:val="24"/>
                <w:szCs w:val="24"/>
                <w:highlight w:val="none"/>
                <w:lang w:val="en-US" w:eastAsia="zh-CN"/>
              </w:rPr>
              <w:t>中</w:t>
            </w:r>
            <w:r>
              <w:rPr>
                <w:rFonts w:hint="eastAsia" w:ascii="宋体" w:hAnsi="宋体" w:cs="宋体"/>
                <w:sz w:val="24"/>
                <w:szCs w:val="24"/>
                <w:highlight w:val="none"/>
                <w:lang w:val="en-US" w:eastAsia="zh-CN"/>
              </w:rPr>
              <w:t>南</w:t>
            </w:r>
            <w:r>
              <w:rPr>
                <w:rFonts w:hint="eastAsia" w:ascii="宋体" w:hAnsi="宋体" w:eastAsia="宋体" w:cs="宋体"/>
                <w:sz w:val="24"/>
                <w:szCs w:val="24"/>
                <w:highlight w:val="none"/>
                <w:lang w:val="en-US" w:eastAsia="zh-CN"/>
              </w:rPr>
              <w:t>部</w:t>
            </w:r>
            <w:r>
              <w:rPr>
                <w:rFonts w:hint="default" w:ascii="宋体" w:hAnsi="宋体" w:eastAsia="宋体" w:cs="宋体"/>
                <w:sz w:val="24"/>
                <w:szCs w:val="24"/>
                <w:highlight w:val="none"/>
                <w:lang w:val="en-US" w:eastAsia="zh-CN"/>
              </w:rPr>
              <w:t>，运输区域和储存区域布置紧凑靠近拌合楼，以减少长距离运输产生的污染物粉尘；</w:t>
            </w:r>
            <w:r>
              <w:rPr>
                <w:rFonts w:hint="eastAsia" w:ascii="宋体" w:hAnsi="宋体" w:cs="宋体"/>
                <w:sz w:val="24"/>
                <w:szCs w:val="24"/>
                <w:highlight w:val="none"/>
                <w:lang w:val="en-US" w:eastAsia="zh-CN"/>
              </w:rPr>
              <w:t>砂石料场北</w:t>
            </w:r>
            <w:r>
              <w:rPr>
                <w:rFonts w:hint="eastAsia" w:ascii="宋体" w:hAnsi="宋体" w:eastAsia="宋体" w:cs="宋体"/>
                <w:sz w:val="24"/>
                <w:szCs w:val="24"/>
                <w:highlight w:val="none"/>
                <w:lang w:val="en-US" w:eastAsia="zh-CN"/>
              </w:rPr>
              <w:t>侧为三级沉淀池；化粪池</w:t>
            </w:r>
            <w:r>
              <w:rPr>
                <w:rFonts w:hint="eastAsia" w:ascii="宋体" w:hAnsi="宋体" w:cs="宋体"/>
                <w:sz w:val="24"/>
                <w:szCs w:val="24"/>
                <w:highlight w:val="none"/>
                <w:lang w:val="en-US" w:eastAsia="zh-CN"/>
              </w:rPr>
              <w:t>位于</w:t>
            </w:r>
            <w:r>
              <w:rPr>
                <w:rFonts w:hint="eastAsia" w:ascii="宋体" w:hAnsi="宋体" w:eastAsia="宋体" w:cs="宋体"/>
                <w:sz w:val="24"/>
                <w:szCs w:val="24"/>
                <w:highlight w:val="none"/>
                <w:lang w:val="en-US" w:eastAsia="zh-CN"/>
              </w:rPr>
              <w:t>办公</w:t>
            </w:r>
            <w:r>
              <w:rPr>
                <w:rFonts w:hint="eastAsia" w:ascii="宋体" w:hAnsi="宋体" w:cs="宋体"/>
                <w:sz w:val="24"/>
                <w:szCs w:val="24"/>
                <w:highlight w:val="none"/>
                <w:lang w:val="en-US" w:eastAsia="zh-CN"/>
              </w:rPr>
              <w:t>楼一侧</w:t>
            </w:r>
            <w:r>
              <w:rPr>
                <w:rFonts w:hint="default" w:ascii="宋体" w:hAnsi="宋体" w:eastAsia="宋体" w:cs="宋体"/>
                <w:sz w:val="24"/>
                <w:szCs w:val="24"/>
                <w:highlight w:val="none"/>
                <w:lang w:val="en-US" w:eastAsia="zh-CN"/>
              </w:rPr>
              <w:t>。具体平面布置图见附图3。</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cs="宋体"/>
                <w:b/>
                <w:bCs/>
                <w:kern w:val="0"/>
                <w:sz w:val="24"/>
                <w:highlight w:val="none"/>
              </w:rPr>
            </w:pPr>
            <w:r>
              <w:rPr>
                <w:rFonts w:hint="default" w:cs="宋体"/>
                <w:b/>
                <w:bCs/>
                <w:kern w:val="0"/>
                <w:sz w:val="24"/>
                <w:highlight w:val="none"/>
              </w:rPr>
              <w:t>6、水平衡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项目给排水平衡情况见表2-</w:t>
            </w:r>
            <w:r>
              <w:rPr>
                <w:rFonts w:hint="eastAsia" w:ascii="宋体" w:hAnsi="宋体" w:eastAsia="宋体" w:cs="宋体"/>
                <w:sz w:val="24"/>
                <w:szCs w:val="24"/>
                <w:highlight w:val="none"/>
                <w:lang w:val="en-US" w:eastAsia="zh-CN"/>
              </w:rPr>
              <w:t>6</w:t>
            </w:r>
            <w:r>
              <w:rPr>
                <w:rFonts w:hint="default" w:ascii="宋体" w:hAnsi="宋体" w:eastAsia="宋体" w:cs="宋体"/>
                <w:sz w:val="24"/>
                <w:szCs w:val="24"/>
                <w:highlight w:val="none"/>
                <w:lang w:val="en-US" w:eastAsia="zh-CN"/>
              </w:rPr>
              <w:t>，水平衡图见图2。</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表2</w:t>
            </w:r>
            <w:r>
              <w:rPr>
                <w:rFonts w:hint="default" w:ascii="Times New Roman" w:hAnsi="Times New Roman" w:eastAsia="宋体" w:cs="Times New Roman"/>
                <w:b/>
                <w:bCs/>
                <w:kern w:val="0"/>
                <w:sz w:val="24"/>
                <w:szCs w:val="24"/>
                <w:lang w:val="en-US" w:eastAsia="zh-CN"/>
              </w:rPr>
              <w:t>-</w:t>
            </w:r>
            <w:r>
              <w:rPr>
                <w:rFonts w:hint="eastAsia" w:ascii="Times New Roman" w:hAnsi="Times New Roman" w:eastAsia="宋体" w:cs="Times New Roman"/>
                <w:b/>
                <w:bCs/>
                <w:kern w:val="0"/>
                <w:sz w:val="24"/>
                <w:szCs w:val="24"/>
                <w:lang w:val="en-US" w:eastAsia="zh-CN"/>
              </w:rPr>
              <w:t>6</w:t>
            </w:r>
            <w:r>
              <w:rPr>
                <w:rFonts w:hint="default" w:ascii="Times New Roman" w:hAnsi="Times New Roman" w:eastAsia="宋体" w:cs="Times New Roman"/>
                <w:b/>
                <w:bCs/>
                <w:kern w:val="0"/>
                <w:sz w:val="24"/>
                <w:szCs w:val="24"/>
                <w:lang w:val="en-US" w:eastAsia="zh-CN"/>
              </w:rPr>
              <w:t xml:space="preserve">  </w:t>
            </w:r>
            <w:r>
              <w:rPr>
                <w:rFonts w:hint="eastAsia" w:ascii="Times New Roman" w:hAnsi="Times New Roman" w:eastAsia="宋体" w:cs="Times New Roman"/>
                <w:b/>
                <w:bCs/>
                <w:kern w:val="0"/>
                <w:sz w:val="24"/>
                <w:szCs w:val="24"/>
                <w:lang w:val="en-US" w:eastAsia="zh-CN"/>
              </w:rPr>
              <w:t>项目水平衡一览表</w:t>
            </w:r>
            <w:r>
              <w:rPr>
                <w:rFonts w:hint="default" w:ascii="Times New Roman" w:hAnsi="Times New Roman" w:eastAsia="宋体" w:cs="Times New Roman"/>
                <w:b/>
                <w:bCs/>
                <w:kern w:val="0"/>
                <w:sz w:val="24"/>
                <w:szCs w:val="24"/>
                <w:lang w:val="en-US" w:eastAsia="zh-CN"/>
              </w:rPr>
              <w:t xml:space="preserve">    </w:t>
            </w:r>
            <w:r>
              <w:rPr>
                <w:rFonts w:hint="eastAsia" w:ascii="Times New Roman" w:hAnsi="Times New Roman" w:eastAsia="宋体" w:cs="Times New Roman"/>
                <w:b/>
                <w:bCs/>
                <w:kern w:val="0"/>
                <w:sz w:val="24"/>
                <w:szCs w:val="24"/>
                <w:lang w:val="en-US" w:eastAsia="zh-CN"/>
              </w:rPr>
              <w:t>单位：m</w:t>
            </w:r>
            <w:r>
              <w:rPr>
                <w:rFonts w:hint="default" w:ascii="Times New Roman" w:hAnsi="Times New Roman" w:eastAsia="宋体" w:cs="Times New Roman"/>
                <w:b/>
                <w:bCs/>
                <w:kern w:val="0"/>
                <w:sz w:val="24"/>
                <w:szCs w:val="24"/>
                <w:vertAlign w:val="superscript"/>
                <w:lang w:val="en-US" w:eastAsia="zh-CN"/>
              </w:rPr>
              <w:t>3</w:t>
            </w:r>
            <w:r>
              <w:rPr>
                <w:rFonts w:hint="default" w:ascii="Times New Roman" w:hAnsi="Times New Roman" w:eastAsia="宋体" w:cs="Times New Roman"/>
                <w:b/>
                <w:bCs/>
                <w:kern w:val="0"/>
                <w:sz w:val="24"/>
                <w:szCs w:val="24"/>
                <w:lang w:val="en-US" w:eastAsia="zh-CN"/>
              </w:rPr>
              <w:t>/</w:t>
            </w:r>
            <w:r>
              <w:rPr>
                <w:rFonts w:hint="eastAsia" w:ascii="Times New Roman" w:hAnsi="Times New Roman" w:eastAsia="宋体" w:cs="Times New Roman"/>
                <w:b/>
                <w:bCs/>
                <w:kern w:val="0"/>
                <w:sz w:val="24"/>
                <w:szCs w:val="24"/>
                <w:lang w:val="en-US" w:eastAsia="zh-CN"/>
              </w:rPr>
              <w:t>a</w:t>
            </w:r>
          </w:p>
          <w:tbl>
            <w:tblPr>
              <w:tblStyle w:val="23"/>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6"/>
              <w:gridCol w:w="1351"/>
              <w:gridCol w:w="1081"/>
              <w:gridCol w:w="1020"/>
              <w:gridCol w:w="1000"/>
              <w:gridCol w:w="2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936"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名称</w:t>
                  </w:r>
                </w:p>
              </w:tc>
              <w:tc>
                <w:tcPr>
                  <w:tcW w:w="818"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新鲜用水量</w:t>
                  </w:r>
                </w:p>
              </w:tc>
              <w:tc>
                <w:tcPr>
                  <w:tcW w:w="654"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消耗量</w:t>
                  </w:r>
                </w:p>
              </w:tc>
              <w:tc>
                <w:tcPr>
                  <w:tcW w:w="61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循环/综合利用</w:t>
                  </w:r>
                </w:p>
              </w:tc>
              <w:tc>
                <w:tcPr>
                  <w:tcW w:w="605"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排放量</w:t>
                  </w:r>
                </w:p>
              </w:tc>
              <w:tc>
                <w:tcPr>
                  <w:tcW w:w="136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trPr>
              <w:tc>
                <w:tcPr>
                  <w:tcW w:w="936"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生产</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搅拌用水</w:t>
                  </w:r>
                </w:p>
              </w:tc>
              <w:tc>
                <w:tcPr>
                  <w:tcW w:w="818"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w:t>
                  </w:r>
                  <w:r>
                    <w:rPr>
                      <w:rFonts w:hint="eastAsia" w:cs="Times New Roman"/>
                      <w:color w:val="000000" w:themeColor="text1"/>
                      <w:szCs w:val="21"/>
                      <w:highlight w:val="none"/>
                      <w:lang w:val="en-US" w:eastAsia="zh-CN"/>
                      <w14:textFill>
                        <w14:solidFill>
                          <w14:schemeClr w14:val="tx1"/>
                        </w14:solidFill>
                      </w14:textFill>
                    </w:rPr>
                    <w:t>0000</w:t>
                  </w:r>
                </w:p>
              </w:tc>
              <w:tc>
                <w:tcPr>
                  <w:tcW w:w="654"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w:t>
                  </w:r>
                  <w:r>
                    <w:rPr>
                      <w:rFonts w:hint="eastAsia" w:cs="Times New Roman"/>
                      <w:color w:val="000000" w:themeColor="text1"/>
                      <w:szCs w:val="21"/>
                      <w:highlight w:val="none"/>
                      <w:lang w:val="en-US" w:eastAsia="zh-CN"/>
                      <w14:textFill>
                        <w14:solidFill>
                          <w14:schemeClr w14:val="tx1"/>
                        </w14:solidFill>
                      </w14:textFill>
                    </w:rPr>
                    <w:t>0000</w:t>
                  </w:r>
                </w:p>
              </w:tc>
              <w:tc>
                <w:tcPr>
                  <w:tcW w:w="61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w:t>
                  </w:r>
                </w:p>
              </w:tc>
              <w:tc>
                <w:tcPr>
                  <w:tcW w:w="605"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w:t>
                  </w:r>
                </w:p>
              </w:tc>
              <w:tc>
                <w:tcPr>
                  <w:tcW w:w="136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产品带走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trPr>
              <w:tc>
                <w:tcPr>
                  <w:tcW w:w="936"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清洗用水</w:t>
                  </w:r>
                </w:p>
              </w:tc>
              <w:tc>
                <w:tcPr>
                  <w:tcW w:w="818"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3600</w:t>
                  </w:r>
                </w:p>
              </w:tc>
              <w:tc>
                <w:tcPr>
                  <w:tcW w:w="654"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720</w:t>
                  </w:r>
                </w:p>
              </w:tc>
              <w:tc>
                <w:tcPr>
                  <w:tcW w:w="61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2880</w:t>
                  </w:r>
                </w:p>
              </w:tc>
              <w:tc>
                <w:tcPr>
                  <w:tcW w:w="605"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0</w:t>
                  </w:r>
                </w:p>
              </w:tc>
              <w:tc>
                <w:tcPr>
                  <w:tcW w:w="136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沉淀后回用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936"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实验用水</w:t>
                  </w:r>
                </w:p>
              </w:tc>
              <w:tc>
                <w:tcPr>
                  <w:tcW w:w="818"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120</w:t>
                  </w:r>
                </w:p>
              </w:tc>
              <w:tc>
                <w:tcPr>
                  <w:tcW w:w="654"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pPr>
                  <w:r>
                    <w:rPr>
                      <w:rFonts w:hint="eastAsia" w:cs="Times New Roman"/>
                      <w:color w:val="000000" w:themeColor="text1"/>
                      <w:szCs w:val="21"/>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4</w:t>
                  </w:r>
                </w:p>
              </w:tc>
              <w:tc>
                <w:tcPr>
                  <w:tcW w:w="61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96</w:t>
                  </w:r>
                </w:p>
              </w:tc>
              <w:tc>
                <w:tcPr>
                  <w:tcW w:w="605"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w:t>
                  </w:r>
                </w:p>
              </w:tc>
              <w:tc>
                <w:tcPr>
                  <w:tcW w:w="136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沉淀后回用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936"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生活用水</w:t>
                  </w:r>
                </w:p>
              </w:tc>
              <w:tc>
                <w:tcPr>
                  <w:tcW w:w="818"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240</w:t>
                  </w:r>
                </w:p>
              </w:tc>
              <w:tc>
                <w:tcPr>
                  <w:tcW w:w="654"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48</w:t>
                  </w:r>
                </w:p>
              </w:tc>
              <w:tc>
                <w:tcPr>
                  <w:tcW w:w="61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w:t>
                  </w:r>
                </w:p>
              </w:tc>
              <w:tc>
                <w:tcPr>
                  <w:tcW w:w="605"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192</w:t>
                  </w:r>
                </w:p>
              </w:tc>
              <w:tc>
                <w:tcPr>
                  <w:tcW w:w="136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经化粪池预处理后拉运至库尔勒南市区污水处理厂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936"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绿化用水</w:t>
                  </w:r>
                </w:p>
              </w:tc>
              <w:tc>
                <w:tcPr>
                  <w:tcW w:w="818"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1451.04</w:t>
                  </w:r>
                </w:p>
              </w:tc>
              <w:tc>
                <w:tcPr>
                  <w:tcW w:w="654"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1451.04</w:t>
                  </w:r>
                </w:p>
              </w:tc>
              <w:tc>
                <w:tcPr>
                  <w:tcW w:w="61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w:t>
                  </w:r>
                </w:p>
              </w:tc>
              <w:tc>
                <w:tcPr>
                  <w:tcW w:w="605"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0</w:t>
                  </w:r>
                </w:p>
              </w:tc>
              <w:tc>
                <w:tcPr>
                  <w:tcW w:w="136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全部被植被吸收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936"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合计</w:t>
                  </w:r>
                </w:p>
              </w:tc>
              <w:tc>
                <w:tcPr>
                  <w:tcW w:w="818"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lang w:val="en-US" w:eastAsia="zh-CN"/>
                    </w:rPr>
                    <w:t>15411.04</w:t>
                  </w:r>
                </w:p>
              </w:tc>
              <w:tc>
                <w:tcPr>
                  <w:tcW w:w="654"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w:t>
                  </w:r>
                  <w:r>
                    <w:rPr>
                      <w:rFonts w:hint="eastAsia" w:cs="Times New Roman"/>
                      <w:color w:val="000000" w:themeColor="text1"/>
                      <w:szCs w:val="21"/>
                      <w:highlight w:val="none"/>
                      <w:lang w:val="en-US" w:eastAsia="zh-CN"/>
                      <w14:textFill>
                        <w14:solidFill>
                          <w14:schemeClr w14:val="tx1"/>
                        </w14:solidFill>
                      </w14:textFill>
                    </w:rPr>
                    <w:t>2243.04</w:t>
                  </w:r>
                </w:p>
              </w:tc>
              <w:tc>
                <w:tcPr>
                  <w:tcW w:w="61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2976</w:t>
                  </w:r>
                </w:p>
              </w:tc>
              <w:tc>
                <w:tcPr>
                  <w:tcW w:w="605"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192</w:t>
                  </w:r>
                </w:p>
              </w:tc>
              <w:tc>
                <w:tcPr>
                  <w:tcW w:w="1367" w:type="pct"/>
                  <w:tcBorders>
                    <w:tl2br w:val="nil"/>
                    <w:tr2bl w:val="nil"/>
                  </w:tcBorders>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w:t>
                  </w:r>
                </w:p>
              </w:tc>
            </w:tr>
          </w:tbl>
          <w:p>
            <w:pPr>
              <w:pStyle w:val="2"/>
              <w:ind w:left="0" w:leftChars="0" w:firstLine="0" w:firstLineChars="0"/>
              <w:rPr>
                <w:rFonts w:hint="eastAsia"/>
                <w:sz w:val="24"/>
              </w:rPr>
            </w:pPr>
          </w:p>
          <w:p>
            <w:pPr>
              <w:jc w:val="center"/>
              <w:rPr>
                <w:rFonts w:hint="eastAsia"/>
                <w:sz w:val="24"/>
              </w:rPr>
            </w:pPr>
            <w:r>
              <w:drawing>
                <wp:inline distT="0" distB="0" distL="114300" distR="114300">
                  <wp:extent cx="4368165" cy="3799840"/>
                  <wp:effectExtent l="0" t="0" r="13335" b="1016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0"/>
                          <a:stretch>
                            <a:fillRect/>
                          </a:stretch>
                        </pic:blipFill>
                        <pic:spPr>
                          <a:xfrm>
                            <a:off x="0" y="0"/>
                            <a:ext cx="4368165" cy="37998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eastAsia"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 xml:space="preserve">图1 </w:t>
            </w:r>
            <w:r>
              <w:rPr>
                <w:rFonts w:hint="eastAsia" w:cs="Times New Roman"/>
                <w:b/>
                <w:bCs/>
                <w:kern w:val="0"/>
                <w:sz w:val="24"/>
                <w:szCs w:val="24"/>
                <w:lang w:val="en-US" w:eastAsia="zh-CN"/>
              </w:rPr>
              <w:t xml:space="preserve"> </w:t>
            </w:r>
            <w:r>
              <w:rPr>
                <w:rFonts w:hint="eastAsia" w:ascii="Times New Roman" w:hAnsi="Times New Roman" w:eastAsia="宋体" w:cs="Times New Roman"/>
                <w:b/>
                <w:bCs/>
                <w:kern w:val="0"/>
                <w:sz w:val="24"/>
                <w:szCs w:val="24"/>
                <w:lang w:val="en-US" w:eastAsia="zh-CN"/>
              </w:rPr>
              <w:t>本项目水平衡示意图（m</w:t>
            </w:r>
            <w:r>
              <w:rPr>
                <w:rFonts w:hint="eastAsia" w:ascii="Times New Roman" w:hAnsi="Times New Roman" w:eastAsia="宋体" w:cs="Times New Roman"/>
                <w:b/>
                <w:bCs/>
                <w:kern w:val="0"/>
                <w:sz w:val="24"/>
                <w:szCs w:val="24"/>
                <w:vertAlign w:val="superscript"/>
                <w:lang w:val="en-US" w:eastAsia="zh-CN"/>
              </w:rPr>
              <w:t>3</w:t>
            </w:r>
            <w:r>
              <w:rPr>
                <w:rFonts w:hint="eastAsia" w:ascii="Times New Roman" w:hAnsi="Times New Roman" w:eastAsia="宋体" w:cs="Times New Roman"/>
                <w:b/>
                <w:bCs/>
                <w:kern w:val="0"/>
                <w:sz w:val="24"/>
                <w:szCs w:val="24"/>
                <w:lang w:val="en-US" w:eastAsia="zh-CN"/>
              </w:rPr>
              <w: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8" w:type="dxa"/>
            <w:noWrap w:val="0"/>
            <w:vAlign w:val="center"/>
          </w:tcPr>
          <w:p>
            <w:pPr>
              <w:pStyle w:val="21"/>
              <w:adjustRightInd w:val="0"/>
              <w:snapToGrid w:val="0"/>
              <w:spacing w:before="0" w:beforeAutospacing="0" w:after="0" w:afterAutospacing="0"/>
              <w:jc w:val="center"/>
              <w:rPr>
                <w:rFonts w:cs="宋体"/>
                <w:sz w:val="21"/>
                <w:szCs w:val="21"/>
              </w:rPr>
            </w:pPr>
            <w:r>
              <w:rPr>
                <w:rFonts w:hint="eastAsia" w:cs="宋体"/>
                <w:sz w:val="21"/>
                <w:szCs w:val="21"/>
              </w:rPr>
              <w:t>工艺流程和产排污环节</w:t>
            </w:r>
          </w:p>
        </w:tc>
        <w:tc>
          <w:tcPr>
            <w:tcW w:w="8482" w:type="dxa"/>
            <w:noWrap w:val="0"/>
            <w:vAlign w:val="top"/>
          </w:tcPr>
          <w:p>
            <w:pPr>
              <w:pStyle w:val="18"/>
              <w:ind w:left="0" w:leftChars="0" w:firstLine="0" w:firstLineChars="0"/>
              <w:jc w:val="center"/>
              <w:rPr>
                <w:rFonts w:hint="default" w:ascii="Times New Roman" w:hAnsi="Times New Roman" w:eastAsia="宋体" w:cs="Times New Roman"/>
                <w:b/>
                <w:bCs/>
                <w:kern w:val="0"/>
                <w:sz w:val="24"/>
                <w:szCs w:val="24"/>
                <w:lang w:val="en-US" w:eastAsia="zh-CN"/>
              </w:rPr>
            </w:pPr>
            <w:r>
              <w:drawing>
                <wp:anchor distT="0" distB="0" distL="114300" distR="114300" simplePos="0" relativeHeight="251659264" behindDoc="0" locked="0" layoutInCell="1" allowOverlap="1">
                  <wp:simplePos x="0" y="0"/>
                  <wp:positionH relativeFrom="column">
                    <wp:posOffset>995680</wp:posOffset>
                  </wp:positionH>
                  <wp:positionV relativeFrom="paragraph">
                    <wp:posOffset>98425</wp:posOffset>
                  </wp:positionV>
                  <wp:extent cx="3515360" cy="4105910"/>
                  <wp:effectExtent l="0" t="0" r="8890" b="8890"/>
                  <wp:wrapTopAndBottom/>
                  <wp:docPr id="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
                          <pic:cNvPicPr>
                            <a:picLocks noChangeAspect="1"/>
                          </pic:cNvPicPr>
                        </pic:nvPicPr>
                        <pic:blipFill>
                          <a:blip r:embed="rId11"/>
                          <a:stretch>
                            <a:fillRect/>
                          </a:stretch>
                        </pic:blipFill>
                        <pic:spPr>
                          <a:xfrm>
                            <a:off x="0" y="0"/>
                            <a:ext cx="3515360" cy="4105910"/>
                          </a:xfrm>
                          <a:prstGeom prst="rect">
                            <a:avLst/>
                          </a:prstGeom>
                          <a:noFill/>
                          <a:ln>
                            <a:noFill/>
                          </a:ln>
                        </pic:spPr>
                      </pic:pic>
                    </a:graphicData>
                  </a:graphic>
                </wp:anchor>
              </w:drawing>
            </w:r>
            <w:r>
              <w:rPr>
                <w:rFonts w:hint="default" w:ascii="Times New Roman" w:hAnsi="Times New Roman" w:eastAsia="宋体" w:cs="Times New Roman"/>
                <w:b/>
                <w:bCs/>
                <w:kern w:val="0"/>
                <w:sz w:val="24"/>
                <w:szCs w:val="24"/>
                <w:lang w:val="en-US" w:eastAsia="zh-CN"/>
              </w:rPr>
              <w:t>图</w:t>
            </w:r>
            <w:r>
              <w:rPr>
                <w:rFonts w:hint="eastAsia" w:ascii="Times New Roman" w:hAnsi="Times New Roman" w:eastAsia="宋体" w:cs="Times New Roman"/>
                <w:b/>
                <w:bCs/>
                <w:kern w:val="0"/>
                <w:sz w:val="24"/>
                <w:szCs w:val="24"/>
                <w:lang w:val="en-US" w:eastAsia="zh-CN"/>
              </w:rPr>
              <w:t xml:space="preserve">2  </w:t>
            </w:r>
            <w:r>
              <w:rPr>
                <w:rFonts w:hint="default" w:ascii="Times New Roman" w:hAnsi="Times New Roman" w:eastAsia="宋体" w:cs="Times New Roman"/>
                <w:b/>
                <w:bCs/>
                <w:kern w:val="0"/>
                <w:sz w:val="24"/>
                <w:szCs w:val="24"/>
                <w:lang w:val="en-US" w:eastAsia="zh-CN"/>
              </w:rPr>
              <w:t>工艺流程及产污环节图</w:t>
            </w:r>
          </w:p>
          <w:p>
            <w:pPr>
              <w:rPr>
                <w:rFonts w:hint="eastAsia" w:ascii="Times New Roman" w:hAnsi="Times New Roman" w:eastAsia="宋体" w:cs="Times New Roman"/>
                <w:b/>
                <w:bCs/>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contextualSpacing/>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（1）生产工艺流程简述：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contextualSpacing/>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骨料称量：所需骨料主要为砂石料，由汽车运至厂区（要求混凝土所需骨料需符合使用标准，或经过洗石机洗石达标的骨料），通过车辆自卸方式存入料场。再分别用装载机装入密闭料仓，在料仓下方均接一个计量秤，分别对各种砂石料按质量配比称量，称好的砂石料由皮带输送机（封闭）输送到骨料过渡仓，由过渡仓开门落至混凝土搅拌机内搅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contextualSpacing/>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粉料称量（水泥、粉煤灰、矿粉）：所需的粉料由密封罐车运至厂区，再由罐车或其他输送装置通过压缩空气泵打入立式筒仓，开启蝶阀，粉料落入密闭螺旋输送机，再由螺旋输送机输送到称量斗称量，称好的水泥由水泥称量斗下的气缸开启蝶阀滑入混凝土搅拌机内搅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contextualSpacing/>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水称量：所</w:t>
            </w:r>
            <w:r>
              <w:rPr>
                <w:rFonts w:hint="eastAsia" w:cs="Times New Roman"/>
                <w:sz w:val="24"/>
                <w:szCs w:val="24"/>
                <w:highlight w:val="none"/>
                <w:lang w:val="en-US" w:eastAsia="zh-CN"/>
              </w:rPr>
              <w:t>需水</w:t>
            </w:r>
            <w:r>
              <w:rPr>
                <w:rFonts w:hint="eastAsia" w:ascii="Times New Roman" w:hAnsi="Times New Roman" w:eastAsia="宋体" w:cs="Times New Roman"/>
                <w:sz w:val="24"/>
                <w:szCs w:val="24"/>
                <w:highlight w:val="none"/>
                <w:lang w:val="en-US" w:eastAsia="zh-CN"/>
              </w:rPr>
              <w:t>由</w:t>
            </w:r>
            <w:r>
              <w:rPr>
                <w:rFonts w:hint="eastAsia" w:cs="Times New Roman"/>
                <w:sz w:val="24"/>
                <w:szCs w:val="24"/>
                <w:highlight w:val="none"/>
                <w:lang w:val="en-US" w:eastAsia="zh-CN"/>
              </w:rPr>
              <w:t>水泵</w:t>
            </w:r>
            <w:r>
              <w:rPr>
                <w:rFonts w:hint="eastAsia" w:ascii="Times New Roman" w:hAnsi="Times New Roman" w:eastAsia="宋体" w:cs="Times New Roman"/>
                <w:sz w:val="24"/>
                <w:szCs w:val="24"/>
                <w:highlight w:val="none"/>
                <w:lang w:val="en-US" w:eastAsia="zh-CN"/>
              </w:rPr>
              <w:t>抽入称量箱称量，称好的水投入混凝土搅拌机。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contextualSpacing/>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外加剂称量：所需的</w:t>
            </w:r>
            <w:r>
              <w:rPr>
                <w:rFonts w:hint="eastAsia" w:cs="Times New Roman"/>
                <w:sz w:val="24"/>
                <w:szCs w:val="24"/>
                <w:highlight w:val="none"/>
                <w:lang w:val="en-US" w:eastAsia="zh-CN"/>
              </w:rPr>
              <w:t>外加剂</w:t>
            </w:r>
            <w:r>
              <w:rPr>
                <w:rFonts w:hint="eastAsia" w:ascii="Times New Roman" w:hAnsi="Times New Roman" w:eastAsia="宋体" w:cs="Times New Roman"/>
                <w:sz w:val="24"/>
                <w:szCs w:val="24"/>
                <w:highlight w:val="none"/>
                <w:lang w:val="en-US" w:eastAsia="zh-CN"/>
              </w:rPr>
              <w:t>由自吸泵从外加剂桶内抽至称量箱称量，称好的添加剂投入混凝土搅拌机。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contextualSpacing/>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混凝土搅拌站的搅拌主机进行搅拌：骨料、粉料、水及外加剂等是按照设定的时间投入混凝土搅拌机的，进入混凝土搅拌机的物料在相互翻转的两根搅拌轴上的双道螺旋叶片的搅拌</w:t>
            </w:r>
            <w:r>
              <w:rPr>
                <w:rFonts w:hint="eastAsia" w:cs="Times New Roman"/>
                <w:sz w:val="24"/>
                <w:szCs w:val="24"/>
                <w:highlight w:val="none"/>
                <w:lang w:val="en-US" w:eastAsia="zh-CN"/>
              </w:rPr>
              <w:t>下</w:t>
            </w:r>
            <w:r>
              <w:rPr>
                <w:rFonts w:hint="eastAsia" w:ascii="Times New Roman" w:hAnsi="Times New Roman" w:eastAsia="宋体" w:cs="Times New Roman"/>
                <w:sz w:val="24"/>
                <w:szCs w:val="24"/>
                <w:highlight w:val="none"/>
                <w:lang w:val="en-US" w:eastAsia="zh-CN"/>
              </w:rPr>
              <w:t>产生挤压，摩擦、剪切、对流，从而进行剧烈的强制掺合。搅拌时间到时，由搅拌机开门装置的气缸将门打开，由叶片将已搅拌好的混凝土推到等待在混凝土搅拌机下的运输车（在进入运输车之前先取一部分搅拌好的混凝土进行抽测试验，检验是否满足要求</w:t>
            </w:r>
            <w:r>
              <w:rPr>
                <w:rFonts w:hint="eastAsia"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主要包括原料细度，产品的坍落度、扩展度、抗水渗透性能等，通过检验仪器设施进行试验，全为物理检验</w:t>
            </w:r>
            <w:r>
              <w:rPr>
                <w:rFonts w:hint="eastAsia" w:ascii="Times New Roman" w:hAnsi="Times New Roman" w:cs="Times New Roman"/>
                <w:sz w:val="24"/>
                <w:szCs w:val="24"/>
                <w:highlight w:val="none"/>
                <w:lang w:val="en-US" w:eastAsia="zh-CN"/>
              </w:rPr>
              <w:t>，不</w:t>
            </w:r>
            <w:r>
              <w:rPr>
                <w:rFonts w:hint="eastAsia" w:ascii="Times New Roman" w:hAnsi="Times New Roman" w:eastAsia="宋体" w:cs="Times New Roman"/>
                <w:sz w:val="24"/>
                <w:szCs w:val="24"/>
                <w:highlight w:val="none"/>
                <w:lang w:val="en-US" w:eastAsia="zh-CN"/>
              </w:rPr>
              <w:t>需要添加化学试剂），合格后全部推出</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关门进入下一个搅拌循环，成品料由混凝土罐车运往施工现场。</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contextualSpacing/>
              <w:textAlignment w:val="auto"/>
              <w:rPr>
                <w:rFonts w:hint="eastAsia"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产排污环节分析：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contextualSpacing/>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项目生产中会产生相应类别的污染物，公辅设施也会产生相应污染物，主要为厂区职工生活污水</w:t>
            </w:r>
            <w:r>
              <w:rPr>
                <w:rFonts w:hint="eastAsia" w:ascii="Times New Roman" w:hAnsi="Times New Roman" w:eastAsia="宋体" w:cs="Times New Roman"/>
                <w:sz w:val="24"/>
                <w:szCs w:val="24"/>
                <w:highlight w:val="none"/>
                <w:lang w:val="en-US" w:eastAsia="zh-CN"/>
              </w:rPr>
              <w:t>和</w:t>
            </w:r>
            <w:r>
              <w:rPr>
                <w:rFonts w:hint="default" w:ascii="Times New Roman" w:hAnsi="Times New Roman" w:eastAsia="宋体" w:cs="Times New Roman"/>
                <w:sz w:val="24"/>
                <w:szCs w:val="24"/>
                <w:highlight w:val="none"/>
                <w:lang w:val="en-US" w:eastAsia="zh-CN"/>
              </w:rPr>
              <w:t>厂区生活垃圾。本项目产污环节汇总</w:t>
            </w:r>
            <w:r>
              <w:rPr>
                <w:rFonts w:hint="eastAsia" w:ascii="Times New Roman" w:hAnsi="Times New Roman" w:eastAsia="宋体" w:cs="Times New Roman"/>
                <w:sz w:val="24"/>
                <w:szCs w:val="24"/>
                <w:highlight w:val="none"/>
                <w:lang w:val="en-US" w:eastAsia="zh-CN"/>
              </w:rPr>
              <w:t>详</w:t>
            </w:r>
            <w:r>
              <w:rPr>
                <w:rFonts w:hint="default" w:ascii="Times New Roman" w:hAnsi="Times New Roman" w:eastAsia="宋体" w:cs="Times New Roman"/>
                <w:sz w:val="24"/>
                <w:szCs w:val="24"/>
                <w:highlight w:val="none"/>
                <w:lang w:val="en-US" w:eastAsia="zh-CN"/>
              </w:rPr>
              <w:t>见</w:t>
            </w:r>
            <w:r>
              <w:rPr>
                <w:rFonts w:hint="eastAsia" w:ascii="Times New Roman" w:hAnsi="Times New Roman" w:eastAsia="宋体" w:cs="Times New Roman"/>
                <w:sz w:val="24"/>
                <w:szCs w:val="24"/>
                <w:highlight w:val="none"/>
                <w:lang w:val="en-US" w:eastAsia="zh-CN"/>
              </w:rPr>
              <w:t>下</w:t>
            </w:r>
            <w:r>
              <w:rPr>
                <w:rFonts w:hint="default" w:ascii="Times New Roman" w:hAnsi="Times New Roman" w:eastAsia="宋体" w:cs="Times New Roman"/>
                <w:sz w:val="24"/>
                <w:szCs w:val="24"/>
                <w:highlight w:val="none"/>
                <w:lang w:val="en-US" w:eastAsia="zh-CN"/>
              </w:rPr>
              <w:t>表。</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表</w:t>
            </w:r>
            <w:r>
              <w:rPr>
                <w:rFonts w:hint="default" w:ascii="Times New Roman" w:hAnsi="Times New Roman" w:eastAsia="宋体" w:cs="Times New Roman"/>
                <w:b/>
                <w:bCs/>
                <w:kern w:val="0"/>
                <w:sz w:val="24"/>
                <w:szCs w:val="24"/>
                <w:lang w:val="en-US" w:eastAsia="zh-CN"/>
              </w:rPr>
              <w:t>2-</w:t>
            </w:r>
            <w:r>
              <w:rPr>
                <w:rFonts w:hint="eastAsia" w:ascii="Times New Roman" w:hAnsi="Times New Roman" w:eastAsia="宋体" w:cs="Times New Roman"/>
                <w:b/>
                <w:bCs/>
                <w:kern w:val="0"/>
                <w:sz w:val="24"/>
                <w:szCs w:val="24"/>
                <w:lang w:val="en-US" w:eastAsia="zh-CN"/>
              </w:rPr>
              <w:t xml:space="preserve">7  </w:t>
            </w:r>
            <w:r>
              <w:rPr>
                <w:rFonts w:hint="eastAsia" w:cs="Times New Roman"/>
                <w:b/>
                <w:bCs/>
                <w:kern w:val="0"/>
                <w:sz w:val="24"/>
                <w:szCs w:val="24"/>
                <w:lang w:val="en-US" w:eastAsia="zh-CN"/>
              </w:rPr>
              <w:t>项目运营期主要污染工序一览表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377"/>
              <w:gridCol w:w="2599"/>
              <w:gridCol w:w="3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9"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污染类别</w:t>
                  </w:r>
                </w:p>
              </w:tc>
              <w:tc>
                <w:tcPr>
                  <w:tcW w:w="83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产排污环节</w:t>
                  </w:r>
                </w:p>
              </w:tc>
              <w:tc>
                <w:tcPr>
                  <w:tcW w:w="157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污染物种类</w:t>
                  </w:r>
                </w:p>
              </w:tc>
              <w:tc>
                <w:tcPr>
                  <w:tcW w:w="183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防治措施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0" w:hRule="atLeast"/>
                <w:jc w:val="center"/>
              </w:trPr>
              <w:tc>
                <w:tcPr>
                  <w:tcW w:w="759" w:type="pct"/>
                  <w:vMerge w:val="restar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废气</w:t>
                  </w:r>
                </w:p>
              </w:tc>
              <w:tc>
                <w:tcPr>
                  <w:tcW w:w="834" w:type="pct"/>
                  <w:noWrap w:val="0"/>
                  <w:vAlign w:val="center"/>
                </w:tcPr>
                <w:p>
                  <w:pPr>
                    <w:jc w:val="center"/>
                    <w:rPr>
                      <w:rFonts w:hint="default" w:ascii="Times New Roman" w:hAnsi="Times New Roman" w:eastAsia="宋体" w:cs="Times New Roman"/>
                      <w:szCs w:val="21"/>
                      <w:highlight w:val="none"/>
                      <w:lang w:val="en-US" w:eastAsia="zh-CN"/>
                    </w:rPr>
                  </w:pPr>
                  <w:r>
                    <w:rPr>
                      <w:rFonts w:hint="eastAsia"/>
                      <w:sz w:val="21"/>
                      <w:szCs w:val="21"/>
                      <w:highlight w:val="none"/>
                      <w:vertAlign w:val="baseline"/>
                      <w:lang w:val="en-US" w:eastAsia="zh-CN"/>
                    </w:rPr>
                    <w:t>原料堆场</w:t>
                  </w:r>
                </w:p>
              </w:tc>
              <w:tc>
                <w:tcPr>
                  <w:tcW w:w="157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颗粒物</w:t>
                  </w:r>
                </w:p>
              </w:tc>
              <w:tc>
                <w:tcPr>
                  <w:tcW w:w="183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设置全密闭原料堆场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759"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34" w:type="pct"/>
                  <w:noWrap w:val="0"/>
                  <w:vAlign w:val="center"/>
                </w:tcPr>
                <w:p>
                  <w:pPr>
                    <w:jc w:val="center"/>
                    <w:rPr>
                      <w:rFonts w:hint="default" w:ascii="Times New Roman" w:hAnsi="Times New Roman" w:eastAsia="宋体" w:cs="Times New Roman"/>
                      <w:szCs w:val="21"/>
                      <w:highlight w:val="none"/>
                      <w:lang w:val="en-US" w:eastAsia="zh-CN"/>
                    </w:rPr>
                  </w:pPr>
                  <w:r>
                    <w:rPr>
                      <w:rFonts w:hint="eastAsia"/>
                      <w:sz w:val="21"/>
                      <w:szCs w:val="21"/>
                      <w:highlight w:val="none"/>
                      <w:vertAlign w:val="baseline"/>
                      <w:lang w:val="en-US" w:eastAsia="zh-CN"/>
                    </w:rPr>
                    <w:t>粉料筒仓</w:t>
                  </w:r>
                </w:p>
              </w:tc>
              <w:tc>
                <w:tcPr>
                  <w:tcW w:w="157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颗粒物</w:t>
                  </w:r>
                </w:p>
              </w:tc>
              <w:tc>
                <w:tcPr>
                  <w:tcW w:w="183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密闭筒仓+仓顶袋式除尘器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9"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34" w:type="pct"/>
                  <w:noWrap w:val="0"/>
                  <w:vAlign w:val="center"/>
                </w:tcPr>
                <w:p>
                  <w:pPr>
                    <w:jc w:val="center"/>
                    <w:rPr>
                      <w:rFonts w:hint="default" w:ascii="Times New Roman" w:hAnsi="Times New Roman" w:eastAsia="宋体" w:cs="Times New Roman"/>
                      <w:szCs w:val="21"/>
                      <w:highlight w:val="none"/>
                      <w:lang w:val="en-US" w:eastAsia="zh-CN"/>
                    </w:rPr>
                  </w:pPr>
                  <w:r>
                    <w:rPr>
                      <w:rFonts w:hint="eastAsia"/>
                      <w:sz w:val="21"/>
                      <w:szCs w:val="21"/>
                      <w:highlight w:val="none"/>
                      <w:vertAlign w:val="baseline"/>
                      <w:lang w:val="en-US" w:eastAsia="zh-CN"/>
                    </w:rPr>
                    <w:t>投料工序</w:t>
                  </w:r>
                </w:p>
              </w:tc>
              <w:tc>
                <w:tcPr>
                  <w:tcW w:w="157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颗粒物</w:t>
                  </w:r>
                </w:p>
              </w:tc>
              <w:tc>
                <w:tcPr>
                  <w:tcW w:w="183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设置在全密闭原料堆场内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9"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34"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sz w:val="21"/>
                      <w:szCs w:val="21"/>
                      <w:highlight w:val="none"/>
                      <w:vertAlign w:val="baseline"/>
                      <w:lang w:val="en-US" w:eastAsia="zh-CN"/>
                    </w:rPr>
                    <w:t>混合搅拌</w:t>
                  </w:r>
                </w:p>
              </w:tc>
              <w:tc>
                <w:tcPr>
                  <w:tcW w:w="157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颗粒物</w:t>
                  </w:r>
                </w:p>
              </w:tc>
              <w:tc>
                <w:tcPr>
                  <w:tcW w:w="183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反吹风式布袋除尘器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9"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34"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lang w:val="en-US" w:eastAsia="zh-CN"/>
                    </w:rPr>
                    <w:t>食堂油烟</w:t>
                  </w:r>
                </w:p>
              </w:tc>
              <w:tc>
                <w:tcPr>
                  <w:tcW w:w="157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油烟</w:t>
                  </w:r>
                </w:p>
              </w:tc>
              <w:tc>
                <w:tcPr>
                  <w:tcW w:w="183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油烟净化器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9" w:type="pct"/>
                  <w:vMerge w:val="restar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废水</w:t>
                  </w:r>
                </w:p>
              </w:tc>
              <w:tc>
                <w:tcPr>
                  <w:tcW w:w="83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生活污水</w:t>
                  </w:r>
                </w:p>
              </w:tc>
              <w:tc>
                <w:tcPr>
                  <w:tcW w:w="3406" w:type="pct"/>
                  <w:gridSpan w:val="2"/>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经化粪池预处理后拉运至库尔勒市南市区污水处理厂处置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9"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3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清洗废水</w:t>
                  </w:r>
                </w:p>
              </w:tc>
              <w:tc>
                <w:tcPr>
                  <w:tcW w:w="3406" w:type="pct"/>
                  <w:gridSpan w:val="2"/>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三级沉淀池+回用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9" w:type="pct"/>
                  <w:vMerge w:val="restar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固体废物</w:t>
                  </w:r>
                </w:p>
              </w:tc>
              <w:tc>
                <w:tcPr>
                  <w:tcW w:w="83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罐车、搅拌机</w:t>
                  </w:r>
                  <w:r>
                    <w:rPr>
                      <w:rFonts w:hint="eastAsia" w:cs="Times New Roman"/>
                      <w:szCs w:val="21"/>
                      <w:highlight w:val="none"/>
                      <w:lang w:val="en-US" w:eastAsia="zh-CN"/>
                    </w:rPr>
                    <w:t>清洗</w:t>
                  </w:r>
                </w:p>
              </w:tc>
              <w:tc>
                <w:tcPr>
                  <w:tcW w:w="157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沉淀池沉渣</w:t>
                  </w:r>
                </w:p>
              </w:tc>
              <w:tc>
                <w:tcPr>
                  <w:tcW w:w="183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砂石分离机分离后回用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9"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cs="Times New Roman"/>
                      <w:szCs w:val="21"/>
                      <w:highlight w:val="none"/>
                      <w:lang w:val="en-US" w:eastAsia="zh-CN"/>
                    </w:rPr>
                  </w:pPr>
                </w:p>
              </w:tc>
              <w:tc>
                <w:tcPr>
                  <w:tcW w:w="83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实验室化验</w:t>
                  </w:r>
                </w:p>
              </w:tc>
              <w:tc>
                <w:tcPr>
                  <w:tcW w:w="157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cs="Times New Roman"/>
                      <w:szCs w:val="21"/>
                      <w:highlight w:val="none"/>
                      <w:lang w:val="en-US" w:eastAsia="zh-CN"/>
                    </w:rPr>
                  </w:pPr>
                  <w:r>
                    <w:rPr>
                      <w:rFonts w:hint="eastAsia" w:cs="Times New Roman"/>
                      <w:szCs w:val="21"/>
                      <w:highlight w:val="none"/>
                      <w:lang w:val="en-US" w:eastAsia="zh-CN"/>
                    </w:rPr>
                    <w:t>废弃混凝土</w:t>
                  </w:r>
                </w:p>
              </w:tc>
              <w:tc>
                <w:tcPr>
                  <w:tcW w:w="1832"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cs="Times New Roman"/>
                      <w:szCs w:val="21"/>
                      <w:highlight w:val="none"/>
                      <w:lang w:val="en-US" w:eastAsia="zh-CN"/>
                    </w:rPr>
                  </w:pPr>
                  <w:r>
                    <w:rPr>
                      <w:rFonts w:hint="eastAsia" w:cs="Times New Roman"/>
                      <w:szCs w:val="21"/>
                      <w:highlight w:val="none"/>
                      <w:lang w:val="en-US" w:eastAsia="zh-CN"/>
                    </w:rPr>
                    <w:t>拉运至一般固废填埋场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9"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3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生活垃圾</w:t>
                  </w:r>
                </w:p>
              </w:tc>
              <w:tc>
                <w:tcPr>
                  <w:tcW w:w="3406" w:type="pct"/>
                  <w:gridSpan w:val="2"/>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集中收集委托环卫部门处置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9" w:type="pct"/>
                  <w:vMerge w:val="continue"/>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p>
              </w:tc>
              <w:tc>
                <w:tcPr>
                  <w:tcW w:w="83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废机油</w:t>
                  </w:r>
                </w:p>
              </w:tc>
              <w:tc>
                <w:tcPr>
                  <w:tcW w:w="3406" w:type="pct"/>
                  <w:gridSpan w:val="2"/>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危</w:t>
                  </w:r>
                  <w:r>
                    <w:rPr>
                      <w:rFonts w:hint="eastAsia" w:cs="Times New Roman"/>
                      <w:szCs w:val="21"/>
                      <w:highlight w:val="none"/>
                      <w:lang w:val="en-US" w:eastAsia="zh-CN"/>
                    </w:rPr>
                    <w:t>贮存点</w:t>
                  </w:r>
                  <w:r>
                    <w:rPr>
                      <w:rFonts w:hint="eastAsia" w:ascii="Times New Roman" w:hAnsi="Times New Roman" w:eastAsia="宋体" w:cs="Times New Roman"/>
                      <w:szCs w:val="21"/>
                      <w:highlight w:val="none"/>
                      <w:lang w:val="en-US" w:eastAsia="zh-CN"/>
                    </w:rPr>
                    <w:t>暂存，委托有资质的单位定期处置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59"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噪声</w:t>
                  </w:r>
                </w:p>
              </w:tc>
              <w:tc>
                <w:tcPr>
                  <w:tcW w:w="834" w:type="pct"/>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szCs w:val="21"/>
                      <w:highlight w:val="none"/>
                      <w:lang w:val="en-US" w:eastAsia="zh-CN"/>
                    </w:rPr>
                  </w:pPr>
                  <w:r>
                    <w:rPr>
                      <w:rFonts w:hint="eastAsia"/>
                      <w:highlight w:val="none"/>
                      <w:lang w:val="en-US" w:eastAsia="zh-CN"/>
                    </w:rPr>
                    <w:t>生产设备及运输车辆噪声</w:t>
                  </w:r>
                </w:p>
              </w:tc>
              <w:tc>
                <w:tcPr>
                  <w:tcW w:w="3406" w:type="pct"/>
                  <w:gridSpan w:val="2"/>
                  <w:noWrap w:val="0"/>
                  <w:vAlign w:val="center"/>
                </w:tcPr>
                <w:p>
                  <w:pPr>
                    <w:keepNext w:val="0"/>
                    <w:keepLines w:val="0"/>
                    <w:pageBreakBefore w:val="0"/>
                    <w:tabs>
                      <w:tab w:val="right" w:leader="dot" w:pos="8820"/>
                    </w:tabs>
                    <w:kinsoku/>
                    <w:wordWrap/>
                    <w:overflowPunct/>
                    <w:topLinePunct w:val="0"/>
                    <w:autoSpaceDE/>
                    <w:autoSpaceDN/>
                    <w:bidi w:val="0"/>
                    <w:adjustRightInd/>
                    <w:snapToGrid/>
                    <w:spacing w:line="300" w:lineRule="exact"/>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隔声减振、距离衰减</w:t>
                  </w:r>
                </w:p>
              </w:tc>
            </w:tr>
          </w:tbl>
          <w:p>
            <w:pPr>
              <w:pStyle w:val="67"/>
              <w:keepNext w:val="0"/>
              <w:keepLines w:val="0"/>
              <w:pageBreakBefore w:val="0"/>
              <w:widowControl w:val="0"/>
              <w:kinsoku/>
              <w:overflowPunct/>
              <w:topLinePunct w:val="0"/>
              <w:autoSpaceDE/>
              <w:autoSpaceDN/>
              <w:bidi w:val="0"/>
              <w:adjustRightInd/>
              <w:snapToGrid/>
              <w:spacing w:line="520" w:lineRule="exact"/>
              <w:textAlignment w:val="auto"/>
              <w:rPr>
                <w:rFonts w:hint="default" w:ascii="宋体" w:hAnsi="宋体" w:eastAsia="宋体"/>
                <w:bCs/>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0" w:hRule="atLeast"/>
          <w:jc w:val="center"/>
        </w:trPr>
        <w:tc>
          <w:tcPr>
            <w:tcW w:w="578" w:type="dxa"/>
            <w:noWrap w:val="0"/>
            <w:vAlign w:val="center"/>
          </w:tcPr>
          <w:p>
            <w:pPr>
              <w:pStyle w:val="21"/>
              <w:adjustRightInd w:val="0"/>
              <w:snapToGrid w:val="0"/>
              <w:spacing w:before="0" w:beforeAutospacing="0" w:after="0" w:afterAutospacing="0"/>
              <w:jc w:val="center"/>
              <w:rPr>
                <w:rFonts w:cs="宋体"/>
                <w:sz w:val="21"/>
                <w:szCs w:val="21"/>
              </w:rPr>
            </w:pPr>
            <w:r>
              <w:rPr>
                <w:rFonts w:hint="eastAsia" w:cs="宋体"/>
                <w:bCs/>
                <w:kern w:val="2"/>
                <w:sz w:val="21"/>
                <w:szCs w:val="21"/>
              </w:rPr>
              <w:t>与项目有关的原有环境污染问题</w:t>
            </w:r>
          </w:p>
        </w:tc>
        <w:tc>
          <w:tcPr>
            <w:tcW w:w="8482" w:type="dxa"/>
            <w:noWrap w:val="0"/>
            <w:vAlign w:val="top"/>
          </w:tcPr>
          <w:p>
            <w:pPr>
              <w:pStyle w:val="67"/>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1.项目已建设基本情况</w:t>
            </w:r>
          </w:p>
          <w:p>
            <w:pPr>
              <w:pStyle w:val="71"/>
              <w:bidi w:val="0"/>
              <w:rPr>
                <w:rFonts w:hint="eastAsia"/>
                <w:lang w:val="en-US" w:eastAsia="zh-CN"/>
              </w:rPr>
            </w:pPr>
            <w:r>
              <w:rPr>
                <w:rFonts w:hint="default" w:ascii="Times New Roman" w:hAnsi="Times New Roman" w:eastAsia="宋体" w:cs="Times New Roman"/>
                <w:sz w:val="24"/>
                <w:szCs w:val="24"/>
                <w:highlight w:val="none"/>
                <w:lang w:val="en-US" w:eastAsia="zh-CN"/>
              </w:rPr>
              <w:t>本项目建设内容包括：</w:t>
            </w:r>
            <w:r>
              <w:rPr>
                <w:rFonts w:hint="eastAsia" w:ascii="Times New Roman" w:hAnsi="Times New Roman" w:eastAsia="宋体" w:cs="Times New Roman"/>
                <w:sz w:val="24"/>
                <w:szCs w:val="24"/>
                <w:highlight w:val="none"/>
                <w:lang w:val="en-US" w:eastAsia="zh-CN"/>
              </w:rPr>
              <w:t>一条年产1</w:t>
            </w:r>
            <w:r>
              <w:rPr>
                <w:rFonts w:hint="default" w:ascii="Times New Roman" w:hAnsi="Times New Roman" w:eastAsia="宋体" w:cs="Times New Roman"/>
                <w:sz w:val="24"/>
                <w:szCs w:val="24"/>
                <w:highlight w:val="none"/>
                <w:lang w:val="en-US" w:eastAsia="zh-CN"/>
              </w:rPr>
              <w:t>0万</w:t>
            </w:r>
            <w:r>
              <w:rPr>
                <w:rFonts w:hint="eastAsia" w:ascii="Times New Roman" w:hAnsi="Times New Roman" w:eastAsia="宋体" w:cs="Times New Roman"/>
                <w:sz w:val="24"/>
                <w:szCs w:val="24"/>
                <w:highlight w:val="none"/>
                <w:lang w:val="en-US" w:eastAsia="zh-CN"/>
              </w:rPr>
              <w:t>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的商品混凝土生产线，主要包括1座180型封闭式搅拌楼、3个水泥筒仓、1个粉煤灰筒仓、1个矿粉筒仓、2个外加剂罐、</w:t>
            </w:r>
            <w:r>
              <w:rPr>
                <w:rFonts w:hint="default" w:ascii="Times New Roman" w:hAnsi="Times New Roman" w:eastAsia="宋体" w:cs="Times New Roman"/>
                <w:sz w:val="24"/>
                <w:szCs w:val="24"/>
                <w:highlight w:val="none"/>
                <w:lang w:val="en-US" w:eastAsia="zh-CN"/>
              </w:rPr>
              <w:t>原料堆场区</w:t>
            </w:r>
            <w:r>
              <w:rPr>
                <w:rFonts w:hint="eastAsia" w:ascii="Times New Roman" w:hAnsi="Times New Roman" w:eastAsia="宋体" w:cs="Times New Roman"/>
                <w:sz w:val="24"/>
                <w:szCs w:val="24"/>
                <w:highlight w:val="none"/>
                <w:lang w:val="en-US" w:eastAsia="zh-CN"/>
              </w:rPr>
              <w:t>、三级沉淀池及其他配套工程。</w:t>
            </w:r>
            <w:r>
              <w:rPr>
                <w:rFonts w:hint="eastAsia"/>
                <w:lang w:val="en-US" w:eastAsia="zh-CN"/>
              </w:rPr>
              <w:t>现补办相关环评手续。现场调查情况可知，项目周边无环境敏感目标。</w:t>
            </w:r>
          </w:p>
          <w:p>
            <w:pPr>
              <w:pStyle w:val="71"/>
              <w:bidi w:val="0"/>
              <w:rPr>
                <w:rFonts w:hint="eastAsia"/>
                <w:lang w:val="en-US" w:eastAsia="zh-CN"/>
              </w:rPr>
            </w:pPr>
            <w:r>
              <w:rPr>
                <w:rFonts w:hint="eastAsia"/>
                <w:lang w:val="en-US" w:eastAsia="zh-CN"/>
              </w:rPr>
              <w:t>2.项目已有污染防治措施</w:t>
            </w:r>
          </w:p>
          <w:p>
            <w:pPr>
              <w:pStyle w:val="71"/>
              <w:bidi w:val="0"/>
              <w:rPr>
                <w:rFonts w:hint="eastAsia"/>
                <w:lang w:val="en-US" w:eastAsia="zh-CN"/>
              </w:rPr>
            </w:pPr>
            <w:r>
              <w:rPr>
                <w:rFonts w:hint="eastAsia"/>
                <w:lang w:val="en-US" w:eastAsia="zh-CN"/>
              </w:rPr>
              <w:t>根据现场了解的情况，目前厂区内已有的污染防治措施如下：</w:t>
            </w:r>
          </w:p>
          <w:p>
            <w:pPr>
              <w:pStyle w:val="71"/>
              <w:bidi w:val="0"/>
              <w:rPr>
                <w:rFonts w:hint="default"/>
                <w:highlight w:val="none"/>
                <w:lang w:val="en-US" w:eastAsia="zh-CN"/>
              </w:rPr>
            </w:pPr>
            <w:r>
              <w:rPr>
                <w:rFonts w:hint="eastAsia"/>
                <w:highlight w:val="none"/>
                <w:lang w:val="en-US" w:eastAsia="zh-CN"/>
              </w:rPr>
              <w:t>废气：筒仓产生的颗粒物均由筒仓自带的脉冲式布袋除尘器处理后进行无组织排放；搅拌粉尘经反吹风式布袋除尘器处理后返回至搅拌机内；砂石料堆放在全密闭堆场内。</w:t>
            </w:r>
          </w:p>
          <w:p>
            <w:pPr>
              <w:pStyle w:val="71"/>
              <w:bidi w:val="0"/>
              <w:rPr>
                <w:rFonts w:hint="eastAsia"/>
                <w:lang w:val="en-US" w:eastAsia="zh-CN"/>
              </w:rPr>
            </w:pPr>
            <w:r>
              <w:rPr>
                <w:rFonts w:hint="eastAsia"/>
                <w:lang w:val="en-US" w:eastAsia="zh-CN"/>
              </w:rPr>
              <w:t>废水：项目生活污水经化粪池处理后拉运至库尔勒市南市区污水处理厂；生产废水经三级沉淀池沉淀后用于洒水降尘。</w:t>
            </w:r>
          </w:p>
          <w:p>
            <w:pPr>
              <w:pStyle w:val="71"/>
              <w:bidi w:val="0"/>
              <w:rPr>
                <w:rFonts w:hint="eastAsia"/>
                <w:highlight w:val="none"/>
                <w:lang w:val="en-US" w:eastAsia="zh-CN"/>
              </w:rPr>
            </w:pPr>
            <w:r>
              <w:rPr>
                <w:rFonts w:hint="eastAsia"/>
                <w:lang w:val="en-US" w:eastAsia="zh-CN"/>
              </w:rPr>
              <w:t>噪声：</w:t>
            </w:r>
            <w:r>
              <w:rPr>
                <w:rFonts w:hint="eastAsia"/>
                <w:highlight w:val="none"/>
                <w:lang w:val="en-US" w:eastAsia="zh-CN"/>
              </w:rPr>
              <w:t>厂区内采用低噪声源设备、并采取减振等措施。</w:t>
            </w:r>
          </w:p>
          <w:p>
            <w:pPr>
              <w:pStyle w:val="71"/>
              <w:bidi w:val="0"/>
              <w:rPr>
                <w:rFonts w:hint="default"/>
                <w:highlight w:val="none"/>
                <w:lang w:val="en-US" w:eastAsia="zh-CN"/>
              </w:rPr>
            </w:pPr>
            <w:r>
              <w:rPr>
                <w:rFonts w:hint="eastAsia"/>
                <w:highlight w:val="none"/>
                <w:lang w:val="en-US" w:eastAsia="zh-CN"/>
              </w:rPr>
              <w:t>固废：沉淀池沉渣经砂石分离机分离后回用于生产；废机油等危险废物暂存于危废贮存点内，定期交由有资质单位处置；生活垃圾集中收集后委托环卫部门处置。</w:t>
            </w:r>
          </w:p>
          <w:p>
            <w:pPr>
              <w:pStyle w:val="67"/>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3.项目主要存在的环境整改问题</w:t>
            </w:r>
          </w:p>
          <w:p>
            <w:pPr>
              <w:pStyle w:val="67"/>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（1）项目环保手续不全，正在补充办理相关环保手续；</w:t>
            </w:r>
          </w:p>
          <w:p>
            <w:pPr>
              <w:pStyle w:val="67"/>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（2）厂区内目前未设置危废贮存点，项目取得环评批复后应立即依据环评及批复内容整改建设；</w:t>
            </w:r>
          </w:p>
          <w:p>
            <w:pPr>
              <w:pStyle w:val="67"/>
              <w:keepNext w:val="0"/>
              <w:keepLines w:val="0"/>
              <w:pageBreakBefore w:val="0"/>
              <w:widowControl w:val="0"/>
              <w:kinsoku/>
              <w:overflowPunct/>
              <w:topLinePunct w:val="0"/>
              <w:autoSpaceDE/>
              <w:autoSpaceDN/>
              <w:bidi w:val="0"/>
              <w:adjustRightInd/>
              <w:snapToGrid/>
              <w:spacing w:line="520" w:lineRule="exact"/>
              <w:textAlignment w:val="auto"/>
              <w:rPr>
                <w:rFonts w:hint="eastAsia"/>
                <w:highlight w:val="none"/>
                <w:lang w:val="en-US" w:eastAsia="zh-CN"/>
              </w:rPr>
            </w:pPr>
            <w:r>
              <w:rPr>
                <w:rFonts w:hint="eastAsia"/>
                <w:highlight w:val="none"/>
                <w:lang w:val="en-US" w:eastAsia="zh-CN"/>
              </w:rPr>
              <w:t>（3）厂区内污染源排放口标识标牌未设置，项目取得环评批复后应立即在相关产污环节设置标识标牌。</w:t>
            </w:r>
          </w:p>
          <w:p>
            <w:pPr>
              <w:pStyle w:val="67"/>
              <w:keepNext w:val="0"/>
              <w:keepLines w:val="0"/>
              <w:pageBreakBefore w:val="0"/>
              <w:widowControl w:val="0"/>
              <w:kinsoku/>
              <w:overflowPunct/>
              <w:topLinePunct w:val="0"/>
              <w:autoSpaceDE/>
              <w:autoSpaceDN/>
              <w:bidi w:val="0"/>
              <w:adjustRightInd/>
              <w:snapToGrid/>
              <w:spacing w:line="520" w:lineRule="exact"/>
              <w:textAlignment w:val="auto"/>
              <w:rPr>
                <w:rFonts w:hint="eastAsia"/>
                <w:sz w:val="24"/>
                <w:szCs w:val="24"/>
                <w:lang w:val="en-US" w:eastAsia="zh-CN"/>
              </w:rPr>
            </w:pPr>
          </w:p>
        </w:tc>
      </w:tr>
    </w:tbl>
    <w:p>
      <w:pPr>
        <w:pStyle w:val="21"/>
        <w:jc w:val="center"/>
        <w:rPr>
          <w:rFonts w:ascii="黑体" w:hAnsi="黑体" w:eastAsia="黑体"/>
          <w:snapToGrid w:val="0"/>
          <w:sz w:val="36"/>
          <w:szCs w:val="36"/>
        </w:rPr>
        <w:sectPr>
          <w:pgSz w:w="11906" w:h="16838"/>
          <w:pgMar w:top="1701" w:right="1531" w:bottom="1701" w:left="1531" w:header="851" w:footer="851" w:gutter="0"/>
          <w:cols w:space="720" w:num="1"/>
          <w:docGrid w:linePitch="312" w:charSpace="0"/>
        </w:sectPr>
      </w:pPr>
    </w:p>
    <w:p>
      <w:pPr>
        <w:pStyle w:val="21"/>
        <w:adjustRightInd w:val="0"/>
        <w:snapToGrid w:val="0"/>
        <w:spacing w:before="0" w:beforeAutospacing="0" w:after="0" w:afterAutospacing="0" w:line="14" w:lineRule="auto"/>
        <w:jc w:val="center"/>
        <w:outlineLvl w:val="0"/>
        <w:rPr>
          <w:rFonts w:hint="eastAsia" w:ascii="黑体" w:hAnsi="黑体" w:eastAsia="黑体"/>
          <w:snapToGrid w:val="0"/>
          <w:sz w:val="30"/>
          <w:szCs w:val="30"/>
        </w:rPr>
      </w:pPr>
    </w:p>
    <w:p>
      <w:pPr>
        <w:pStyle w:val="21"/>
        <w:jc w:val="center"/>
        <w:outlineLvl w:val="0"/>
        <w:rPr>
          <w:rFonts w:ascii="黑体" w:hAnsi="黑体" w:eastAsia="黑体"/>
          <w:snapToGrid w:val="0"/>
          <w:sz w:val="30"/>
          <w:szCs w:val="30"/>
        </w:rPr>
      </w:pPr>
      <w:r>
        <w:rPr>
          <w:rFonts w:hint="eastAsia" w:ascii="黑体" w:hAnsi="黑体" w:eastAsia="黑体"/>
          <w:snapToGrid w:val="0"/>
          <w:sz w:val="30"/>
          <w:szCs w:val="30"/>
        </w:rPr>
        <w:t>三、区域环境质量现状、环境保护目标及评价标准</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337" w:hRule="atLeast"/>
          <w:jc w:val="center"/>
        </w:trPr>
        <w:tc>
          <w:tcPr>
            <w:tcW w:w="800" w:type="dxa"/>
            <w:noWrap w:val="0"/>
            <w:vAlign w:val="center"/>
          </w:tcPr>
          <w:p>
            <w:pPr>
              <w:adjustRightInd w:val="0"/>
              <w:snapToGrid w:val="0"/>
              <w:jc w:val="center"/>
              <w:rPr>
                <w:rFonts w:hint="eastAsia" w:ascii="宋体" w:hAnsi="宋体" w:cs="宋体"/>
                <w:kern w:val="0"/>
                <w:szCs w:val="21"/>
              </w:rPr>
            </w:pPr>
            <w:r>
              <w:rPr>
                <w:rFonts w:hint="eastAsia" w:ascii="宋体" w:hAnsi="宋体" w:cs="宋体"/>
                <w:kern w:val="0"/>
                <w:szCs w:val="21"/>
              </w:rPr>
              <w:t>区域</w:t>
            </w:r>
          </w:p>
          <w:p>
            <w:pPr>
              <w:adjustRightInd w:val="0"/>
              <w:snapToGrid w:val="0"/>
              <w:jc w:val="center"/>
              <w:rPr>
                <w:rFonts w:hint="eastAsia" w:ascii="宋体" w:hAnsi="宋体" w:cs="宋体"/>
                <w:kern w:val="0"/>
                <w:szCs w:val="21"/>
              </w:rPr>
            </w:pPr>
            <w:r>
              <w:rPr>
                <w:rFonts w:hint="eastAsia" w:ascii="宋体" w:hAnsi="宋体" w:cs="宋体"/>
                <w:kern w:val="0"/>
                <w:szCs w:val="21"/>
              </w:rPr>
              <w:t>环境</w:t>
            </w:r>
          </w:p>
          <w:p>
            <w:pPr>
              <w:adjustRightInd w:val="0"/>
              <w:snapToGrid w:val="0"/>
              <w:jc w:val="center"/>
              <w:rPr>
                <w:rFonts w:hint="eastAsia" w:ascii="宋体" w:hAnsi="宋体" w:cs="宋体"/>
                <w:kern w:val="0"/>
                <w:szCs w:val="21"/>
              </w:rPr>
            </w:pPr>
            <w:r>
              <w:rPr>
                <w:rFonts w:hint="eastAsia" w:ascii="宋体" w:hAnsi="宋体" w:cs="宋体"/>
                <w:kern w:val="0"/>
                <w:szCs w:val="21"/>
              </w:rPr>
              <w:t>质量</w:t>
            </w:r>
          </w:p>
          <w:p>
            <w:pPr>
              <w:adjustRightInd w:val="0"/>
              <w:snapToGrid w:val="0"/>
              <w:jc w:val="center"/>
              <w:rPr>
                <w:rFonts w:ascii="宋体" w:hAnsi="宋体" w:cs="宋体"/>
                <w:kern w:val="0"/>
                <w:szCs w:val="21"/>
              </w:rPr>
            </w:pPr>
            <w:r>
              <w:rPr>
                <w:rFonts w:hint="eastAsia" w:ascii="宋体" w:hAnsi="宋体" w:cs="宋体"/>
                <w:kern w:val="0"/>
                <w:szCs w:val="21"/>
              </w:rPr>
              <w:t>现状</w:t>
            </w:r>
          </w:p>
        </w:tc>
        <w:tc>
          <w:tcPr>
            <w:tcW w:w="8190" w:type="dxa"/>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520" w:lineRule="exact"/>
              <w:ind w:right="0" w:rightChars="0" w:firstLine="482" w:firstLineChars="200"/>
              <w:textAlignment w:val="auto"/>
              <w:rPr>
                <w:rFonts w:hint="default" w:ascii="Times New Roman" w:hAnsi="Times New Roman" w:eastAsia="宋体" w:cs="Times New Roman"/>
                <w:b/>
                <w:color w:val="auto"/>
                <w:kern w:val="0"/>
                <w:sz w:val="24"/>
                <w:szCs w:val="24"/>
                <w:lang w:val="en-US" w:eastAsia="zh-CN"/>
              </w:rPr>
            </w:pPr>
            <w:r>
              <w:rPr>
                <w:rFonts w:hint="default" w:ascii="Times New Roman" w:hAnsi="Times New Roman" w:eastAsia="宋体" w:cs="Times New Roman"/>
                <w:b/>
                <w:color w:val="auto"/>
                <w:kern w:val="0"/>
                <w:sz w:val="24"/>
                <w:szCs w:val="24"/>
                <w:lang w:val="en-US" w:eastAsia="zh-CN"/>
              </w:rPr>
              <w:t>一、大气环境质量现状</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Times New Roman" w:hAnsi="Times New Roman" w:cs="宋体"/>
                <w:b/>
                <w:bCs/>
                <w:kern w:val="0"/>
                <w:sz w:val="24"/>
                <w:szCs w:val="24"/>
                <w:lang w:val="en-US" w:eastAsia="zh-CN"/>
              </w:rPr>
            </w:pPr>
            <w:r>
              <w:rPr>
                <w:rFonts w:hint="eastAsia" w:ascii="Times New Roman" w:hAnsi="Times New Roman" w:cs="宋体"/>
                <w:b/>
                <w:bCs/>
                <w:kern w:val="0"/>
                <w:sz w:val="24"/>
                <w:szCs w:val="24"/>
                <w:lang w:val="en-US" w:eastAsia="zh-CN"/>
              </w:rPr>
              <w:t>1.1基本污染物空气环境质量现状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lang w:val="en-US" w:eastAsia="zh-CN"/>
              </w:rPr>
              <w:t>根据《建设项目环境影响报告表编制技术指南（污染影响类）（试行）》，对于基本污染物环境质量现状数据，项目所在区域达标判定优先采用国家或地方生态环境主管部门公开发布的评价基准年环境质量公告或环境质量报告中的数据或结论。根据指南对环境质量现状数据的要求，本次评价引用生态环境部环境工程评估中心公布的全国环境空气质量达标区判定。</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lang w:val="en-US" w:eastAsia="zh-CN"/>
              </w:rPr>
              <w:t>本次评价采用巴音郭楞蒙古自治州库尔勒市2024年的监测数据，作为环境空气现状评价基本污染物SO</w:t>
            </w:r>
            <w:r>
              <w:rPr>
                <w:rFonts w:hint="eastAsia" w:ascii="Times New Roman" w:hAnsi="Times New Roman" w:eastAsia="宋体" w:cs="宋体"/>
                <w:kern w:val="0"/>
                <w:sz w:val="24"/>
                <w:szCs w:val="24"/>
                <w:highlight w:val="none"/>
                <w:vertAlign w:val="subscript"/>
                <w:lang w:val="en-US" w:eastAsia="zh-CN"/>
              </w:rPr>
              <w:t>2</w:t>
            </w:r>
            <w:r>
              <w:rPr>
                <w:rFonts w:hint="eastAsia" w:ascii="Times New Roman" w:hAnsi="Times New Roman" w:eastAsia="宋体" w:cs="宋体"/>
                <w:kern w:val="0"/>
                <w:sz w:val="24"/>
                <w:szCs w:val="24"/>
                <w:highlight w:val="none"/>
                <w:lang w:val="en-US" w:eastAsia="zh-CN"/>
              </w:rPr>
              <w:t>、NO</w:t>
            </w:r>
            <w:r>
              <w:rPr>
                <w:rFonts w:hint="eastAsia" w:ascii="Times New Roman" w:hAnsi="Times New Roman" w:eastAsia="宋体" w:cs="宋体"/>
                <w:kern w:val="0"/>
                <w:sz w:val="24"/>
                <w:szCs w:val="24"/>
                <w:highlight w:val="none"/>
                <w:vertAlign w:val="subscript"/>
                <w:lang w:val="en-US" w:eastAsia="zh-CN"/>
              </w:rPr>
              <w:t>2</w:t>
            </w:r>
            <w:r>
              <w:rPr>
                <w:rFonts w:hint="eastAsia" w:ascii="Times New Roman" w:hAnsi="Times New Roman" w:eastAsia="宋体" w:cs="宋体"/>
                <w:kern w:val="0"/>
                <w:sz w:val="24"/>
                <w:szCs w:val="24"/>
                <w:highlight w:val="none"/>
                <w:lang w:val="en-US" w:eastAsia="zh-CN"/>
              </w:rPr>
              <w:t>、PM</w:t>
            </w:r>
            <w:r>
              <w:rPr>
                <w:rFonts w:hint="eastAsia" w:ascii="Times New Roman" w:hAnsi="Times New Roman" w:eastAsia="宋体" w:cs="宋体"/>
                <w:kern w:val="0"/>
                <w:sz w:val="24"/>
                <w:szCs w:val="24"/>
                <w:highlight w:val="none"/>
                <w:vertAlign w:val="subscript"/>
                <w:lang w:val="en-US" w:eastAsia="zh-CN"/>
              </w:rPr>
              <w:t>10</w:t>
            </w:r>
            <w:r>
              <w:rPr>
                <w:rFonts w:hint="eastAsia" w:ascii="Times New Roman" w:hAnsi="Times New Roman" w:eastAsia="宋体" w:cs="宋体"/>
                <w:kern w:val="0"/>
                <w:sz w:val="24"/>
                <w:szCs w:val="24"/>
                <w:highlight w:val="none"/>
                <w:lang w:val="en-US" w:eastAsia="zh-CN"/>
              </w:rPr>
              <w:t>、PM</w:t>
            </w:r>
            <w:r>
              <w:rPr>
                <w:rFonts w:hint="eastAsia" w:ascii="Times New Roman" w:hAnsi="Times New Roman" w:eastAsia="宋体" w:cs="宋体"/>
                <w:kern w:val="0"/>
                <w:sz w:val="24"/>
                <w:szCs w:val="24"/>
                <w:highlight w:val="none"/>
                <w:vertAlign w:val="subscript"/>
                <w:lang w:val="en-US" w:eastAsia="zh-CN"/>
              </w:rPr>
              <w:t>2.5</w:t>
            </w:r>
            <w:r>
              <w:rPr>
                <w:rFonts w:hint="eastAsia" w:ascii="Times New Roman" w:hAnsi="Times New Roman" w:eastAsia="宋体" w:cs="宋体"/>
                <w:kern w:val="0"/>
                <w:sz w:val="24"/>
                <w:szCs w:val="24"/>
                <w:highlight w:val="none"/>
                <w:lang w:val="en-US" w:eastAsia="zh-CN"/>
              </w:rPr>
              <w:t>、CO和O</w:t>
            </w:r>
            <w:r>
              <w:rPr>
                <w:rFonts w:hint="eastAsia" w:ascii="Times New Roman" w:hAnsi="Times New Roman" w:eastAsia="宋体" w:cs="宋体"/>
                <w:kern w:val="0"/>
                <w:sz w:val="24"/>
                <w:szCs w:val="24"/>
                <w:highlight w:val="none"/>
                <w:vertAlign w:val="subscript"/>
                <w:lang w:val="en-US" w:eastAsia="zh-CN"/>
              </w:rPr>
              <w:t>3</w:t>
            </w:r>
            <w:r>
              <w:rPr>
                <w:rFonts w:hint="eastAsia" w:ascii="Times New Roman" w:hAnsi="Times New Roman" w:eastAsia="宋体" w:cs="宋体"/>
                <w:kern w:val="0"/>
                <w:sz w:val="24"/>
                <w:szCs w:val="24"/>
                <w:highlight w:val="none"/>
                <w:lang w:val="en-US" w:eastAsia="zh-CN"/>
              </w:rPr>
              <w:t>的数据来源。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lang w:val="en-US" w:eastAsia="zh-CN"/>
              </w:rPr>
              <w:t>（1）监测项目、监测时间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lang w:val="en-US" w:eastAsia="zh-CN"/>
              </w:rPr>
              <w:t>监测项目：基本污染物SO</w:t>
            </w:r>
            <w:r>
              <w:rPr>
                <w:rFonts w:hint="eastAsia" w:ascii="Times New Roman" w:hAnsi="Times New Roman" w:eastAsia="宋体" w:cs="宋体"/>
                <w:kern w:val="0"/>
                <w:sz w:val="24"/>
                <w:szCs w:val="24"/>
                <w:highlight w:val="none"/>
                <w:vertAlign w:val="subscript"/>
                <w:lang w:val="en-US" w:eastAsia="zh-CN"/>
              </w:rPr>
              <w:t>2</w:t>
            </w:r>
            <w:r>
              <w:rPr>
                <w:rFonts w:hint="eastAsia" w:ascii="Times New Roman" w:hAnsi="Times New Roman" w:eastAsia="宋体" w:cs="宋体"/>
                <w:kern w:val="0"/>
                <w:sz w:val="24"/>
                <w:szCs w:val="24"/>
                <w:highlight w:val="none"/>
                <w:lang w:val="en-US" w:eastAsia="zh-CN"/>
              </w:rPr>
              <w:t>、NO</w:t>
            </w:r>
            <w:r>
              <w:rPr>
                <w:rFonts w:hint="eastAsia" w:ascii="Times New Roman" w:hAnsi="Times New Roman" w:eastAsia="宋体" w:cs="宋体"/>
                <w:kern w:val="0"/>
                <w:sz w:val="24"/>
                <w:szCs w:val="24"/>
                <w:highlight w:val="none"/>
                <w:vertAlign w:val="subscript"/>
                <w:lang w:val="en-US" w:eastAsia="zh-CN"/>
              </w:rPr>
              <w:t>2</w:t>
            </w:r>
            <w:r>
              <w:rPr>
                <w:rFonts w:hint="eastAsia" w:ascii="Times New Roman" w:hAnsi="Times New Roman" w:eastAsia="宋体" w:cs="宋体"/>
                <w:kern w:val="0"/>
                <w:sz w:val="24"/>
                <w:szCs w:val="24"/>
                <w:highlight w:val="none"/>
                <w:lang w:val="en-US" w:eastAsia="zh-CN"/>
              </w:rPr>
              <w:t>、PM</w:t>
            </w:r>
            <w:r>
              <w:rPr>
                <w:rFonts w:hint="eastAsia" w:ascii="Times New Roman" w:hAnsi="Times New Roman" w:eastAsia="宋体" w:cs="宋体"/>
                <w:kern w:val="0"/>
                <w:sz w:val="24"/>
                <w:szCs w:val="24"/>
                <w:highlight w:val="none"/>
                <w:vertAlign w:val="subscript"/>
                <w:lang w:val="en-US" w:eastAsia="zh-CN"/>
              </w:rPr>
              <w:t>10</w:t>
            </w:r>
            <w:r>
              <w:rPr>
                <w:rFonts w:hint="eastAsia" w:ascii="Times New Roman" w:hAnsi="Times New Roman" w:eastAsia="宋体" w:cs="宋体"/>
                <w:kern w:val="0"/>
                <w:sz w:val="24"/>
                <w:szCs w:val="24"/>
                <w:highlight w:val="none"/>
                <w:lang w:val="en-US" w:eastAsia="zh-CN"/>
              </w:rPr>
              <w:t>、PM</w:t>
            </w:r>
            <w:r>
              <w:rPr>
                <w:rFonts w:hint="eastAsia" w:ascii="Times New Roman" w:hAnsi="Times New Roman" w:eastAsia="宋体" w:cs="宋体"/>
                <w:kern w:val="0"/>
                <w:sz w:val="24"/>
                <w:szCs w:val="24"/>
                <w:highlight w:val="none"/>
                <w:vertAlign w:val="subscript"/>
                <w:lang w:val="en-US" w:eastAsia="zh-CN"/>
              </w:rPr>
              <w:t>2.5</w:t>
            </w:r>
            <w:r>
              <w:rPr>
                <w:rFonts w:hint="eastAsia" w:ascii="Times New Roman" w:hAnsi="Times New Roman" w:eastAsia="宋体" w:cs="宋体"/>
                <w:kern w:val="0"/>
                <w:sz w:val="24"/>
                <w:szCs w:val="24"/>
                <w:highlight w:val="none"/>
                <w:lang w:val="en-US" w:eastAsia="zh-CN"/>
              </w:rPr>
              <w:t>、CO和O</w:t>
            </w:r>
            <w:r>
              <w:rPr>
                <w:rFonts w:hint="eastAsia" w:ascii="Times New Roman" w:hAnsi="Times New Roman" w:eastAsia="宋体" w:cs="宋体"/>
                <w:kern w:val="0"/>
                <w:sz w:val="24"/>
                <w:szCs w:val="24"/>
                <w:highlight w:val="none"/>
                <w:vertAlign w:val="subscript"/>
                <w:lang w:val="en-US" w:eastAsia="zh-CN"/>
              </w:rPr>
              <w:t>3</w:t>
            </w:r>
            <w:r>
              <w:rPr>
                <w:rFonts w:hint="eastAsia" w:ascii="Times New Roman" w:hAnsi="Times New Roman" w:eastAsia="宋体" w:cs="宋体"/>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lang w:val="en-US" w:eastAsia="zh-CN"/>
              </w:rPr>
              <w:t>监测时间：基本污染物SO</w:t>
            </w:r>
            <w:r>
              <w:rPr>
                <w:rFonts w:hint="eastAsia" w:ascii="Times New Roman" w:hAnsi="Times New Roman" w:eastAsia="宋体" w:cs="宋体"/>
                <w:kern w:val="0"/>
                <w:sz w:val="24"/>
                <w:szCs w:val="24"/>
                <w:highlight w:val="none"/>
                <w:vertAlign w:val="subscript"/>
                <w:lang w:val="en-US" w:eastAsia="zh-CN"/>
              </w:rPr>
              <w:t>2</w:t>
            </w:r>
            <w:r>
              <w:rPr>
                <w:rFonts w:hint="eastAsia" w:ascii="Times New Roman" w:hAnsi="Times New Roman" w:eastAsia="宋体" w:cs="宋体"/>
                <w:kern w:val="0"/>
                <w:sz w:val="24"/>
                <w:szCs w:val="24"/>
                <w:highlight w:val="none"/>
                <w:lang w:val="en-US" w:eastAsia="zh-CN"/>
              </w:rPr>
              <w:t>、NO</w:t>
            </w:r>
            <w:r>
              <w:rPr>
                <w:rFonts w:hint="eastAsia" w:ascii="Times New Roman" w:hAnsi="Times New Roman" w:eastAsia="宋体" w:cs="宋体"/>
                <w:kern w:val="0"/>
                <w:sz w:val="24"/>
                <w:szCs w:val="24"/>
                <w:highlight w:val="none"/>
                <w:vertAlign w:val="subscript"/>
                <w:lang w:val="en-US" w:eastAsia="zh-CN"/>
              </w:rPr>
              <w:t>2</w:t>
            </w:r>
            <w:r>
              <w:rPr>
                <w:rFonts w:hint="eastAsia" w:ascii="Times New Roman" w:hAnsi="Times New Roman" w:eastAsia="宋体" w:cs="宋体"/>
                <w:kern w:val="0"/>
                <w:sz w:val="24"/>
                <w:szCs w:val="24"/>
                <w:highlight w:val="none"/>
                <w:lang w:val="en-US" w:eastAsia="zh-CN"/>
              </w:rPr>
              <w:t>、PM</w:t>
            </w:r>
            <w:r>
              <w:rPr>
                <w:rFonts w:hint="eastAsia" w:ascii="Times New Roman" w:hAnsi="Times New Roman" w:eastAsia="宋体" w:cs="宋体"/>
                <w:kern w:val="0"/>
                <w:sz w:val="24"/>
                <w:szCs w:val="24"/>
                <w:highlight w:val="none"/>
                <w:vertAlign w:val="subscript"/>
                <w:lang w:val="en-US" w:eastAsia="zh-CN"/>
              </w:rPr>
              <w:t>10</w:t>
            </w:r>
            <w:r>
              <w:rPr>
                <w:rFonts w:hint="eastAsia" w:ascii="Times New Roman" w:hAnsi="Times New Roman" w:eastAsia="宋体" w:cs="宋体"/>
                <w:kern w:val="0"/>
                <w:sz w:val="24"/>
                <w:szCs w:val="24"/>
                <w:highlight w:val="none"/>
                <w:lang w:val="en-US" w:eastAsia="zh-CN"/>
              </w:rPr>
              <w:t>、PM</w:t>
            </w:r>
            <w:r>
              <w:rPr>
                <w:rFonts w:hint="eastAsia" w:ascii="Times New Roman" w:hAnsi="Times New Roman" w:eastAsia="宋体" w:cs="宋体"/>
                <w:kern w:val="0"/>
                <w:sz w:val="24"/>
                <w:szCs w:val="24"/>
                <w:highlight w:val="none"/>
                <w:vertAlign w:val="subscript"/>
                <w:lang w:val="en-US" w:eastAsia="zh-CN"/>
              </w:rPr>
              <w:t>2.5</w:t>
            </w:r>
            <w:r>
              <w:rPr>
                <w:rFonts w:hint="eastAsia" w:ascii="Times New Roman" w:hAnsi="Times New Roman" w:eastAsia="宋体" w:cs="宋体"/>
                <w:kern w:val="0"/>
                <w:sz w:val="24"/>
                <w:szCs w:val="24"/>
                <w:highlight w:val="none"/>
                <w:lang w:val="en-US" w:eastAsia="zh-CN"/>
              </w:rPr>
              <w:t>、CO和O</w:t>
            </w:r>
            <w:r>
              <w:rPr>
                <w:rFonts w:hint="eastAsia" w:ascii="Times New Roman" w:hAnsi="Times New Roman" w:eastAsia="宋体" w:cs="宋体"/>
                <w:kern w:val="0"/>
                <w:sz w:val="24"/>
                <w:szCs w:val="24"/>
                <w:highlight w:val="none"/>
                <w:vertAlign w:val="subscript"/>
                <w:lang w:val="en-US" w:eastAsia="zh-CN"/>
              </w:rPr>
              <w:t>3</w:t>
            </w:r>
            <w:r>
              <w:rPr>
                <w:rFonts w:hint="eastAsia" w:ascii="Times New Roman" w:hAnsi="Times New Roman" w:eastAsia="宋体" w:cs="宋体"/>
                <w:kern w:val="0"/>
                <w:sz w:val="24"/>
                <w:szCs w:val="24"/>
                <w:highlight w:val="none"/>
                <w:lang w:val="en-US" w:eastAsia="zh-CN"/>
              </w:rPr>
              <w:t>的监测时间为2024年连续1年监测数据。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lang w:val="en-US" w:eastAsia="zh-CN"/>
              </w:rPr>
              <w:t>（2）评价标准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lang w:val="en-US" w:eastAsia="zh-CN"/>
              </w:rPr>
              <w:t>根据环境空气质量功能区划分规定，本次评价基本污染物SO</w:t>
            </w:r>
            <w:r>
              <w:rPr>
                <w:rFonts w:hint="eastAsia" w:ascii="Times New Roman" w:hAnsi="Times New Roman" w:eastAsia="宋体" w:cs="宋体"/>
                <w:kern w:val="0"/>
                <w:sz w:val="24"/>
                <w:szCs w:val="24"/>
                <w:highlight w:val="none"/>
                <w:vertAlign w:val="subscript"/>
                <w:lang w:val="en-US" w:eastAsia="zh-CN"/>
              </w:rPr>
              <w:t>2</w:t>
            </w:r>
            <w:r>
              <w:rPr>
                <w:rFonts w:hint="eastAsia" w:ascii="Times New Roman" w:hAnsi="Times New Roman" w:eastAsia="宋体" w:cs="宋体"/>
                <w:kern w:val="0"/>
                <w:sz w:val="24"/>
                <w:szCs w:val="24"/>
                <w:highlight w:val="none"/>
                <w:lang w:val="en-US" w:eastAsia="zh-CN"/>
              </w:rPr>
              <w:t>、NO</w:t>
            </w:r>
            <w:r>
              <w:rPr>
                <w:rFonts w:hint="eastAsia" w:ascii="Times New Roman" w:hAnsi="Times New Roman" w:eastAsia="宋体" w:cs="宋体"/>
                <w:kern w:val="0"/>
                <w:sz w:val="24"/>
                <w:szCs w:val="24"/>
                <w:highlight w:val="none"/>
                <w:vertAlign w:val="subscript"/>
                <w:lang w:val="en-US" w:eastAsia="zh-CN"/>
              </w:rPr>
              <w:t>2</w:t>
            </w:r>
            <w:r>
              <w:rPr>
                <w:rFonts w:hint="eastAsia" w:ascii="Times New Roman" w:hAnsi="Times New Roman" w:eastAsia="宋体" w:cs="宋体"/>
                <w:kern w:val="0"/>
                <w:sz w:val="24"/>
                <w:szCs w:val="24"/>
                <w:highlight w:val="none"/>
                <w:lang w:val="en-US" w:eastAsia="zh-CN"/>
              </w:rPr>
              <w:t>、PM</w:t>
            </w:r>
            <w:r>
              <w:rPr>
                <w:rFonts w:hint="eastAsia" w:ascii="Times New Roman" w:hAnsi="Times New Roman" w:eastAsia="宋体" w:cs="宋体"/>
                <w:kern w:val="0"/>
                <w:sz w:val="24"/>
                <w:szCs w:val="24"/>
                <w:highlight w:val="none"/>
                <w:vertAlign w:val="subscript"/>
                <w:lang w:val="en-US" w:eastAsia="zh-CN"/>
              </w:rPr>
              <w:t>10</w:t>
            </w:r>
            <w:r>
              <w:rPr>
                <w:rFonts w:hint="eastAsia" w:ascii="Times New Roman" w:hAnsi="Times New Roman" w:eastAsia="宋体" w:cs="宋体"/>
                <w:kern w:val="0"/>
                <w:sz w:val="24"/>
                <w:szCs w:val="24"/>
                <w:highlight w:val="none"/>
                <w:lang w:val="en-US" w:eastAsia="zh-CN"/>
              </w:rPr>
              <w:t>、PM</w:t>
            </w:r>
            <w:r>
              <w:rPr>
                <w:rFonts w:hint="eastAsia" w:ascii="Times New Roman" w:hAnsi="Times New Roman" w:eastAsia="宋体" w:cs="宋体"/>
                <w:kern w:val="0"/>
                <w:sz w:val="24"/>
                <w:szCs w:val="24"/>
                <w:highlight w:val="none"/>
                <w:vertAlign w:val="subscript"/>
                <w:lang w:val="en-US" w:eastAsia="zh-CN"/>
              </w:rPr>
              <w:t>2.5</w:t>
            </w:r>
            <w:r>
              <w:rPr>
                <w:rFonts w:hint="eastAsia" w:ascii="Times New Roman" w:hAnsi="Times New Roman" w:eastAsia="宋体" w:cs="宋体"/>
                <w:kern w:val="0"/>
                <w:sz w:val="24"/>
                <w:szCs w:val="24"/>
                <w:highlight w:val="none"/>
                <w:lang w:val="en-US" w:eastAsia="zh-CN"/>
              </w:rPr>
              <w:t>、CO和O</w:t>
            </w:r>
            <w:r>
              <w:rPr>
                <w:rFonts w:hint="eastAsia" w:ascii="Times New Roman" w:hAnsi="Times New Roman" w:eastAsia="宋体" w:cs="宋体"/>
                <w:kern w:val="0"/>
                <w:sz w:val="24"/>
                <w:szCs w:val="24"/>
                <w:highlight w:val="none"/>
                <w:vertAlign w:val="subscript"/>
                <w:lang w:val="en-US" w:eastAsia="zh-CN"/>
              </w:rPr>
              <w:t>3</w:t>
            </w:r>
            <w:r>
              <w:rPr>
                <w:rFonts w:hint="eastAsia" w:ascii="Times New Roman" w:hAnsi="Times New Roman" w:eastAsia="宋体" w:cs="宋体"/>
                <w:kern w:val="0"/>
                <w:sz w:val="24"/>
                <w:szCs w:val="24"/>
                <w:highlight w:val="none"/>
                <w:lang w:val="en-US" w:eastAsia="zh-CN"/>
              </w:rPr>
              <w:t>执行《环境空气质量标准》（GB3095-2026）二级标准</w:t>
            </w:r>
            <w:r>
              <w:rPr>
                <w:rFonts w:hint="eastAsia" w:cs="宋体"/>
                <w:kern w:val="0"/>
                <w:sz w:val="24"/>
                <w:szCs w:val="24"/>
                <w:highlight w:val="none"/>
                <w:lang w:val="en-US" w:eastAsia="zh-CN"/>
              </w:rPr>
              <w:t>（过渡阶段）</w:t>
            </w:r>
            <w:r>
              <w:rPr>
                <w:rFonts w:hint="eastAsia" w:ascii="Times New Roman" w:hAnsi="Times New Roman" w:eastAsia="宋体" w:cs="宋体"/>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lang w:val="en-US" w:eastAsia="zh-CN"/>
              </w:rPr>
              <w:t>（3）评价方法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lang w:val="en-US" w:eastAsia="zh-CN"/>
              </w:rPr>
              <w:t>按照《环境空气质量评价技术规范</w:t>
            </w:r>
            <w:r>
              <w:rPr>
                <w:rFonts w:hint="eastAsia" w:ascii="Times New Roman" w:hAnsi="Times New Roman" w:cs="宋体"/>
                <w:kern w:val="0"/>
                <w:sz w:val="24"/>
                <w:szCs w:val="24"/>
                <w:highlight w:val="none"/>
                <w:lang w:val="en-US" w:eastAsia="zh-CN"/>
              </w:rPr>
              <w:t>（</w:t>
            </w:r>
            <w:r>
              <w:rPr>
                <w:rFonts w:hint="eastAsia" w:ascii="Times New Roman" w:hAnsi="Times New Roman" w:eastAsia="宋体" w:cs="宋体"/>
                <w:kern w:val="0"/>
                <w:sz w:val="24"/>
                <w:szCs w:val="24"/>
                <w:highlight w:val="none"/>
                <w:lang w:val="en-US" w:eastAsia="zh-CN"/>
              </w:rPr>
              <w:t>试行</w:t>
            </w:r>
            <w:r>
              <w:rPr>
                <w:rFonts w:hint="eastAsia" w:ascii="Times New Roman" w:hAnsi="Times New Roman" w:cs="宋体"/>
                <w:kern w:val="0"/>
                <w:sz w:val="24"/>
                <w:szCs w:val="24"/>
                <w:highlight w:val="none"/>
                <w:lang w:val="en-US" w:eastAsia="zh-CN"/>
              </w:rPr>
              <w:t>）</w:t>
            </w:r>
            <w:r>
              <w:rPr>
                <w:rFonts w:hint="eastAsia" w:ascii="Times New Roman" w:hAnsi="Times New Roman" w:eastAsia="宋体" w:cs="宋体"/>
                <w:kern w:val="0"/>
                <w:sz w:val="24"/>
                <w:szCs w:val="24"/>
                <w:highlight w:val="none"/>
                <w:lang w:val="en-US" w:eastAsia="zh-CN"/>
              </w:rPr>
              <w:t>》</w:t>
            </w:r>
            <w:r>
              <w:rPr>
                <w:rFonts w:hint="eastAsia" w:ascii="Times New Roman" w:hAnsi="Times New Roman" w:cs="宋体"/>
                <w:kern w:val="0"/>
                <w:sz w:val="24"/>
                <w:szCs w:val="24"/>
                <w:highlight w:val="none"/>
                <w:lang w:val="en-US" w:eastAsia="zh-CN"/>
              </w:rPr>
              <w:t>（</w:t>
            </w:r>
            <w:r>
              <w:rPr>
                <w:rFonts w:hint="eastAsia" w:ascii="Times New Roman" w:hAnsi="Times New Roman" w:eastAsia="宋体" w:cs="宋体"/>
                <w:kern w:val="0"/>
                <w:sz w:val="24"/>
                <w:szCs w:val="24"/>
                <w:highlight w:val="none"/>
                <w:lang w:val="en-US" w:eastAsia="zh-CN"/>
              </w:rPr>
              <w:t>HJ663-2013</w:t>
            </w:r>
            <w:r>
              <w:rPr>
                <w:rFonts w:hint="eastAsia" w:ascii="Times New Roman" w:hAnsi="Times New Roman" w:cs="宋体"/>
                <w:kern w:val="0"/>
                <w:sz w:val="24"/>
                <w:szCs w:val="24"/>
                <w:highlight w:val="none"/>
                <w:lang w:val="en-US" w:eastAsia="zh-CN"/>
              </w:rPr>
              <w:t>）</w:t>
            </w:r>
            <w:r>
              <w:rPr>
                <w:rFonts w:hint="eastAsia" w:ascii="Times New Roman" w:hAnsi="Times New Roman" w:eastAsia="宋体" w:cs="宋体"/>
                <w:kern w:val="0"/>
                <w:sz w:val="24"/>
                <w:szCs w:val="24"/>
                <w:highlight w:val="none"/>
                <w:lang w:val="en-US" w:eastAsia="zh-CN"/>
              </w:rPr>
              <w:t>中各评价项目的年评价指标进行判定。年评价指标中的年均浓度和相应百分位数24h平均或8h平均质量浓度满足《环境空气质量标准》（GB3095-2026）二级浓度限值</w:t>
            </w:r>
            <w:r>
              <w:rPr>
                <w:rFonts w:hint="eastAsia" w:cs="宋体"/>
                <w:kern w:val="0"/>
                <w:sz w:val="24"/>
                <w:szCs w:val="24"/>
                <w:highlight w:val="none"/>
                <w:lang w:val="en-US" w:eastAsia="zh-CN"/>
              </w:rPr>
              <w:t>（过渡阶段）</w:t>
            </w:r>
            <w:r>
              <w:rPr>
                <w:rFonts w:hint="eastAsia" w:ascii="Times New Roman" w:hAnsi="Times New Roman" w:eastAsia="宋体" w:cs="宋体"/>
                <w:kern w:val="0"/>
                <w:sz w:val="24"/>
                <w:szCs w:val="24"/>
                <w:highlight w:val="none"/>
                <w:lang w:val="en-US" w:eastAsia="zh-CN"/>
              </w:rPr>
              <w:t>要求的即为达标。对于超标的污染物，计算其超标倍数和超标率。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（4）空气质量达标区的判定</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eastAsia"/>
                <w:lang w:val="en-US" w:eastAsia="zh-CN"/>
              </w:rPr>
            </w:pPr>
            <w:r>
              <w:rPr>
                <w:rFonts w:hint="eastAsia" w:ascii="Times New Roman" w:hAnsi="Times New Roman" w:eastAsia="宋体" w:cs="Times New Roman"/>
                <w:sz w:val="24"/>
                <w:szCs w:val="24"/>
                <w:lang w:val="en-US" w:eastAsia="zh-CN"/>
              </w:rPr>
              <w:t>环境空气质量现状评价结果见表3-1。</w:t>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eastAsia"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表3-1  区域空气质量现状评价表</w:t>
            </w:r>
          </w:p>
          <w:tbl>
            <w:tblPr>
              <w:tblStyle w:val="24"/>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1452"/>
              <w:gridCol w:w="1319"/>
              <w:gridCol w:w="1319"/>
              <w:gridCol w:w="1277"/>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污染物</w:t>
                  </w:r>
                </w:p>
              </w:tc>
              <w:tc>
                <w:tcPr>
                  <w:tcW w:w="912"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评价项目</w:t>
                  </w:r>
                </w:p>
              </w:tc>
              <w:tc>
                <w:tcPr>
                  <w:tcW w:w="1411" w:type="dxa"/>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ascii="Times New Roman" w:hAnsi="Times New Roman" w:eastAsia="宋体" w:cs="Times New Roman"/>
                      <w:kern w:val="0"/>
                      <w:szCs w:val="21"/>
                    </w:rPr>
                    <w:t>浓度（μ</w:t>
                  </w:r>
                  <w:r>
                    <w:rPr>
                      <w:rFonts w:hint="eastAsia" w:ascii="Times New Roman" w:hAnsi="Times New Roman" w:eastAsia="宋体" w:cs="Times New Roman"/>
                      <w:kern w:val="0"/>
                      <w:szCs w:val="21"/>
                      <w:lang w:val="en-US" w:eastAsia="zh-CN"/>
                    </w:rPr>
                    <w:t>g</w:t>
                  </w:r>
                  <w:r>
                    <w:rPr>
                      <w:rFonts w:ascii="Times New Roman" w:hAnsi="Times New Roman" w:eastAsia="宋体" w:cs="Times New Roman"/>
                      <w:kern w:val="0"/>
                      <w:szCs w:val="21"/>
                    </w:rPr>
                    <w:t>/m</w:t>
                  </w:r>
                  <w:r>
                    <w:rPr>
                      <w:rFonts w:ascii="Times New Roman" w:hAnsi="Times New Roman" w:eastAsia="宋体" w:cs="Times New Roman"/>
                      <w:kern w:val="0"/>
                      <w:szCs w:val="21"/>
                      <w:vertAlign w:val="superscript"/>
                    </w:rPr>
                    <w:t>3</w:t>
                  </w:r>
                  <w:r>
                    <w:rPr>
                      <w:rFonts w:ascii="Times New Roman" w:hAnsi="Times New Roman" w:eastAsia="宋体" w:cs="Times New Roman"/>
                      <w:kern w:val="0"/>
                      <w:szCs w:val="21"/>
                    </w:rPr>
                    <w:t>）</w:t>
                  </w:r>
                </w:p>
              </w:tc>
              <w:tc>
                <w:tcPr>
                  <w:tcW w:w="1411" w:type="dxa"/>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rPr>
                    <w:t>二级标准（</w:t>
                  </w:r>
                  <w:r>
                    <w:rPr>
                      <w:rFonts w:hint="eastAsia" w:cs="Times New Roman"/>
                      <w:kern w:val="0"/>
                      <w:szCs w:val="21"/>
                      <w:lang w:val="en-US" w:eastAsia="zh-CN"/>
                    </w:rPr>
                    <w:t>过渡阶段</w:t>
                  </w:r>
                  <w:r>
                    <w:rPr>
                      <w:rFonts w:hint="eastAsia" w:ascii="Times New Roman" w:hAnsi="Times New Roman" w:eastAsia="宋体" w:cs="Times New Roman"/>
                      <w:kern w:val="0"/>
                      <w:szCs w:val="21"/>
                    </w:rPr>
                    <w:t>）</w:t>
                  </w:r>
                  <w:r>
                    <w:rPr>
                      <w:rFonts w:ascii="Times New Roman" w:hAnsi="Times New Roman" w:eastAsia="宋体" w:cs="Times New Roman"/>
                      <w:kern w:val="0"/>
                      <w:szCs w:val="21"/>
                    </w:rPr>
                    <w:t>（μ</w:t>
                  </w:r>
                  <w:r>
                    <w:rPr>
                      <w:rFonts w:hint="eastAsia" w:ascii="Times New Roman" w:hAnsi="Times New Roman" w:eastAsia="宋体" w:cs="Times New Roman"/>
                      <w:kern w:val="0"/>
                      <w:szCs w:val="21"/>
                      <w:lang w:val="en-US" w:eastAsia="zh-CN"/>
                    </w:rPr>
                    <w:t>g</w:t>
                  </w:r>
                  <w:r>
                    <w:rPr>
                      <w:rFonts w:ascii="Times New Roman" w:hAnsi="Times New Roman" w:eastAsia="宋体" w:cs="Times New Roman"/>
                      <w:kern w:val="0"/>
                      <w:szCs w:val="21"/>
                    </w:rPr>
                    <w:t>/m</w:t>
                  </w:r>
                  <w:r>
                    <w:rPr>
                      <w:rFonts w:ascii="Times New Roman" w:hAnsi="Times New Roman" w:eastAsia="宋体" w:cs="Times New Roman"/>
                      <w:kern w:val="0"/>
                      <w:szCs w:val="21"/>
                      <w:vertAlign w:val="superscript"/>
                    </w:rPr>
                    <w:t>3</w:t>
                  </w:r>
                  <w:r>
                    <w:rPr>
                      <w:rFonts w:ascii="Times New Roman" w:hAnsi="Times New Roman" w:eastAsia="宋体" w:cs="Times New Roman"/>
                      <w:kern w:val="0"/>
                      <w:szCs w:val="21"/>
                    </w:rPr>
                    <w:t>）</w:t>
                  </w:r>
                </w:p>
              </w:tc>
              <w:tc>
                <w:tcPr>
                  <w:tcW w:w="802"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eastAsia="zh-CN"/>
                    </w:rPr>
                    <w:t>占标率</w:t>
                  </w:r>
                  <w:r>
                    <w:rPr>
                      <w:rFonts w:hint="default" w:ascii="Times New Roman" w:hAnsi="Times New Roman" w:eastAsia="宋体" w:cs="Times New Roman"/>
                      <w:kern w:val="0"/>
                      <w:szCs w:val="21"/>
                      <w:lang w:val="en-US" w:eastAsia="zh-CN"/>
                    </w:rPr>
                    <w:t>%</w:t>
                  </w:r>
                </w:p>
              </w:tc>
              <w:tc>
                <w:tcPr>
                  <w:tcW w:w="803" w:type="pct"/>
                  <w:tcBorders>
                    <w:tl2br w:val="nil"/>
                    <w:tr2bl w:val="nil"/>
                  </w:tcBorders>
                  <w:noWrap w:val="0"/>
                  <w:vAlign w:val="center"/>
                </w:tcPr>
                <w:p>
                  <w:pPr>
                    <w:widowControl/>
                    <w:jc w:val="center"/>
                    <w:rPr>
                      <w:rFonts w:hint="default" w:ascii="Times New Roman" w:hAnsi="Times New Roman" w:eastAsia="宋体" w:cs="Times New Roman"/>
                      <w:kern w:val="0"/>
                      <w:szCs w:val="21"/>
                      <w:lang w:eastAsia="zh-CN"/>
                    </w:rPr>
                  </w:pPr>
                  <w:r>
                    <w:rPr>
                      <w:rFonts w:hint="default" w:ascii="Times New Roman" w:hAnsi="Times New Roman" w:eastAsia="宋体" w:cs="Times New Roman"/>
                      <w:kern w:val="0"/>
                      <w:szCs w:val="21"/>
                      <w:lang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6" w:type="dxa"/>
                  <w:vMerge w:val="restar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rPr>
                    <w:t>SO</w:t>
                  </w:r>
                  <w:r>
                    <w:rPr>
                      <w:rFonts w:hint="eastAsia" w:ascii="Times New Roman" w:hAnsi="Times New Roman" w:eastAsia="宋体" w:cs="Times New Roman"/>
                      <w:kern w:val="0"/>
                      <w:szCs w:val="21"/>
                      <w:vertAlign w:val="subscript"/>
                    </w:rPr>
                    <w:t>2</w:t>
                  </w:r>
                </w:p>
              </w:tc>
              <w:tc>
                <w:tcPr>
                  <w:tcW w:w="912"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年平均</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6</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60</w:t>
                  </w:r>
                </w:p>
              </w:tc>
              <w:tc>
                <w:tcPr>
                  <w:tcW w:w="1367" w:type="dxa"/>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10</w:t>
                  </w:r>
                </w:p>
              </w:tc>
              <w:tc>
                <w:tcPr>
                  <w:tcW w:w="803" w:type="pct"/>
                  <w:tcBorders>
                    <w:tl2br w:val="nil"/>
                    <w:tr2bl w:val="nil"/>
                  </w:tcBorders>
                  <w:noWrap w:val="0"/>
                  <w:vAlign w:val="center"/>
                </w:tcPr>
                <w:p>
                  <w:pPr>
                    <w:widowControl/>
                    <w:jc w:val="center"/>
                    <w:rPr>
                      <w:rFonts w:hint="default" w:ascii="Times New Roman" w:hAnsi="Times New Roman" w:eastAsia="宋体" w:cs="Times New Roman"/>
                      <w:kern w:val="0"/>
                      <w:szCs w:val="21"/>
                      <w:lang w:eastAsia="zh-CN"/>
                    </w:rPr>
                  </w:pPr>
                  <w:r>
                    <w:rPr>
                      <w:rFonts w:hint="default" w:ascii="Times New Roman" w:hAnsi="Times New Roman" w:eastAsia="宋体" w:cs="Times New Roman"/>
                      <w:kern w:val="0"/>
                      <w:szCs w:val="21"/>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pct"/>
                  <w:vMerge w:val="continue"/>
                  <w:tcBorders>
                    <w:tl2br w:val="nil"/>
                    <w:tr2bl w:val="nil"/>
                  </w:tcBorders>
                  <w:noWrap w:val="0"/>
                  <w:vAlign w:val="center"/>
                </w:tcPr>
                <w:p>
                  <w:pPr>
                    <w:widowControl/>
                    <w:jc w:val="center"/>
                    <w:rPr>
                      <w:rFonts w:hint="default" w:ascii="Times New Roman" w:hAnsi="Times New Roman" w:eastAsia="宋体" w:cs="Times New Roman"/>
                      <w:kern w:val="0"/>
                      <w:szCs w:val="21"/>
                    </w:rPr>
                  </w:pPr>
                </w:p>
              </w:tc>
              <w:tc>
                <w:tcPr>
                  <w:tcW w:w="912"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24h平均第98百分位数</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10</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150</w:t>
                  </w:r>
                </w:p>
              </w:tc>
              <w:tc>
                <w:tcPr>
                  <w:tcW w:w="1367" w:type="dxa"/>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7</w:t>
                  </w:r>
                </w:p>
              </w:tc>
              <w:tc>
                <w:tcPr>
                  <w:tcW w:w="803"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6" w:type="dxa"/>
                  <w:vMerge w:val="restar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rPr>
                    <w:t>NO</w:t>
                  </w:r>
                  <w:r>
                    <w:rPr>
                      <w:rFonts w:hint="eastAsia" w:ascii="Times New Roman" w:hAnsi="Times New Roman" w:eastAsia="宋体" w:cs="Times New Roman"/>
                      <w:kern w:val="0"/>
                      <w:szCs w:val="21"/>
                      <w:vertAlign w:val="subscript"/>
                    </w:rPr>
                    <w:t>2</w:t>
                  </w:r>
                </w:p>
              </w:tc>
              <w:tc>
                <w:tcPr>
                  <w:tcW w:w="912"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年平均</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30</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40</w:t>
                  </w:r>
                </w:p>
              </w:tc>
              <w:tc>
                <w:tcPr>
                  <w:tcW w:w="1367" w:type="dxa"/>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75</w:t>
                  </w:r>
                </w:p>
              </w:tc>
              <w:tc>
                <w:tcPr>
                  <w:tcW w:w="803"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pct"/>
                  <w:vMerge w:val="continue"/>
                  <w:tcBorders>
                    <w:tl2br w:val="nil"/>
                    <w:tr2bl w:val="nil"/>
                  </w:tcBorders>
                  <w:noWrap w:val="0"/>
                  <w:vAlign w:val="center"/>
                </w:tcPr>
                <w:p>
                  <w:pPr>
                    <w:widowControl/>
                    <w:jc w:val="center"/>
                    <w:rPr>
                      <w:rFonts w:hint="default" w:ascii="Times New Roman" w:hAnsi="Times New Roman" w:eastAsia="宋体" w:cs="Times New Roman"/>
                      <w:kern w:val="0"/>
                      <w:szCs w:val="21"/>
                    </w:rPr>
                  </w:pPr>
                </w:p>
              </w:tc>
              <w:tc>
                <w:tcPr>
                  <w:tcW w:w="912"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24h平均第98百分位数</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63</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80</w:t>
                  </w:r>
                </w:p>
              </w:tc>
              <w:tc>
                <w:tcPr>
                  <w:tcW w:w="1367" w:type="dxa"/>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79</w:t>
                  </w:r>
                </w:p>
              </w:tc>
              <w:tc>
                <w:tcPr>
                  <w:tcW w:w="803"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6" w:type="dxa"/>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rPr>
                    <w:t>CO</w:t>
                  </w:r>
                  <w:r>
                    <w:rPr>
                      <w:rFonts w:hint="eastAsia" w:ascii="Times New Roman" w:hAnsi="Times New Roman" w:eastAsia="宋体" w:cs="Times New Roman"/>
                      <w:kern w:val="0"/>
                      <w:szCs w:val="21"/>
                      <w:lang w:eastAsia="zh-CN"/>
                    </w:rPr>
                    <w:t>(</w:t>
                  </w:r>
                  <w:r>
                    <w:rPr>
                      <w:rFonts w:hint="eastAsia" w:ascii="Times New Roman" w:hAnsi="Times New Roman" w:eastAsia="宋体" w:cs="Times New Roman"/>
                      <w:kern w:val="0"/>
                      <w:szCs w:val="21"/>
                    </w:rPr>
                    <w:t>mg/m</w:t>
                  </w:r>
                  <w:r>
                    <w:rPr>
                      <w:rFonts w:hint="eastAsia" w:ascii="Times New Roman" w:hAnsi="Times New Roman" w:eastAsia="宋体" w:cs="Times New Roman"/>
                      <w:kern w:val="0"/>
                      <w:szCs w:val="21"/>
                      <w:vertAlign w:val="superscript"/>
                    </w:rPr>
                    <w:t>3</w:t>
                  </w:r>
                  <w:r>
                    <w:rPr>
                      <w:rFonts w:hint="eastAsia" w:ascii="Times New Roman" w:hAnsi="Times New Roman" w:eastAsia="宋体" w:cs="Times New Roman"/>
                      <w:kern w:val="0"/>
                      <w:szCs w:val="21"/>
                      <w:vertAlign w:val="superscript"/>
                      <w:lang w:eastAsia="zh-CN"/>
                    </w:rPr>
                    <w:t>)</w:t>
                  </w:r>
                </w:p>
              </w:tc>
              <w:tc>
                <w:tcPr>
                  <w:tcW w:w="912"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24h平均第95百分位数</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1</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4</w:t>
                  </w:r>
                </w:p>
              </w:tc>
              <w:tc>
                <w:tcPr>
                  <w:tcW w:w="1367" w:type="dxa"/>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25</w:t>
                  </w:r>
                </w:p>
              </w:tc>
              <w:tc>
                <w:tcPr>
                  <w:tcW w:w="803"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6" w:type="dxa"/>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rPr>
                    <w:t>O</w:t>
                  </w:r>
                  <w:r>
                    <w:rPr>
                      <w:rFonts w:hint="eastAsia" w:ascii="Times New Roman" w:hAnsi="Times New Roman" w:eastAsia="宋体" w:cs="Times New Roman"/>
                      <w:kern w:val="0"/>
                      <w:szCs w:val="21"/>
                      <w:vertAlign w:val="subscript"/>
                    </w:rPr>
                    <w:t>3</w:t>
                  </w:r>
                </w:p>
              </w:tc>
              <w:tc>
                <w:tcPr>
                  <w:tcW w:w="912"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最大8小时滑动平均值的第90百分位数</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131</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160</w:t>
                  </w:r>
                </w:p>
              </w:tc>
              <w:tc>
                <w:tcPr>
                  <w:tcW w:w="1367" w:type="dxa"/>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82</w:t>
                  </w:r>
                </w:p>
              </w:tc>
              <w:tc>
                <w:tcPr>
                  <w:tcW w:w="803" w:type="pc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default" w:ascii="Times New Roman" w:hAnsi="Times New Roman" w:eastAsia="宋体" w:cs="Times New Roman"/>
                      <w:kern w:val="0"/>
                      <w:szCs w:val="21"/>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trPr>
              <w:tc>
                <w:tcPr>
                  <w:tcW w:w="1406" w:type="dxa"/>
                  <w:vMerge w:val="restar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rPr>
                    <w:t>PM</w:t>
                  </w:r>
                  <w:r>
                    <w:rPr>
                      <w:rFonts w:hint="eastAsia" w:ascii="Times New Roman" w:hAnsi="Times New Roman" w:eastAsia="宋体" w:cs="Times New Roman"/>
                      <w:kern w:val="0"/>
                      <w:szCs w:val="21"/>
                      <w:vertAlign w:val="subscript"/>
                    </w:rPr>
                    <w:t>10</w:t>
                  </w:r>
                </w:p>
              </w:tc>
              <w:tc>
                <w:tcPr>
                  <w:tcW w:w="912"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年平均</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152</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60</w:t>
                  </w:r>
                </w:p>
              </w:tc>
              <w:tc>
                <w:tcPr>
                  <w:tcW w:w="1367" w:type="dxa"/>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253</w:t>
                  </w:r>
                </w:p>
              </w:tc>
              <w:tc>
                <w:tcPr>
                  <w:tcW w:w="1368" w:type="dxa"/>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pct"/>
                  <w:vMerge w:val="continue"/>
                  <w:tcBorders>
                    <w:tl2br w:val="nil"/>
                    <w:tr2bl w:val="nil"/>
                  </w:tcBorders>
                  <w:noWrap w:val="0"/>
                  <w:vAlign w:val="center"/>
                </w:tcPr>
                <w:p>
                  <w:pPr>
                    <w:widowControl/>
                    <w:jc w:val="center"/>
                    <w:rPr>
                      <w:rFonts w:hint="default" w:ascii="Times New Roman" w:hAnsi="Times New Roman" w:eastAsia="宋体" w:cs="Times New Roman"/>
                      <w:kern w:val="0"/>
                      <w:szCs w:val="21"/>
                    </w:rPr>
                  </w:pPr>
                </w:p>
              </w:tc>
              <w:tc>
                <w:tcPr>
                  <w:tcW w:w="912"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24h平均第95百分位数</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220</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120</w:t>
                  </w:r>
                </w:p>
              </w:tc>
              <w:tc>
                <w:tcPr>
                  <w:tcW w:w="1367" w:type="dxa"/>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183</w:t>
                  </w:r>
                </w:p>
              </w:tc>
              <w:tc>
                <w:tcPr>
                  <w:tcW w:w="1368" w:type="dxa"/>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6" w:type="dxa"/>
                  <w:vMerge w:val="restart"/>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rPr>
                    <w:t>PM</w:t>
                  </w:r>
                  <w:r>
                    <w:rPr>
                      <w:rFonts w:hint="eastAsia" w:ascii="Times New Roman" w:hAnsi="Times New Roman" w:eastAsia="宋体" w:cs="Times New Roman"/>
                      <w:kern w:val="0"/>
                      <w:szCs w:val="21"/>
                      <w:vertAlign w:val="subscript"/>
                    </w:rPr>
                    <w:t>2.5</w:t>
                  </w:r>
                </w:p>
              </w:tc>
              <w:tc>
                <w:tcPr>
                  <w:tcW w:w="912"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年平均</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41</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30</w:t>
                  </w:r>
                </w:p>
              </w:tc>
              <w:tc>
                <w:tcPr>
                  <w:tcW w:w="1367" w:type="dxa"/>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137</w:t>
                  </w:r>
                </w:p>
              </w:tc>
              <w:tc>
                <w:tcPr>
                  <w:tcW w:w="1368" w:type="dxa"/>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5" w:type="pct"/>
                  <w:vMerge w:val="continue"/>
                  <w:tcBorders>
                    <w:tl2br w:val="nil"/>
                    <w:tr2bl w:val="nil"/>
                  </w:tcBorders>
                  <w:noWrap w:val="0"/>
                  <w:vAlign w:val="center"/>
                </w:tcPr>
                <w:p>
                  <w:pPr>
                    <w:widowControl/>
                    <w:jc w:val="center"/>
                    <w:rPr>
                      <w:rFonts w:hint="default" w:ascii="Times New Roman" w:hAnsi="Times New Roman" w:eastAsia="宋体" w:cs="Times New Roman"/>
                      <w:kern w:val="0"/>
                      <w:szCs w:val="21"/>
                    </w:rPr>
                  </w:pPr>
                </w:p>
              </w:tc>
              <w:tc>
                <w:tcPr>
                  <w:tcW w:w="912"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default" w:ascii="Times New Roman" w:hAnsi="Times New Roman" w:eastAsia="宋体" w:cs="Times New Roman"/>
                      <w:kern w:val="0"/>
                      <w:szCs w:val="21"/>
                      <w:lang w:val="en-US" w:eastAsia="zh-CN"/>
                    </w:rPr>
                    <w:t>24h平均第95百分位数</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89</w:t>
                  </w:r>
                </w:p>
              </w:tc>
              <w:tc>
                <w:tcPr>
                  <w:tcW w:w="828" w:type="pct"/>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60</w:t>
                  </w:r>
                </w:p>
              </w:tc>
              <w:tc>
                <w:tcPr>
                  <w:tcW w:w="1367" w:type="dxa"/>
                  <w:tcBorders>
                    <w:tl2br w:val="nil"/>
                    <w:tr2bl w:val="nil"/>
                  </w:tcBorders>
                  <w:noWrap w:val="0"/>
                  <w:vAlign w:val="center"/>
                </w:tcPr>
                <w:p>
                  <w:pPr>
                    <w:widowControl/>
                    <w:jc w:val="center"/>
                    <w:rPr>
                      <w:rFonts w:hint="default"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148</w:t>
                  </w:r>
                </w:p>
              </w:tc>
              <w:tc>
                <w:tcPr>
                  <w:tcW w:w="1368" w:type="dxa"/>
                  <w:tcBorders>
                    <w:tl2br w:val="nil"/>
                    <w:tr2bl w:val="nil"/>
                  </w:tcBorders>
                  <w:noWrap w:val="0"/>
                  <w:vAlign w:val="center"/>
                </w:tcPr>
                <w:p>
                  <w:pPr>
                    <w:widowControl/>
                    <w:jc w:val="center"/>
                    <w:rPr>
                      <w:rFonts w:hint="default" w:ascii="Times New Roman" w:hAnsi="Times New Roman" w:eastAsia="宋体" w:cs="Times New Roman"/>
                      <w:kern w:val="0"/>
                      <w:szCs w:val="21"/>
                    </w:rPr>
                  </w:pPr>
                  <w:r>
                    <w:rPr>
                      <w:rFonts w:hint="eastAsia" w:ascii="Times New Roman" w:hAnsi="Times New Roman" w:eastAsia="宋体" w:cs="Times New Roman"/>
                      <w:kern w:val="0"/>
                      <w:szCs w:val="21"/>
                      <w:lang w:val="en-US" w:eastAsia="zh-CN"/>
                    </w:rPr>
                    <w:t>超标</w:t>
                  </w:r>
                </w:p>
              </w:tc>
            </w:tr>
          </w:tbl>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根据表3-1评价结果，PM</w:t>
            </w:r>
            <w:r>
              <w:rPr>
                <w:rFonts w:hint="eastAsia" w:ascii="Times New Roman" w:hAnsi="Times New Roman" w:eastAsia="宋体" w:cs="Times New Roman"/>
                <w:b w:val="0"/>
                <w:bCs w:val="0"/>
                <w:color w:val="auto"/>
                <w:kern w:val="2"/>
                <w:sz w:val="24"/>
                <w:szCs w:val="24"/>
                <w:highlight w:val="none"/>
                <w:vertAlign w:val="subscript"/>
                <w:lang w:val="en-US" w:eastAsia="zh-CN" w:bidi="ar-SA"/>
              </w:rPr>
              <w:t>10</w:t>
            </w:r>
            <w:r>
              <w:rPr>
                <w:rFonts w:hint="eastAsia" w:ascii="Times New Roman" w:hAnsi="Times New Roman" w:eastAsia="宋体" w:cs="Times New Roman"/>
                <w:b w:val="0"/>
                <w:bCs w:val="0"/>
                <w:color w:val="auto"/>
                <w:kern w:val="2"/>
                <w:sz w:val="24"/>
                <w:szCs w:val="24"/>
                <w:highlight w:val="none"/>
                <w:lang w:val="en-US" w:eastAsia="zh-CN" w:bidi="ar-SA"/>
              </w:rPr>
              <w:t>、PM</w:t>
            </w:r>
            <w:r>
              <w:rPr>
                <w:rFonts w:hint="eastAsia" w:ascii="Times New Roman" w:hAnsi="Times New Roman" w:eastAsia="宋体" w:cs="Times New Roman"/>
                <w:b w:val="0"/>
                <w:bCs w:val="0"/>
                <w:color w:val="auto"/>
                <w:kern w:val="2"/>
                <w:sz w:val="24"/>
                <w:szCs w:val="24"/>
                <w:highlight w:val="none"/>
                <w:vertAlign w:val="subscript"/>
                <w:lang w:val="en-US" w:eastAsia="zh-CN" w:bidi="ar-SA"/>
              </w:rPr>
              <w:t>2.5</w:t>
            </w:r>
            <w:r>
              <w:rPr>
                <w:rFonts w:hint="eastAsia" w:ascii="Times New Roman" w:hAnsi="Times New Roman" w:eastAsia="宋体" w:cs="Times New Roman"/>
                <w:b w:val="0"/>
                <w:bCs w:val="0"/>
                <w:color w:val="auto"/>
                <w:kern w:val="2"/>
                <w:sz w:val="24"/>
                <w:szCs w:val="24"/>
                <w:highlight w:val="none"/>
                <w:lang w:val="en-US" w:eastAsia="zh-CN" w:bidi="ar-SA"/>
              </w:rPr>
              <w:t>年均值浓度超过《环境空气质量标准》（GB3095-2026）二级标准</w:t>
            </w:r>
            <w:r>
              <w:rPr>
                <w:rFonts w:hint="eastAsia" w:cs="Times New Roman"/>
                <w:b w:val="0"/>
                <w:bCs w:val="0"/>
                <w:color w:val="auto"/>
                <w:kern w:val="2"/>
                <w:sz w:val="24"/>
                <w:szCs w:val="24"/>
                <w:highlight w:val="none"/>
                <w:lang w:val="en-US" w:eastAsia="zh-CN" w:bidi="ar-SA"/>
              </w:rPr>
              <w:t>（过渡阶段）</w:t>
            </w:r>
            <w:r>
              <w:rPr>
                <w:rFonts w:hint="eastAsia" w:ascii="Times New Roman" w:hAnsi="Times New Roman" w:eastAsia="宋体" w:cs="Times New Roman"/>
                <w:b w:val="0"/>
                <w:bCs w:val="0"/>
                <w:color w:val="auto"/>
                <w:kern w:val="2"/>
                <w:sz w:val="24"/>
                <w:szCs w:val="24"/>
                <w:highlight w:val="none"/>
                <w:lang w:val="en-US" w:eastAsia="zh-CN" w:bidi="ar-SA"/>
              </w:rPr>
              <w:t>，SO</w:t>
            </w:r>
            <w:r>
              <w:rPr>
                <w:rFonts w:hint="eastAsia" w:ascii="Times New Roman" w:hAnsi="Times New Roman" w:eastAsia="宋体" w:cs="Times New Roman"/>
                <w:b w:val="0"/>
                <w:bCs w:val="0"/>
                <w:color w:val="auto"/>
                <w:kern w:val="2"/>
                <w:sz w:val="24"/>
                <w:szCs w:val="24"/>
                <w:highlight w:val="none"/>
                <w:vertAlign w:val="subscript"/>
                <w:lang w:val="en-US" w:eastAsia="zh-CN" w:bidi="ar-SA"/>
              </w:rPr>
              <w:t>2</w:t>
            </w:r>
            <w:r>
              <w:rPr>
                <w:rFonts w:hint="eastAsia" w:ascii="Times New Roman" w:hAnsi="Times New Roman" w:eastAsia="宋体" w:cs="Times New Roman"/>
                <w:b w:val="0"/>
                <w:bCs w:val="0"/>
                <w:color w:val="auto"/>
                <w:kern w:val="2"/>
                <w:sz w:val="24"/>
                <w:szCs w:val="24"/>
                <w:highlight w:val="none"/>
                <w:lang w:val="en-US" w:eastAsia="zh-CN" w:bidi="ar-SA"/>
              </w:rPr>
              <w:t>、NO</w:t>
            </w:r>
            <w:r>
              <w:rPr>
                <w:rFonts w:hint="eastAsia" w:ascii="Times New Roman" w:hAnsi="Times New Roman" w:eastAsia="宋体" w:cs="Times New Roman"/>
                <w:b w:val="0"/>
                <w:bCs w:val="0"/>
                <w:color w:val="auto"/>
                <w:kern w:val="2"/>
                <w:sz w:val="24"/>
                <w:szCs w:val="24"/>
                <w:highlight w:val="none"/>
                <w:vertAlign w:val="subscript"/>
                <w:lang w:val="en-US" w:eastAsia="zh-CN" w:bidi="ar-SA"/>
              </w:rPr>
              <w:t>2</w:t>
            </w:r>
            <w:r>
              <w:rPr>
                <w:rFonts w:hint="eastAsia" w:ascii="Times New Roman" w:hAnsi="Times New Roman" w:eastAsia="宋体" w:cs="Times New Roman"/>
                <w:b w:val="0"/>
                <w:bCs w:val="0"/>
                <w:color w:val="auto"/>
                <w:kern w:val="2"/>
                <w:sz w:val="24"/>
                <w:szCs w:val="24"/>
                <w:highlight w:val="none"/>
                <w:lang w:val="en-US" w:eastAsia="zh-CN" w:bidi="ar-SA"/>
              </w:rPr>
              <w:t>、CO、O</w:t>
            </w:r>
            <w:r>
              <w:rPr>
                <w:rFonts w:hint="eastAsia" w:ascii="Times New Roman" w:hAnsi="Times New Roman" w:eastAsia="宋体" w:cs="Times New Roman"/>
                <w:b w:val="0"/>
                <w:bCs w:val="0"/>
                <w:color w:val="auto"/>
                <w:kern w:val="2"/>
                <w:sz w:val="24"/>
                <w:szCs w:val="24"/>
                <w:highlight w:val="none"/>
                <w:vertAlign w:val="subscript"/>
                <w:lang w:val="en-US" w:eastAsia="zh-CN" w:bidi="ar-SA"/>
              </w:rPr>
              <w:t>3</w:t>
            </w:r>
            <w:r>
              <w:rPr>
                <w:rFonts w:hint="eastAsia" w:ascii="Times New Roman" w:hAnsi="Times New Roman" w:eastAsia="宋体" w:cs="Times New Roman"/>
                <w:b w:val="0"/>
                <w:bCs w:val="0"/>
                <w:color w:val="auto"/>
                <w:kern w:val="2"/>
                <w:sz w:val="24"/>
                <w:szCs w:val="24"/>
                <w:highlight w:val="none"/>
                <w:lang w:val="en-US" w:eastAsia="zh-CN" w:bidi="ar-SA"/>
              </w:rPr>
              <w:t>等其他监测指标均满足二级标准。PM</w:t>
            </w:r>
            <w:r>
              <w:rPr>
                <w:rFonts w:hint="eastAsia" w:ascii="Times New Roman" w:hAnsi="Times New Roman" w:eastAsia="宋体" w:cs="Times New Roman"/>
                <w:b w:val="0"/>
                <w:bCs w:val="0"/>
                <w:color w:val="auto"/>
                <w:kern w:val="2"/>
                <w:sz w:val="24"/>
                <w:szCs w:val="24"/>
                <w:highlight w:val="none"/>
                <w:vertAlign w:val="subscript"/>
                <w:lang w:val="en-US" w:eastAsia="zh-CN" w:bidi="ar-SA"/>
              </w:rPr>
              <w:t>10</w:t>
            </w:r>
            <w:r>
              <w:rPr>
                <w:rFonts w:hint="eastAsia" w:ascii="Times New Roman" w:hAnsi="Times New Roman" w:eastAsia="宋体" w:cs="Times New Roman"/>
                <w:b w:val="0"/>
                <w:bCs w:val="0"/>
                <w:color w:val="auto"/>
                <w:kern w:val="2"/>
                <w:sz w:val="24"/>
                <w:szCs w:val="24"/>
                <w:highlight w:val="none"/>
                <w:lang w:val="en-US" w:eastAsia="zh-CN" w:bidi="ar-SA"/>
              </w:rPr>
              <w:t>、PM</w:t>
            </w:r>
            <w:r>
              <w:rPr>
                <w:rFonts w:hint="eastAsia" w:ascii="Times New Roman" w:hAnsi="Times New Roman" w:eastAsia="宋体" w:cs="Times New Roman"/>
                <w:b w:val="0"/>
                <w:bCs w:val="0"/>
                <w:color w:val="auto"/>
                <w:kern w:val="2"/>
                <w:sz w:val="24"/>
                <w:szCs w:val="24"/>
                <w:highlight w:val="none"/>
                <w:vertAlign w:val="subscript"/>
                <w:lang w:val="en-US" w:eastAsia="zh-CN" w:bidi="ar-SA"/>
              </w:rPr>
              <w:t>2.5</w:t>
            </w:r>
            <w:r>
              <w:rPr>
                <w:rFonts w:hint="eastAsia" w:ascii="Times New Roman" w:hAnsi="Times New Roman" w:eastAsia="宋体" w:cs="Times New Roman"/>
                <w:b w:val="0"/>
                <w:bCs w:val="0"/>
                <w:color w:val="auto"/>
                <w:kern w:val="2"/>
                <w:sz w:val="24"/>
                <w:szCs w:val="24"/>
                <w:highlight w:val="none"/>
                <w:lang w:val="en-US" w:eastAsia="zh-CN" w:bidi="ar-SA"/>
              </w:rPr>
              <w:t>超标与所在区域地处干旱沙漠边缘有关。因此，项目所在区域为不达标区域。</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2"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1.2</w:t>
            </w:r>
            <w:r>
              <w:rPr>
                <w:rFonts w:hint="default" w:ascii="Times New Roman" w:hAnsi="Times New Roman" w:eastAsia="宋体" w:cs="Times New Roman"/>
                <w:b/>
                <w:bCs/>
                <w:color w:val="auto"/>
                <w:kern w:val="2"/>
                <w:sz w:val="24"/>
                <w:szCs w:val="24"/>
                <w:highlight w:val="none"/>
                <w:lang w:val="en-US" w:eastAsia="zh-CN" w:bidi="ar-SA"/>
              </w:rPr>
              <w:t xml:space="preserve"> 特征污染物补充监测</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2023年</w:t>
            </w:r>
            <w:r>
              <w:rPr>
                <w:rFonts w:hint="eastAsia" w:ascii="Times New Roman" w:hAnsi="Times New Roman" w:eastAsia="宋体" w:cs="Times New Roman"/>
                <w:b w:val="0"/>
                <w:bCs w:val="0"/>
                <w:color w:val="auto"/>
                <w:kern w:val="2"/>
                <w:sz w:val="24"/>
                <w:szCs w:val="24"/>
                <w:highlight w:val="none"/>
                <w:lang w:val="en-US" w:eastAsia="zh-CN" w:bidi="ar-SA"/>
              </w:rPr>
              <w:t>8</w:t>
            </w:r>
            <w:r>
              <w:rPr>
                <w:rFonts w:hint="default" w:ascii="Times New Roman" w:hAnsi="Times New Roman" w:eastAsia="宋体" w:cs="Times New Roman"/>
                <w:b w:val="0"/>
                <w:bCs w:val="0"/>
                <w:color w:val="auto"/>
                <w:kern w:val="2"/>
                <w:sz w:val="24"/>
                <w:szCs w:val="24"/>
                <w:highlight w:val="none"/>
                <w:lang w:val="en-US" w:eastAsia="zh-CN" w:bidi="ar-SA"/>
              </w:rPr>
              <w:t>月</w:t>
            </w:r>
            <w:r>
              <w:rPr>
                <w:rFonts w:hint="eastAsia" w:ascii="Times New Roman" w:hAnsi="Times New Roman" w:eastAsia="宋体" w:cs="Times New Roman"/>
                <w:b w:val="0"/>
                <w:bCs w:val="0"/>
                <w:color w:val="auto"/>
                <w:kern w:val="2"/>
                <w:sz w:val="24"/>
                <w:szCs w:val="24"/>
                <w:highlight w:val="none"/>
                <w:lang w:val="en-US" w:eastAsia="zh-CN" w:bidi="ar-SA"/>
              </w:rPr>
              <w:t>27</w:t>
            </w:r>
            <w:r>
              <w:rPr>
                <w:rFonts w:hint="default" w:ascii="Times New Roman" w:hAnsi="Times New Roman" w:eastAsia="宋体" w:cs="Times New Roman"/>
                <w:b w:val="0"/>
                <w:bCs w:val="0"/>
                <w:color w:val="auto"/>
                <w:kern w:val="2"/>
                <w:sz w:val="24"/>
                <w:szCs w:val="24"/>
                <w:highlight w:val="none"/>
                <w:lang w:val="en-US" w:eastAsia="zh-CN" w:bidi="ar-SA"/>
              </w:rPr>
              <w:t>日-</w:t>
            </w:r>
            <w:r>
              <w:rPr>
                <w:rFonts w:hint="eastAsia" w:ascii="Times New Roman" w:hAnsi="Times New Roman" w:eastAsia="宋体" w:cs="Times New Roman"/>
                <w:b w:val="0"/>
                <w:bCs w:val="0"/>
                <w:color w:val="auto"/>
                <w:kern w:val="2"/>
                <w:sz w:val="24"/>
                <w:szCs w:val="24"/>
                <w:highlight w:val="none"/>
                <w:lang w:val="en-US" w:eastAsia="zh-CN" w:bidi="ar-SA"/>
              </w:rPr>
              <w:t>8</w:t>
            </w:r>
            <w:r>
              <w:rPr>
                <w:rFonts w:hint="default" w:ascii="Times New Roman" w:hAnsi="Times New Roman" w:eastAsia="宋体" w:cs="Times New Roman"/>
                <w:b w:val="0"/>
                <w:bCs w:val="0"/>
                <w:color w:val="auto"/>
                <w:kern w:val="2"/>
                <w:sz w:val="24"/>
                <w:szCs w:val="24"/>
                <w:highlight w:val="none"/>
                <w:lang w:val="en-US" w:eastAsia="zh-CN" w:bidi="ar-SA"/>
              </w:rPr>
              <w:t>月</w:t>
            </w:r>
            <w:r>
              <w:rPr>
                <w:rFonts w:hint="eastAsia" w:ascii="Times New Roman" w:hAnsi="Times New Roman" w:eastAsia="宋体" w:cs="Times New Roman"/>
                <w:b w:val="0"/>
                <w:bCs w:val="0"/>
                <w:color w:val="auto"/>
                <w:kern w:val="2"/>
                <w:sz w:val="24"/>
                <w:szCs w:val="24"/>
                <w:highlight w:val="none"/>
                <w:lang w:val="en-US" w:eastAsia="zh-CN" w:bidi="ar-SA"/>
              </w:rPr>
              <w:t>29</w:t>
            </w:r>
            <w:r>
              <w:rPr>
                <w:rFonts w:hint="default" w:ascii="Times New Roman" w:hAnsi="Times New Roman" w:eastAsia="宋体" w:cs="Times New Roman"/>
                <w:b w:val="0"/>
                <w:bCs w:val="0"/>
                <w:color w:val="auto"/>
                <w:kern w:val="2"/>
                <w:sz w:val="24"/>
                <w:szCs w:val="24"/>
                <w:highlight w:val="none"/>
                <w:lang w:val="en-US" w:eastAsia="zh-CN" w:bidi="ar-SA"/>
              </w:rPr>
              <w:t>日</w:t>
            </w:r>
            <w:r>
              <w:rPr>
                <w:rFonts w:hint="eastAsia" w:ascii="Times New Roman" w:hAnsi="Times New Roman" w:eastAsia="宋体" w:cs="Times New Roman"/>
                <w:b w:val="0"/>
                <w:bCs w:val="0"/>
                <w:color w:val="auto"/>
                <w:kern w:val="2"/>
                <w:sz w:val="24"/>
                <w:szCs w:val="24"/>
                <w:highlight w:val="none"/>
                <w:lang w:val="en-US" w:eastAsia="zh-CN" w:bidi="ar-SA"/>
              </w:rPr>
              <w:t>，委托新疆广宇众联环境监测有限公司对特征污染物颗粒物环境质量现状进行补充监测。</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（1）监测点位</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本次评价在项目区外布置1个现状监测点（共1个监测点），监测点位具体位置见附图2。</w:t>
            </w:r>
          </w:p>
          <w:p>
            <w:pPr>
              <w:pStyle w:val="45"/>
              <w:spacing w:line="240" w:lineRule="auto"/>
              <w:jc w:val="center"/>
              <w:rPr>
                <w:rFonts w:ascii="Times New Roman" w:cs="Times New Roman"/>
                <w:b/>
                <w:bCs/>
              </w:rPr>
            </w:pPr>
            <w:r>
              <w:rPr>
                <w:rFonts w:ascii="Times New Roman" w:cs="Times New Roman"/>
                <w:b/>
                <w:bCs/>
              </w:rPr>
              <w:t>表</w:t>
            </w:r>
            <w:r>
              <w:rPr>
                <w:rFonts w:hint="eastAsia" w:ascii="Times New Roman" w:cs="Times New Roman"/>
                <w:b/>
                <w:bCs/>
                <w:lang w:val="en-US" w:eastAsia="zh-CN"/>
              </w:rPr>
              <w:t>3-2</w:t>
            </w:r>
            <w:r>
              <w:rPr>
                <w:rFonts w:ascii="Times New Roman" w:cs="Times New Roman"/>
                <w:b/>
                <w:bCs/>
              </w:rPr>
              <w:t xml:space="preserve">  特征污染物补充监测点位基本信息</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2302"/>
              <w:gridCol w:w="2370"/>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2" w:hRule="atLeast"/>
              </w:trPr>
              <w:tc>
                <w:tcPr>
                  <w:tcW w:w="905" w:type="pct"/>
                  <w:noWrap w:val="0"/>
                  <w:vAlign w:val="center"/>
                </w:tcPr>
                <w:p>
                  <w:pPr>
                    <w:widowControl/>
                    <w:jc w:val="center"/>
                    <w:rPr>
                      <w:kern w:val="0"/>
                      <w:szCs w:val="21"/>
                    </w:rPr>
                  </w:pPr>
                  <w:r>
                    <w:rPr>
                      <w:kern w:val="0"/>
                      <w:szCs w:val="21"/>
                    </w:rPr>
                    <w:t>监测点位</w:t>
                  </w:r>
                </w:p>
              </w:tc>
              <w:tc>
                <w:tcPr>
                  <w:tcW w:w="2933" w:type="pct"/>
                  <w:gridSpan w:val="2"/>
                  <w:noWrap w:val="0"/>
                  <w:vAlign w:val="center"/>
                </w:tcPr>
                <w:p>
                  <w:pPr>
                    <w:widowControl/>
                    <w:jc w:val="center"/>
                    <w:rPr>
                      <w:kern w:val="0"/>
                      <w:szCs w:val="21"/>
                    </w:rPr>
                  </w:pPr>
                  <w:r>
                    <w:rPr>
                      <w:kern w:val="0"/>
                      <w:szCs w:val="21"/>
                    </w:rPr>
                    <w:t>经纬度坐标</w:t>
                  </w:r>
                </w:p>
              </w:tc>
              <w:tc>
                <w:tcPr>
                  <w:tcW w:w="1160" w:type="pct"/>
                  <w:noWrap w:val="0"/>
                  <w:vAlign w:val="center"/>
                </w:tcPr>
                <w:p>
                  <w:pPr>
                    <w:widowControl/>
                    <w:jc w:val="center"/>
                    <w:rPr>
                      <w:rFonts w:hint="eastAsia"/>
                      <w:kern w:val="0"/>
                      <w:szCs w:val="21"/>
                    </w:rPr>
                  </w:pPr>
                  <w:r>
                    <w:rPr>
                      <w:rFonts w:hint="eastAsia"/>
                      <w:kern w:val="0"/>
                      <w:szCs w:val="21"/>
                    </w:rPr>
                    <w:t>位置关系及距离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5" w:type="pct"/>
                  <w:noWrap w:val="0"/>
                  <w:vAlign w:val="center"/>
                </w:tcPr>
                <w:p>
                  <w:pPr>
                    <w:widowControl/>
                    <w:jc w:val="center"/>
                    <w:rPr>
                      <w:rFonts w:hint="eastAsia"/>
                      <w:kern w:val="0"/>
                      <w:szCs w:val="21"/>
                    </w:rPr>
                  </w:pPr>
                  <w:r>
                    <w:rPr>
                      <w:kern w:val="0"/>
                      <w:szCs w:val="21"/>
                    </w:rPr>
                    <w:t>1#</w:t>
                  </w:r>
                  <w:r>
                    <w:rPr>
                      <w:rFonts w:hint="eastAsia"/>
                      <w:kern w:val="0"/>
                      <w:szCs w:val="21"/>
                    </w:rPr>
                    <w:t>监测点</w:t>
                  </w:r>
                </w:p>
              </w:tc>
              <w:tc>
                <w:tcPr>
                  <w:tcW w:w="1445" w:type="pct"/>
                  <w:noWrap w:val="0"/>
                  <w:vAlign w:val="center"/>
                </w:tcPr>
                <w:p>
                  <w:pPr>
                    <w:widowControl/>
                    <w:jc w:val="center"/>
                    <w:rPr>
                      <w:kern w:val="0"/>
                      <w:szCs w:val="21"/>
                      <w:highlight w:val="none"/>
                    </w:rPr>
                  </w:pPr>
                  <w:r>
                    <w:rPr>
                      <w:kern w:val="0"/>
                      <w:szCs w:val="21"/>
                      <w:highlight w:val="none"/>
                    </w:rPr>
                    <w:t>N</w:t>
                  </w:r>
                  <w:r>
                    <w:rPr>
                      <w:rFonts w:hint="eastAsia"/>
                      <w:kern w:val="0"/>
                      <w:szCs w:val="21"/>
                      <w:highlight w:val="none"/>
                      <w:lang w:eastAsia="zh-CN"/>
                    </w:rPr>
                    <w:t>:</w:t>
                  </w:r>
                  <w:r>
                    <w:rPr>
                      <w:rFonts w:hint="eastAsia"/>
                      <w:kern w:val="0"/>
                      <w:szCs w:val="21"/>
                      <w:highlight w:val="none"/>
                      <w:lang w:val="en-US" w:eastAsia="zh-CN"/>
                    </w:rPr>
                    <w:t>41</w:t>
                  </w:r>
                  <w:r>
                    <w:rPr>
                      <w:rFonts w:hint="eastAsia"/>
                      <w:kern w:val="0"/>
                      <w:szCs w:val="21"/>
                      <w:highlight w:val="none"/>
                    </w:rPr>
                    <w:t>°</w:t>
                  </w:r>
                  <w:r>
                    <w:rPr>
                      <w:rFonts w:hint="eastAsia"/>
                      <w:kern w:val="0"/>
                      <w:szCs w:val="21"/>
                      <w:highlight w:val="none"/>
                      <w:lang w:val="en-US" w:eastAsia="zh-CN"/>
                    </w:rPr>
                    <w:t>48</w:t>
                  </w:r>
                  <w:r>
                    <w:rPr>
                      <w:rFonts w:hint="eastAsia"/>
                      <w:kern w:val="0"/>
                      <w:szCs w:val="21"/>
                      <w:highlight w:val="none"/>
                    </w:rPr>
                    <w:t>′</w:t>
                  </w:r>
                  <w:r>
                    <w:rPr>
                      <w:rFonts w:hint="eastAsia"/>
                      <w:kern w:val="0"/>
                      <w:szCs w:val="21"/>
                      <w:highlight w:val="none"/>
                      <w:lang w:val="en-US" w:eastAsia="zh-CN"/>
                    </w:rPr>
                    <w:t>25.04</w:t>
                  </w:r>
                  <w:r>
                    <w:rPr>
                      <w:rFonts w:hint="eastAsia"/>
                      <w:kern w:val="0"/>
                      <w:szCs w:val="21"/>
                      <w:highlight w:val="none"/>
                    </w:rPr>
                    <w:t>″</w:t>
                  </w:r>
                </w:p>
              </w:tc>
              <w:tc>
                <w:tcPr>
                  <w:tcW w:w="1488" w:type="pct"/>
                  <w:noWrap w:val="0"/>
                  <w:vAlign w:val="center"/>
                </w:tcPr>
                <w:p>
                  <w:pPr>
                    <w:widowControl/>
                    <w:jc w:val="center"/>
                    <w:rPr>
                      <w:kern w:val="0"/>
                      <w:szCs w:val="21"/>
                      <w:highlight w:val="none"/>
                    </w:rPr>
                  </w:pPr>
                  <w:r>
                    <w:rPr>
                      <w:kern w:val="0"/>
                      <w:szCs w:val="21"/>
                      <w:highlight w:val="none"/>
                    </w:rPr>
                    <w:t>E</w:t>
                  </w:r>
                  <w:r>
                    <w:rPr>
                      <w:rFonts w:hint="eastAsia"/>
                      <w:kern w:val="0"/>
                      <w:szCs w:val="21"/>
                      <w:highlight w:val="none"/>
                      <w:lang w:eastAsia="zh-CN"/>
                    </w:rPr>
                    <w:t>:</w:t>
                  </w:r>
                  <w:r>
                    <w:rPr>
                      <w:rFonts w:hint="eastAsia"/>
                      <w:kern w:val="0"/>
                      <w:szCs w:val="21"/>
                      <w:highlight w:val="none"/>
                    </w:rPr>
                    <w:t>8</w:t>
                  </w:r>
                  <w:r>
                    <w:rPr>
                      <w:rFonts w:hint="eastAsia"/>
                      <w:kern w:val="0"/>
                      <w:szCs w:val="21"/>
                      <w:highlight w:val="none"/>
                      <w:lang w:val="en-US" w:eastAsia="zh-CN"/>
                    </w:rPr>
                    <w:t>6</w:t>
                  </w:r>
                  <w:r>
                    <w:rPr>
                      <w:rFonts w:hint="eastAsia"/>
                      <w:kern w:val="0"/>
                      <w:szCs w:val="21"/>
                      <w:highlight w:val="none"/>
                    </w:rPr>
                    <w:t>°</w:t>
                  </w:r>
                  <w:r>
                    <w:rPr>
                      <w:rFonts w:hint="eastAsia"/>
                      <w:kern w:val="0"/>
                      <w:szCs w:val="21"/>
                      <w:highlight w:val="none"/>
                      <w:lang w:val="en-US" w:eastAsia="zh-CN"/>
                    </w:rPr>
                    <w:t>07</w:t>
                  </w:r>
                  <w:r>
                    <w:rPr>
                      <w:rFonts w:hint="eastAsia"/>
                      <w:kern w:val="0"/>
                      <w:szCs w:val="21"/>
                      <w:highlight w:val="none"/>
                    </w:rPr>
                    <w:t>′</w:t>
                  </w:r>
                  <w:r>
                    <w:rPr>
                      <w:rFonts w:hint="eastAsia"/>
                      <w:kern w:val="0"/>
                      <w:szCs w:val="21"/>
                      <w:highlight w:val="none"/>
                      <w:lang w:val="en-US" w:eastAsia="zh-CN"/>
                    </w:rPr>
                    <w:t>00.58</w:t>
                  </w:r>
                  <w:r>
                    <w:rPr>
                      <w:rFonts w:hint="eastAsia"/>
                      <w:kern w:val="0"/>
                      <w:szCs w:val="21"/>
                      <w:highlight w:val="none"/>
                    </w:rPr>
                    <w:t>″</w:t>
                  </w:r>
                </w:p>
              </w:tc>
              <w:tc>
                <w:tcPr>
                  <w:tcW w:w="1160" w:type="pct"/>
                  <w:noWrap w:val="0"/>
                  <w:vAlign w:val="center"/>
                </w:tcPr>
                <w:p>
                  <w:pPr>
                    <w:widowControl/>
                    <w:jc w:val="center"/>
                    <w:rPr>
                      <w:kern w:val="0"/>
                      <w:szCs w:val="21"/>
                      <w:highlight w:val="none"/>
                    </w:rPr>
                  </w:pPr>
                  <w:r>
                    <w:rPr>
                      <w:rStyle w:val="27"/>
                      <w:rFonts w:hint="eastAsia"/>
                      <w:kern w:val="0"/>
                      <w:szCs w:val="20"/>
                      <w:highlight w:val="none"/>
                    </w:rPr>
                    <w:t>项目区外</w:t>
                  </w:r>
                  <w:r>
                    <w:rPr>
                      <w:rStyle w:val="27"/>
                      <w:rFonts w:hint="eastAsia"/>
                      <w:kern w:val="0"/>
                      <w:szCs w:val="20"/>
                      <w:highlight w:val="none"/>
                      <w:lang w:val="en-US" w:eastAsia="zh-CN"/>
                    </w:rPr>
                    <w:t>西</w:t>
                  </w:r>
                  <w:r>
                    <w:rPr>
                      <w:rStyle w:val="27"/>
                      <w:rFonts w:hint="eastAsia"/>
                      <w:kern w:val="0"/>
                      <w:szCs w:val="20"/>
                      <w:highlight w:val="none"/>
                    </w:rPr>
                    <w:t>南侧</w:t>
                  </w:r>
                  <w:r>
                    <w:rPr>
                      <w:rStyle w:val="27"/>
                      <w:rFonts w:hint="eastAsia"/>
                      <w:kern w:val="0"/>
                      <w:szCs w:val="20"/>
                      <w:highlight w:val="none"/>
                      <w:lang w:val="en-US" w:eastAsia="zh-CN"/>
                    </w:rPr>
                    <w:t>20</w:t>
                  </w:r>
                  <w:r>
                    <w:rPr>
                      <w:rStyle w:val="27"/>
                      <w:rFonts w:hint="eastAsia"/>
                      <w:kern w:val="0"/>
                      <w:szCs w:val="20"/>
                      <w:highlight w:val="none"/>
                    </w:rPr>
                    <w:t>m</w:t>
                  </w:r>
                </w:p>
              </w:tc>
            </w:tr>
          </w:tbl>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（2）监测时间及监测方法</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监测时间为连续采样3天，采样要求按照《环境空气质量标准》</w:t>
            </w:r>
            <w:r>
              <w:rPr>
                <w:rFonts w:hint="eastAsia" w:ascii="Times New Roman" w:hAnsi="Times New Roman"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GB3095-2026</w:t>
            </w:r>
            <w:r>
              <w:rPr>
                <w:rFonts w:hint="eastAsia" w:ascii="Times New Roman" w:hAnsi="Times New Roman"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及《大气环境监测技术规范》相关要求执行。</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（3）评价方法</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采用最大占标百分比，计算公式如下：</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jc w:val="center"/>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Pi=Ci/Coi</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960" w:firstLineChars="4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式中：Pi——i评价因子最大浓度占标率；</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1680" w:firstLineChars="7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Ci——i评价因子的最大监测浓度（mg/m</w:t>
            </w:r>
            <w:r>
              <w:rPr>
                <w:rFonts w:hint="eastAsia" w:ascii="Times New Roman" w:hAnsi="Times New Roman" w:eastAsia="宋体" w:cs="Times New Roman"/>
                <w:b w:val="0"/>
                <w:bCs w:val="0"/>
                <w:color w:val="auto"/>
                <w:kern w:val="2"/>
                <w:sz w:val="24"/>
                <w:szCs w:val="24"/>
                <w:highlight w:val="none"/>
                <w:vertAlign w:val="superscript"/>
                <w:lang w:val="en-US" w:eastAsia="zh-CN" w:bidi="ar-SA"/>
              </w:rPr>
              <w:t>3</w:t>
            </w:r>
            <w:r>
              <w:rPr>
                <w:rFonts w:hint="eastAsia" w:ascii="Times New Roman" w:hAnsi="Times New Roman" w:eastAsia="宋体" w:cs="Times New Roman"/>
                <w:b w:val="0"/>
                <w:bCs w:val="0"/>
                <w:color w:val="auto"/>
                <w:kern w:val="2"/>
                <w:sz w:val="24"/>
                <w:szCs w:val="24"/>
                <w:highlight w:val="none"/>
                <w:lang w:val="en-US" w:eastAsia="zh-CN" w:bidi="ar-SA"/>
              </w:rPr>
              <w:t>）；</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1680" w:firstLineChars="7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Coi——i评价因子的评价标准（mg/m</w:t>
            </w:r>
            <w:r>
              <w:rPr>
                <w:rFonts w:hint="eastAsia" w:ascii="Times New Roman" w:hAnsi="Times New Roman" w:eastAsia="宋体" w:cs="Times New Roman"/>
                <w:b w:val="0"/>
                <w:bCs w:val="0"/>
                <w:color w:val="auto"/>
                <w:kern w:val="2"/>
                <w:sz w:val="24"/>
                <w:szCs w:val="24"/>
                <w:highlight w:val="none"/>
                <w:vertAlign w:val="superscript"/>
                <w:lang w:val="en-US" w:eastAsia="zh-CN" w:bidi="ar-SA"/>
              </w:rPr>
              <w:t>3</w:t>
            </w:r>
            <w:r>
              <w:rPr>
                <w:rFonts w:hint="eastAsia" w:ascii="Times New Roman" w:hAnsi="Times New Roman" w:eastAsia="宋体" w:cs="Times New Roman"/>
                <w:b w:val="0"/>
                <w:bCs w:val="0"/>
                <w:color w:val="auto"/>
                <w:kern w:val="2"/>
                <w:sz w:val="24"/>
                <w:szCs w:val="24"/>
                <w:highlight w:val="none"/>
                <w:lang w:val="en-US" w:eastAsia="zh-CN" w:bidi="ar-SA"/>
              </w:rPr>
              <w:t>）</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（4）监测结果</w:t>
            </w:r>
          </w:p>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kern w:val="2"/>
                <w:sz w:val="24"/>
                <w:szCs w:val="24"/>
                <w:highlight w:val="none"/>
                <w:lang w:val="en-US" w:eastAsia="zh-CN" w:bidi="ar-SA"/>
              </w:rPr>
              <w:t>监测结果见下表，TSP参考《环境空气质量标准》（GB3095-2026）中浓度限值0.3mg/m</w:t>
            </w:r>
            <w:r>
              <w:rPr>
                <w:rFonts w:hint="eastAsia" w:ascii="Times New Roman" w:hAnsi="Times New Roman" w:eastAsia="宋体" w:cs="Times New Roman"/>
                <w:b w:val="0"/>
                <w:bCs w:val="0"/>
                <w:color w:val="auto"/>
                <w:kern w:val="2"/>
                <w:sz w:val="24"/>
                <w:szCs w:val="24"/>
                <w:highlight w:val="none"/>
                <w:vertAlign w:val="superscript"/>
                <w:lang w:val="en-US" w:eastAsia="zh-CN" w:bidi="ar-SA"/>
              </w:rPr>
              <w:t>3</w:t>
            </w:r>
            <w:r>
              <w:rPr>
                <w:rFonts w:hint="eastAsia" w:ascii="Times New Roman" w:hAnsi="Times New Roman" w:eastAsia="宋体" w:cs="Times New Roman"/>
                <w:b w:val="0"/>
                <w:bCs w:val="0"/>
                <w:color w:val="auto"/>
                <w:kern w:val="2"/>
                <w:sz w:val="24"/>
                <w:szCs w:val="24"/>
                <w:highlight w:val="none"/>
                <w:lang w:val="en-US" w:eastAsia="zh-CN" w:bidi="ar-SA"/>
              </w:rPr>
              <w:t>。</w:t>
            </w:r>
          </w:p>
          <w:p>
            <w:pPr>
              <w:pStyle w:val="45"/>
              <w:spacing w:line="240" w:lineRule="auto"/>
              <w:jc w:val="center"/>
              <w:rPr>
                <w:rFonts w:ascii="Times New Roman" w:cs="Times New Roman"/>
                <w:b/>
                <w:bCs/>
              </w:rPr>
            </w:pPr>
            <w:r>
              <w:rPr>
                <w:rFonts w:ascii="Times New Roman" w:cs="Times New Roman"/>
                <w:b/>
                <w:bCs/>
              </w:rPr>
              <w:t>表</w:t>
            </w:r>
            <w:r>
              <w:rPr>
                <w:rFonts w:hint="eastAsia" w:ascii="Times New Roman" w:cs="Times New Roman"/>
                <w:b/>
                <w:bCs/>
                <w:lang w:val="en-US" w:eastAsia="zh-CN"/>
              </w:rPr>
              <w:t>3-3</w:t>
            </w:r>
            <w:r>
              <w:rPr>
                <w:rFonts w:ascii="Times New Roman" w:cs="Times New Roman"/>
                <w:b/>
                <w:bCs/>
              </w:rPr>
              <w:t xml:space="preserve">  </w:t>
            </w:r>
            <w:r>
              <w:rPr>
                <w:rFonts w:hint="eastAsia" w:ascii="Times New Roman" w:cs="Times New Roman"/>
                <w:b/>
                <w:bCs/>
              </w:rPr>
              <w:t>颗粒物</w:t>
            </w:r>
            <w:r>
              <w:rPr>
                <w:rFonts w:hint="eastAsia"/>
                <w:b/>
              </w:rPr>
              <w:t>质量现状</w:t>
            </w:r>
            <w:r>
              <w:rPr>
                <w:rFonts w:hint="eastAsia" w:ascii="Times New Roman" w:cs="Times New Roman"/>
                <w:b/>
                <w:bCs/>
              </w:rPr>
              <w:t>评价</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1328"/>
              <w:gridCol w:w="1534"/>
              <w:gridCol w:w="1333"/>
              <w:gridCol w:w="1950"/>
              <w:gridCol w:w="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监测点</w:t>
                  </w:r>
                </w:p>
              </w:tc>
              <w:tc>
                <w:tcPr>
                  <w:tcW w:w="834"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时间</w:t>
                  </w:r>
                </w:p>
              </w:tc>
              <w:tc>
                <w:tcPr>
                  <w:tcW w:w="963"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浓度（mg/m</w:t>
                  </w:r>
                  <w:r>
                    <w:rPr>
                      <w:rFonts w:hint="eastAsia" w:ascii="Times New Roman" w:hAnsi="Times New Roman" w:eastAsia="宋体" w:cs="Times New Roman"/>
                      <w:szCs w:val="21"/>
                      <w:highlight w:val="none"/>
                      <w:vertAlign w:val="superscript"/>
                      <w:lang w:val="en-US" w:eastAsia="zh-CN"/>
                    </w:rPr>
                    <w:t>3</w:t>
                  </w:r>
                  <w:r>
                    <w:rPr>
                      <w:rFonts w:hint="eastAsia" w:ascii="Times New Roman" w:hAnsi="Times New Roman" w:eastAsia="宋体" w:cs="Times New Roman"/>
                      <w:szCs w:val="21"/>
                      <w:highlight w:val="none"/>
                      <w:lang w:val="en-US" w:eastAsia="zh-CN"/>
                    </w:rPr>
                    <w:t>）</w:t>
                  </w:r>
                </w:p>
              </w:tc>
              <w:tc>
                <w:tcPr>
                  <w:tcW w:w="837"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标准值（mg/m</w:t>
                  </w:r>
                  <w:r>
                    <w:rPr>
                      <w:rFonts w:hint="eastAsia" w:ascii="Times New Roman" w:hAnsi="Times New Roman" w:eastAsia="宋体" w:cs="Times New Roman"/>
                      <w:szCs w:val="21"/>
                      <w:highlight w:val="none"/>
                      <w:vertAlign w:val="superscript"/>
                      <w:lang w:val="en-US" w:eastAsia="zh-CN"/>
                    </w:rPr>
                    <w:t>3</w:t>
                  </w:r>
                  <w:r>
                    <w:rPr>
                      <w:rFonts w:hint="eastAsia" w:ascii="Times New Roman" w:hAnsi="Times New Roman" w:eastAsia="宋体" w:cs="Times New Roman"/>
                      <w:szCs w:val="21"/>
                      <w:highlight w:val="none"/>
                      <w:lang w:val="en-US" w:eastAsia="zh-CN"/>
                    </w:rPr>
                    <w:t>）</w:t>
                  </w:r>
                </w:p>
              </w:tc>
              <w:tc>
                <w:tcPr>
                  <w:tcW w:w="1224"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浓度占标率（％）</w:t>
                  </w:r>
                </w:p>
              </w:tc>
              <w:tc>
                <w:tcPr>
                  <w:tcW w:w="616"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pct"/>
                  <w:vMerge w:val="restar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w:t>
                  </w:r>
                </w:p>
              </w:tc>
              <w:tc>
                <w:tcPr>
                  <w:tcW w:w="1387" w:type="dxa"/>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8月27日</w:t>
                  </w:r>
                </w:p>
              </w:tc>
              <w:tc>
                <w:tcPr>
                  <w:tcW w:w="963" w:type="pct"/>
                  <w:noWrap w:val="0"/>
                  <w:vAlign w:val="center"/>
                </w:tcPr>
                <w:p>
                  <w:pPr>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0.200</w:t>
                  </w:r>
                </w:p>
              </w:tc>
              <w:tc>
                <w:tcPr>
                  <w:tcW w:w="837" w:type="pct"/>
                  <w:vMerge w:val="restar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0.3</w:t>
                  </w:r>
                </w:p>
              </w:tc>
              <w:tc>
                <w:tcPr>
                  <w:tcW w:w="1224" w:type="pct"/>
                  <w:noWrap w:val="0"/>
                  <w:vAlign w:val="center"/>
                </w:tcPr>
                <w:p>
                  <w:pPr>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0.67</w:t>
                  </w:r>
                </w:p>
              </w:tc>
              <w:tc>
                <w:tcPr>
                  <w:tcW w:w="616"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pct"/>
                  <w:vMerge w:val="continue"/>
                  <w:noWrap w:val="0"/>
                  <w:vAlign w:val="center"/>
                </w:tcPr>
                <w:p>
                  <w:pPr>
                    <w:jc w:val="center"/>
                    <w:rPr>
                      <w:rFonts w:hint="eastAsia" w:ascii="Times New Roman" w:hAnsi="Times New Roman" w:eastAsia="宋体" w:cs="Times New Roman"/>
                      <w:szCs w:val="21"/>
                      <w:highlight w:val="none"/>
                      <w:lang w:val="en-US" w:eastAsia="zh-CN"/>
                    </w:rPr>
                  </w:pPr>
                </w:p>
              </w:tc>
              <w:tc>
                <w:tcPr>
                  <w:tcW w:w="1387" w:type="dxa"/>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8月28日</w:t>
                  </w:r>
                </w:p>
              </w:tc>
              <w:tc>
                <w:tcPr>
                  <w:tcW w:w="963"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0.280</w:t>
                  </w:r>
                </w:p>
              </w:tc>
              <w:tc>
                <w:tcPr>
                  <w:tcW w:w="837" w:type="pct"/>
                  <w:vMerge w:val="continue"/>
                  <w:noWrap w:val="0"/>
                  <w:vAlign w:val="center"/>
                </w:tcPr>
                <w:p>
                  <w:pPr>
                    <w:jc w:val="center"/>
                    <w:rPr>
                      <w:rFonts w:hint="eastAsia" w:ascii="Times New Roman" w:hAnsi="Times New Roman" w:eastAsia="宋体" w:cs="Times New Roman"/>
                      <w:szCs w:val="21"/>
                      <w:highlight w:val="none"/>
                      <w:lang w:val="en-US" w:eastAsia="zh-CN"/>
                    </w:rPr>
                  </w:pPr>
                </w:p>
              </w:tc>
              <w:tc>
                <w:tcPr>
                  <w:tcW w:w="1224" w:type="pct"/>
                  <w:noWrap w:val="0"/>
                  <w:vAlign w:val="center"/>
                </w:tcPr>
                <w:p>
                  <w:pPr>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0.93</w:t>
                  </w:r>
                </w:p>
              </w:tc>
              <w:tc>
                <w:tcPr>
                  <w:tcW w:w="616"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4" w:type="pct"/>
                  <w:vMerge w:val="continue"/>
                  <w:noWrap w:val="0"/>
                  <w:vAlign w:val="center"/>
                </w:tcPr>
                <w:p>
                  <w:pPr>
                    <w:jc w:val="center"/>
                    <w:rPr>
                      <w:rFonts w:hint="eastAsia" w:ascii="Times New Roman" w:hAnsi="Times New Roman" w:eastAsia="宋体" w:cs="Times New Roman"/>
                      <w:szCs w:val="21"/>
                      <w:highlight w:val="none"/>
                      <w:lang w:val="en-US" w:eastAsia="zh-CN"/>
                    </w:rPr>
                  </w:pPr>
                </w:p>
              </w:tc>
              <w:tc>
                <w:tcPr>
                  <w:tcW w:w="1387" w:type="dxa"/>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8月29日</w:t>
                  </w:r>
                </w:p>
              </w:tc>
              <w:tc>
                <w:tcPr>
                  <w:tcW w:w="963" w:type="pct"/>
                  <w:noWrap w:val="0"/>
                  <w:vAlign w:val="center"/>
                </w:tcPr>
                <w:p>
                  <w:pPr>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0.270</w:t>
                  </w:r>
                </w:p>
              </w:tc>
              <w:tc>
                <w:tcPr>
                  <w:tcW w:w="837" w:type="pct"/>
                  <w:vMerge w:val="continue"/>
                  <w:noWrap w:val="0"/>
                  <w:vAlign w:val="center"/>
                </w:tcPr>
                <w:p>
                  <w:pPr>
                    <w:jc w:val="center"/>
                    <w:rPr>
                      <w:rFonts w:hint="eastAsia" w:ascii="Times New Roman" w:hAnsi="Times New Roman" w:eastAsia="宋体" w:cs="Times New Roman"/>
                      <w:szCs w:val="21"/>
                      <w:highlight w:val="none"/>
                      <w:lang w:val="en-US" w:eastAsia="zh-CN"/>
                    </w:rPr>
                  </w:pPr>
                </w:p>
              </w:tc>
              <w:tc>
                <w:tcPr>
                  <w:tcW w:w="1224" w:type="pct"/>
                  <w:noWrap w:val="0"/>
                  <w:vAlign w:val="center"/>
                </w:tcPr>
                <w:p>
                  <w:pPr>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0.90</w:t>
                  </w:r>
                </w:p>
              </w:tc>
              <w:tc>
                <w:tcPr>
                  <w:tcW w:w="616" w:type="pct"/>
                  <w:noWrap w:val="0"/>
                  <w:vAlign w:val="center"/>
                </w:tcPr>
                <w:p>
                  <w:pPr>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达标</w:t>
                  </w:r>
                </w:p>
              </w:tc>
            </w:tr>
          </w:tbl>
          <w:p>
            <w:pPr>
              <w:keepNext w:val="0"/>
              <w:keepLines w:val="0"/>
              <w:pageBreakBefore w:val="0"/>
              <w:widowControl w:val="0"/>
              <w:kinsoku/>
              <w:wordWrap/>
              <w:overflowPunct/>
              <w:topLinePunct w:val="0"/>
              <w:bidi w:val="0"/>
              <w:snapToGrid/>
              <w:spacing w:line="360" w:lineRule="auto"/>
              <w:ind w:firstLine="480" w:firstLineChars="200"/>
              <w:textAlignment w:val="auto"/>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根据特征污染物补充监测数据结果，项目所在区域TSP最大浓度占标率范围在</w:t>
            </w:r>
            <w:r>
              <w:rPr>
                <w:rFonts w:hint="eastAsia" w:ascii="Times New Roman" w:hAnsi="Times New Roman" w:eastAsia="宋体" w:cs="Times New Roman"/>
                <w:sz w:val="24"/>
                <w:highlight w:val="none"/>
                <w:lang w:val="en-US" w:eastAsia="zh-CN"/>
              </w:rPr>
              <w:t>67</w:t>
            </w:r>
            <w:r>
              <w:rPr>
                <w:rFonts w:hint="eastAsia" w:cs="Times New Roman"/>
                <w:sz w:val="24"/>
                <w:highlight w:val="none"/>
                <w:lang w:val="en-US" w:eastAsia="zh-CN"/>
              </w:rPr>
              <w:t>%～</w:t>
            </w:r>
            <w:r>
              <w:rPr>
                <w:rFonts w:hint="eastAsia" w:ascii="Times New Roman" w:hAnsi="Times New Roman" w:eastAsia="宋体" w:cs="Times New Roman"/>
                <w:sz w:val="24"/>
                <w:highlight w:val="none"/>
                <w:lang w:val="en-US" w:eastAsia="zh-CN"/>
              </w:rPr>
              <w:t>93</w:t>
            </w:r>
            <w:r>
              <w:rPr>
                <w:rFonts w:hint="eastAsia" w:cs="Times New Roman"/>
                <w:sz w:val="24"/>
                <w:highlight w:val="none"/>
                <w:lang w:val="en-US" w:eastAsia="zh-CN"/>
              </w:rPr>
              <w:t>%</w:t>
            </w:r>
            <w:r>
              <w:rPr>
                <w:rFonts w:hint="default" w:ascii="Times New Roman" w:hAnsi="Times New Roman" w:eastAsia="宋体" w:cs="Times New Roman"/>
                <w:sz w:val="24"/>
                <w:highlight w:val="none"/>
                <w:lang w:val="en-US" w:eastAsia="zh-CN"/>
              </w:rPr>
              <w:t>，满足《环境空气质量标准》（GB3095-20</w:t>
            </w:r>
            <w:r>
              <w:rPr>
                <w:rFonts w:hint="eastAsia" w:ascii="Times New Roman" w:hAnsi="Times New Roman" w:eastAsia="宋体" w:cs="Times New Roman"/>
                <w:sz w:val="24"/>
                <w:highlight w:val="none"/>
                <w:lang w:val="en-US" w:eastAsia="zh-CN"/>
              </w:rPr>
              <w:t>26</w:t>
            </w:r>
            <w:r>
              <w:rPr>
                <w:rFonts w:hint="default" w:ascii="Times New Roman" w:hAnsi="Times New Roman" w:eastAsia="宋体" w:cs="Times New Roman"/>
                <w:sz w:val="24"/>
                <w:highlight w:val="none"/>
                <w:lang w:val="en-US" w:eastAsia="zh-CN"/>
              </w:rPr>
              <w:t>）二级标准限值要求。</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二、地表水环境质量现状调查与评价</w:t>
            </w:r>
            <w:bookmarkStart w:id="1" w:name="_Toc396385923"/>
            <w:bookmarkStart w:id="2" w:name="_Toc329596219"/>
          </w:p>
          <w:bookmarkEnd w:id="1"/>
          <w:bookmarkEnd w:id="2"/>
          <w:p>
            <w:pPr>
              <w:pStyle w:val="12"/>
              <w:keepNext w:val="0"/>
              <w:keepLines w:val="0"/>
              <w:pageBreakBefore w:val="0"/>
              <w:widowControl/>
              <w:kinsoku/>
              <w:wordWrap/>
              <w:overflowPunct w:val="0"/>
              <w:topLinePunct w:val="0"/>
              <w:autoSpaceDE/>
              <w:autoSpaceDN/>
              <w:bidi w:val="0"/>
              <w:adjustRightInd/>
              <w:snapToGrid/>
              <w:spacing w:before="0" w:after="0" w:line="520" w:lineRule="exact"/>
              <w:ind w:left="0" w:leftChars="0" w:right="0" w:firstLine="480" w:firstLineChars="200"/>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根据《巴音郭楞蒙古自治州2024年生态环境状况公报》</w:t>
            </w:r>
            <w:r>
              <w:rPr>
                <w:rFonts w:hint="eastAsia"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2024年，全州地表水监测的31个考核断面</w:t>
            </w:r>
            <w:r>
              <w:rPr>
                <w:rFonts w:hint="eastAsia" w:ascii="Times New Roman" w:hAnsi="Times New Roman"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点位</w:t>
            </w:r>
            <w:r>
              <w:rPr>
                <w:rFonts w:hint="eastAsia" w:ascii="Times New Roman" w:hAnsi="Times New Roman"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中，I~</w:t>
            </w:r>
            <w:r>
              <w:rPr>
                <w:rFonts w:hint="default" w:ascii="Times New Roman" w:hAnsi="Times New Roman" w:eastAsia="宋体" w:cs="Times New Roman"/>
                <w:b w:val="0"/>
                <w:bCs w:val="0"/>
                <w:color w:val="auto"/>
                <w:kern w:val="2"/>
                <w:sz w:val="24"/>
                <w:szCs w:val="24"/>
                <w:highlight w:val="none"/>
                <w:lang w:val="en-US" w:eastAsia="zh-CN" w:bidi="ar-SA"/>
              </w:rPr>
              <w:t>Ⅲ</w:t>
            </w:r>
            <w:r>
              <w:rPr>
                <w:rFonts w:hint="eastAsia" w:ascii="Times New Roman" w:hAnsi="Times New Roman" w:eastAsia="宋体" w:cs="Times New Roman"/>
                <w:b w:val="0"/>
                <w:bCs w:val="0"/>
                <w:color w:val="auto"/>
                <w:kern w:val="2"/>
                <w:sz w:val="24"/>
                <w:szCs w:val="24"/>
                <w:highlight w:val="none"/>
                <w:lang w:val="en-US" w:eastAsia="zh-CN" w:bidi="ar-SA"/>
              </w:rPr>
              <w:t>类优良水质断面</w:t>
            </w:r>
            <w:r>
              <w:rPr>
                <w:rFonts w:hint="eastAsia" w:ascii="Times New Roman" w:hAnsi="Times New Roman"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点位</w:t>
            </w:r>
            <w:r>
              <w:rPr>
                <w:rFonts w:hint="eastAsia" w:ascii="Times New Roman" w:hAnsi="Times New Roman"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占比90.3%，无</w:t>
            </w:r>
            <w:r>
              <w:rPr>
                <w:rFonts w:hint="eastAsia" w:ascii="Times New Roman" w:hAnsi="Times New Roman" w:cs="Times New Roman"/>
                <w:b w:val="0"/>
                <w:bCs w:val="0"/>
                <w:color w:val="auto"/>
                <w:kern w:val="2"/>
                <w:sz w:val="24"/>
                <w:szCs w:val="24"/>
                <w:highlight w:val="none"/>
                <w:lang w:val="en-US" w:eastAsia="zh-CN" w:bidi="ar-SA"/>
              </w:rPr>
              <w:t>Ⅳ类</w:t>
            </w:r>
            <w:r>
              <w:rPr>
                <w:rFonts w:hint="eastAsia" w:ascii="Times New Roman" w:hAnsi="Times New Roman" w:eastAsia="宋体" w:cs="Times New Roman"/>
                <w:b w:val="0"/>
                <w:bCs w:val="0"/>
                <w:color w:val="auto"/>
                <w:kern w:val="2"/>
                <w:sz w:val="24"/>
                <w:szCs w:val="24"/>
                <w:highlight w:val="none"/>
                <w:lang w:val="en-US" w:eastAsia="zh-CN" w:bidi="ar-SA"/>
              </w:rPr>
              <w:t>水质。6条主要河流19个监测断面中I</w:t>
            </w:r>
            <w:r>
              <w:rPr>
                <w:rFonts w:hint="eastAsia" w:cs="Times New Roman"/>
                <w:b w:val="0"/>
                <w:bCs w:val="0"/>
                <w:color w:val="auto"/>
                <w:kern w:val="2"/>
                <w:sz w:val="24"/>
                <w:szCs w:val="24"/>
                <w:highlight w:val="none"/>
                <w:lang w:val="en-US" w:eastAsia="zh-CN" w:bidi="ar-SA"/>
              </w:rPr>
              <w:t>～</w:t>
            </w:r>
            <w:r>
              <w:rPr>
                <w:rFonts w:hint="default" w:ascii="Times New Roman" w:hAnsi="Times New Roman" w:eastAsia="宋体" w:cs="Times New Roman"/>
                <w:b w:val="0"/>
                <w:bCs w:val="0"/>
                <w:color w:val="auto"/>
                <w:kern w:val="2"/>
                <w:sz w:val="24"/>
                <w:szCs w:val="24"/>
                <w:highlight w:val="none"/>
                <w:lang w:val="en-US" w:eastAsia="zh-CN" w:bidi="ar-SA"/>
              </w:rPr>
              <w:t>Ⅲ</w:t>
            </w:r>
            <w:r>
              <w:rPr>
                <w:rFonts w:hint="eastAsia" w:ascii="Times New Roman" w:hAnsi="Times New Roman" w:eastAsia="宋体" w:cs="Times New Roman"/>
                <w:b w:val="0"/>
                <w:bCs w:val="0"/>
                <w:color w:val="auto"/>
                <w:kern w:val="2"/>
                <w:sz w:val="24"/>
                <w:szCs w:val="24"/>
                <w:highlight w:val="none"/>
                <w:lang w:val="en-US" w:eastAsia="zh-CN" w:bidi="ar-SA"/>
              </w:rPr>
              <w:t>类优良水质断面占100%，3个重要湖泊</w:t>
            </w:r>
            <w:r>
              <w:rPr>
                <w:rFonts w:hint="eastAsia" w:ascii="Times New Roman" w:hAnsi="Times New Roman"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水库</w:t>
            </w:r>
            <w:r>
              <w:rPr>
                <w:rFonts w:hint="eastAsia" w:ascii="Times New Roman" w:hAnsi="Times New Roman" w:cs="Times New Roman"/>
                <w:b w:val="0"/>
                <w:bCs w:val="0"/>
                <w:color w:val="auto"/>
                <w:kern w:val="2"/>
                <w:sz w:val="24"/>
                <w:szCs w:val="24"/>
                <w:highlight w:val="none"/>
                <w:lang w:val="en-US" w:eastAsia="zh-CN" w:bidi="ar-SA"/>
              </w:rPr>
              <w:t>）</w:t>
            </w:r>
            <w:r>
              <w:rPr>
                <w:rFonts w:hint="eastAsia" w:ascii="Times New Roman" w:hAnsi="Times New Roman" w:eastAsia="宋体" w:cs="Times New Roman"/>
                <w:b w:val="0"/>
                <w:bCs w:val="0"/>
                <w:color w:val="auto"/>
                <w:kern w:val="2"/>
                <w:sz w:val="24"/>
                <w:szCs w:val="24"/>
                <w:highlight w:val="none"/>
                <w:lang w:val="en-US" w:eastAsia="zh-CN" w:bidi="ar-SA"/>
              </w:rPr>
              <w:t>12个监测点位中I</w:t>
            </w:r>
            <w:r>
              <w:rPr>
                <w:rFonts w:hint="eastAsia" w:cs="Times New Roman"/>
                <w:b w:val="0"/>
                <w:bCs w:val="0"/>
                <w:color w:val="auto"/>
                <w:kern w:val="2"/>
                <w:sz w:val="24"/>
                <w:szCs w:val="24"/>
                <w:highlight w:val="none"/>
                <w:lang w:val="en-US" w:eastAsia="zh-CN" w:bidi="ar-SA"/>
              </w:rPr>
              <w:t>～</w:t>
            </w:r>
            <w:r>
              <w:rPr>
                <w:rFonts w:hint="default" w:ascii="Times New Roman" w:hAnsi="Times New Roman" w:eastAsia="宋体" w:cs="Times New Roman"/>
                <w:b w:val="0"/>
                <w:bCs w:val="0"/>
                <w:color w:val="auto"/>
                <w:kern w:val="2"/>
                <w:sz w:val="24"/>
                <w:szCs w:val="24"/>
                <w:highlight w:val="none"/>
                <w:lang w:val="en-US" w:eastAsia="zh-CN" w:bidi="ar-SA"/>
              </w:rPr>
              <w:t>Ⅲ</w:t>
            </w:r>
            <w:r>
              <w:rPr>
                <w:rFonts w:hint="eastAsia" w:ascii="Times New Roman" w:hAnsi="Times New Roman" w:eastAsia="宋体" w:cs="Times New Roman"/>
                <w:b w:val="0"/>
                <w:bCs w:val="0"/>
                <w:color w:val="auto"/>
                <w:kern w:val="2"/>
                <w:sz w:val="24"/>
                <w:szCs w:val="24"/>
                <w:highlight w:val="none"/>
                <w:lang w:val="en-US" w:eastAsia="zh-CN" w:bidi="ar-SA"/>
              </w:rPr>
              <w:t>类优良水质断面占75%，无劣V类水体，湖泊水质影响因子为化学需氧量。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val="0"/>
                <w:bCs w:val="0"/>
                <w:color w:val="auto"/>
                <w:kern w:val="2"/>
                <w:sz w:val="24"/>
                <w:szCs w:val="24"/>
                <w:highlight w:val="none"/>
                <w:lang w:val="en-US" w:eastAsia="zh-CN" w:bidi="ar-SA"/>
              </w:rPr>
              <w:t>距离项目区</w:t>
            </w:r>
            <w:r>
              <w:rPr>
                <w:rFonts w:hint="eastAsia" w:ascii="Times New Roman" w:hAnsi="Times New Roman" w:cs="Times New Roman"/>
                <w:b w:val="0"/>
                <w:bCs w:val="0"/>
                <w:color w:val="auto"/>
                <w:kern w:val="2"/>
                <w:sz w:val="24"/>
                <w:szCs w:val="24"/>
                <w:highlight w:val="none"/>
                <w:lang w:val="en-US" w:eastAsia="zh-CN" w:bidi="ar-SA"/>
              </w:rPr>
              <w:t>最近</w:t>
            </w:r>
            <w:r>
              <w:rPr>
                <w:rFonts w:hint="eastAsia" w:ascii="Times New Roman" w:hAnsi="Times New Roman" w:eastAsia="宋体" w:cs="Times New Roman"/>
                <w:b w:val="0"/>
                <w:bCs w:val="0"/>
                <w:color w:val="auto"/>
                <w:kern w:val="2"/>
                <w:sz w:val="24"/>
                <w:szCs w:val="24"/>
                <w:highlight w:val="none"/>
                <w:lang w:val="en-US" w:eastAsia="zh-CN" w:bidi="ar-SA"/>
              </w:rPr>
              <w:t>的地表水体是位于项目</w:t>
            </w:r>
            <w:r>
              <w:rPr>
                <w:rFonts w:hint="default" w:ascii="Times New Roman" w:hAnsi="Times New Roman" w:eastAsia="宋体" w:cs="Times New Roman"/>
                <w:b w:val="0"/>
                <w:bCs w:val="0"/>
                <w:color w:val="auto"/>
                <w:kern w:val="2"/>
                <w:sz w:val="24"/>
                <w:szCs w:val="24"/>
                <w:highlight w:val="none"/>
                <w:lang w:val="en-US" w:eastAsia="zh-CN" w:bidi="ar-SA"/>
              </w:rPr>
              <w:t>区东南侧6311m的孔雀河，水质可满足《地表水环境质量标准》（GB3838-2002）中Ⅱ类标准限值要求。</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三、声环境质量现状</w:t>
            </w:r>
          </w:p>
          <w:p>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根据《建设项目环境影响报告表编制技术指南（污染影响类）（试行）</w:t>
            </w:r>
            <w:r>
              <w:rPr>
                <w:rFonts w:hint="eastAsia" w:cs="Times New Roman" w:eastAsiaTheme="minorEastAsia"/>
                <w:sz w:val="24"/>
                <w:highlight w:val="none"/>
                <w:lang w:val="en-US" w:eastAsia="zh-CN"/>
              </w:rPr>
              <w:t>》</w:t>
            </w:r>
            <w:r>
              <w:rPr>
                <w:rFonts w:hint="default" w:ascii="Times New Roman" w:hAnsi="Times New Roman" w:cs="Times New Roman" w:eastAsiaTheme="minorEastAsia"/>
                <w:sz w:val="24"/>
                <w:highlight w:val="none"/>
                <w:lang w:val="en-US" w:eastAsia="zh-CN"/>
              </w:rPr>
              <w:t>，厂界外周边50m范围内不存在声环境保护目标的建设项目，不需要对声环境质量现状</w:t>
            </w:r>
            <w:r>
              <w:rPr>
                <w:rFonts w:hint="eastAsia" w:ascii="Times New Roman" w:hAnsi="Times New Roman" w:cs="Times New Roman" w:eastAsiaTheme="minorEastAsia"/>
                <w:sz w:val="24"/>
                <w:highlight w:val="none"/>
                <w:lang w:val="en-US" w:eastAsia="zh-CN"/>
              </w:rPr>
              <w:t>进行</w:t>
            </w:r>
            <w:r>
              <w:rPr>
                <w:rFonts w:hint="default" w:ascii="Times New Roman" w:hAnsi="Times New Roman" w:cs="Times New Roman" w:eastAsiaTheme="minorEastAsia"/>
                <w:sz w:val="24"/>
                <w:highlight w:val="none"/>
                <w:lang w:val="en-US" w:eastAsia="zh-CN"/>
              </w:rPr>
              <w:t>评价。</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四、生态环境质量现状</w:t>
            </w:r>
          </w:p>
          <w:p>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default" w:ascii="Times New Roman" w:hAnsi="Times New Roman" w:cs="Times New Roman" w:eastAsiaTheme="minorEastAsia"/>
                <w:sz w:val="24"/>
                <w:highlight w:val="none"/>
                <w:lang w:val="en-US" w:eastAsia="zh-CN"/>
              </w:rPr>
              <w:t>根据《建设项目环境影响报告表编制技术指南（污染影响类）（试行）》</w:t>
            </w:r>
            <w:r>
              <w:rPr>
                <w:rFonts w:hint="eastAsia" w:ascii="Times New Roman" w:hAnsi="Times New Roman" w:cs="Times New Roman" w:eastAsiaTheme="minorEastAsia"/>
                <w:sz w:val="24"/>
                <w:highlight w:val="none"/>
                <w:lang w:val="en-US" w:eastAsia="zh-CN"/>
              </w:rPr>
              <w:t>，项目用</w:t>
            </w:r>
            <w:r>
              <w:rPr>
                <w:rFonts w:hint="default" w:ascii="Times New Roman" w:hAnsi="Times New Roman" w:cs="Times New Roman" w:eastAsiaTheme="minorEastAsia"/>
                <w:sz w:val="24"/>
                <w:highlight w:val="none"/>
                <w:lang w:val="en-US" w:eastAsia="zh-CN"/>
              </w:rPr>
              <w:t>地范围内不含有生态环境保护目标，因此无需进行生态现状调查。</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五、地下水、土壤环境</w:t>
            </w:r>
          </w:p>
          <w:p>
            <w:pPr>
              <w:adjustRightInd w:val="0"/>
              <w:snapToGrid w:val="0"/>
              <w:spacing w:line="500" w:lineRule="exact"/>
              <w:ind w:firstLine="480" w:firstLineChars="200"/>
              <w:jc w:val="left"/>
              <w:rPr>
                <w:rFonts w:ascii="宋体" w:hAnsi="宋体" w:cs="宋体"/>
                <w:kern w:val="0"/>
                <w:szCs w:val="21"/>
              </w:rPr>
            </w:pPr>
            <w:r>
              <w:rPr>
                <w:rFonts w:hint="eastAsia" w:ascii="Times New Roman" w:hAnsi="Times New Roman" w:cs="Times New Roman" w:eastAsiaTheme="minorEastAsia"/>
                <w:sz w:val="24"/>
                <w:highlight w:val="none"/>
                <w:lang w:val="en-US" w:eastAsia="zh-CN"/>
              </w:rPr>
              <w:t>根据《建设项目环境影响报告表编制技术指南（污染影响类）（试行）》要求，原则上不开展环境质量现状调查。建设项目存在土壤、地下水环境污染途径的，应结合污染源、保护目标分布情况开展现状调查以留作背景值。本项目生产过程中清洗废水经三级沉淀池处理后回用于生产，本项目食堂污水经油水分离器分离后排入化粪池，其余生活污水直接排入化粪池，经化粪池收集后定期</w:t>
            </w:r>
            <w:r>
              <w:rPr>
                <w:rFonts w:hint="default" w:ascii="Times New Roman" w:hAnsi="Times New Roman" w:cs="Times New Roman" w:eastAsiaTheme="minorEastAsia"/>
                <w:sz w:val="24"/>
                <w:highlight w:val="none"/>
                <w:lang w:val="en-US" w:eastAsia="zh-CN"/>
              </w:rPr>
              <w:t>由清污车拉运至</w:t>
            </w:r>
            <w:r>
              <w:rPr>
                <w:rFonts w:hint="eastAsia" w:ascii="Times New Roman" w:hAnsi="Times New Roman" w:cs="Times New Roman" w:eastAsiaTheme="minorEastAsia"/>
                <w:sz w:val="24"/>
                <w:highlight w:val="none"/>
                <w:lang w:val="en-US" w:eastAsia="zh-CN"/>
              </w:rPr>
              <w:t>库尔勒南市区污水处理厂。厂区地面硬化，生产过程中生产废水经三级</w:t>
            </w:r>
            <w:r>
              <w:rPr>
                <w:rFonts w:hint="eastAsia" w:cs="Times New Roman" w:eastAsiaTheme="minorEastAsia"/>
                <w:sz w:val="24"/>
                <w:highlight w:val="none"/>
                <w:lang w:val="en-US" w:eastAsia="zh-CN"/>
              </w:rPr>
              <w:t>沉淀池</w:t>
            </w:r>
            <w:r>
              <w:rPr>
                <w:rFonts w:hint="eastAsia" w:ascii="Times New Roman" w:hAnsi="Times New Roman" w:cs="Times New Roman" w:eastAsiaTheme="minorEastAsia"/>
                <w:sz w:val="24"/>
                <w:highlight w:val="none"/>
                <w:lang w:val="en-US" w:eastAsia="zh-CN"/>
              </w:rPr>
              <w:t>处理后回用于生产或抑尘，产生的粉尘经除尘器收集后回用于生产，无地下水和土壤的污染途径，因此无需开展</w:t>
            </w:r>
            <w:r>
              <w:rPr>
                <w:rFonts w:hint="eastAsia" w:cs="Times New Roman" w:eastAsiaTheme="minorEastAsia"/>
                <w:sz w:val="24"/>
                <w:highlight w:val="none"/>
                <w:lang w:val="en-US" w:eastAsia="zh-CN"/>
              </w:rPr>
              <w:t>地下水、土壤</w:t>
            </w:r>
            <w:r>
              <w:rPr>
                <w:rFonts w:hint="eastAsia" w:ascii="Times New Roman" w:hAnsi="Times New Roman" w:cs="Times New Roman" w:eastAsiaTheme="minorEastAsia"/>
                <w:sz w:val="24"/>
                <w:highlight w:val="none"/>
                <w:lang w:val="en-US" w:eastAsia="zh-CN"/>
              </w:rPr>
              <w:t>环境质量现状</w:t>
            </w:r>
            <w:r>
              <w:rPr>
                <w:rFonts w:hint="eastAsia" w:cs="Times New Roman" w:eastAsiaTheme="minorEastAsia"/>
                <w:sz w:val="24"/>
                <w:highlight w:val="none"/>
                <w:lang w:val="en-US" w:eastAsia="zh-CN"/>
              </w:rPr>
              <w:t>监测</w:t>
            </w:r>
            <w:r>
              <w:rPr>
                <w:rFonts w:hint="default" w:ascii="Times New Roman" w:hAnsi="Times New Roman" w:cs="Times New Roman" w:eastAsiaTheme="minorEastAsia"/>
                <w:sz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76" w:hRule="atLeast"/>
          <w:jc w:val="center"/>
        </w:trPr>
        <w:tc>
          <w:tcPr>
            <w:tcW w:w="800" w:type="dxa"/>
            <w:noWrap w:val="0"/>
            <w:vAlign w:val="center"/>
          </w:tcPr>
          <w:p>
            <w:pPr>
              <w:adjustRightInd w:val="0"/>
              <w:snapToGrid w:val="0"/>
              <w:jc w:val="center"/>
              <w:rPr>
                <w:rFonts w:hint="eastAsia" w:ascii="宋体" w:hAnsi="宋体" w:cs="宋体"/>
                <w:kern w:val="0"/>
                <w:szCs w:val="21"/>
              </w:rPr>
            </w:pPr>
            <w:r>
              <w:rPr>
                <w:rFonts w:hint="eastAsia" w:ascii="宋体" w:hAnsi="宋体" w:cs="宋体"/>
                <w:kern w:val="0"/>
                <w:szCs w:val="21"/>
              </w:rPr>
              <w:t>环境</w:t>
            </w:r>
          </w:p>
          <w:p>
            <w:pPr>
              <w:adjustRightInd w:val="0"/>
              <w:snapToGrid w:val="0"/>
              <w:jc w:val="center"/>
              <w:rPr>
                <w:rFonts w:hint="eastAsia" w:ascii="宋体" w:hAnsi="宋体" w:cs="宋体"/>
                <w:kern w:val="0"/>
                <w:szCs w:val="21"/>
              </w:rPr>
            </w:pPr>
            <w:r>
              <w:rPr>
                <w:rFonts w:hint="eastAsia" w:ascii="宋体" w:hAnsi="宋体" w:cs="宋体"/>
                <w:kern w:val="0"/>
                <w:szCs w:val="21"/>
              </w:rPr>
              <w:t>保护</w:t>
            </w:r>
          </w:p>
          <w:p>
            <w:pPr>
              <w:adjustRightInd w:val="0"/>
              <w:snapToGrid w:val="0"/>
              <w:jc w:val="center"/>
              <w:rPr>
                <w:rFonts w:hint="eastAsia" w:ascii="宋体" w:hAnsi="宋体" w:cs="宋体"/>
                <w:kern w:val="0"/>
                <w:szCs w:val="21"/>
              </w:rPr>
            </w:pPr>
            <w:r>
              <w:rPr>
                <w:rFonts w:hint="eastAsia" w:ascii="宋体" w:hAnsi="宋体" w:cs="宋体"/>
                <w:kern w:val="0"/>
                <w:szCs w:val="21"/>
              </w:rPr>
              <w:t>目标</w:t>
            </w:r>
          </w:p>
        </w:tc>
        <w:tc>
          <w:tcPr>
            <w:tcW w:w="819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主要环境保护目标：</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一、大气环境</w:t>
            </w:r>
          </w:p>
          <w:p>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根据《建设项目环境影响报告表编制技术指南（污染影响类）（试行）》要求，本项目厂界外500m范围内无自然保护区、风景名胜区、居住区、文化区和农村地区中人群较集中的区域等保护目标。</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二、地下水环境</w:t>
            </w:r>
          </w:p>
          <w:p>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本项目厂界外</w:t>
            </w:r>
            <w:r>
              <w:rPr>
                <w:rFonts w:hint="default" w:ascii="Times New Roman" w:hAnsi="Times New Roman" w:cs="Times New Roman" w:eastAsiaTheme="minorEastAsia"/>
                <w:sz w:val="24"/>
                <w:highlight w:val="none"/>
                <w:lang w:val="en-US" w:eastAsia="zh-CN"/>
              </w:rPr>
              <w:t>500m</w:t>
            </w:r>
            <w:r>
              <w:rPr>
                <w:rFonts w:hint="eastAsia" w:ascii="Times New Roman" w:hAnsi="Times New Roman" w:cs="Times New Roman" w:eastAsiaTheme="minorEastAsia"/>
                <w:sz w:val="24"/>
                <w:highlight w:val="none"/>
                <w:lang w:val="en-US" w:eastAsia="zh-CN"/>
              </w:rPr>
              <w:t>范围内无地下水集中式使用水水源和热水、矿泉水、温泉等特殊地下水资源。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三、声环境</w:t>
            </w:r>
          </w:p>
          <w:p>
            <w:pPr>
              <w:adjustRightInd w:val="0"/>
              <w:snapToGrid w:val="0"/>
              <w:spacing w:line="500" w:lineRule="exact"/>
              <w:ind w:firstLine="480" w:firstLineChars="200"/>
              <w:jc w:val="left"/>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本项目厂界外50米范围内无声环境保护目标。</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四、生态环境</w:t>
            </w:r>
          </w:p>
          <w:p>
            <w:pPr>
              <w:adjustRightInd w:val="0"/>
              <w:snapToGrid w:val="0"/>
              <w:spacing w:line="500" w:lineRule="exact"/>
              <w:ind w:firstLine="480" w:firstLineChars="200"/>
              <w:jc w:val="left"/>
              <w:rPr>
                <w:rFonts w:ascii="宋体" w:hAnsi="宋体" w:cs="宋体"/>
                <w:kern w:val="0"/>
                <w:szCs w:val="21"/>
              </w:rPr>
            </w:pPr>
            <w:r>
              <w:rPr>
                <w:rFonts w:hint="eastAsia" w:ascii="Times New Roman" w:hAnsi="Times New Roman" w:cs="Times New Roman" w:eastAsiaTheme="minorEastAsia"/>
                <w:sz w:val="24"/>
                <w:highlight w:val="none"/>
                <w:lang w:val="en-US" w:eastAsia="zh-CN"/>
              </w:rPr>
              <w:t>项目用地范围内无生态环境保护目标</w:t>
            </w:r>
            <w:r>
              <w:rPr>
                <w:rFonts w:hint="default" w:ascii="Times New Roman" w:hAnsi="Times New Roman" w:cs="Times New Roman" w:eastAsiaTheme="minorEastAsia"/>
                <w:sz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tcMar>
              <w:left w:w="28" w:type="dxa"/>
              <w:right w:w="28" w:type="dxa"/>
            </w:tcMar>
            <w:vAlign w:val="center"/>
          </w:tcPr>
          <w:p>
            <w:pPr>
              <w:adjustRightInd w:val="0"/>
              <w:snapToGrid w:val="0"/>
              <w:jc w:val="center"/>
              <w:rPr>
                <w:rFonts w:hint="eastAsia" w:ascii="宋体" w:hAnsi="宋体" w:cs="宋体"/>
                <w:kern w:val="0"/>
                <w:szCs w:val="21"/>
              </w:rPr>
            </w:pPr>
            <w:r>
              <w:rPr>
                <w:rFonts w:hint="eastAsia" w:ascii="宋体" w:hAnsi="宋体" w:cs="宋体"/>
                <w:kern w:val="0"/>
                <w:szCs w:val="21"/>
              </w:rPr>
              <w:t>污染</w:t>
            </w:r>
          </w:p>
          <w:p>
            <w:pPr>
              <w:adjustRightInd w:val="0"/>
              <w:snapToGrid w:val="0"/>
              <w:jc w:val="center"/>
              <w:rPr>
                <w:rFonts w:hint="eastAsia" w:ascii="宋体" w:hAnsi="宋体" w:cs="宋体"/>
                <w:kern w:val="0"/>
                <w:szCs w:val="21"/>
              </w:rPr>
            </w:pPr>
            <w:r>
              <w:rPr>
                <w:rFonts w:hint="eastAsia" w:ascii="宋体" w:hAnsi="宋体" w:cs="宋体"/>
                <w:kern w:val="0"/>
                <w:szCs w:val="21"/>
              </w:rPr>
              <w:t>物排</w:t>
            </w:r>
          </w:p>
          <w:p>
            <w:pPr>
              <w:adjustRightInd w:val="0"/>
              <w:snapToGrid w:val="0"/>
              <w:jc w:val="center"/>
              <w:rPr>
                <w:rFonts w:hint="eastAsia" w:ascii="宋体" w:hAnsi="宋体" w:cs="宋体"/>
                <w:kern w:val="0"/>
                <w:szCs w:val="21"/>
              </w:rPr>
            </w:pPr>
            <w:r>
              <w:rPr>
                <w:rFonts w:hint="eastAsia" w:ascii="宋体" w:hAnsi="宋体" w:cs="宋体"/>
                <w:kern w:val="0"/>
                <w:szCs w:val="21"/>
              </w:rPr>
              <w:t>放控</w:t>
            </w:r>
          </w:p>
          <w:p>
            <w:pPr>
              <w:adjustRightInd w:val="0"/>
              <w:snapToGrid w:val="0"/>
              <w:jc w:val="center"/>
              <w:rPr>
                <w:rFonts w:hint="eastAsia" w:ascii="宋体" w:hAnsi="宋体" w:cs="宋体"/>
                <w:kern w:val="0"/>
                <w:szCs w:val="21"/>
              </w:rPr>
            </w:pPr>
            <w:r>
              <w:rPr>
                <w:rFonts w:hint="eastAsia" w:ascii="宋体" w:hAnsi="宋体" w:cs="宋体"/>
                <w:kern w:val="0"/>
                <w:szCs w:val="21"/>
              </w:rPr>
              <w:t>制标</w:t>
            </w:r>
          </w:p>
          <w:p>
            <w:pPr>
              <w:adjustRightInd w:val="0"/>
              <w:snapToGrid w:val="0"/>
              <w:jc w:val="center"/>
              <w:rPr>
                <w:rFonts w:ascii="宋体" w:hAnsi="宋体" w:cs="宋体"/>
                <w:kern w:val="0"/>
                <w:szCs w:val="21"/>
              </w:rPr>
            </w:pPr>
            <w:r>
              <w:rPr>
                <w:rFonts w:hint="eastAsia" w:ascii="宋体" w:hAnsi="宋体" w:cs="宋体"/>
                <w:kern w:val="0"/>
                <w:szCs w:val="21"/>
              </w:rPr>
              <w:t>准</w:t>
            </w:r>
          </w:p>
        </w:tc>
        <w:tc>
          <w:tcPr>
            <w:tcW w:w="819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1、大气污染物排放标准</w:t>
            </w:r>
          </w:p>
          <w:p>
            <w:pPr>
              <w:adjustRightInd w:val="0"/>
              <w:snapToGrid w:val="0"/>
              <w:spacing w:line="500" w:lineRule="exact"/>
              <w:ind w:firstLine="480" w:firstLineChars="200"/>
              <w:jc w:val="left"/>
              <w:rPr>
                <w:rFonts w:hint="eastAsia" w:ascii="Times New Roman" w:hAnsi="Times New Roman" w:cs="Times New Roman" w:eastAsiaTheme="minorEastAsia"/>
                <w:sz w:val="24"/>
                <w:highlight w:val="none"/>
                <w:lang w:val="en-US" w:eastAsia="zh-CN"/>
              </w:rPr>
            </w:pPr>
            <w:r>
              <w:rPr>
                <w:rFonts w:hint="eastAsia" w:ascii="Times New Roman" w:hAnsi="Times New Roman" w:cs="Times New Roman" w:eastAsiaTheme="minorEastAsia"/>
                <w:sz w:val="24"/>
                <w:highlight w:val="none"/>
                <w:lang w:val="en-US" w:eastAsia="zh-CN"/>
              </w:rPr>
              <w:t>运营期碎石、砂子在装卸、堆存时及粉料筒仓、输送、搅拌产生的颗粒物执行《水泥工业大气污染物排放标准》</w:t>
            </w:r>
            <w:r>
              <w:rPr>
                <w:rFonts w:hint="eastAsia" w:cs="Times New Roman" w:eastAsiaTheme="minorEastAsia"/>
                <w:sz w:val="24"/>
                <w:highlight w:val="none"/>
                <w:lang w:val="en-US" w:eastAsia="zh-CN"/>
              </w:rPr>
              <w:t>（含2025年修改单）</w:t>
            </w:r>
            <w:r>
              <w:rPr>
                <w:rFonts w:hint="eastAsia" w:ascii="Times New Roman" w:hAnsi="Times New Roman" w:cs="Times New Roman" w:eastAsiaTheme="minorEastAsia"/>
                <w:sz w:val="24"/>
                <w:highlight w:val="none"/>
                <w:lang w:val="en-US" w:eastAsia="zh-CN"/>
              </w:rPr>
              <w:t>（GB4915-2013）中大气污染物无组织排放监控浓度限值，具体标准限值见表3-</w:t>
            </w:r>
            <w:r>
              <w:rPr>
                <w:rFonts w:hint="eastAsia" w:cs="Times New Roman" w:eastAsiaTheme="minorEastAsia"/>
                <w:sz w:val="24"/>
                <w:highlight w:val="none"/>
                <w:lang w:val="en-US" w:eastAsia="zh-CN"/>
              </w:rPr>
              <w:t>4</w:t>
            </w:r>
            <w:r>
              <w:rPr>
                <w:rFonts w:hint="eastAsia" w:ascii="Times New Roman" w:hAnsi="Times New Roman" w:cs="Times New Roman" w:eastAsiaTheme="minorEastAsia"/>
                <w:sz w:val="24"/>
                <w:highlight w:val="none"/>
                <w:lang w:val="en-US" w:eastAsia="zh-CN"/>
              </w:rPr>
              <w:t>。</w:t>
            </w:r>
          </w:p>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b/>
                <w:bCs/>
                <w:sz w:val="24"/>
                <w:highlight w:val="none"/>
              </w:rPr>
            </w:pPr>
            <w:r>
              <w:rPr>
                <w:rFonts w:hint="eastAsia" w:ascii="Times New Roman" w:hAnsi="Times New Roman" w:cs="Times New Roman"/>
                <w:b/>
                <w:bCs/>
                <w:sz w:val="24"/>
                <w:highlight w:val="none"/>
              </w:rPr>
              <w:t>表3-</w:t>
            </w:r>
            <w:r>
              <w:rPr>
                <w:rFonts w:hint="eastAsia" w:cs="Times New Roman"/>
                <w:b/>
                <w:bCs/>
                <w:sz w:val="24"/>
                <w:highlight w:val="none"/>
                <w:lang w:val="en-US" w:eastAsia="zh-CN"/>
              </w:rPr>
              <w:t>4</w:t>
            </w:r>
            <w:r>
              <w:rPr>
                <w:rFonts w:hint="eastAsia" w:ascii="Times New Roman" w:hAnsi="Times New Roman" w:cs="Times New Roman"/>
                <w:b/>
                <w:bCs/>
                <w:sz w:val="24"/>
                <w:highlight w:val="none"/>
              </w:rPr>
              <w:t xml:space="preserve"> 大气污染物无组织排放限值</w:t>
            </w:r>
          </w:p>
          <w:tbl>
            <w:tblPr>
              <w:tblStyle w:val="23"/>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8"/>
              <w:gridCol w:w="1091"/>
              <w:gridCol w:w="2907"/>
              <w:gridCol w:w="2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作业场所</w:t>
                  </w:r>
                </w:p>
              </w:tc>
              <w:tc>
                <w:tcPr>
                  <w:tcW w:w="1093"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限值</w:t>
                  </w:r>
                </w:p>
              </w:tc>
              <w:tc>
                <w:tcPr>
                  <w:tcW w:w="2973"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限值含义</w:t>
                  </w:r>
                </w:p>
              </w:tc>
              <w:tc>
                <w:tcPr>
                  <w:tcW w:w="2459"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无组织排放监控位置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7"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水泥工业企业</w:t>
                  </w:r>
                </w:p>
              </w:tc>
              <w:tc>
                <w:tcPr>
                  <w:tcW w:w="1093"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0.5mg/m</w:t>
                  </w:r>
                  <w:r>
                    <w:rPr>
                      <w:rFonts w:hint="eastAsia" w:ascii="Times New Roman" w:hAnsi="Times New Roman" w:cs="Times New Roman"/>
                      <w:szCs w:val="21"/>
                      <w:highlight w:val="none"/>
                      <w:vertAlign w:val="superscript"/>
                      <w:lang w:val="en-US" w:eastAsia="zh-CN"/>
                    </w:rPr>
                    <w:t>3</w:t>
                  </w:r>
                </w:p>
              </w:tc>
              <w:tc>
                <w:tcPr>
                  <w:tcW w:w="2973"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监控点与参照点总悬浮颗粒物（TSP）1小时浓度值的差值</w:t>
                  </w:r>
                </w:p>
              </w:tc>
              <w:tc>
                <w:tcPr>
                  <w:tcW w:w="2459" w:type="dxa"/>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szCs w:val="21"/>
                      <w:highlight w:val="none"/>
                      <w:lang w:val="en-US" w:eastAsia="zh-CN"/>
                    </w:rPr>
                  </w:pPr>
                  <w:r>
                    <w:rPr>
                      <w:rFonts w:hint="eastAsia" w:ascii="Times New Roman" w:hAnsi="Times New Roman" w:cs="Times New Roman"/>
                      <w:szCs w:val="21"/>
                      <w:highlight w:val="none"/>
                      <w:lang w:val="en-US" w:eastAsia="zh-CN"/>
                    </w:rPr>
                    <w:t>厂界外20m处上风向设参照点，下风向设监控点</w:t>
                  </w:r>
                </w:p>
              </w:tc>
            </w:tr>
          </w:tbl>
          <w:p>
            <w:pPr>
              <w:widowControl/>
              <w:spacing w:line="360" w:lineRule="auto"/>
              <w:ind w:firstLine="480" w:firstLineChars="200"/>
              <w:jc w:val="left"/>
              <w:rPr>
                <w:rFonts w:hint="default" w:ascii="Times New Roman" w:hAnsi="Times New Roman" w:eastAsia="宋体" w:cs="Times New Roman"/>
                <w:sz w:val="24"/>
                <w:lang w:val="en-US" w:eastAsia="zh-CN"/>
              </w:rPr>
            </w:pPr>
            <w:r>
              <w:rPr>
                <w:rFonts w:hint="eastAsia"/>
                <w:sz w:val="24"/>
              </w:rPr>
              <w:t>运营期</w:t>
            </w:r>
            <w:r>
              <w:rPr>
                <w:rFonts w:hint="eastAsia" w:ascii="Times New Roman" w:hAnsi="Times New Roman" w:eastAsia="宋体" w:cs="Times New Roman"/>
                <w:sz w:val="24"/>
                <w:lang w:val="en-US" w:eastAsia="zh-CN"/>
              </w:rPr>
              <w:t>食堂油烟执行</w:t>
            </w:r>
            <w:r>
              <w:rPr>
                <w:sz w:val="24"/>
              </w:rPr>
              <w:t>《饮食业油烟排放标准》（GB18483-2001）中的</w:t>
            </w:r>
            <w:r>
              <w:rPr>
                <w:rFonts w:hint="eastAsia"/>
                <w:sz w:val="24"/>
                <w:lang w:val="en-US" w:eastAsia="zh-CN"/>
              </w:rPr>
              <w:t>2</w:t>
            </w:r>
            <w:r>
              <w:rPr>
                <w:sz w:val="24"/>
              </w:rPr>
              <w:t>mg/m</w:t>
            </w:r>
            <w:r>
              <w:rPr>
                <w:sz w:val="24"/>
                <w:vertAlign w:val="superscript"/>
              </w:rPr>
              <w:t>3</w:t>
            </w:r>
            <w:r>
              <w:rPr>
                <w:rFonts w:hint="eastAsia"/>
                <w:sz w:val="24"/>
                <w:lang w:val="en-US" w:eastAsia="zh-CN"/>
              </w:rPr>
              <w:t>排放</w:t>
            </w:r>
            <w:r>
              <w:rPr>
                <w:sz w:val="24"/>
              </w:rPr>
              <w:t>要求。</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2、废水</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cs="Times New Roman"/>
                <w:sz w:val="24"/>
                <w:lang w:val="en-US" w:eastAsia="zh-CN"/>
              </w:rPr>
            </w:pPr>
            <w:r>
              <w:rPr>
                <w:rFonts w:hint="eastAsia" w:cs="Times New Roman"/>
                <w:sz w:val="24"/>
                <w:lang w:val="en-US" w:eastAsia="zh-CN"/>
              </w:rPr>
              <w:t>项目运营期产生的生活污水经化粪池预处理后拉运至库尔勒南市区污水处理厂集中处置，</w:t>
            </w:r>
            <w:r>
              <w:rPr>
                <w:rFonts w:hint="eastAsia" w:ascii="Times New Roman" w:hAnsi="Times New Roman" w:cs="Times New Roman"/>
                <w:sz w:val="24"/>
                <w:lang w:val="en-US" w:eastAsia="zh-CN"/>
              </w:rPr>
              <w:t>生活污水</w:t>
            </w:r>
            <w:r>
              <w:rPr>
                <w:rFonts w:hint="eastAsia" w:cs="Times New Roman"/>
                <w:sz w:val="24"/>
                <w:lang w:val="en-US" w:eastAsia="zh-CN"/>
              </w:rPr>
              <w:t>排放</w:t>
            </w:r>
            <w:r>
              <w:rPr>
                <w:rFonts w:hint="eastAsia" w:ascii="Times New Roman" w:hAnsi="Times New Roman" w:cs="Times New Roman"/>
                <w:sz w:val="24"/>
                <w:lang w:val="en-US" w:eastAsia="zh-CN"/>
              </w:rPr>
              <w:t>执行《污水综合排放标准》（GB8978-1996）三级标准。</w:t>
            </w:r>
          </w:p>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b/>
                <w:bCs/>
                <w:sz w:val="24"/>
                <w:highlight w:val="none"/>
              </w:rPr>
            </w:pPr>
            <w:r>
              <w:rPr>
                <w:rFonts w:hint="eastAsia" w:ascii="Times New Roman" w:hAnsi="Times New Roman" w:cs="Times New Roman"/>
                <w:b/>
                <w:bCs/>
                <w:sz w:val="24"/>
                <w:highlight w:val="none"/>
              </w:rPr>
              <w:t>表</w:t>
            </w:r>
            <w:r>
              <w:rPr>
                <w:rFonts w:hint="eastAsia" w:ascii="Times New Roman" w:hAnsi="Times New Roman" w:cs="Times New Roman"/>
                <w:b/>
                <w:bCs/>
                <w:sz w:val="24"/>
                <w:highlight w:val="none"/>
                <w:lang w:val="en-US" w:eastAsia="zh-CN"/>
              </w:rPr>
              <w:t>3-</w:t>
            </w:r>
            <w:r>
              <w:rPr>
                <w:rFonts w:hint="eastAsia" w:cs="Times New Roman"/>
                <w:b/>
                <w:bCs/>
                <w:sz w:val="24"/>
                <w:highlight w:val="none"/>
                <w:lang w:val="en-US" w:eastAsia="zh-CN"/>
              </w:rPr>
              <w:t>4</w:t>
            </w:r>
            <w:r>
              <w:rPr>
                <w:rFonts w:hint="eastAsia" w:ascii="Times New Roman" w:hAnsi="Times New Roman" w:cs="Times New Roman"/>
                <w:b/>
                <w:bCs/>
                <w:sz w:val="24"/>
                <w:highlight w:val="none"/>
                <w:lang w:val="en-US" w:eastAsia="zh-CN"/>
              </w:rPr>
              <w:t xml:space="preserve"> </w:t>
            </w:r>
            <w:r>
              <w:rPr>
                <w:rFonts w:hint="eastAsia" w:ascii="Times New Roman" w:hAnsi="Times New Roman" w:cs="Times New Roman"/>
                <w:b/>
                <w:bCs/>
                <w:sz w:val="24"/>
                <w:highlight w:val="none"/>
              </w:rPr>
              <w:t xml:space="preserve"> 污水综合排放标准 </w:t>
            </w:r>
            <w:r>
              <w:rPr>
                <w:rFonts w:hint="eastAsia" w:ascii="Times New Roman" w:hAnsi="Times New Roman" w:cs="Times New Roman"/>
                <w:b/>
                <w:bCs/>
                <w:sz w:val="24"/>
                <w:highlight w:val="none"/>
                <w:lang w:val="en-US" w:eastAsia="zh-CN"/>
              </w:rPr>
              <w:t xml:space="preserve">  </w:t>
            </w:r>
            <w:r>
              <w:rPr>
                <w:rFonts w:hint="eastAsia" w:ascii="Times New Roman" w:hAnsi="Times New Roman" w:cs="Times New Roman"/>
                <w:b/>
                <w:bCs/>
                <w:sz w:val="24"/>
                <w:highlight w:val="none"/>
              </w:rPr>
              <w:t xml:space="preserve"> 单位：mg/L</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1796"/>
              <w:gridCol w:w="2968"/>
              <w:gridCol w:w="2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1186" w:type="dxa"/>
                  <w:noWrap w:val="0"/>
                  <w:vAlign w:val="center"/>
                </w:tcPr>
                <w:p>
                  <w:pPr>
                    <w:adjustRightInd w:val="0"/>
                    <w:snapToGrid w:val="0"/>
                    <w:jc w:val="center"/>
                    <w:rPr>
                      <w:bCs/>
                      <w:szCs w:val="21"/>
                    </w:rPr>
                  </w:pPr>
                  <w:r>
                    <w:rPr>
                      <w:rFonts w:hint="eastAsia"/>
                      <w:bCs/>
                      <w:szCs w:val="21"/>
                    </w:rPr>
                    <w:t>序号</w:t>
                  </w:r>
                </w:p>
              </w:tc>
              <w:tc>
                <w:tcPr>
                  <w:tcW w:w="1796" w:type="dxa"/>
                  <w:noWrap w:val="0"/>
                  <w:vAlign w:val="center"/>
                </w:tcPr>
                <w:p>
                  <w:pPr>
                    <w:adjustRightInd w:val="0"/>
                    <w:snapToGrid w:val="0"/>
                    <w:jc w:val="center"/>
                    <w:rPr>
                      <w:bCs/>
                      <w:szCs w:val="21"/>
                    </w:rPr>
                  </w:pPr>
                  <w:r>
                    <w:rPr>
                      <w:rFonts w:hint="eastAsia"/>
                      <w:bCs/>
                      <w:szCs w:val="21"/>
                    </w:rPr>
                    <w:t>项目</w:t>
                  </w:r>
                </w:p>
              </w:tc>
              <w:tc>
                <w:tcPr>
                  <w:tcW w:w="2968" w:type="dxa"/>
                  <w:noWrap w:val="0"/>
                  <w:vAlign w:val="center"/>
                </w:tcPr>
                <w:p>
                  <w:pPr>
                    <w:adjustRightInd w:val="0"/>
                    <w:snapToGrid w:val="0"/>
                    <w:jc w:val="center"/>
                    <w:rPr>
                      <w:bCs/>
                      <w:szCs w:val="21"/>
                    </w:rPr>
                  </w:pPr>
                  <w:r>
                    <w:rPr>
                      <w:rFonts w:hint="eastAsia"/>
                      <w:bCs/>
                      <w:szCs w:val="21"/>
                    </w:rPr>
                    <w:t>标准值（mg/L）</w:t>
                  </w:r>
                </w:p>
              </w:tc>
              <w:tc>
                <w:tcPr>
                  <w:tcW w:w="2014" w:type="dxa"/>
                  <w:noWrap w:val="0"/>
                  <w:vAlign w:val="center"/>
                </w:tcPr>
                <w:p>
                  <w:pPr>
                    <w:adjustRightInd w:val="0"/>
                    <w:snapToGrid w:val="0"/>
                    <w:jc w:val="center"/>
                    <w:rPr>
                      <w:bCs/>
                      <w:szCs w:val="21"/>
                    </w:rPr>
                  </w:pPr>
                  <w:r>
                    <w:rPr>
                      <w:rFonts w:hint="eastAsia"/>
                      <w:bCs/>
                      <w:szCs w:val="21"/>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86" w:type="dxa"/>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1</w:t>
                  </w:r>
                </w:p>
              </w:tc>
              <w:tc>
                <w:tcPr>
                  <w:tcW w:w="1796" w:type="dxa"/>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pH</w:t>
                  </w:r>
                </w:p>
              </w:tc>
              <w:tc>
                <w:tcPr>
                  <w:tcW w:w="2968" w:type="dxa"/>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6</w:t>
                  </w:r>
                  <w:r>
                    <w:rPr>
                      <w:rFonts w:hint="eastAsia" w:cs="Times New Roman"/>
                      <w:szCs w:val="21"/>
                      <w:lang w:eastAsia="zh-CN"/>
                    </w:rPr>
                    <w:t>~</w:t>
                  </w:r>
                  <w:r>
                    <w:rPr>
                      <w:rFonts w:hint="default" w:ascii="Times New Roman" w:hAnsi="Times New Roman" w:cs="Times New Roman"/>
                      <w:szCs w:val="21"/>
                    </w:rPr>
                    <w:t>9</w:t>
                  </w:r>
                </w:p>
              </w:tc>
              <w:tc>
                <w:tcPr>
                  <w:tcW w:w="2014" w:type="dxa"/>
                  <w:vMerge w:val="restart"/>
                  <w:noWrap w:val="0"/>
                  <w:vAlign w:val="center"/>
                </w:tcPr>
                <w:p>
                  <w:pPr>
                    <w:adjustRightInd w:val="0"/>
                    <w:snapToGrid w:val="0"/>
                    <w:jc w:val="center"/>
                    <w:rPr>
                      <w:szCs w:val="21"/>
                    </w:rPr>
                  </w:pPr>
                  <w:r>
                    <w:rPr>
                      <w:rFonts w:hint="eastAsia"/>
                      <w:szCs w:val="21"/>
                    </w:rPr>
                    <w:t>《污水综合排放标准》（GB8978-1996）中三级标准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86" w:type="dxa"/>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2</w:t>
                  </w:r>
                </w:p>
              </w:tc>
              <w:tc>
                <w:tcPr>
                  <w:tcW w:w="1796" w:type="dxa"/>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COD</w:t>
                  </w:r>
                </w:p>
              </w:tc>
              <w:tc>
                <w:tcPr>
                  <w:tcW w:w="2968" w:type="dxa"/>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500</w:t>
                  </w:r>
                </w:p>
              </w:tc>
              <w:tc>
                <w:tcPr>
                  <w:tcW w:w="2014" w:type="dxa"/>
                  <w:vMerge w:val="continue"/>
                  <w:noWrap w:val="0"/>
                  <w:vAlign w:val="center"/>
                </w:tcPr>
                <w:p>
                  <w:pPr>
                    <w:adjustRightInd w:val="0"/>
                    <w:snapToGrid w:val="0"/>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86" w:type="dxa"/>
                  <w:noWrap w:val="0"/>
                  <w:vAlign w:val="center"/>
                </w:tcPr>
                <w:p>
                  <w:pPr>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3</w:t>
                  </w:r>
                </w:p>
              </w:tc>
              <w:tc>
                <w:tcPr>
                  <w:tcW w:w="1796" w:type="dxa"/>
                  <w:noWrap w:val="0"/>
                  <w:vAlign w:val="center"/>
                </w:tcPr>
                <w:p>
                  <w:pPr>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NH</w:t>
                  </w:r>
                  <w:r>
                    <w:rPr>
                      <w:rFonts w:hint="default" w:ascii="Times New Roman" w:hAnsi="Times New Roman" w:cs="Times New Roman"/>
                      <w:szCs w:val="21"/>
                      <w:highlight w:val="none"/>
                      <w:vertAlign w:val="subscript"/>
                    </w:rPr>
                    <w:t>3</w:t>
                  </w:r>
                  <w:r>
                    <w:rPr>
                      <w:rFonts w:hint="default" w:ascii="Times New Roman" w:hAnsi="Times New Roman" w:cs="Times New Roman"/>
                      <w:szCs w:val="21"/>
                      <w:highlight w:val="none"/>
                    </w:rPr>
                    <w:t>-N</w:t>
                  </w:r>
                </w:p>
              </w:tc>
              <w:tc>
                <w:tcPr>
                  <w:tcW w:w="2968" w:type="dxa"/>
                  <w:noWrap w:val="0"/>
                  <w:vAlign w:val="center"/>
                </w:tcPr>
                <w:p>
                  <w:pPr>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w:t>
                  </w:r>
                </w:p>
              </w:tc>
              <w:tc>
                <w:tcPr>
                  <w:tcW w:w="2014" w:type="dxa"/>
                  <w:vMerge w:val="continue"/>
                  <w:noWrap w:val="0"/>
                  <w:vAlign w:val="center"/>
                </w:tcPr>
                <w:p>
                  <w:pPr>
                    <w:adjustRightInd w:val="0"/>
                    <w:snapToGrid w:val="0"/>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86" w:type="dxa"/>
                  <w:noWrap w:val="0"/>
                  <w:vAlign w:val="center"/>
                </w:tcPr>
                <w:p>
                  <w:pPr>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4</w:t>
                  </w:r>
                </w:p>
              </w:tc>
              <w:tc>
                <w:tcPr>
                  <w:tcW w:w="1796" w:type="dxa"/>
                  <w:noWrap w:val="0"/>
                  <w:vAlign w:val="center"/>
                </w:tcPr>
                <w:p>
                  <w:pPr>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BOD</w:t>
                  </w:r>
                </w:p>
              </w:tc>
              <w:tc>
                <w:tcPr>
                  <w:tcW w:w="2968" w:type="dxa"/>
                  <w:noWrap w:val="0"/>
                  <w:vAlign w:val="center"/>
                </w:tcPr>
                <w:p>
                  <w:pPr>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300</w:t>
                  </w:r>
                </w:p>
              </w:tc>
              <w:tc>
                <w:tcPr>
                  <w:tcW w:w="2014" w:type="dxa"/>
                  <w:vMerge w:val="continue"/>
                  <w:noWrap w:val="0"/>
                  <w:vAlign w:val="center"/>
                </w:tcPr>
                <w:p>
                  <w:pPr>
                    <w:adjustRightInd w:val="0"/>
                    <w:snapToGrid w:val="0"/>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86" w:type="dxa"/>
                  <w:noWrap w:val="0"/>
                  <w:vAlign w:val="center"/>
                </w:tcPr>
                <w:p>
                  <w:pPr>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5</w:t>
                  </w:r>
                </w:p>
              </w:tc>
              <w:tc>
                <w:tcPr>
                  <w:tcW w:w="1796" w:type="dxa"/>
                  <w:noWrap w:val="0"/>
                  <w:vAlign w:val="center"/>
                </w:tcPr>
                <w:p>
                  <w:pPr>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SS</w:t>
                  </w:r>
                </w:p>
              </w:tc>
              <w:tc>
                <w:tcPr>
                  <w:tcW w:w="2968" w:type="dxa"/>
                  <w:noWrap w:val="0"/>
                  <w:vAlign w:val="center"/>
                </w:tcPr>
                <w:p>
                  <w:pPr>
                    <w:adjustRightInd w:val="0"/>
                    <w:snapToGrid w:val="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400</w:t>
                  </w:r>
                </w:p>
              </w:tc>
              <w:tc>
                <w:tcPr>
                  <w:tcW w:w="2014" w:type="dxa"/>
                  <w:vMerge w:val="continue"/>
                  <w:noWrap w:val="0"/>
                  <w:vAlign w:val="center"/>
                </w:tcPr>
                <w:p>
                  <w:pPr>
                    <w:adjustRightInd w:val="0"/>
                    <w:snapToGrid w:val="0"/>
                    <w:jc w:val="center"/>
                    <w:rPr>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86" w:type="dxa"/>
                  <w:noWrap w:val="0"/>
                  <w:vAlign w:val="center"/>
                </w:tcPr>
                <w:p>
                  <w:pPr>
                    <w:adjustRightInd w:val="0"/>
                    <w:snapToGrid w:val="0"/>
                    <w:jc w:val="center"/>
                    <w:rPr>
                      <w:rFonts w:hint="eastAsia" w:ascii="Times New Roman" w:hAnsi="Times New Roman" w:eastAsia="宋体" w:cs="Times New Roman"/>
                      <w:szCs w:val="21"/>
                      <w:highlight w:val="none"/>
                      <w:lang w:val="en-US" w:eastAsia="zh-CN"/>
                    </w:rPr>
                  </w:pPr>
                  <w:r>
                    <w:rPr>
                      <w:rFonts w:hint="eastAsia" w:cs="Times New Roman"/>
                      <w:szCs w:val="21"/>
                      <w:highlight w:val="none"/>
                      <w:lang w:val="en-US" w:eastAsia="zh-CN"/>
                    </w:rPr>
                    <w:t>6</w:t>
                  </w:r>
                </w:p>
              </w:tc>
              <w:tc>
                <w:tcPr>
                  <w:tcW w:w="1796" w:type="dxa"/>
                  <w:noWrap w:val="0"/>
                  <w:vAlign w:val="center"/>
                </w:tcPr>
                <w:p>
                  <w:pPr>
                    <w:adjustRightInd w:val="0"/>
                    <w:snapToGrid w:val="0"/>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动植物油</w:t>
                  </w:r>
                </w:p>
              </w:tc>
              <w:tc>
                <w:tcPr>
                  <w:tcW w:w="2968" w:type="dxa"/>
                  <w:noWrap w:val="0"/>
                  <w:vAlign w:val="center"/>
                </w:tcPr>
                <w:p>
                  <w:pPr>
                    <w:adjustRightInd w:val="0"/>
                    <w:snapToGrid w:val="0"/>
                    <w:jc w:val="center"/>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100</w:t>
                  </w:r>
                </w:p>
              </w:tc>
              <w:tc>
                <w:tcPr>
                  <w:tcW w:w="2014" w:type="dxa"/>
                  <w:vMerge w:val="continue"/>
                  <w:noWrap w:val="0"/>
                  <w:vAlign w:val="center"/>
                </w:tcPr>
                <w:p>
                  <w:pPr>
                    <w:adjustRightInd w:val="0"/>
                    <w:snapToGrid w:val="0"/>
                    <w:jc w:val="center"/>
                    <w:rPr>
                      <w:szCs w:val="21"/>
                      <w:highlight w:val="none"/>
                    </w:rPr>
                  </w:pPr>
                </w:p>
              </w:tc>
            </w:tr>
          </w:tbl>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w:t>
            </w:r>
            <w:r>
              <w:rPr>
                <w:rFonts w:hint="default" w:ascii="Times New Roman" w:hAnsi="Times New Roman" w:eastAsia="宋体" w:cs="Times New Roman"/>
                <w:b/>
                <w:bCs/>
                <w:sz w:val="24"/>
                <w:szCs w:val="24"/>
                <w:lang w:val="en-US" w:eastAsia="zh-CN"/>
              </w:rPr>
              <w:t>、噪声</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根据《</w:t>
            </w:r>
            <w:r>
              <w:rPr>
                <w:rFonts w:hint="eastAsia" w:cs="Times New Roman"/>
                <w:sz w:val="24"/>
                <w:lang w:val="en-US" w:eastAsia="zh-CN"/>
              </w:rPr>
              <w:t>库尔勒市声环境功能区划</w:t>
            </w:r>
            <w:r>
              <w:rPr>
                <w:rFonts w:hint="eastAsia" w:ascii="Times New Roman" w:hAnsi="Times New Roman" w:cs="Times New Roman"/>
                <w:sz w:val="24"/>
                <w:lang w:val="en-US" w:eastAsia="zh-CN"/>
              </w:rPr>
              <w:t>》，本项目</w:t>
            </w:r>
            <w:r>
              <w:rPr>
                <w:rFonts w:hint="eastAsia" w:cs="Times New Roman"/>
                <w:sz w:val="24"/>
                <w:lang w:val="en-US" w:eastAsia="zh-CN"/>
              </w:rPr>
              <w:t>为</w:t>
            </w:r>
            <w:r>
              <w:rPr>
                <w:rFonts w:hint="eastAsia" w:ascii="Times New Roman" w:hAnsi="Times New Roman" w:cs="Times New Roman"/>
                <w:sz w:val="24"/>
                <w:lang w:val="en-US" w:eastAsia="zh-CN"/>
              </w:rPr>
              <w:t>3类声环境功能区，运营期项目区厂界噪声执行《工业企业厂界环境噪声排放标准》（GB12348-2008）中3类标准。</w:t>
            </w:r>
          </w:p>
          <w:p>
            <w:pPr>
              <w:keepNext w:val="0"/>
              <w:keepLines w:val="0"/>
              <w:pageBreakBefore w:val="0"/>
              <w:kinsoku/>
              <w:wordWrap/>
              <w:overflowPunct/>
              <w:topLinePunct w:val="0"/>
              <w:autoSpaceDE/>
              <w:autoSpaceDN/>
              <w:bidi w:val="0"/>
              <w:adjustRightInd/>
              <w:snapToGrid/>
              <w:spacing w:line="300" w:lineRule="exact"/>
              <w:jc w:val="center"/>
              <w:rPr>
                <w:rFonts w:hint="eastAsia" w:ascii="Times New Roman" w:hAnsi="Times New Roman" w:cs="Times New Roman"/>
                <w:b/>
                <w:bCs/>
                <w:sz w:val="24"/>
                <w:highlight w:val="none"/>
              </w:rPr>
            </w:pPr>
            <w:r>
              <w:rPr>
                <w:rFonts w:hint="eastAsia" w:ascii="Times New Roman" w:hAnsi="Times New Roman" w:cs="Times New Roman"/>
                <w:b/>
                <w:bCs/>
                <w:sz w:val="24"/>
                <w:highlight w:val="none"/>
              </w:rPr>
              <w:t>表</w:t>
            </w:r>
            <w:r>
              <w:rPr>
                <w:rFonts w:hint="eastAsia" w:ascii="Times New Roman" w:hAnsi="Times New Roman" w:cs="Times New Roman"/>
                <w:b/>
                <w:bCs/>
                <w:sz w:val="24"/>
                <w:highlight w:val="none"/>
                <w:lang w:val="en-US" w:eastAsia="zh-CN"/>
              </w:rPr>
              <w:t>3-</w:t>
            </w:r>
            <w:r>
              <w:rPr>
                <w:rFonts w:hint="eastAsia" w:cs="Times New Roman"/>
                <w:b/>
                <w:bCs/>
                <w:sz w:val="24"/>
                <w:highlight w:val="none"/>
                <w:lang w:val="en-US" w:eastAsia="zh-CN"/>
              </w:rPr>
              <w:t>6</w:t>
            </w:r>
            <w:r>
              <w:rPr>
                <w:rFonts w:hint="eastAsia" w:ascii="Times New Roman" w:hAnsi="Times New Roman" w:cs="Times New Roman"/>
                <w:b/>
                <w:bCs/>
                <w:sz w:val="24"/>
                <w:highlight w:val="none"/>
                <w:lang w:val="en-US" w:eastAsia="zh-CN"/>
              </w:rPr>
              <w:t xml:space="preserve"> </w:t>
            </w:r>
            <w:r>
              <w:rPr>
                <w:rFonts w:hint="eastAsia" w:ascii="Times New Roman" w:hAnsi="Times New Roman" w:cs="Times New Roman"/>
                <w:b/>
                <w:bCs/>
                <w:sz w:val="24"/>
                <w:highlight w:val="none"/>
              </w:rPr>
              <w:t xml:space="preserve"> 工业企业厂界环境噪声排放标准</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7"/>
              <w:gridCol w:w="2031"/>
              <w:gridCol w:w="1978"/>
              <w:gridCol w:w="1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78" w:type="dxa"/>
                  <w:noWrap w:val="0"/>
                  <w:vAlign w:val="center"/>
                </w:tcPr>
                <w:p>
                  <w:pPr>
                    <w:widowControl/>
                    <w:jc w:val="center"/>
                    <w:rPr>
                      <w:kern w:val="0"/>
                      <w:szCs w:val="21"/>
                    </w:rPr>
                  </w:pPr>
                  <w:r>
                    <w:rPr>
                      <w:rFonts w:hint="eastAsia"/>
                      <w:kern w:val="0"/>
                      <w:szCs w:val="21"/>
                    </w:rPr>
                    <w:t>类别</w:t>
                  </w:r>
                </w:p>
              </w:tc>
              <w:tc>
                <w:tcPr>
                  <w:tcW w:w="2279" w:type="dxa"/>
                  <w:noWrap w:val="0"/>
                  <w:vAlign w:val="center"/>
                </w:tcPr>
                <w:p>
                  <w:pPr>
                    <w:widowControl/>
                    <w:jc w:val="center"/>
                    <w:rPr>
                      <w:kern w:val="0"/>
                      <w:szCs w:val="21"/>
                    </w:rPr>
                  </w:pPr>
                  <w:r>
                    <w:rPr>
                      <w:rFonts w:hint="eastAsia"/>
                      <w:kern w:val="0"/>
                      <w:szCs w:val="21"/>
                    </w:rPr>
                    <w:t>单位</w:t>
                  </w:r>
                </w:p>
              </w:tc>
              <w:tc>
                <w:tcPr>
                  <w:tcW w:w="2278" w:type="dxa"/>
                  <w:noWrap w:val="0"/>
                  <w:vAlign w:val="center"/>
                </w:tcPr>
                <w:p>
                  <w:pPr>
                    <w:widowControl/>
                    <w:jc w:val="center"/>
                    <w:rPr>
                      <w:kern w:val="0"/>
                      <w:szCs w:val="21"/>
                    </w:rPr>
                  </w:pPr>
                  <w:r>
                    <w:rPr>
                      <w:rFonts w:hint="eastAsia"/>
                      <w:kern w:val="0"/>
                      <w:szCs w:val="21"/>
                    </w:rPr>
                    <w:t>昼间</w:t>
                  </w:r>
                </w:p>
              </w:tc>
              <w:tc>
                <w:tcPr>
                  <w:tcW w:w="2278" w:type="dxa"/>
                  <w:noWrap w:val="0"/>
                  <w:vAlign w:val="center"/>
                </w:tcPr>
                <w:p>
                  <w:pPr>
                    <w:widowControl/>
                    <w:jc w:val="center"/>
                    <w:rPr>
                      <w:kern w:val="0"/>
                      <w:szCs w:val="21"/>
                    </w:rPr>
                  </w:pPr>
                  <w:r>
                    <w:rPr>
                      <w:rFonts w:hint="eastAsia"/>
                      <w:kern w:val="0"/>
                      <w:szCs w:val="21"/>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8" w:type="dxa"/>
                  <w:noWrap w:val="0"/>
                  <w:vAlign w:val="center"/>
                </w:tcPr>
                <w:p>
                  <w:pPr>
                    <w:widowControl/>
                    <w:jc w:val="center"/>
                    <w:rPr>
                      <w:kern w:val="0"/>
                      <w:szCs w:val="21"/>
                    </w:rPr>
                  </w:pPr>
                  <w:r>
                    <w:rPr>
                      <w:rFonts w:hint="eastAsia"/>
                      <w:kern w:val="0"/>
                      <w:szCs w:val="21"/>
                    </w:rPr>
                    <w:t>3类</w:t>
                  </w:r>
                </w:p>
              </w:tc>
              <w:tc>
                <w:tcPr>
                  <w:tcW w:w="2279" w:type="dxa"/>
                  <w:noWrap w:val="0"/>
                  <w:vAlign w:val="center"/>
                </w:tcPr>
                <w:p>
                  <w:pPr>
                    <w:widowControl/>
                    <w:jc w:val="center"/>
                    <w:rPr>
                      <w:kern w:val="0"/>
                      <w:szCs w:val="21"/>
                    </w:rPr>
                  </w:pPr>
                  <w:r>
                    <w:rPr>
                      <w:rFonts w:hint="eastAsia"/>
                      <w:kern w:val="0"/>
                      <w:szCs w:val="21"/>
                    </w:rPr>
                    <w:t>dB</w:t>
                  </w:r>
                  <w:r>
                    <w:rPr>
                      <w:rFonts w:hint="eastAsia"/>
                      <w:kern w:val="0"/>
                      <w:szCs w:val="21"/>
                      <w:lang w:eastAsia="zh-CN"/>
                    </w:rPr>
                    <w:t>(</w:t>
                  </w:r>
                  <w:r>
                    <w:rPr>
                      <w:rFonts w:hint="eastAsia"/>
                      <w:kern w:val="0"/>
                      <w:szCs w:val="21"/>
                    </w:rPr>
                    <w:t>A</w:t>
                  </w:r>
                  <w:r>
                    <w:rPr>
                      <w:rFonts w:hint="eastAsia"/>
                      <w:kern w:val="0"/>
                      <w:szCs w:val="21"/>
                      <w:lang w:eastAsia="zh-CN"/>
                    </w:rPr>
                    <w:t>)</w:t>
                  </w:r>
                </w:p>
              </w:tc>
              <w:tc>
                <w:tcPr>
                  <w:tcW w:w="2278" w:type="dxa"/>
                  <w:noWrap w:val="0"/>
                  <w:vAlign w:val="center"/>
                </w:tcPr>
                <w:p>
                  <w:pPr>
                    <w:widowControl/>
                    <w:jc w:val="center"/>
                    <w:rPr>
                      <w:rFonts w:hint="eastAsia"/>
                      <w:kern w:val="0"/>
                      <w:szCs w:val="21"/>
                    </w:rPr>
                  </w:pPr>
                  <w:r>
                    <w:rPr>
                      <w:rFonts w:hint="eastAsia"/>
                      <w:kern w:val="0"/>
                      <w:szCs w:val="21"/>
                    </w:rPr>
                    <w:t>65</w:t>
                  </w:r>
                </w:p>
              </w:tc>
              <w:tc>
                <w:tcPr>
                  <w:tcW w:w="2278" w:type="dxa"/>
                  <w:noWrap w:val="0"/>
                  <w:vAlign w:val="center"/>
                </w:tcPr>
                <w:p>
                  <w:pPr>
                    <w:widowControl/>
                    <w:jc w:val="center"/>
                    <w:rPr>
                      <w:rFonts w:hint="eastAsia"/>
                      <w:kern w:val="0"/>
                      <w:szCs w:val="21"/>
                    </w:rPr>
                  </w:pPr>
                  <w:r>
                    <w:rPr>
                      <w:rFonts w:hint="eastAsia"/>
                      <w:kern w:val="0"/>
                      <w:szCs w:val="21"/>
                    </w:rPr>
                    <w:t>55</w:t>
                  </w:r>
                </w:p>
              </w:tc>
            </w:tr>
          </w:tbl>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4、固废</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本项目固废执行《一般工业固体废物贮存和填埋污染控制标准》</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GB18599—2020</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有关要求。生活垃圾处置执行《生活垃圾填埋场污染物控制标准》（GB16889-2008）。</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pPr>
            <w:r>
              <w:rPr>
                <w:rFonts w:hint="default" w:ascii="Times New Roman" w:hAnsi="Times New Roman" w:cs="Times New Roman"/>
                <w:sz w:val="24"/>
                <w:lang w:val="en-US" w:eastAsia="zh-CN"/>
              </w:rPr>
              <w:t>危险废物执行《危险废物贮存污染控制标准》（GB18597-2023）。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3" w:hRule="atLeast"/>
          <w:jc w:val="center"/>
        </w:trPr>
        <w:tc>
          <w:tcPr>
            <w:tcW w:w="800" w:type="dxa"/>
            <w:noWrap w:val="0"/>
            <w:vAlign w:val="center"/>
          </w:tcPr>
          <w:p>
            <w:pPr>
              <w:adjustRightInd w:val="0"/>
              <w:snapToGrid w:val="0"/>
              <w:jc w:val="center"/>
              <w:rPr>
                <w:rFonts w:hint="eastAsia" w:ascii="宋体" w:hAnsi="宋体" w:cs="宋体"/>
                <w:kern w:val="0"/>
                <w:szCs w:val="21"/>
              </w:rPr>
            </w:pPr>
            <w:r>
              <w:rPr>
                <w:rFonts w:hint="eastAsia" w:ascii="宋体" w:hAnsi="宋体" w:cs="宋体"/>
                <w:kern w:val="0"/>
                <w:szCs w:val="21"/>
              </w:rPr>
              <w:t>总量</w:t>
            </w:r>
          </w:p>
          <w:p>
            <w:pPr>
              <w:adjustRightInd w:val="0"/>
              <w:snapToGrid w:val="0"/>
              <w:jc w:val="center"/>
              <w:rPr>
                <w:rFonts w:hint="eastAsia" w:ascii="宋体" w:hAnsi="宋体" w:cs="宋体"/>
                <w:kern w:val="0"/>
                <w:szCs w:val="21"/>
              </w:rPr>
            </w:pPr>
            <w:r>
              <w:rPr>
                <w:rFonts w:hint="eastAsia" w:ascii="宋体" w:hAnsi="宋体" w:cs="宋体"/>
                <w:kern w:val="0"/>
                <w:szCs w:val="21"/>
              </w:rPr>
              <w:t>控制</w:t>
            </w:r>
          </w:p>
          <w:p>
            <w:pPr>
              <w:adjustRightInd w:val="0"/>
              <w:snapToGrid w:val="0"/>
              <w:jc w:val="center"/>
              <w:rPr>
                <w:rFonts w:ascii="宋体" w:hAnsi="宋体" w:cs="宋体"/>
                <w:kern w:val="0"/>
                <w:szCs w:val="21"/>
              </w:rPr>
            </w:pPr>
            <w:r>
              <w:rPr>
                <w:rFonts w:hint="eastAsia" w:ascii="宋体" w:hAnsi="宋体" w:cs="宋体"/>
                <w:kern w:val="0"/>
                <w:szCs w:val="21"/>
              </w:rPr>
              <w:t>指标</w:t>
            </w:r>
          </w:p>
        </w:tc>
        <w:tc>
          <w:tcPr>
            <w:tcW w:w="8190" w:type="dxa"/>
            <w:noWrap w:val="0"/>
            <w:vAlign w:val="center"/>
          </w:tcPr>
          <w:p>
            <w:pPr>
              <w:adjustRightInd w:val="0"/>
              <w:snapToGrid w:val="0"/>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无</w:t>
            </w:r>
          </w:p>
        </w:tc>
      </w:tr>
    </w:tbl>
    <w:p>
      <w:pPr>
        <w:pStyle w:val="21"/>
        <w:jc w:val="center"/>
        <w:outlineLvl w:val="0"/>
        <w:rPr>
          <w:rFonts w:ascii="黑体" w:hAnsi="黑体" w:eastAsia="黑体"/>
          <w:snapToGrid w:val="0"/>
          <w:sz w:val="30"/>
          <w:szCs w:val="30"/>
        </w:rPr>
      </w:pPr>
      <w:r>
        <w:rPr>
          <w:rFonts w:ascii="黑体" w:hAnsi="黑体" w:eastAsia="黑体"/>
          <w:snapToGrid w:val="0"/>
          <w:sz w:val="36"/>
          <w:szCs w:val="36"/>
        </w:rPr>
        <w:br w:type="page"/>
      </w:r>
      <w:r>
        <w:rPr>
          <w:rFonts w:hint="eastAsia" w:ascii="黑体" w:hAnsi="黑体" w:eastAsia="黑体"/>
          <w:snapToGrid w:val="0"/>
          <w:sz w:val="30"/>
          <w:szCs w:val="30"/>
        </w:rPr>
        <w:t>四、主要环境影响和保护措施</w:t>
      </w:r>
    </w:p>
    <w:tbl>
      <w:tblPr>
        <w:tblStyle w:val="23"/>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15" w:hRule="atLeast"/>
          <w:jc w:val="center"/>
        </w:trPr>
        <w:tc>
          <w:tcPr>
            <w:tcW w:w="746" w:type="dxa"/>
            <w:noWrap w:val="0"/>
            <w:tcMar>
              <w:left w:w="28" w:type="dxa"/>
              <w:right w:w="28" w:type="dxa"/>
            </w:tcMar>
            <w:vAlign w:val="center"/>
          </w:tcPr>
          <w:p>
            <w:pPr>
              <w:pStyle w:val="21"/>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施工</w:t>
            </w:r>
          </w:p>
          <w:p>
            <w:pPr>
              <w:pStyle w:val="21"/>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期环</w:t>
            </w:r>
          </w:p>
          <w:p>
            <w:pPr>
              <w:pStyle w:val="21"/>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境保</w:t>
            </w:r>
          </w:p>
          <w:p>
            <w:pPr>
              <w:pStyle w:val="21"/>
              <w:adjustRightInd w:val="0"/>
              <w:snapToGrid w:val="0"/>
              <w:spacing w:before="0" w:beforeAutospacing="0" w:after="0" w:afterAutospacing="0"/>
              <w:jc w:val="center"/>
              <w:rPr>
                <w:rFonts w:hint="eastAsia" w:cs="宋体"/>
                <w:kern w:val="2"/>
                <w:sz w:val="21"/>
                <w:szCs w:val="21"/>
              </w:rPr>
            </w:pPr>
            <w:r>
              <w:rPr>
                <w:rFonts w:hint="eastAsia" w:cs="宋体"/>
                <w:kern w:val="2"/>
                <w:sz w:val="21"/>
                <w:szCs w:val="21"/>
              </w:rPr>
              <w:t>护措</w:t>
            </w:r>
          </w:p>
          <w:p>
            <w:pPr>
              <w:pStyle w:val="21"/>
              <w:adjustRightInd w:val="0"/>
              <w:snapToGrid w:val="0"/>
              <w:spacing w:before="0" w:beforeAutospacing="0" w:after="0" w:afterAutospacing="0"/>
              <w:jc w:val="center"/>
              <w:rPr>
                <w:rFonts w:hint="eastAsia" w:cs="宋体"/>
                <w:bCs/>
                <w:kern w:val="2"/>
                <w:sz w:val="21"/>
                <w:szCs w:val="21"/>
              </w:rPr>
            </w:pPr>
            <w:r>
              <w:rPr>
                <w:rFonts w:hint="eastAsia" w:cs="宋体"/>
                <w:kern w:val="2"/>
                <w:sz w:val="21"/>
                <w:szCs w:val="21"/>
              </w:rPr>
              <w:t>施</w:t>
            </w:r>
          </w:p>
        </w:tc>
        <w:tc>
          <w:tcPr>
            <w:tcW w:w="8162" w:type="dxa"/>
            <w:noWrap w:val="0"/>
            <w:vAlign w:val="center"/>
          </w:tcPr>
          <w:p>
            <w:pPr>
              <w:keepNext w:val="0"/>
              <w:keepLines w:val="0"/>
              <w:pageBreakBefore w:val="0"/>
              <w:kinsoku/>
              <w:overflowPunct/>
              <w:autoSpaceDE/>
              <w:autoSpaceDN/>
              <w:bidi w:val="0"/>
              <w:adjustRightInd/>
              <w:snapToGrid/>
              <w:spacing w:line="520" w:lineRule="exact"/>
              <w:ind w:firstLine="480" w:firstLineChars="200"/>
              <w:textAlignment w:val="auto"/>
              <w:rPr>
                <w:rFonts w:ascii="宋体" w:hAnsi="宋体" w:cs="宋体"/>
                <w:bCs/>
                <w:spacing w:val="-10"/>
                <w:szCs w:val="21"/>
              </w:rPr>
            </w:pPr>
            <w:r>
              <w:rPr>
                <w:rFonts w:hint="default" w:ascii="Times New Roman" w:hAnsi="Times New Roman" w:eastAsia="宋体" w:cs="Times New Roman"/>
                <w:b w:val="0"/>
                <w:bCs w:val="0"/>
                <w:sz w:val="24"/>
                <w:lang w:val="en-US" w:eastAsia="zh-CN"/>
              </w:rPr>
              <w:t>项目已基本建成，施工期影响已随施工期结束而消失，因此本次评价不对施工期污染源进行分析。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15" w:hRule="atLeast"/>
          <w:jc w:val="center"/>
        </w:trPr>
        <w:tc>
          <w:tcPr>
            <w:tcW w:w="746" w:type="dxa"/>
            <w:noWrap w:val="0"/>
            <w:tcMar>
              <w:left w:w="28" w:type="dxa"/>
              <w:right w:w="28" w:type="dxa"/>
            </w:tcMar>
            <w:vAlign w:val="center"/>
          </w:tcPr>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bCs/>
                <w:szCs w:val="21"/>
              </w:rPr>
            </w:pPr>
            <w:r>
              <w:rPr>
                <w:rFonts w:hint="eastAsia" w:ascii="宋体" w:hAnsi="宋体" w:cs="宋体"/>
                <w:bCs/>
                <w:szCs w:val="21"/>
              </w:rPr>
              <w:t>运营</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bCs/>
                <w:szCs w:val="21"/>
              </w:rPr>
            </w:pPr>
            <w:r>
              <w:rPr>
                <w:rFonts w:hint="eastAsia" w:ascii="宋体" w:hAnsi="宋体" w:cs="宋体"/>
                <w:bCs/>
                <w:szCs w:val="21"/>
              </w:rPr>
              <w:t>期环</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bCs/>
                <w:szCs w:val="21"/>
              </w:rPr>
            </w:pPr>
            <w:r>
              <w:rPr>
                <w:rFonts w:hint="eastAsia" w:ascii="宋体" w:hAnsi="宋体" w:cs="宋体"/>
                <w:bCs/>
                <w:szCs w:val="21"/>
              </w:rPr>
              <w:t>境影</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bCs/>
                <w:szCs w:val="21"/>
              </w:rPr>
            </w:pPr>
            <w:r>
              <w:rPr>
                <w:rFonts w:hint="eastAsia" w:ascii="宋体" w:hAnsi="宋体" w:cs="宋体"/>
                <w:bCs/>
                <w:szCs w:val="21"/>
              </w:rPr>
              <w:t>响和</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bCs/>
                <w:szCs w:val="21"/>
              </w:rPr>
            </w:pPr>
            <w:r>
              <w:rPr>
                <w:rFonts w:hint="eastAsia" w:ascii="宋体" w:hAnsi="宋体" w:cs="宋体"/>
                <w:bCs/>
                <w:szCs w:val="21"/>
              </w:rPr>
              <w:t>保护</w:t>
            </w:r>
          </w:p>
          <w:p>
            <w:pPr>
              <w:pStyle w:val="21"/>
              <w:adjustRightInd w:val="0"/>
              <w:snapToGrid w:val="0"/>
              <w:spacing w:before="0" w:beforeAutospacing="0" w:after="0" w:afterAutospacing="0"/>
              <w:jc w:val="center"/>
              <w:rPr>
                <w:rFonts w:hint="eastAsia" w:cs="宋体"/>
                <w:kern w:val="2"/>
                <w:sz w:val="21"/>
                <w:szCs w:val="21"/>
              </w:rPr>
            </w:pPr>
            <w:r>
              <w:rPr>
                <w:rFonts w:hint="eastAsia" w:ascii="宋体" w:hAnsi="宋体" w:cs="宋体"/>
                <w:bCs/>
                <w:szCs w:val="21"/>
              </w:rPr>
              <w:t>措施</w:t>
            </w:r>
          </w:p>
        </w:tc>
        <w:tc>
          <w:tcPr>
            <w:tcW w:w="8162" w:type="dxa"/>
            <w:noWrap w:val="0"/>
            <w:vAlign w:val="center"/>
          </w:tcPr>
          <w:p>
            <w:pPr>
              <w:keepNext w:val="0"/>
              <w:keepLines w:val="0"/>
              <w:pageBreakBefore w:val="0"/>
              <w:kinsoku/>
              <w:overflowPunct/>
              <w:autoSpaceDE/>
              <w:autoSpaceDN/>
              <w:bidi w:val="0"/>
              <w:adjustRightInd/>
              <w:snapToGrid/>
              <w:spacing w:line="520" w:lineRule="exact"/>
              <w:ind w:firstLine="482" w:firstLineChars="200"/>
              <w:textAlignment w:val="auto"/>
              <w:rPr>
                <w:rFonts w:hint="eastAsia" w:cs="Times New Roman"/>
                <w:b/>
                <w:bCs/>
                <w:sz w:val="24"/>
                <w:lang w:val="en-US" w:eastAsia="zh-CN"/>
              </w:rPr>
            </w:pPr>
            <w:r>
              <w:rPr>
                <w:rFonts w:hint="eastAsia" w:cs="Times New Roman"/>
                <w:b/>
                <w:bCs/>
                <w:sz w:val="24"/>
                <w:lang w:val="en-US" w:eastAsia="zh-CN"/>
              </w:rPr>
              <w:t>1</w:t>
            </w:r>
            <w:r>
              <w:rPr>
                <w:rFonts w:hint="eastAsia" w:ascii="Times New Roman" w:hAnsi="Times New Roman" w:cs="Times New Roman"/>
                <w:b/>
                <w:bCs/>
                <w:sz w:val="24"/>
                <w:lang w:val="en-US" w:eastAsia="zh-CN"/>
              </w:rPr>
              <w:t>、</w:t>
            </w:r>
            <w:r>
              <w:rPr>
                <w:rFonts w:hint="eastAsia" w:cs="Times New Roman"/>
                <w:b/>
                <w:bCs/>
                <w:sz w:val="24"/>
                <w:lang w:val="en-US" w:eastAsia="zh-CN"/>
              </w:rPr>
              <w:t>大气环境影响和保护措施</w:t>
            </w:r>
          </w:p>
          <w:p>
            <w:pPr>
              <w:keepNext w:val="0"/>
              <w:keepLines w:val="0"/>
              <w:pageBreakBefore w:val="0"/>
              <w:kinsoku/>
              <w:overflowPunct/>
              <w:autoSpaceDE/>
              <w:autoSpaceDN/>
              <w:bidi w:val="0"/>
              <w:adjustRightInd/>
              <w:snapToGrid/>
              <w:spacing w:line="520" w:lineRule="exact"/>
              <w:ind w:firstLine="482" w:firstLineChars="200"/>
              <w:textAlignment w:val="auto"/>
              <w:rPr>
                <w:rFonts w:hint="eastAsia" w:ascii="Times New Roman" w:hAnsi="Times New Roman" w:cs="Times New Roman"/>
                <w:b/>
                <w:bCs/>
                <w:sz w:val="24"/>
                <w:lang w:val="en-US" w:eastAsia="zh-CN"/>
              </w:rPr>
            </w:pPr>
            <w:r>
              <w:rPr>
                <w:rFonts w:hint="eastAsia" w:cs="Times New Roman"/>
                <w:b/>
                <w:bCs/>
                <w:sz w:val="24"/>
                <w:lang w:val="en-US" w:eastAsia="zh-CN"/>
              </w:rPr>
              <w:t>1.1</w:t>
            </w:r>
            <w:r>
              <w:rPr>
                <w:rFonts w:hint="eastAsia" w:ascii="Times New Roman" w:hAnsi="Times New Roman" w:cs="Times New Roman"/>
                <w:b/>
                <w:bCs/>
                <w:sz w:val="24"/>
                <w:lang w:val="en-US" w:eastAsia="zh-CN"/>
              </w:rPr>
              <w:t>大气污染工序及源强分析</w:t>
            </w:r>
          </w:p>
          <w:p>
            <w:pPr>
              <w:keepNext w:val="0"/>
              <w:keepLines w:val="0"/>
              <w:pageBreakBefore w:val="0"/>
              <w:kinsoku/>
              <w:overflowPunct/>
              <w:autoSpaceDE/>
              <w:autoSpaceDN/>
              <w:bidi w:val="0"/>
              <w:adjustRightInd/>
              <w:snapToGrid/>
              <w:spacing w:line="520" w:lineRule="exact"/>
              <w:ind w:firstLine="480" w:firstLineChars="200"/>
              <w:textAlignment w:val="auto"/>
              <w:rPr>
                <w:rFonts w:hint="default" w:ascii="Times New Roman" w:hAnsi="Times New Roman" w:cs="Times New Roman"/>
                <w:b w:val="0"/>
                <w:bCs w:val="0"/>
                <w:sz w:val="24"/>
                <w:lang w:val="en-US" w:eastAsia="zh-CN"/>
              </w:rPr>
            </w:pPr>
            <w:r>
              <w:rPr>
                <w:rFonts w:hint="eastAsia" w:ascii="Times New Roman" w:hAnsi="Times New Roman" w:cs="Times New Roman"/>
                <w:b w:val="0"/>
                <w:bCs w:val="0"/>
                <w:sz w:val="24"/>
                <w:lang w:val="en-US" w:eastAsia="zh-CN"/>
              </w:rPr>
              <w:t>（1）原料堆存及上料粉尘</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根据《排放源统计调查产排污核算方法和系数手册》固体物料堆存颗粒物产排污核算系数手册，工业企业固体物料堆存颗粒物包括装卸扬尘和风蚀扬尘，颗粒物产生量核算公式如下：</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eastAsiaTheme="minorEastAsia"/>
                <w:sz w:val="24"/>
                <w:szCs w:val="24"/>
                <w:vertAlign w:val="superscript"/>
                <w:lang w:val="en-US" w:eastAsia="zh-CN"/>
              </w:rPr>
            </w:pPr>
            <w:r>
              <w:rPr>
                <w:rFonts w:hint="default" w:ascii="Times New Roman" w:hAnsi="Times New Roman" w:cs="Times New Roman" w:eastAsiaTheme="minorEastAsia"/>
                <w:sz w:val="24"/>
                <w:szCs w:val="24"/>
                <w:lang w:val="en-US" w:eastAsia="zh-CN"/>
              </w:rPr>
              <w:t>P=ZC</w:t>
            </w:r>
            <w:r>
              <w:rPr>
                <w:rFonts w:hint="default" w:ascii="Times New Roman" w:hAnsi="Times New Roman" w:cs="Times New Roman" w:eastAsiaTheme="minorEastAsia"/>
                <w:sz w:val="24"/>
                <w:szCs w:val="24"/>
                <w:vertAlign w:val="subscript"/>
                <w:lang w:val="en-US" w:eastAsia="zh-CN"/>
              </w:rPr>
              <w:t>y</w:t>
            </w:r>
            <w:r>
              <w:rPr>
                <w:rFonts w:hint="default" w:ascii="Times New Roman" w:hAnsi="Times New Roman" w:cs="Times New Roman" w:eastAsiaTheme="minorEastAsia"/>
                <w:sz w:val="24"/>
                <w:szCs w:val="24"/>
                <w:lang w:val="en-US" w:eastAsia="zh-CN"/>
              </w:rPr>
              <w:t>+FC</w:t>
            </w:r>
            <w:r>
              <w:rPr>
                <w:rFonts w:hint="default" w:ascii="Times New Roman" w:hAnsi="Times New Roman" w:cs="Times New Roman" w:eastAsiaTheme="minorEastAsia"/>
                <w:sz w:val="24"/>
                <w:szCs w:val="24"/>
                <w:vertAlign w:val="subscript"/>
                <w:lang w:val="en-US" w:eastAsia="zh-CN"/>
              </w:rPr>
              <w:t>y</w:t>
            </w:r>
            <w:r>
              <w:rPr>
                <w:rFonts w:hint="default" w:ascii="Times New Roman" w:hAnsi="Times New Roman" w:cs="Times New Roman" w:eastAsiaTheme="minorEastAsia"/>
                <w:sz w:val="24"/>
                <w:szCs w:val="24"/>
                <w:lang w:val="en-US" w:eastAsia="zh-CN"/>
              </w:rPr>
              <w:t>=[N</w:t>
            </w:r>
            <w:r>
              <w:rPr>
                <w:rFonts w:hint="default" w:ascii="Times New Roman" w:hAnsi="Times New Roman" w:cs="Times New Roman" w:eastAsiaTheme="minorEastAsia"/>
                <w:sz w:val="24"/>
                <w:szCs w:val="24"/>
                <w:vertAlign w:val="subscript"/>
                <w:lang w:val="en-US" w:eastAsia="zh-CN"/>
              </w:rPr>
              <w:t>c</w:t>
            </w:r>
            <w:r>
              <w:rPr>
                <w:rFonts w:hint="default" w:ascii="Times New Roman" w:hAnsi="Times New Roman" w:cs="Times New Roman" w:eastAsiaTheme="minorEastAsia"/>
                <w:sz w:val="24"/>
                <w:szCs w:val="24"/>
                <w:lang w:val="en-US" w:eastAsia="zh-CN"/>
              </w:rPr>
              <w:t>×D×</w:t>
            </w:r>
            <w:r>
              <w:rPr>
                <w:rFonts w:hint="eastAsia"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a/b</w:t>
            </w:r>
            <w:r>
              <w:rPr>
                <w:rFonts w:hint="eastAsia"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+2×E</w:t>
            </w:r>
            <w:r>
              <w:rPr>
                <w:rFonts w:hint="default" w:ascii="Times New Roman" w:hAnsi="Times New Roman" w:cs="Times New Roman" w:eastAsiaTheme="minorEastAsia"/>
                <w:sz w:val="24"/>
                <w:szCs w:val="24"/>
                <w:vertAlign w:val="subscript"/>
                <w:lang w:val="en-US" w:eastAsia="zh-CN"/>
              </w:rPr>
              <w:t>f</w:t>
            </w:r>
            <w:r>
              <w:rPr>
                <w:rFonts w:hint="default" w:ascii="Times New Roman" w:hAnsi="Times New Roman" w:cs="Times New Roman" w:eastAsiaTheme="minorEastAsia"/>
                <w:sz w:val="24"/>
                <w:szCs w:val="24"/>
                <w:lang w:val="en-US" w:eastAsia="zh-CN"/>
              </w:rPr>
              <w:t>×S]×10</w:t>
            </w:r>
            <w:r>
              <w:rPr>
                <w:rFonts w:hint="default" w:ascii="Times New Roman" w:hAnsi="Times New Roman" w:cs="Times New Roman" w:eastAsiaTheme="minorEastAsia"/>
                <w:sz w:val="24"/>
                <w:szCs w:val="24"/>
                <w:vertAlign w:val="superscript"/>
                <w:lang w:val="en-US" w:eastAsia="zh-CN"/>
              </w:rPr>
              <w:t>-3</w:t>
            </w:r>
          </w:p>
          <w:p>
            <w:pPr>
              <w:keepNext w:val="0"/>
              <w:keepLines w:val="0"/>
              <w:pageBreakBefore w:val="0"/>
              <w:widowControl w:val="0"/>
              <w:kinsoku/>
              <w:wordWrap/>
              <w:overflowPunct/>
              <w:topLinePunct w:val="0"/>
              <w:autoSpaceDE/>
              <w:autoSpaceDN/>
              <w:bidi w:val="0"/>
              <w:adjustRightInd/>
              <w:snapToGrid/>
              <w:spacing w:line="520" w:lineRule="exact"/>
              <w:ind w:firstLine="960" w:firstLineChars="4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式中：P指颗粒物产生量（单位：吨）；</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lang w:val="en-US" w:eastAsia="zh-CN"/>
              </w:rPr>
              <w:t>ZC</w:t>
            </w:r>
            <w:r>
              <w:rPr>
                <w:rFonts w:hint="default" w:ascii="Times New Roman" w:hAnsi="Times New Roman" w:cs="Times New Roman" w:eastAsiaTheme="minorEastAsia"/>
                <w:sz w:val="24"/>
                <w:szCs w:val="24"/>
                <w:vertAlign w:val="subscript"/>
                <w:lang w:val="en-US" w:eastAsia="zh-CN"/>
              </w:rPr>
              <w:t>y</w:t>
            </w:r>
            <w:r>
              <w:rPr>
                <w:rFonts w:hint="default" w:ascii="Times New Roman" w:hAnsi="Times New Roman" w:cs="Times New Roman" w:eastAsiaTheme="minorEastAsia"/>
                <w:sz w:val="24"/>
                <w:szCs w:val="24"/>
                <w:vertAlign w:val="baseline"/>
                <w:lang w:val="en-US" w:eastAsia="zh-CN"/>
              </w:rPr>
              <w:t>指装卸扬尘产生量（单位：吨）；</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lang w:val="en-US" w:eastAsia="zh-CN"/>
              </w:rPr>
              <w:t>FC</w:t>
            </w:r>
            <w:r>
              <w:rPr>
                <w:rFonts w:hint="default" w:ascii="Times New Roman" w:hAnsi="Times New Roman" w:cs="Times New Roman" w:eastAsiaTheme="minorEastAsia"/>
                <w:sz w:val="24"/>
                <w:szCs w:val="24"/>
                <w:vertAlign w:val="subscript"/>
                <w:lang w:val="en-US" w:eastAsia="zh-CN"/>
              </w:rPr>
              <w:t>y</w:t>
            </w:r>
            <w:r>
              <w:rPr>
                <w:rFonts w:hint="default" w:ascii="Times New Roman" w:hAnsi="Times New Roman" w:cs="Times New Roman" w:eastAsiaTheme="minorEastAsia"/>
                <w:sz w:val="24"/>
                <w:szCs w:val="24"/>
                <w:vertAlign w:val="baseline"/>
                <w:lang w:val="en-US" w:eastAsia="zh-CN"/>
              </w:rPr>
              <w:t>指风蚀扬尘产生量（单位：吨）；</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N</w:t>
            </w:r>
            <w:r>
              <w:rPr>
                <w:rFonts w:hint="default" w:ascii="Times New Roman" w:hAnsi="Times New Roman" w:cs="Times New Roman" w:eastAsiaTheme="minorEastAsia"/>
                <w:sz w:val="24"/>
                <w:szCs w:val="24"/>
                <w:vertAlign w:val="subscript"/>
                <w:lang w:val="en-US" w:eastAsia="zh-CN"/>
              </w:rPr>
              <w:t>c</w:t>
            </w:r>
            <w:r>
              <w:rPr>
                <w:rFonts w:hint="default" w:ascii="Times New Roman" w:hAnsi="Times New Roman" w:cs="Times New Roman" w:eastAsiaTheme="minorEastAsia"/>
                <w:sz w:val="24"/>
                <w:szCs w:val="24"/>
                <w:vertAlign w:val="baseline"/>
                <w:lang w:val="en-US" w:eastAsia="zh-CN"/>
              </w:rPr>
              <w:t>指年物料运载车次（单位：吨）；</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D指单车平均运载量（单位：吨/车）；</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（a/b）指装卸扬尘概化系数（单位：千克/吨），</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a指各省风速概化系数，b指物料含水率概化系数；</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E</w:t>
            </w:r>
            <w:r>
              <w:rPr>
                <w:rFonts w:hint="default" w:ascii="Times New Roman" w:hAnsi="Times New Roman" w:cs="Times New Roman" w:eastAsiaTheme="minorEastAsia"/>
                <w:sz w:val="24"/>
                <w:szCs w:val="24"/>
                <w:vertAlign w:val="subscript"/>
                <w:lang w:val="en-US" w:eastAsia="zh-CN"/>
              </w:rPr>
              <w:t>f</w:t>
            </w:r>
            <w:r>
              <w:rPr>
                <w:rFonts w:hint="default" w:ascii="Times New Roman" w:hAnsi="Times New Roman" w:cs="Times New Roman" w:eastAsiaTheme="minorEastAsia"/>
                <w:sz w:val="24"/>
                <w:szCs w:val="24"/>
                <w:vertAlign w:val="baseline"/>
                <w:lang w:val="en-US" w:eastAsia="zh-CN"/>
              </w:rPr>
              <w:t>指堆场风蚀扬尘概化系数，（单位：千克/平方米）；</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eastAsia" w:ascii="Times New Roman" w:hAnsi="Times New Roman" w:cs="Times New Roman"/>
                <w:sz w:val="24"/>
                <w:lang w:val="en-US" w:eastAsia="zh-CN"/>
              </w:rPr>
            </w:pPr>
            <w:r>
              <w:rPr>
                <w:rFonts w:hint="default" w:ascii="Times New Roman" w:hAnsi="Times New Roman" w:cs="Times New Roman" w:eastAsiaTheme="minorEastAsia"/>
                <w:sz w:val="24"/>
                <w:szCs w:val="24"/>
                <w:vertAlign w:val="baseline"/>
                <w:lang w:val="en-US" w:eastAsia="zh-CN"/>
              </w:rPr>
              <w:t>S指堆场占地面积。</w:t>
            </w:r>
          </w:p>
          <w:p>
            <w:pPr>
              <w:keepNext w:val="0"/>
              <w:keepLines w:val="0"/>
              <w:pageBreakBefore w:val="0"/>
              <w:kinsoku/>
              <w:overflowPunct/>
              <w:autoSpaceDE/>
              <w:autoSpaceDN/>
              <w:bidi w:val="0"/>
              <w:adjustRightInd/>
              <w:snapToGrid/>
              <w:spacing w:line="240" w:lineRule="auto"/>
              <w:ind w:firstLine="0" w:firstLineChars="0"/>
              <w:jc w:val="center"/>
              <w:textAlignment w:val="auto"/>
              <w:rPr>
                <w:rFonts w:hint="default" w:ascii="Times New Roman" w:hAnsi="Times New Roman" w:cs="Times New Roman"/>
                <w:sz w:val="21"/>
                <w:lang w:val="en-US" w:eastAsia="zh-CN"/>
              </w:rPr>
            </w:pPr>
          </w:p>
          <w:p>
            <w:pPr>
              <w:pStyle w:val="56"/>
              <w:tabs>
                <w:tab w:val="left" w:pos="2850"/>
                <w:tab w:val="left" w:pos="3918"/>
              </w:tabs>
              <w:spacing w:before="0" w:line="360" w:lineRule="auto"/>
              <w:ind w:firstLine="480" w:firstLineChars="200"/>
              <w:outlineLvl w:val="9"/>
              <w:rPr>
                <w:rFonts w:hint="eastAsia"/>
                <w:b w:val="0"/>
                <w:sz w:val="24"/>
                <w:highlight w:val="none"/>
                <w:lang w:val="en-US" w:eastAsia="zh-CN"/>
              </w:rPr>
            </w:pPr>
            <w:r>
              <w:rPr>
                <w:rFonts w:hint="eastAsia" w:ascii="Times New Roman" w:hAnsi="Times New Roman" w:eastAsia="宋体" w:cs="Times New Roman"/>
                <w:b w:val="0"/>
                <w:bCs/>
                <w:snapToGrid w:val="0"/>
                <w:color w:val="000000"/>
                <w:kern w:val="0"/>
                <w:sz w:val="24"/>
                <w:szCs w:val="24"/>
                <w:lang w:val="en-US" w:eastAsia="zh-CN" w:bidi="ar-SA"/>
              </w:rPr>
              <w:t>堆场年堆存物料1</w:t>
            </w:r>
            <w:r>
              <w:rPr>
                <w:rFonts w:hint="eastAsia" w:eastAsia="宋体" w:cs="Times New Roman"/>
                <w:b w:val="0"/>
                <w:bCs/>
                <w:snapToGrid w:val="0"/>
                <w:color w:val="000000"/>
                <w:kern w:val="0"/>
                <w:sz w:val="24"/>
                <w:szCs w:val="24"/>
                <w:lang w:val="en-US" w:eastAsia="zh-CN" w:bidi="ar-SA"/>
              </w:rPr>
              <w:t>82</w:t>
            </w:r>
            <w:r>
              <w:rPr>
                <w:rFonts w:hint="eastAsia" w:ascii="Times New Roman" w:hAnsi="Times New Roman" w:eastAsia="宋体" w:cs="Times New Roman"/>
                <w:b w:val="0"/>
                <w:bCs/>
                <w:snapToGrid w:val="0"/>
                <w:color w:val="000000"/>
                <w:kern w:val="0"/>
                <w:sz w:val="24"/>
                <w:szCs w:val="24"/>
                <w:lang w:val="en-US" w:eastAsia="zh-CN" w:bidi="ar-SA"/>
              </w:rPr>
              <w:t>000t/a，其中Nc为9</w:t>
            </w:r>
            <w:r>
              <w:rPr>
                <w:rFonts w:hint="eastAsia" w:eastAsia="宋体" w:cs="Times New Roman"/>
                <w:b w:val="0"/>
                <w:bCs/>
                <w:snapToGrid w:val="0"/>
                <w:color w:val="000000"/>
                <w:kern w:val="0"/>
                <w:sz w:val="24"/>
                <w:szCs w:val="24"/>
                <w:lang w:val="en-US" w:eastAsia="zh-CN" w:bidi="ar-SA"/>
              </w:rPr>
              <w:t>1</w:t>
            </w:r>
            <w:r>
              <w:rPr>
                <w:rFonts w:hint="eastAsia" w:ascii="Times New Roman" w:hAnsi="Times New Roman" w:eastAsia="宋体" w:cs="Times New Roman"/>
                <w:b w:val="0"/>
                <w:bCs/>
                <w:snapToGrid w:val="0"/>
                <w:color w:val="000000"/>
                <w:kern w:val="0"/>
                <w:sz w:val="24"/>
                <w:szCs w:val="24"/>
                <w:lang w:val="en-US" w:eastAsia="zh-CN" w:bidi="ar-SA"/>
              </w:rPr>
              <w:t>00、D为20、a为0.0011、b为0.0017、Ef为3.6062、S为2</w:t>
            </w:r>
            <w:r>
              <w:rPr>
                <w:rFonts w:hint="eastAsia" w:eastAsia="宋体" w:cs="Times New Roman"/>
                <w:b w:val="0"/>
                <w:bCs/>
                <w:snapToGrid w:val="0"/>
                <w:color w:val="000000"/>
                <w:kern w:val="0"/>
                <w:sz w:val="24"/>
                <w:szCs w:val="24"/>
                <w:lang w:val="en-US" w:eastAsia="zh-CN" w:bidi="ar-SA"/>
              </w:rPr>
              <w:t>2</w:t>
            </w:r>
            <w:r>
              <w:rPr>
                <w:rFonts w:hint="eastAsia" w:ascii="Times New Roman" w:hAnsi="Times New Roman" w:eastAsia="宋体" w:cs="Times New Roman"/>
                <w:b w:val="0"/>
                <w:bCs/>
                <w:snapToGrid w:val="0"/>
                <w:color w:val="000000"/>
                <w:kern w:val="0"/>
                <w:sz w:val="24"/>
                <w:szCs w:val="24"/>
                <w:lang w:val="en-US" w:eastAsia="zh-CN" w:bidi="ar-SA"/>
              </w:rPr>
              <w:t>00，颗粒物产生量为</w:t>
            </w:r>
            <w:r>
              <w:rPr>
                <w:rFonts w:hint="eastAsia" w:eastAsia="宋体" w:cs="Times New Roman"/>
                <w:b w:val="0"/>
                <w:bCs/>
                <w:snapToGrid w:val="0"/>
                <w:color w:val="000000"/>
                <w:kern w:val="0"/>
                <w:sz w:val="24"/>
                <w:szCs w:val="24"/>
                <w:lang w:val="en-US" w:eastAsia="zh-CN" w:bidi="ar-SA"/>
              </w:rPr>
              <w:t>133.632</w:t>
            </w:r>
            <w:r>
              <w:rPr>
                <w:rFonts w:hint="eastAsia" w:ascii="Times New Roman" w:hAnsi="Times New Roman" w:eastAsia="宋体" w:cs="Times New Roman"/>
                <w:b w:val="0"/>
                <w:bCs/>
                <w:snapToGrid w:val="0"/>
                <w:color w:val="000000"/>
                <w:kern w:val="0"/>
                <w:sz w:val="24"/>
                <w:szCs w:val="24"/>
                <w:lang w:val="en-US" w:eastAsia="zh-CN" w:bidi="ar-SA"/>
              </w:rPr>
              <w:t>t/a，产生速率为</w:t>
            </w:r>
            <w:r>
              <w:rPr>
                <w:rFonts w:hint="eastAsia" w:eastAsia="宋体" w:cs="Times New Roman"/>
                <w:b w:val="0"/>
                <w:bCs/>
                <w:snapToGrid w:val="0"/>
                <w:color w:val="000000"/>
                <w:kern w:val="0"/>
                <w:sz w:val="24"/>
                <w:szCs w:val="24"/>
                <w:lang w:val="en-US" w:eastAsia="zh-CN" w:bidi="ar-SA"/>
              </w:rPr>
              <w:t>23.2</w:t>
            </w:r>
            <w:r>
              <w:rPr>
                <w:rFonts w:hint="eastAsia" w:ascii="Times New Roman" w:hAnsi="Times New Roman" w:eastAsia="宋体" w:cs="Times New Roman"/>
                <w:b w:val="0"/>
                <w:bCs/>
                <w:snapToGrid w:val="0"/>
                <w:color w:val="000000"/>
                <w:kern w:val="0"/>
                <w:sz w:val="24"/>
                <w:szCs w:val="24"/>
                <w:lang w:val="en-US" w:eastAsia="zh-CN" w:bidi="ar-SA"/>
              </w:rPr>
              <w:t>kg/h（堆存时间为5760h/a）</w:t>
            </w:r>
            <w:r>
              <w:rPr>
                <w:rFonts w:hint="eastAsia"/>
                <w:b w:val="0"/>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工业企业固体物料堆场颗粒物排放量核算公式如下：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U</w:t>
            </w:r>
            <w:r>
              <w:rPr>
                <w:rFonts w:hint="eastAsia" w:ascii="Times New Roman" w:hAnsi="Times New Roman" w:eastAsia="宋体" w:cs="Times New Roman"/>
                <w:sz w:val="24"/>
                <w:szCs w:val="24"/>
                <w:vertAlign w:val="subscript"/>
                <w:lang w:val="en-US" w:eastAsia="zh-CN"/>
              </w:rPr>
              <w:t>c</w:t>
            </w:r>
            <w:r>
              <w:rPr>
                <w:rFonts w:hint="eastAsia" w:ascii="Times New Roman" w:hAnsi="Times New Roman" w:eastAsia="宋体" w:cs="Times New Roman"/>
                <w:sz w:val="24"/>
                <w:szCs w:val="24"/>
                <w:lang w:val="en-US" w:eastAsia="zh-CN"/>
              </w:rPr>
              <w:t>=P×（1-C</w:t>
            </w:r>
            <w:r>
              <w:rPr>
                <w:rFonts w:hint="eastAsia" w:ascii="Times New Roman" w:hAnsi="Times New Roman" w:eastAsia="宋体" w:cs="Times New Roman"/>
                <w:sz w:val="24"/>
                <w:szCs w:val="24"/>
                <w:vertAlign w:val="subscript"/>
                <w:lang w:val="en-US" w:eastAsia="zh-CN"/>
              </w:rPr>
              <w:t>m</w:t>
            </w:r>
            <w:r>
              <w:rPr>
                <w:rFonts w:hint="eastAsia" w:ascii="Times New Roman" w:hAnsi="Times New Roman" w:eastAsia="宋体" w:cs="Times New Roman"/>
                <w:sz w:val="24"/>
                <w:szCs w:val="24"/>
                <w:lang w:val="en-US" w:eastAsia="zh-CN"/>
              </w:rPr>
              <w:t>）×（1-T</w:t>
            </w:r>
            <w:r>
              <w:rPr>
                <w:rFonts w:hint="eastAsia" w:ascii="Times New Roman" w:hAnsi="Times New Roman" w:eastAsia="宋体" w:cs="Times New Roman"/>
                <w:sz w:val="24"/>
                <w:szCs w:val="24"/>
                <w:vertAlign w:val="subscript"/>
                <w:lang w:val="en-US" w:eastAsia="zh-CN"/>
              </w:rPr>
              <w:t>m</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式中：P指颗粒物产生量（单位：吨）；</w:t>
            </w:r>
          </w:p>
          <w:p>
            <w:pPr>
              <w:keepNext w:val="0"/>
              <w:keepLines w:val="0"/>
              <w:pageBreakBefore w:val="0"/>
              <w:widowControl w:val="0"/>
              <w:kinsoku/>
              <w:wordWrap/>
              <w:overflowPunct/>
              <w:topLinePunct w:val="0"/>
              <w:autoSpaceDE/>
              <w:autoSpaceDN/>
              <w:bidi w:val="0"/>
              <w:adjustRightInd/>
              <w:snapToGrid/>
              <w:spacing w:line="520" w:lineRule="exact"/>
              <w:ind w:firstLine="1920" w:firstLineChars="8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U</w:t>
            </w:r>
            <w:r>
              <w:rPr>
                <w:rFonts w:hint="eastAsia" w:ascii="Times New Roman" w:hAnsi="Times New Roman" w:eastAsia="宋体" w:cs="Times New Roman"/>
                <w:sz w:val="24"/>
                <w:szCs w:val="24"/>
                <w:vertAlign w:val="subscript"/>
                <w:lang w:val="en-US" w:eastAsia="zh-CN"/>
              </w:rPr>
              <w:t>c</w:t>
            </w:r>
            <w:r>
              <w:rPr>
                <w:rFonts w:hint="eastAsia" w:ascii="Times New Roman" w:hAnsi="Times New Roman" w:eastAsia="宋体" w:cs="Times New Roman"/>
                <w:sz w:val="24"/>
                <w:szCs w:val="24"/>
                <w:lang w:val="en-US" w:eastAsia="zh-CN"/>
              </w:rPr>
              <w:t>指颗粒物排放量（单位：吨）；</w:t>
            </w:r>
          </w:p>
          <w:p>
            <w:pPr>
              <w:keepNext w:val="0"/>
              <w:keepLines w:val="0"/>
              <w:pageBreakBefore w:val="0"/>
              <w:widowControl w:val="0"/>
              <w:kinsoku/>
              <w:wordWrap/>
              <w:overflowPunct/>
              <w:topLinePunct w:val="0"/>
              <w:autoSpaceDE/>
              <w:autoSpaceDN/>
              <w:bidi w:val="0"/>
              <w:adjustRightInd/>
              <w:snapToGrid/>
              <w:spacing w:line="520" w:lineRule="exact"/>
              <w:ind w:firstLine="1920" w:firstLineChars="8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C</w:t>
            </w:r>
            <w:r>
              <w:rPr>
                <w:rFonts w:hint="eastAsia" w:ascii="Times New Roman" w:hAnsi="Times New Roman" w:eastAsia="宋体" w:cs="Times New Roman"/>
                <w:sz w:val="24"/>
                <w:szCs w:val="24"/>
                <w:vertAlign w:val="subscript"/>
                <w:lang w:val="en-US" w:eastAsia="zh-CN"/>
              </w:rPr>
              <w:t>m</w:t>
            </w:r>
            <w:r>
              <w:rPr>
                <w:rFonts w:hint="eastAsia" w:ascii="Times New Roman" w:hAnsi="Times New Roman" w:eastAsia="宋体" w:cs="Times New Roman"/>
                <w:sz w:val="24"/>
                <w:szCs w:val="24"/>
                <w:lang w:val="en-US" w:eastAsia="zh-CN"/>
              </w:rPr>
              <w:t>指颗粒物控制措施控制效率（单位：%）；</w:t>
            </w:r>
          </w:p>
          <w:p>
            <w:pPr>
              <w:keepNext w:val="0"/>
              <w:keepLines w:val="0"/>
              <w:pageBreakBefore w:val="0"/>
              <w:widowControl w:val="0"/>
              <w:kinsoku/>
              <w:wordWrap/>
              <w:overflowPunct/>
              <w:topLinePunct w:val="0"/>
              <w:autoSpaceDE/>
              <w:autoSpaceDN/>
              <w:bidi w:val="0"/>
              <w:adjustRightInd/>
              <w:snapToGrid/>
              <w:spacing w:line="520" w:lineRule="exact"/>
              <w:ind w:firstLine="1920" w:firstLineChars="800"/>
              <w:textAlignment w:val="auto"/>
              <w:rPr>
                <w:rFonts w:hint="eastAsia"/>
                <w:b w:val="0"/>
                <w:sz w:val="24"/>
                <w:highlight w:val="none"/>
                <w:lang w:val="en-US" w:eastAsia="zh-CN"/>
              </w:rPr>
            </w:pPr>
            <w:r>
              <w:rPr>
                <w:rFonts w:hint="eastAsia" w:ascii="Times New Roman" w:hAnsi="Times New Roman" w:eastAsia="宋体" w:cs="Times New Roman"/>
                <w:sz w:val="24"/>
                <w:szCs w:val="24"/>
                <w:lang w:val="en-US" w:eastAsia="zh-CN"/>
              </w:rPr>
              <w:t>T</w:t>
            </w:r>
            <w:r>
              <w:rPr>
                <w:rFonts w:hint="eastAsia" w:ascii="Times New Roman" w:hAnsi="Times New Roman" w:eastAsia="宋体" w:cs="Times New Roman"/>
                <w:sz w:val="24"/>
                <w:szCs w:val="24"/>
                <w:vertAlign w:val="subscript"/>
                <w:lang w:val="en-US" w:eastAsia="zh-CN"/>
              </w:rPr>
              <w:t>m</w:t>
            </w:r>
            <w:r>
              <w:rPr>
                <w:rFonts w:hint="eastAsia" w:ascii="Times New Roman" w:hAnsi="Times New Roman" w:eastAsia="宋体" w:cs="Times New Roman"/>
                <w:sz w:val="24"/>
                <w:szCs w:val="24"/>
                <w:lang w:val="en-US" w:eastAsia="zh-CN"/>
              </w:rPr>
              <w:t>指堆场类型控制效率（单位：%）。</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其中P为</w:t>
            </w:r>
            <w:r>
              <w:rPr>
                <w:rFonts w:hint="eastAsia" w:eastAsia="宋体" w:cs="Times New Roman"/>
                <w:sz w:val="24"/>
                <w:szCs w:val="24"/>
                <w:lang w:val="en-US" w:eastAsia="zh-CN"/>
              </w:rPr>
              <w:t>133.632</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根据</w:t>
            </w:r>
            <w:r>
              <w:rPr>
                <w:rFonts w:hint="eastAsia" w:cs="Times New Roman"/>
                <w:sz w:val="24"/>
                <w:szCs w:val="24"/>
                <w:lang w:val="en-US" w:eastAsia="zh-CN"/>
              </w:rPr>
              <w:t>《固体物料堆存颗粒物产排污核算系数手册》</w:t>
            </w:r>
            <w:r>
              <w:rPr>
                <w:rFonts w:hint="eastAsia" w:ascii="Times New Roman" w:hAnsi="Times New Roman" w:eastAsia="宋体" w:cs="Times New Roman"/>
                <w:sz w:val="24"/>
                <w:szCs w:val="24"/>
                <w:lang w:val="en-US" w:eastAsia="zh-CN"/>
              </w:rPr>
              <w:t>附录4、附录5，Cm为0</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Tm为99%，</w:t>
            </w:r>
            <w:r>
              <w:rPr>
                <w:rFonts w:hint="eastAsia" w:cs="Times New Roman"/>
                <w:sz w:val="24"/>
                <w:szCs w:val="24"/>
                <w:lang w:val="en-US" w:eastAsia="zh-CN"/>
              </w:rPr>
              <w:t>因此</w:t>
            </w:r>
            <w:r>
              <w:rPr>
                <w:rFonts w:hint="eastAsia" w:ascii="Times New Roman" w:hAnsi="Times New Roman" w:eastAsia="宋体" w:cs="Times New Roman"/>
                <w:sz w:val="24"/>
                <w:szCs w:val="24"/>
                <w:lang w:val="en-US" w:eastAsia="zh-CN"/>
              </w:rPr>
              <w:t>颗粒物排放量为</w:t>
            </w:r>
            <w:r>
              <w:rPr>
                <w:rFonts w:hint="eastAsia" w:eastAsia="宋体" w:cs="Times New Roman"/>
                <w:sz w:val="24"/>
                <w:szCs w:val="24"/>
                <w:lang w:val="en-US" w:eastAsia="zh-CN"/>
              </w:rPr>
              <w:t>1.336</w:t>
            </w:r>
            <w:r>
              <w:rPr>
                <w:rFonts w:hint="eastAsia" w:ascii="Times New Roman" w:hAnsi="Times New Roman" w:eastAsia="宋体" w:cs="Times New Roman"/>
                <w:sz w:val="24"/>
                <w:szCs w:val="24"/>
                <w:lang w:val="en-US" w:eastAsia="zh-CN"/>
              </w:rPr>
              <w:t>t/a，排放速率为0.</w:t>
            </w:r>
            <w:r>
              <w:rPr>
                <w:rFonts w:hint="eastAsia" w:eastAsia="宋体" w:cs="Times New Roman"/>
                <w:sz w:val="24"/>
                <w:szCs w:val="24"/>
                <w:lang w:val="en-US" w:eastAsia="zh-CN"/>
              </w:rPr>
              <w:t>232</w:t>
            </w:r>
            <w:r>
              <w:rPr>
                <w:rFonts w:hint="eastAsia" w:ascii="Times New Roman" w:hAnsi="Times New Roman" w:eastAsia="宋体" w:cs="Times New Roman"/>
                <w:sz w:val="24"/>
                <w:szCs w:val="24"/>
                <w:lang w:val="en-US" w:eastAsia="zh-CN"/>
              </w:rPr>
              <w:t>kg/h。</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（2）物料输送粉尘</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本项目水泥、粉煤灰、矿粉年消耗量分别为25</w:t>
            </w:r>
            <w:r>
              <w:rPr>
                <w:rFonts w:hint="default" w:ascii="Times New Roman" w:hAnsi="Times New Roman" w:eastAsia="宋体" w:cs="Times New Roman"/>
                <w:sz w:val="24"/>
                <w:szCs w:val="24"/>
                <w:lang w:val="en-US" w:eastAsia="zh-CN"/>
              </w:rPr>
              <w:t>000</w:t>
            </w:r>
            <w:r>
              <w:rPr>
                <w:rFonts w:hint="eastAsia" w:ascii="Times New Roman" w:hAnsi="Times New Roman" w:eastAsia="宋体" w:cs="Times New Roman"/>
                <w:sz w:val="24"/>
                <w:szCs w:val="24"/>
                <w:lang w:val="en-US" w:eastAsia="zh-CN"/>
              </w:rPr>
              <w:t>t/a、7000t/a、6000t/a。根据《</w:t>
            </w:r>
            <w:r>
              <w:rPr>
                <w:rFonts w:hint="eastAsia" w:ascii="Times New Roman" w:hAnsi="Times New Roman" w:cs="Times New Roman"/>
                <w:sz w:val="24"/>
                <w:szCs w:val="24"/>
                <w:lang w:val="en-US" w:eastAsia="zh-CN"/>
              </w:rPr>
              <w:t>排放</w:t>
            </w:r>
            <w:r>
              <w:rPr>
                <w:rFonts w:hint="eastAsia" w:ascii="Times New Roman" w:hAnsi="Times New Roman" w:eastAsia="宋体" w:cs="Times New Roman"/>
                <w:sz w:val="24"/>
                <w:szCs w:val="24"/>
                <w:lang w:val="en-US" w:eastAsia="zh-CN"/>
              </w:rPr>
              <w:t>源统计调查产排污核算方法和系数手册》3021 水泥制品制造（含3022 砼结构构件、3029 其他水泥类似制品制造）行业</w:t>
            </w:r>
            <w:r>
              <w:rPr>
                <w:rFonts w:hint="eastAsia" w:cs="Times New Roman"/>
                <w:sz w:val="24"/>
                <w:szCs w:val="24"/>
                <w:lang w:val="en-US" w:eastAsia="zh-CN"/>
              </w:rPr>
              <w:t>中</w:t>
            </w:r>
            <w:r>
              <w:rPr>
                <w:rFonts w:hint="eastAsia" w:ascii="Times New Roman" w:hAnsi="Times New Roman" w:eastAsia="宋体" w:cs="Times New Roman"/>
                <w:sz w:val="24"/>
                <w:szCs w:val="24"/>
                <w:lang w:val="en-US" w:eastAsia="zh-CN"/>
              </w:rPr>
              <w:t>混凝土制品产污系数一览表。主要工艺为：物料输送储存，所有规模的组合中颗粒物的产污系数为0.12，单位为千克/吨-产品。</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a.本项目</w:t>
            </w:r>
            <w:r>
              <w:rPr>
                <w:rFonts w:hint="eastAsia" w:ascii="Times New Roman" w:hAnsi="Times New Roman" w:cs="Times New Roman"/>
                <w:sz w:val="24"/>
                <w:szCs w:val="24"/>
                <w:lang w:val="en-US" w:eastAsia="zh-CN"/>
              </w:rPr>
              <w:t>使用</w:t>
            </w:r>
            <w:r>
              <w:rPr>
                <w:rFonts w:hint="eastAsia" w:ascii="Times New Roman" w:hAnsi="Times New Roman" w:eastAsia="宋体" w:cs="Times New Roman"/>
                <w:sz w:val="24"/>
                <w:szCs w:val="24"/>
                <w:lang w:val="en-US" w:eastAsia="zh-CN"/>
              </w:rPr>
              <w:t>25000t/a水泥，</w:t>
            </w:r>
            <w:r>
              <w:rPr>
                <w:rFonts w:hint="eastAsia" w:cs="Times New Roman"/>
                <w:sz w:val="24"/>
                <w:szCs w:val="24"/>
                <w:lang w:val="en-US" w:eastAsia="zh-CN"/>
              </w:rPr>
              <w:t>共设置3个水泥筒仓，按3个水泥筒仓输送水泥均为8333.333t/a计，</w:t>
            </w:r>
            <w:r>
              <w:rPr>
                <w:rFonts w:hint="eastAsia" w:ascii="Times New Roman" w:hAnsi="Times New Roman" w:eastAsia="宋体" w:cs="Times New Roman"/>
                <w:sz w:val="24"/>
                <w:szCs w:val="24"/>
                <w:lang w:val="en-US" w:eastAsia="zh-CN"/>
              </w:rPr>
              <w:t>水泥筒仓每次打入200t水泥，</w:t>
            </w:r>
            <w:r>
              <w:rPr>
                <w:rFonts w:hint="eastAsia" w:cs="Times New Roman"/>
                <w:sz w:val="24"/>
                <w:szCs w:val="24"/>
                <w:lang w:val="en-US" w:eastAsia="zh-CN"/>
              </w:rPr>
              <w:t>则单个</w:t>
            </w:r>
            <w:r>
              <w:rPr>
                <w:rFonts w:hint="eastAsia" w:ascii="Times New Roman" w:hAnsi="Times New Roman" w:eastAsia="宋体" w:cs="Times New Roman"/>
                <w:sz w:val="24"/>
                <w:szCs w:val="24"/>
                <w:lang w:val="en-US" w:eastAsia="zh-CN"/>
              </w:rPr>
              <w:t>筒仓每年需要往里打42次水泥，该过程每年耗时</w:t>
            </w:r>
            <w:r>
              <w:rPr>
                <w:rFonts w:hint="eastAsia" w:cs="Times New Roman"/>
                <w:sz w:val="24"/>
                <w:szCs w:val="24"/>
                <w:lang w:val="en-US" w:eastAsia="zh-CN"/>
              </w:rPr>
              <w:t>21</w:t>
            </w:r>
            <w:r>
              <w:rPr>
                <w:rFonts w:hint="eastAsia" w:ascii="Times New Roman" w:hAnsi="Times New Roman" w:eastAsia="宋体" w:cs="Times New Roman"/>
                <w:sz w:val="24"/>
                <w:szCs w:val="24"/>
                <w:lang w:val="en-US" w:eastAsia="zh-CN"/>
              </w:rPr>
              <w:t>h。</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单个筒仓：颗粒物产生总量为1.0t/a，产生速率</w:t>
            </w:r>
            <w:r>
              <w:rPr>
                <w:rFonts w:hint="eastAsia" w:cs="Times New Roman"/>
                <w:sz w:val="24"/>
                <w:szCs w:val="24"/>
                <w:lang w:val="en-US" w:eastAsia="zh-CN"/>
              </w:rPr>
              <w:t>47.619</w:t>
            </w:r>
            <w:r>
              <w:rPr>
                <w:rFonts w:hint="eastAsia" w:ascii="Times New Roman" w:hAnsi="Times New Roman" w:eastAsia="宋体" w:cs="Times New Roman"/>
                <w:sz w:val="24"/>
                <w:szCs w:val="24"/>
                <w:lang w:val="en-US" w:eastAsia="zh-CN"/>
              </w:rPr>
              <w:t>kg/h。本项目水泥仓均设置仓顶脉冲袋式除尘器。仓顶除尘器设计参数，除尘效率99.7%，粉尘经除尘器处理后经过仓顶排放口，</w:t>
            </w:r>
            <w:r>
              <w:rPr>
                <w:rFonts w:hint="eastAsia" w:cs="Times New Roman"/>
                <w:sz w:val="24"/>
                <w:szCs w:val="24"/>
                <w:lang w:val="en-US" w:eastAsia="zh-CN"/>
              </w:rPr>
              <w:t>单个筒仓</w:t>
            </w:r>
            <w:r>
              <w:rPr>
                <w:rFonts w:hint="eastAsia" w:ascii="Times New Roman" w:hAnsi="Times New Roman" w:cs="Times New Roman"/>
                <w:sz w:val="24"/>
                <w:szCs w:val="24"/>
                <w:lang w:val="en-US" w:eastAsia="zh-CN"/>
              </w:rPr>
              <w:t>无</w:t>
            </w:r>
            <w:r>
              <w:rPr>
                <w:rFonts w:hint="eastAsia" w:ascii="Times New Roman" w:hAnsi="Times New Roman" w:eastAsia="宋体" w:cs="Times New Roman"/>
                <w:sz w:val="24"/>
                <w:szCs w:val="24"/>
                <w:lang w:val="en-US" w:eastAsia="zh-CN"/>
              </w:rPr>
              <w:t>组织排放量为0.003t/a，排放速率为0.</w:t>
            </w:r>
            <w:r>
              <w:rPr>
                <w:rFonts w:hint="eastAsia" w:cs="Times New Roman"/>
                <w:sz w:val="24"/>
                <w:szCs w:val="24"/>
                <w:lang w:val="en-US" w:eastAsia="zh-CN"/>
              </w:rPr>
              <w:t>143</w:t>
            </w:r>
            <w:r>
              <w:rPr>
                <w:rFonts w:hint="eastAsia" w:ascii="Times New Roman" w:hAnsi="Times New Roman" w:eastAsia="宋体" w:cs="Times New Roman"/>
                <w:sz w:val="24"/>
                <w:szCs w:val="24"/>
                <w:lang w:val="en-US" w:eastAsia="zh-CN"/>
              </w:rPr>
              <w:t>kg/h。</w:t>
            </w:r>
            <w:r>
              <w:rPr>
                <w:rFonts w:hint="eastAsia" w:cs="Times New Roman"/>
                <w:sz w:val="24"/>
                <w:szCs w:val="24"/>
                <w:lang w:val="en-US" w:eastAsia="zh-CN"/>
              </w:rPr>
              <w:t>3</w:t>
            </w:r>
            <w:r>
              <w:rPr>
                <w:rFonts w:hint="eastAsia" w:ascii="Times New Roman" w:hAnsi="Times New Roman" w:eastAsia="宋体" w:cs="Times New Roman"/>
                <w:sz w:val="24"/>
                <w:szCs w:val="24"/>
                <w:lang w:val="en-US" w:eastAsia="zh-CN"/>
              </w:rPr>
              <w:t>个筒仓粉尘截留量为2.9</w:t>
            </w:r>
            <w:r>
              <w:rPr>
                <w:rFonts w:hint="eastAsia" w:cs="Times New Roman"/>
                <w:sz w:val="24"/>
                <w:szCs w:val="24"/>
                <w:lang w:val="en-US" w:eastAsia="zh-CN"/>
              </w:rPr>
              <w:t>91</w:t>
            </w:r>
            <w:r>
              <w:rPr>
                <w:rFonts w:hint="eastAsia" w:ascii="Times New Roman" w:hAnsi="Times New Roman" w:eastAsia="宋体" w:cs="Times New Roman"/>
                <w:sz w:val="24"/>
                <w:szCs w:val="24"/>
                <w:lang w:val="en-US" w:eastAsia="zh-CN"/>
              </w:rPr>
              <w:t>t/a，回到筒仓内</w:t>
            </w:r>
            <w:r>
              <w:rPr>
                <w:rFonts w:hint="eastAsia" w:cs="Times New Roman"/>
                <w:sz w:val="24"/>
                <w:szCs w:val="24"/>
                <w:lang w:val="en-US" w:eastAsia="zh-CN"/>
              </w:rPr>
              <w:t>，3个筒仓无组织排放量共计0.009t/a</w:t>
            </w:r>
            <w:r>
              <w:rPr>
                <w:rFonts w:hint="eastAsia" w:ascii="Times New Roman" w:hAnsi="Times New Roman" w:eastAsia="宋体" w:cs="Times New Roman"/>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b.本项目</w:t>
            </w:r>
            <w:r>
              <w:rPr>
                <w:rFonts w:hint="eastAsia" w:ascii="Times New Roman" w:hAnsi="Times New Roman" w:cs="Times New Roman"/>
                <w:sz w:val="24"/>
                <w:szCs w:val="24"/>
                <w:lang w:val="en-US" w:eastAsia="zh-CN"/>
              </w:rPr>
              <w:t>使用</w:t>
            </w:r>
            <w:r>
              <w:rPr>
                <w:rFonts w:hint="eastAsia" w:ascii="Times New Roman" w:hAnsi="Times New Roman" w:eastAsia="宋体" w:cs="Times New Roman"/>
                <w:sz w:val="24"/>
                <w:szCs w:val="24"/>
                <w:lang w:val="en-US" w:eastAsia="zh-CN"/>
              </w:rPr>
              <w:t>7000t/a粉煤灰，</w:t>
            </w:r>
            <w:r>
              <w:rPr>
                <w:rFonts w:hint="eastAsia" w:cs="Times New Roman"/>
                <w:sz w:val="24"/>
                <w:szCs w:val="24"/>
                <w:lang w:val="en-US" w:eastAsia="zh-CN"/>
              </w:rPr>
              <w:t>设置1个粉煤灰筒仓，</w:t>
            </w:r>
            <w:r>
              <w:rPr>
                <w:rFonts w:hint="eastAsia" w:ascii="Times New Roman" w:hAnsi="Times New Roman" w:eastAsia="宋体" w:cs="Times New Roman"/>
                <w:sz w:val="24"/>
                <w:szCs w:val="24"/>
                <w:lang w:val="en-US" w:eastAsia="zh-CN"/>
              </w:rPr>
              <w:t>粉煤灰筒仓每次打入200t粉煤灰，</w:t>
            </w:r>
            <w:r>
              <w:rPr>
                <w:rFonts w:hint="eastAsia" w:cs="Times New Roman"/>
                <w:sz w:val="24"/>
                <w:szCs w:val="24"/>
                <w:lang w:val="en-US" w:eastAsia="zh-CN"/>
              </w:rPr>
              <w:t>单个</w:t>
            </w:r>
            <w:r>
              <w:rPr>
                <w:rFonts w:hint="eastAsia" w:ascii="Times New Roman" w:hAnsi="Times New Roman" w:eastAsia="宋体" w:cs="Times New Roman"/>
                <w:sz w:val="24"/>
                <w:szCs w:val="24"/>
                <w:lang w:val="en-US" w:eastAsia="zh-CN"/>
              </w:rPr>
              <w:t>筒仓每年需要往里打35次</w:t>
            </w:r>
            <w:r>
              <w:rPr>
                <w:rFonts w:hint="eastAsia" w:ascii="Times New Roman" w:hAnsi="Times New Roman" w:cs="Times New Roman"/>
                <w:sz w:val="24"/>
                <w:szCs w:val="24"/>
                <w:lang w:val="en-US" w:eastAsia="zh-CN"/>
              </w:rPr>
              <w:t>粉煤灰</w:t>
            </w:r>
            <w:r>
              <w:rPr>
                <w:rFonts w:hint="eastAsia" w:ascii="Times New Roman" w:hAnsi="Times New Roman" w:eastAsia="宋体" w:cs="Times New Roman"/>
                <w:sz w:val="24"/>
                <w:szCs w:val="24"/>
                <w:lang w:val="en-US" w:eastAsia="zh-CN"/>
              </w:rPr>
              <w:t>，该过程每年耗时17.5h。</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eastAsia" w:cs="Times New Roman"/>
                <w:sz w:val="24"/>
                <w:szCs w:val="24"/>
                <w:lang w:val="en-US" w:eastAsia="zh-CN"/>
              </w:rPr>
              <w:t>粉煤灰</w:t>
            </w:r>
            <w:r>
              <w:rPr>
                <w:rFonts w:hint="eastAsia" w:ascii="Times New Roman" w:hAnsi="Times New Roman" w:eastAsia="宋体" w:cs="Times New Roman"/>
                <w:sz w:val="24"/>
                <w:szCs w:val="24"/>
                <w:lang w:val="en-US" w:eastAsia="zh-CN"/>
              </w:rPr>
              <w:t>筒仓：颗粒物产生总量为0.84t/a，产生速率</w:t>
            </w:r>
            <w:r>
              <w:rPr>
                <w:rFonts w:hint="eastAsia" w:cs="Times New Roman"/>
                <w:sz w:val="24"/>
                <w:szCs w:val="24"/>
                <w:lang w:val="en-US" w:eastAsia="zh-CN"/>
              </w:rPr>
              <w:t>48</w:t>
            </w:r>
            <w:r>
              <w:rPr>
                <w:rFonts w:hint="eastAsia" w:ascii="Times New Roman" w:hAnsi="Times New Roman" w:eastAsia="宋体" w:cs="Times New Roman"/>
                <w:sz w:val="24"/>
                <w:szCs w:val="24"/>
                <w:lang w:val="en-US" w:eastAsia="zh-CN"/>
              </w:rPr>
              <w:t>kg/h。本项目粉煤灰仓均设置仓顶脉冲袋式除尘器。仓顶除尘器设计参数，除尘效率99.7%，粉尘经除尘器处理后经过仓顶排放口排放，</w:t>
            </w:r>
            <w:r>
              <w:rPr>
                <w:rFonts w:hint="eastAsia" w:ascii="Times New Roman" w:hAnsi="Times New Roman" w:cs="Times New Roman"/>
                <w:sz w:val="24"/>
                <w:szCs w:val="24"/>
                <w:lang w:val="en-US" w:eastAsia="zh-CN"/>
              </w:rPr>
              <w:t>无</w:t>
            </w:r>
            <w:r>
              <w:rPr>
                <w:rFonts w:hint="eastAsia" w:ascii="Times New Roman" w:hAnsi="Times New Roman" w:eastAsia="宋体" w:cs="Times New Roman"/>
                <w:sz w:val="24"/>
                <w:szCs w:val="24"/>
                <w:lang w:val="en-US" w:eastAsia="zh-CN"/>
              </w:rPr>
              <w:t>组织排放量为0.0025t/a，排放速率为0.144kg/h。一个筒仓粉尘截留量为0.837t/a，回到筒仓内。</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c.本项目</w:t>
            </w:r>
            <w:r>
              <w:rPr>
                <w:rFonts w:hint="eastAsia" w:ascii="Times New Roman" w:hAnsi="Times New Roman" w:cs="Times New Roman"/>
                <w:sz w:val="24"/>
                <w:szCs w:val="24"/>
                <w:lang w:val="en-US" w:eastAsia="zh-CN"/>
              </w:rPr>
              <w:t>使用</w:t>
            </w:r>
            <w:r>
              <w:rPr>
                <w:rFonts w:hint="eastAsia" w:ascii="Times New Roman" w:hAnsi="Times New Roman" w:eastAsia="宋体" w:cs="Times New Roman"/>
                <w:sz w:val="24"/>
                <w:szCs w:val="24"/>
                <w:lang w:val="en-US" w:eastAsia="zh-CN"/>
              </w:rPr>
              <w:t>6000t/a矿粉，</w:t>
            </w:r>
            <w:r>
              <w:rPr>
                <w:rFonts w:hint="eastAsia" w:cs="Times New Roman"/>
                <w:sz w:val="24"/>
                <w:szCs w:val="24"/>
                <w:lang w:val="en-US" w:eastAsia="zh-CN"/>
              </w:rPr>
              <w:t>设置1个矿粉筒仓，</w:t>
            </w:r>
            <w:r>
              <w:rPr>
                <w:rFonts w:hint="eastAsia" w:ascii="Times New Roman" w:hAnsi="Times New Roman" w:eastAsia="宋体" w:cs="Times New Roman"/>
                <w:sz w:val="24"/>
                <w:szCs w:val="24"/>
                <w:lang w:val="en-US" w:eastAsia="zh-CN"/>
              </w:rPr>
              <w:t>矿粉筒仓每次打入200t</w:t>
            </w:r>
            <w:r>
              <w:rPr>
                <w:rFonts w:hint="eastAsia" w:ascii="Times New Roman" w:hAnsi="Times New Roman" w:cs="Times New Roman"/>
                <w:sz w:val="24"/>
                <w:szCs w:val="24"/>
                <w:lang w:val="en-US" w:eastAsia="zh-CN"/>
              </w:rPr>
              <w:t>矿粉</w:t>
            </w:r>
            <w:r>
              <w:rPr>
                <w:rFonts w:hint="eastAsia" w:ascii="Times New Roman" w:hAnsi="Times New Roman" w:eastAsia="宋体" w:cs="Times New Roman"/>
                <w:sz w:val="24"/>
                <w:szCs w:val="24"/>
                <w:lang w:val="en-US" w:eastAsia="zh-CN"/>
              </w:rPr>
              <w:t>，</w:t>
            </w:r>
            <w:r>
              <w:rPr>
                <w:rFonts w:hint="eastAsia" w:cs="Times New Roman"/>
                <w:sz w:val="24"/>
                <w:szCs w:val="24"/>
                <w:lang w:val="en-US" w:eastAsia="zh-CN"/>
              </w:rPr>
              <w:t>1</w:t>
            </w:r>
            <w:r>
              <w:rPr>
                <w:rFonts w:hint="eastAsia" w:ascii="Times New Roman" w:hAnsi="Times New Roman" w:eastAsia="宋体" w:cs="Times New Roman"/>
                <w:sz w:val="24"/>
                <w:szCs w:val="24"/>
                <w:lang w:val="en-US" w:eastAsia="zh-CN"/>
              </w:rPr>
              <w:t>个筒仓每年需要往里打30次</w:t>
            </w:r>
            <w:r>
              <w:rPr>
                <w:rFonts w:hint="eastAsia" w:ascii="Times New Roman" w:hAnsi="Times New Roman" w:cs="Times New Roman"/>
                <w:sz w:val="24"/>
                <w:szCs w:val="24"/>
                <w:lang w:val="en-US" w:eastAsia="zh-CN"/>
              </w:rPr>
              <w:t>矿粉</w:t>
            </w:r>
            <w:r>
              <w:rPr>
                <w:rFonts w:hint="eastAsia" w:ascii="Times New Roman" w:hAnsi="Times New Roman" w:eastAsia="宋体" w:cs="Times New Roman"/>
                <w:sz w:val="24"/>
                <w:szCs w:val="24"/>
                <w:lang w:val="en-US" w:eastAsia="zh-CN"/>
              </w:rPr>
              <w:t>，该过程每年耗时15h。</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cs="Times New Roman"/>
                <w:sz w:val="24"/>
                <w:szCs w:val="24"/>
                <w:lang w:val="en-US" w:eastAsia="zh-CN"/>
              </w:rPr>
              <w:t>矿粉筒仓</w:t>
            </w:r>
            <w:r>
              <w:rPr>
                <w:rFonts w:hint="eastAsia" w:ascii="Times New Roman" w:hAnsi="Times New Roman" w:eastAsia="宋体" w:cs="Times New Roman"/>
                <w:sz w:val="24"/>
                <w:szCs w:val="24"/>
                <w:lang w:val="en-US" w:eastAsia="zh-CN"/>
              </w:rPr>
              <w:t>：颗粒物产生总量为0.72t/a，产生速率</w:t>
            </w:r>
            <w:r>
              <w:rPr>
                <w:rFonts w:hint="eastAsia" w:cs="Times New Roman"/>
                <w:sz w:val="24"/>
                <w:szCs w:val="24"/>
                <w:lang w:val="en-US" w:eastAsia="zh-CN"/>
              </w:rPr>
              <w:t>48</w:t>
            </w:r>
            <w:r>
              <w:rPr>
                <w:rFonts w:hint="eastAsia" w:ascii="Times New Roman" w:hAnsi="Times New Roman" w:eastAsia="宋体" w:cs="Times New Roman"/>
                <w:sz w:val="24"/>
                <w:szCs w:val="24"/>
                <w:lang w:val="en-US" w:eastAsia="zh-CN"/>
              </w:rPr>
              <w:t>kg/h。本项目矿粉仓均设置仓顶脉冲袋式除尘器。仓顶除尘器设计参数，除尘效率99.7%。粉尘经除尘器处理后经过仓顶排放，</w:t>
            </w:r>
            <w:r>
              <w:rPr>
                <w:rFonts w:hint="eastAsia" w:ascii="Times New Roman" w:hAnsi="Times New Roman" w:cs="Times New Roman"/>
                <w:sz w:val="24"/>
                <w:szCs w:val="24"/>
                <w:lang w:val="en-US" w:eastAsia="zh-CN"/>
              </w:rPr>
              <w:t>无</w:t>
            </w:r>
            <w:r>
              <w:rPr>
                <w:rFonts w:hint="eastAsia" w:ascii="Times New Roman" w:hAnsi="Times New Roman" w:eastAsia="宋体" w:cs="Times New Roman"/>
                <w:sz w:val="24"/>
                <w:szCs w:val="24"/>
                <w:lang w:val="en-US" w:eastAsia="zh-CN"/>
              </w:rPr>
              <w:t>组织排放量为0.0022t/a，排放速率为0.144kg/h。</w:t>
            </w:r>
            <w:r>
              <w:rPr>
                <w:rFonts w:hint="eastAsia" w:cs="Times New Roman"/>
                <w:sz w:val="24"/>
                <w:szCs w:val="24"/>
                <w:lang w:val="en-US" w:eastAsia="zh-CN"/>
              </w:rPr>
              <w:t>1</w:t>
            </w:r>
            <w:r>
              <w:rPr>
                <w:rFonts w:hint="eastAsia" w:ascii="Times New Roman" w:hAnsi="Times New Roman" w:eastAsia="宋体" w:cs="Times New Roman"/>
                <w:sz w:val="24"/>
                <w:szCs w:val="24"/>
                <w:lang w:val="en-US" w:eastAsia="zh-CN"/>
              </w:rPr>
              <w:t>个筒仓粉尘截留量为0.718t/a，回到筒仓内。</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eastAsia="zh-CN"/>
              </w:rPr>
              <w:t>物料混合</w:t>
            </w:r>
            <w:r>
              <w:rPr>
                <w:rFonts w:hint="eastAsia" w:ascii="Times New Roman" w:hAnsi="Times New Roman" w:eastAsia="宋体" w:cs="Times New Roman"/>
                <w:sz w:val="24"/>
                <w:szCs w:val="24"/>
              </w:rPr>
              <w:t>搅拌粉尘</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pPr>
            <w:r>
              <w:rPr>
                <w:rFonts w:hint="eastAsia" w:ascii="Times New Roman" w:hAnsi="Times New Roman" w:eastAsia="宋体" w:cs="Times New Roman"/>
                <w:sz w:val="24"/>
                <w:szCs w:val="24"/>
              </w:rPr>
              <w:t>搅拌主楼进料搅拌初期，由于原料尚未拌湿，会产生一定的粉尘。根据《</w:t>
            </w:r>
            <w:r>
              <w:rPr>
                <w:rFonts w:hint="eastAsia" w:ascii="Times New Roman" w:hAnsi="Times New Roman" w:eastAsia="宋体" w:cs="Times New Roman"/>
                <w:sz w:val="24"/>
                <w:szCs w:val="24"/>
                <w:lang w:val="en-US" w:eastAsia="zh-CN"/>
              </w:rPr>
              <w:t>排放源统计调查产排污核算方法和系数手册</w:t>
            </w:r>
            <w:r>
              <w:rPr>
                <w:rFonts w:hint="eastAsia" w:ascii="Times New Roman" w:hAnsi="Times New Roman" w:eastAsia="宋体" w:cs="Times New Roman"/>
                <w:sz w:val="24"/>
                <w:szCs w:val="24"/>
              </w:rPr>
              <w:t>》</w:t>
            </w:r>
            <w:r>
              <w:rPr>
                <w:rFonts w:hint="eastAsia" w:ascii="Times New Roman" w:hAnsi="Times New Roman" w:cs="Times New Roman"/>
                <w:sz w:val="24"/>
                <w:szCs w:val="24"/>
                <w:lang w:eastAsia="zh-CN"/>
              </w:rPr>
              <w:t>中3021</w:t>
            </w:r>
            <w:r>
              <w:rPr>
                <w:rFonts w:hint="eastAsia" w:ascii="Times New Roman" w:hAnsi="Times New Roman" w:eastAsia="宋体" w:cs="Times New Roman"/>
                <w:sz w:val="24"/>
                <w:szCs w:val="24"/>
              </w:rPr>
              <w:t xml:space="preserve"> 水泥制品制造（含3022 砼结构构件、3029其他水泥类似制品制造）</w:t>
            </w:r>
            <w:r>
              <w:rPr>
                <w:rFonts w:hint="eastAsia" w:ascii="Times New Roman" w:hAnsi="Times New Roman" w:eastAsia="宋体" w:cs="Times New Roman"/>
                <w:sz w:val="24"/>
                <w:szCs w:val="24"/>
                <w:lang w:eastAsia="zh-CN"/>
              </w:rPr>
              <w:t>得到混凝土制品产污系数一览表</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eastAsia="zh-CN"/>
              </w:rPr>
              <w:t>混合</w:t>
            </w:r>
            <w:r>
              <w:rPr>
                <w:rFonts w:hint="eastAsia" w:ascii="Times New Roman" w:hAnsi="Times New Roman" w:eastAsia="宋体" w:cs="Times New Roman"/>
                <w:sz w:val="24"/>
                <w:szCs w:val="24"/>
              </w:rPr>
              <w:t>搅拌</w:t>
            </w:r>
            <w:r>
              <w:rPr>
                <w:rFonts w:hint="eastAsia" w:ascii="Times New Roman" w:hAnsi="Times New Roman" w:eastAsia="宋体" w:cs="Times New Roman"/>
                <w:sz w:val="24"/>
                <w:szCs w:val="24"/>
                <w:lang w:eastAsia="zh-CN"/>
              </w:rPr>
              <w:t>工艺</w:t>
            </w:r>
            <w:r>
              <w:rPr>
                <w:rFonts w:hint="eastAsia" w:ascii="Times New Roman" w:hAnsi="Times New Roman" w:eastAsia="宋体" w:cs="Times New Roman"/>
                <w:sz w:val="24"/>
                <w:szCs w:val="24"/>
                <w:lang w:val="en-US" w:eastAsia="zh-CN"/>
              </w:rPr>
              <w:t>中颗粒物的产污系数为0.13，单位为千克/吨-产品。</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lang w:val="en-US" w:eastAsia="zh-CN"/>
              </w:rPr>
              <w:t>项目建设1条生产线，综合项目原辅料使用量，则生产线合计混凝土产量为10万</w:t>
            </w:r>
            <w:r>
              <w:rPr>
                <w:rFonts w:hint="eastAsia"/>
                <w:lang w:val="en-US" w:eastAsia="zh-CN"/>
              </w:rPr>
              <w:t>m</w:t>
            </w:r>
            <w:r>
              <w:rPr>
                <w:rFonts w:hint="eastAsia"/>
                <w:vertAlign w:val="superscript"/>
                <w:lang w:val="en-US" w:eastAsia="zh-CN"/>
              </w:rPr>
              <w:t>3</w:t>
            </w:r>
            <w:r>
              <w:rPr>
                <w:rFonts w:hint="eastAsia"/>
                <w:lang w:val="en-US" w:eastAsia="zh-CN"/>
              </w:rPr>
              <w:t>/a</w:t>
            </w:r>
            <w:r>
              <w:rPr>
                <w:rFonts w:hint="eastAsia"/>
                <w:lang w:eastAsia="zh-CN"/>
              </w:rPr>
              <w:t>（</w:t>
            </w:r>
            <w:r>
              <w:rPr>
                <w:rFonts w:hint="eastAsia" w:ascii="Times New Roman" w:hAnsi="Times New Roman" w:eastAsia="宋体" w:cs="Times New Roman"/>
                <w:sz w:val="24"/>
                <w:szCs w:val="24"/>
                <w:lang w:val="en-US" w:eastAsia="zh-CN"/>
              </w:rPr>
              <w:t>230000t/a），则颗粒物产生总量为29.9t/a，</w:t>
            </w:r>
            <w:r>
              <w:rPr>
                <w:rFonts w:hint="eastAsia" w:ascii="Times New Roman" w:hAnsi="Times New Roman" w:eastAsia="宋体" w:cs="Times New Roman"/>
                <w:sz w:val="24"/>
                <w:szCs w:val="24"/>
                <w:highlight w:val="none"/>
                <w:lang w:val="en-US" w:eastAsia="zh-CN"/>
              </w:rPr>
              <w:t>产生速率为5.</w:t>
            </w:r>
            <w:r>
              <w:rPr>
                <w:rFonts w:hint="eastAsia" w:cs="Times New Roman"/>
                <w:sz w:val="24"/>
                <w:szCs w:val="24"/>
                <w:highlight w:val="none"/>
                <w:lang w:val="en-US" w:eastAsia="zh-CN"/>
              </w:rPr>
              <w:t>191</w:t>
            </w:r>
            <w:r>
              <w:rPr>
                <w:rFonts w:hint="eastAsia" w:ascii="Times New Roman" w:hAnsi="Times New Roman" w:eastAsia="宋体" w:cs="Times New Roman"/>
                <w:sz w:val="24"/>
                <w:szCs w:val="24"/>
                <w:highlight w:val="none"/>
                <w:lang w:val="en-US" w:eastAsia="zh-CN"/>
              </w:rPr>
              <w:t>kg/h。</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highlight w:val="none"/>
                <w:lang w:val="en-US" w:eastAsia="zh-CN"/>
              </w:rPr>
              <w:t>项目搅拌系统配置1套反吹风袋式</w:t>
            </w:r>
            <w:r>
              <w:rPr>
                <w:rFonts w:hint="default" w:ascii="Times New Roman" w:hAnsi="Times New Roman" w:eastAsia="宋体" w:cs="Times New Roman"/>
                <w:sz w:val="24"/>
                <w:szCs w:val="24"/>
                <w:highlight w:val="none"/>
                <w:lang w:val="en-US" w:eastAsia="zh-CN"/>
              </w:rPr>
              <w:t>除尘器</w:t>
            </w:r>
            <w:r>
              <w:rPr>
                <w:rFonts w:hint="eastAsia"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除尘器收集效率按90%</w:t>
            </w:r>
            <w:r>
              <w:rPr>
                <w:rFonts w:hint="eastAsia" w:cs="Times New Roman"/>
                <w:sz w:val="24"/>
                <w:szCs w:val="24"/>
                <w:lang w:val="en-US" w:eastAsia="zh-CN"/>
              </w:rPr>
              <w:t>计，</w:t>
            </w:r>
            <w:r>
              <w:rPr>
                <w:rFonts w:hint="eastAsia" w:ascii="Times New Roman" w:hAnsi="Times New Roman" w:eastAsia="宋体" w:cs="Times New Roman"/>
                <w:sz w:val="24"/>
                <w:szCs w:val="24"/>
                <w:lang w:val="en-US" w:eastAsia="zh-CN"/>
              </w:rPr>
              <w:t>搅拌系统运行过程中密闭，利用系统内的循环烟气反吹清灰，</w:t>
            </w:r>
            <w:r>
              <w:rPr>
                <w:rFonts w:hint="eastAsia" w:cs="Times New Roman"/>
                <w:sz w:val="24"/>
                <w:szCs w:val="24"/>
                <w:lang w:val="en-US" w:eastAsia="zh-CN"/>
              </w:rPr>
              <w:t>除尘器收集到的粉尘回落到搅拌机内用于生产，则粉尘截留量为26.91t/a，搅拌楼为全密闭结构（控制效率99%），则无组织排放量约为0.0299t/a，排放速率为0.0052kg/h</w:t>
            </w:r>
            <w:r>
              <w:rPr>
                <w:rFonts w:hint="eastAsia" w:ascii="Times New Roman" w:hAnsi="Times New Roman" w:eastAsia="宋体" w:cs="Times New Roman"/>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rPr>
            </w:pPr>
            <w:r>
              <w:rPr>
                <w:rFonts w:hint="eastAsia" w:cs="Times New Roman"/>
                <w:sz w:val="24"/>
                <w:szCs w:val="24"/>
                <w:lang w:val="en-US" w:eastAsia="zh-CN"/>
              </w:rPr>
              <w:t>（</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）油烟废气</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本项目设置1个职工食堂，设</w:t>
            </w:r>
            <w:r>
              <w:rPr>
                <w:rFonts w:hint="eastAsia"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个灶台，属小型规模。劳动定员</w:t>
            </w:r>
            <w:r>
              <w:rPr>
                <w:rFonts w:hint="eastAsia" w:ascii="Times New Roman" w:hAnsi="Times New Roman" w:eastAsia="宋体" w:cs="Times New Roman"/>
                <w:sz w:val="24"/>
                <w:szCs w:val="24"/>
                <w:lang w:val="en-US" w:eastAsia="zh-CN"/>
              </w:rPr>
              <w:t>20</w:t>
            </w:r>
            <w:r>
              <w:rPr>
                <w:rFonts w:hint="default" w:ascii="Times New Roman" w:hAnsi="Times New Roman" w:eastAsia="宋体" w:cs="Times New Roman"/>
                <w:sz w:val="24"/>
                <w:szCs w:val="24"/>
              </w:rPr>
              <w:t>人，人均耗油量约为30g/p·餐，即</w:t>
            </w:r>
            <w:r>
              <w:rPr>
                <w:rFonts w:hint="eastAsia" w:ascii="Times New Roman" w:hAnsi="Times New Roman" w:eastAsia="宋体" w:cs="Times New Roman"/>
                <w:sz w:val="24"/>
                <w:szCs w:val="24"/>
                <w:lang w:val="en-US" w:eastAsia="zh-CN"/>
              </w:rPr>
              <w:t>1.8</w:t>
            </w:r>
            <w:r>
              <w:rPr>
                <w:rFonts w:hint="default" w:ascii="Times New Roman" w:hAnsi="Times New Roman" w:eastAsia="宋体" w:cs="Times New Roman"/>
                <w:sz w:val="24"/>
                <w:szCs w:val="24"/>
              </w:rPr>
              <w:t>kg/d，食堂油烟气中油烟含量占耗油量的2%，则油烟废气产生量约0.0</w:t>
            </w:r>
            <w:r>
              <w:rPr>
                <w:rFonts w:hint="eastAsia" w:ascii="Times New Roman" w:hAnsi="Times New Roman" w:eastAsia="宋体" w:cs="Times New Roman"/>
                <w:sz w:val="24"/>
                <w:szCs w:val="24"/>
                <w:lang w:val="en-US" w:eastAsia="zh-CN"/>
              </w:rPr>
              <w:t>36</w:t>
            </w:r>
            <w:r>
              <w:rPr>
                <w:rFonts w:hint="default" w:ascii="Times New Roman" w:hAnsi="Times New Roman" w:eastAsia="宋体" w:cs="Times New Roman"/>
                <w:sz w:val="24"/>
                <w:szCs w:val="24"/>
              </w:rPr>
              <w:t>kg/d、</w:t>
            </w:r>
            <w:r>
              <w:rPr>
                <w:rFonts w:hint="eastAsia" w:ascii="Times New Roman" w:hAnsi="Times New Roman" w:eastAsia="宋体" w:cs="Times New Roman"/>
                <w:sz w:val="24"/>
                <w:szCs w:val="24"/>
                <w:lang w:val="en-US" w:eastAsia="zh-CN"/>
              </w:rPr>
              <w:t>8.64</w:t>
            </w:r>
            <w:r>
              <w:rPr>
                <w:rFonts w:hint="default" w:ascii="Times New Roman" w:hAnsi="Times New Roman" w:eastAsia="宋体" w:cs="Times New Roman"/>
                <w:sz w:val="24"/>
                <w:szCs w:val="24"/>
              </w:rPr>
              <w:t>kg/a（年使用2</w:t>
            </w:r>
            <w:r>
              <w:rPr>
                <w:rFonts w:hint="eastAsia" w:ascii="Times New Roman" w:hAnsi="Times New Roman" w:eastAsia="宋体" w:cs="Times New Roman"/>
                <w:sz w:val="24"/>
                <w:szCs w:val="24"/>
                <w:lang w:val="en-US" w:eastAsia="zh-CN"/>
              </w:rPr>
              <w:t>40</w:t>
            </w:r>
            <w:r>
              <w:rPr>
                <w:rFonts w:hint="default" w:ascii="Times New Roman" w:hAnsi="Times New Roman" w:eastAsia="宋体" w:cs="Times New Roman"/>
                <w:sz w:val="24"/>
                <w:szCs w:val="24"/>
              </w:rPr>
              <w:t>天）。食堂的吸排油烟机总风量为</w:t>
            </w: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000m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/h</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收集效率为80%</w:t>
            </w:r>
            <w:r>
              <w:rPr>
                <w:rFonts w:hint="default" w:ascii="Times New Roman" w:hAnsi="Times New Roman" w:eastAsia="宋体" w:cs="Times New Roman"/>
                <w:sz w:val="24"/>
                <w:szCs w:val="24"/>
              </w:rPr>
              <w:t>。日均烹饪时间</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h，通过企业净化效率在60%以上的油烟净化装置处理，最终通过建筑物屋顶高空排放，则</w:t>
            </w:r>
            <w:r>
              <w:rPr>
                <w:rFonts w:hint="eastAsia" w:cs="Times New Roman"/>
                <w:sz w:val="24"/>
                <w:szCs w:val="24"/>
                <w:lang w:val="en-US" w:eastAsia="zh-CN"/>
              </w:rPr>
              <w:t>有组织</w:t>
            </w:r>
            <w:r>
              <w:rPr>
                <w:rFonts w:hint="default" w:ascii="Times New Roman" w:hAnsi="Times New Roman" w:eastAsia="宋体" w:cs="Times New Roman"/>
                <w:sz w:val="24"/>
                <w:szCs w:val="24"/>
              </w:rPr>
              <w:t>排放量为</w:t>
            </w:r>
            <w:r>
              <w:rPr>
                <w:rFonts w:hint="default" w:ascii="Times New Roman" w:hAnsi="Times New Roman" w:eastAsia="宋体" w:cs="Times New Roman"/>
                <w:sz w:val="24"/>
                <w:szCs w:val="24"/>
                <w:lang w:val="en-US" w:eastAsia="zh-CN"/>
              </w:rPr>
              <w:t>0.0</w:t>
            </w:r>
            <w:r>
              <w:rPr>
                <w:rFonts w:hint="eastAsia" w:ascii="Times New Roman" w:hAnsi="Times New Roman" w:eastAsia="宋体" w:cs="Times New Roman"/>
                <w:sz w:val="24"/>
                <w:szCs w:val="24"/>
                <w:lang w:val="en-US" w:eastAsia="zh-CN"/>
              </w:rPr>
              <w:t>115</w:t>
            </w:r>
            <w:r>
              <w:rPr>
                <w:rFonts w:hint="default" w:ascii="Times New Roman" w:hAnsi="Times New Roman" w:eastAsia="宋体" w:cs="Times New Roman"/>
                <w:sz w:val="24"/>
                <w:szCs w:val="24"/>
              </w:rPr>
              <w:t>kg/</w:t>
            </w:r>
            <w:r>
              <w:rPr>
                <w:rFonts w:hint="default" w:ascii="Times New Roman" w:hAnsi="Times New Roman" w:eastAsia="宋体" w:cs="Times New Roman"/>
                <w:sz w:val="24"/>
                <w:szCs w:val="24"/>
                <w:lang w:val="en-US" w:eastAsia="zh-CN"/>
              </w:rPr>
              <w:t>d（</w:t>
            </w:r>
            <w:r>
              <w:rPr>
                <w:rFonts w:hint="eastAsia" w:ascii="Times New Roman" w:hAnsi="Times New Roman" w:eastAsia="宋体" w:cs="Times New Roman"/>
                <w:sz w:val="24"/>
                <w:szCs w:val="24"/>
                <w:lang w:val="en-US" w:eastAsia="zh-CN"/>
              </w:rPr>
              <w:t>2.7648</w:t>
            </w:r>
            <w:r>
              <w:rPr>
                <w:rFonts w:hint="default" w:ascii="Times New Roman" w:hAnsi="Times New Roman" w:eastAsia="宋体" w:cs="Times New Roman"/>
                <w:sz w:val="24"/>
                <w:szCs w:val="24"/>
                <w:lang w:val="en-US" w:eastAsia="zh-CN"/>
              </w:rPr>
              <w:t>kg/a）</w:t>
            </w:r>
            <w:r>
              <w:rPr>
                <w:rFonts w:hint="default" w:ascii="Times New Roman" w:hAnsi="Times New Roman" w:eastAsia="宋体" w:cs="Times New Roman"/>
                <w:sz w:val="24"/>
                <w:szCs w:val="24"/>
              </w:rPr>
              <w:t>，排放速率为</w:t>
            </w:r>
            <w:r>
              <w:rPr>
                <w:rFonts w:hint="eastAsia" w:ascii="Times New Roman" w:hAnsi="Times New Roman" w:eastAsia="宋体" w:cs="Times New Roman"/>
                <w:sz w:val="24"/>
                <w:szCs w:val="24"/>
                <w:lang w:val="en-US" w:eastAsia="zh-CN"/>
              </w:rPr>
              <w:t>2.88g</w:t>
            </w:r>
            <w:r>
              <w:rPr>
                <w:rFonts w:hint="default" w:ascii="Times New Roman" w:hAnsi="Times New Roman" w:eastAsia="宋体" w:cs="Times New Roman"/>
                <w:sz w:val="24"/>
                <w:szCs w:val="24"/>
              </w:rPr>
              <w:t>/h，油烟排放浓度为</w:t>
            </w: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4</w:t>
            </w:r>
            <w:r>
              <w:rPr>
                <w:rFonts w:hint="eastAsia" w:cs="Times New Roman"/>
                <w:sz w:val="24"/>
                <w:szCs w:val="24"/>
                <w:lang w:val="en-US" w:eastAsia="zh-CN"/>
              </w:rPr>
              <w:t>4</w:t>
            </w:r>
            <w:r>
              <w:rPr>
                <w:rFonts w:hint="default" w:ascii="Times New Roman" w:hAnsi="Times New Roman" w:eastAsia="宋体" w:cs="Times New Roman"/>
                <w:sz w:val="24"/>
                <w:szCs w:val="24"/>
              </w:rPr>
              <w:t>mg/m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，能满足《饮食业油烟排放标准》（GB18483-2001）中的</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mg/m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lang w:val="en-US" w:eastAsia="zh-CN"/>
              </w:rPr>
              <w:t>排放</w:t>
            </w:r>
            <w:r>
              <w:rPr>
                <w:rFonts w:hint="default" w:ascii="Times New Roman" w:hAnsi="Times New Roman" w:eastAsia="宋体" w:cs="Times New Roman"/>
                <w:sz w:val="24"/>
                <w:szCs w:val="24"/>
              </w:rPr>
              <w:t>要求</w:t>
            </w:r>
            <w:r>
              <w:rPr>
                <w:rFonts w:hint="eastAsia" w:cs="Times New Roman"/>
                <w:sz w:val="24"/>
                <w:szCs w:val="24"/>
                <w:lang w:eastAsia="zh-CN"/>
              </w:rPr>
              <w:t>；</w:t>
            </w:r>
            <w:r>
              <w:rPr>
                <w:rFonts w:hint="eastAsia" w:cs="Times New Roman"/>
                <w:sz w:val="24"/>
                <w:szCs w:val="24"/>
                <w:lang w:val="en-US" w:eastAsia="zh-CN"/>
              </w:rPr>
              <w:t>无组织排放量为1.728kg/a，排放速率为0.0018kg/h。</w:t>
            </w:r>
          </w:p>
          <w:p>
            <w:pPr>
              <w:keepNext w:val="0"/>
              <w:keepLines w:val="0"/>
              <w:pageBreakBefore w:val="0"/>
              <w:kinsoku/>
              <w:overflowPunct/>
              <w:autoSpaceDE/>
              <w:autoSpaceDN/>
              <w:bidi w:val="0"/>
              <w:adjustRightInd/>
              <w:snapToGrid/>
              <w:spacing w:line="520" w:lineRule="exact"/>
              <w:ind w:firstLine="420" w:firstLineChars="200"/>
              <w:textAlignment w:val="auto"/>
            </w:pPr>
          </w:p>
        </w:tc>
      </w:tr>
    </w:tbl>
    <w:p>
      <w:pPr>
        <w:adjustRightInd w:val="0"/>
        <w:snapToGrid w:val="0"/>
        <w:spacing w:line="360" w:lineRule="auto"/>
        <w:rPr>
          <w:rFonts w:hint="eastAsia" w:ascii="宋体" w:cs="宋体"/>
          <w:b/>
          <w:kern w:val="0"/>
          <w:sz w:val="28"/>
          <w:szCs w:val="28"/>
        </w:rPr>
        <w:sectPr>
          <w:pgSz w:w="11907" w:h="16840"/>
          <w:pgMar w:top="1701" w:right="1531" w:bottom="2127" w:left="1531" w:header="851" w:footer="851" w:gutter="0"/>
          <w:cols w:space="720" w:num="1"/>
          <w:docGrid w:linePitch="312" w:charSpace="0"/>
        </w:sect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2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9" w:hRule="atLeast"/>
        </w:trPr>
        <w:tc>
          <w:tcPr>
            <w:tcW w:w="632" w:type="dxa"/>
            <w:noWrap w:val="0"/>
            <w:vAlign w:val="center"/>
          </w:tcPr>
          <w:p>
            <w:pPr>
              <w:keepNext w:val="0"/>
              <w:keepLines w:val="0"/>
              <w:pageBreakBefore w:val="0"/>
              <w:widowControl w:val="0"/>
              <w:kinsoku/>
              <w:wordWrap/>
              <w:overflowPunct/>
              <w:topLinePunct w:val="0"/>
              <w:autoSpaceDE/>
              <w:autoSpaceDN/>
              <w:bidi w:val="0"/>
              <w:adjustRightInd w:val="0"/>
              <w:snapToGrid w:val="0"/>
              <w:ind w:left="0" w:firstLine="0" w:firstLineChars="0"/>
              <w:jc w:val="center"/>
              <w:textAlignment w:val="auto"/>
              <w:rPr>
                <w:rFonts w:hint="eastAsia"/>
                <w:vertAlign w:val="baseline"/>
              </w:rPr>
            </w:pPr>
            <w:r>
              <w:rPr>
                <w:rFonts w:hint="eastAsia" w:ascii="宋体" w:hAnsi="宋体" w:cs="宋体"/>
                <w:bCs/>
                <w:szCs w:val="21"/>
              </w:rPr>
              <w:t>运营期环境影响和保护措施</w:t>
            </w:r>
          </w:p>
        </w:tc>
        <w:tc>
          <w:tcPr>
            <w:tcW w:w="12447"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eastAsia="宋体"/>
                <w:b/>
                <w:bCs/>
                <w:sz w:val="24"/>
                <w:lang w:val="en-US" w:eastAsia="zh-CN"/>
              </w:rPr>
            </w:pPr>
            <w:r>
              <w:rPr>
                <w:rFonts w:hint="eastAsia" w:cs="Times New Roman"/>
                <w:b/>
                <w:bCs/>
                <w:kern w:val="2"/>
                <w:sz w:val="24"/>
                <w:szCs w:val="24"/>
                <w:lang w:val="en-US" w:eastAsia="zh-CN" w:bidi="ar-SA"/>
              </w:rPr>
              <w:t>1.2</w:t>
            </w:r>
            <w:r>
              <w:rPr>
                <w:b/>
                <w:bCs/>
                <w:sz w:val="24"/>
              </w:rPr>
              <w:t>废气污染源源强核算</w:t>
            </w:r>
            <w:r>
              <w:rPr>
                <w:rFonts w:hint="eastAsia"/>
                <w:b/>
                <w:bCs/>
                <w:sz w:val="24"/>
                <w:lang w:val="en-US" w:eastAsia="zh-CN"/>
              </w:rPr>
              <w:t>结果</w:t>
            </w:r>
          </w:p>
          <w:p>
            <w:pPr>
              <w:keepNext w:val="0"/>
              <w:keepLines w:val="0"/>
              <w:pageBreakBefore w:val="0"/>
              <w:widowControl w:val="0"/>
              <w:kinsoku/>
              <w:wordWrap/>
              <w:overflowPunct/>
              <w:topLinePunct w:val="0"/>
              <w:autoSpaceDE/>
              <w:autoSpaceDN/>
              <w:bidi w:val="0"/>
              <w:adjustRightInd/>
              <w:snapToGrid/>
              <w:spacing w:before="120" w:beforeLines="50" w:line="240" w:lineRule="auto"/>
              <w:ind w:firstLine="482" w:firstLineChars="200"/>
              <w:jc w:val="center"/>
              <w:textAlignment w:val="auto"/>
              <w:rPr>
                <w:rFonts w:hint="eastAsia"/>
                <w:b/>
                <w:bCs/>
                <w:sz w:val="24"/>
              </w:rPr>
            </w:pPr>
            <w:r>
              <w:rPr>
                <w:rFonts w:hint="eastAsia"/>
                <w:b/>
                <w:bCs/>
                <w:sz w:val="24"/>
              </w:rPr>
              <w:t>表</w:t>
            </w:r>
            <w:r>
              <w:rPr>
                <w:rFonts w:hint="eastAsia"/>
                <w:b/>
                <w:bCs/>
                <w:sz w:val="24"/>
                <w:lang w:val="en-US" w:eastAsia="zh-CN"/>
              </w:rPr>
              <w:t>4-1</w:t>
            </w:r>
            <w:r>
              <w:rPr>
                <w:rFonts w:hint="eastAsia"/>
                <w:b/>
                <w:bCs/>
                <w:sz w:val="24"/>
              </w:rPr>
              <w:t xml:space="preserve">  废气污染源源强核算结果一览表</w:t>
            </w:r>
          </w:p>
          <w:tbl>
            <w:tblPr>
              <w:tblStyle w:val="2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
              <w:gridCol w:w="685"/>
              <w:gridCol w:w="440"/>
              <w:gridCol w:w="401"/>
              <w:gridCol w:w="901"/>
              <w:gridCol w:w="913"/>
              <w:gridCol w:w="979"/>
              <w:gridCol w:w="1248"/>
              <w:gridCol w:w="630"/>
              <w:gridCol w:w="645"/>
              <w:gridCol w:w="720"/>
              <w:gridCol w:w="810"/>
              <w:gridCol w:w="945"/>
              <w:gridCol w:w="950"/>
              <w:gridCol w:w="734"/>
              <w:gridCol w:w="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7" w:type="pct"/>
                  <w:vMerge w:val="restart"/>
                  <w:noWrap w:val="0"/>
                  <w:vAlign w:val="center"/>
                </w:tcPr>
                <w:p>
                  <w:pPr>
                    <w:jc w:val="center"/>
                    <w:rPr>
                      <w:color w:val="auto"/>
                      <w:szCs w:val="21"/>
                    </w:rPr>
                  </w:pPr>
                  <w:r>
                    <w:rPr>
                      <w:color w:val="auto"/>
                      <w:szCs w:val="21"/>
                    </w:rPr>
                    <w:t>序号</w:t>
                  </w:r>
                </w:p>
              </w:tc>
              <w:tc>
                <w:tcPr>
                  <w:tcW w:w="280" w:type="pct"/>
                  <w:vMerge w:val="restart"/>
                  <w:noWrap w:val="0"/>
                  <w:vAlign w:val="center"/>
                </w:tcPr>
                <w:p>
                  <w:pPr>
                    <w:jc w:val="center"/>
                    <w:rPr>
                      <w:color w:val="auto"/>
                      <w:szCs w:val="21"/>
                    </w:rPr>
                  </w:pPr>
                  <w:r>
                    <w:rPr>
                      <w:color w:val="auto"/>
                      <w:szCs w:val="21"/>
                    </w:rPr>
                    <w:t>产排污环节</w:t>
                  </w:r>
                </w:p>
              </w:tc>
              <w:tc>
                <w:tcPr>
                  <w:tcW w:w="180" w:type="pct"/>
                  <w:vMerge w:val="restart"/>
                  <w:noWrap w:val="0"/>
                  <w:vAlign w:val="center"/>
                </w:tcPr>
                <w:p>
                  <w:pPr>
                    <w:jc w:val="center"/>
                    <w:rPr>
                      <w:color w:val="auto"/>
                      <w:szCs w:val="21"/>
                    </w:rPr>
                  </w:pPr>
                  <w:r>
                    <w:rPr>
                      <w:color w:val="auto"/>
                      <w:szCs w:val="21"/>
                    </w:rPr>
                    <w:t>污染物种类</w:t>
                  </w:r>
                </w:p>
              </w:tc>
              <w:tc>
                <w:tcPr>
                  <w:tcW w:w="164" w:type="pct"/>
                  <w:vMerge w:val="restart"/>
                  <w:noWrap w:val="0"/>
                  <w:vAlign w:val="center"/>
                </w:tcPr>
                <w:p>
                  <w:pPr>
                    <w:jc w:val="center"/>
                    <w:rPr>
                      <w:color w:val="auto"/>
                      <w:szCs w:val="21"/>
                    </w:rPr>
                  </w:pPr>
                  <w:r>
                    <w:rPr>
                      <w:color w:val="auto"/>
                      <w:szCs w:val="21"/>
                    </w:rPr>
                    <w:t>排放形式</w:t>
                  </w:r>
                </w:p>
              </w:tc>
              <w:tc>
                <w:tcPr>
                  <w:tcW w:w="368" w:type="pct"/>
                  <w:vMerge w:val="restart"/>
                  <w:noWrap w:val="0"/>
                  <w:vAlign w:val="center"/>
                </w:tcPr>
                <w:p>
                  <w:pPr>
                    <w:jc w:val="center"/>
                    <w:rPr>
                      <w:color w:val="auto"/>
                      <w:szCs w:val="21"/>
                    </w:rPr>
                  </w:pPr>
                  <w:r>
                    <w:rPr>
                      <w:color w:val="auto"/>
                      <w:szCs w:val="21"/>
                    </w:rPr>
                    <w:t>污染物产生量</w:t>
                  </w:r>
                  <w:r>
                    <w:rPr>
                      <w:rFonts w:hint="eastAsia"/>
                      <w:color w:val="auto"/>
                      <w:szCs w:val="21"/>
                      <w:lang w:eastAsia="zh-CN"/>
                    </w:rPr>
                    <w:t>（</w:t>
                  </w:r>
                  <w:r>
                    <w:rPr>
                      <w:color w:val="auto"/>
                      <w:szCs w:val="21"/>
                    </w:rPr>
                    <w:t>t/a</w:t>
                  </w:r>
                  <w:r>
                    <w:rPr>
                      <w:rFonts w:hint="eastAsia"/>
                      <w:color w:val="auto"/>
                      <w:szCs w:val="21"/>
                      <w:lang w:eastAsia="zh-CN"/>
                    </w:rPr>
                    <w:t>）</w:t>
                  </w:r>
                </w:p>
              </w:tc>
              <w:tc>
                <w:tcPr>
                  <w:tcW w:w="373" w:type="pct"/>
                  <w:vMerge w:val="restart"/>
                  <w:noWrap w:val="0"/>
                  <w:vAlign w:val="center"/>
                </w:tcPr>
                <w:p>
                  <w:pPr>
                    <w:jc w:val="center"/>
                    <w:rPr>
                      <w:color w:val="auto"/>
                      <w:szCs w:val="21"/>
                    </w:rPr>
                  </w:pPr>
                  <w:r>
                    <w:rPr>
                      <w:color w:val="auto"/>
                      <w:szCs w:val="21"/>
                    </w:rPr>
                    <w:t>污染物产生速率</w:t>
                  </w:r>
                  <w:r>
                    <w:rPr>
                      <w:rFonts w:hint="eastAsia"/>
                      <w:color w:val="auto"/>
                      <w:szCs w:val="21"/>
                      <w:lang w:eastAsia="zh-CN"/>
                    </w:rPr>
                    <w:t>（</w:t>
                  </w:r>
                  <w:r>
                    <w:rPr>
                      <w:color w:val="auto"/>
                      <w:szCs w:val="21"/>
                    </w:rPr>
                    <w:t>kg/h</w:t>
                  </w:r>
                  <w:r>
                    <w:rPr>
                      <w:rFonts w:hint="eastAsia"/>
                      <w:color w:val="auto"/>
                      <w:szCs w:val="21"/>
                      <w:lang w:eastAsia="zh-CN"/>
                    </w:rPr>
                    <w:t>）</w:t>
                  </w:r>
                </w:p>
              </w:tc>
              <w:tc>
                <w:tcPr>
                  <w:tcW w:w="400" w:type="pct"/>
                  <w:vMerge w:val="restart"/>
                  <w:noWrap w:val="0"/>
                  <w:vAlign w:val="center"/>
                </w:tcPr>
                <w:p>
                  <w:pPr>
                    <w:jc w:val="center"/>
                    <w:rPr>
                      <w:color w:val="auto"/>
                      <w:szCs w:val="21"/>
                    </w:rPr>
                  </w:pPr>
                  <w:r>
                    <w:rPr>
                      <w:color w:val="auto"/>
                      <w:szCs w:val="21"/>
                    </w:rPr>
                    <w:t>污染物产生浓度</w:t>
                  </w:r>
                  <w:r>
                    <w:rPr>
                      <w:rFonts w:hint="eastAsia"/>
                      <w:color w:val="auto"/>
                      <w:szCs w:val="21"/>
                      <w:lang w:eastAsia="zh-CN"/>
                    </w:rPr>
                    <w:t>（</w:t>
                  </w:r>
                  <w:r>
                    <w:rPr>
                      <w:color w:val="auto"/>
                      <w:szCs w:val="21"/>
                    </w:rPr>
                    <w:t>mg/m</w:t>
                  </w:r>
                  <w:r>
                    <w:rPr>
                      <w:color w:val="auto"/>
                      <w:szCs w:val="21"/>
                      <w:vertAlign w:val="superscript"/>
                    </w:rPr>
                    <w:t>3</w:t>
                  </w:r>
                  <w:r>
                    <w:rPr>
                      <w:rFonts w:hint="eastAsia"/>
                      <w:color w:val="auto"/>
                      <w:szCs w:val="21"/>
                      <w:vertAlign w:val="superscript"/>
                      <w:lang w:eastAsia="zh-CN"/>
                    </w:rPr>
                    <w:t>）</w:t>
                  </w:r>
                </w:p>
              </w:tc>
              <w:tc>
                <w:tcPr>
                  <w:tcW w:w="1328" w:type="pct"/>
                  <w:gridSpan w:val="4"/>
                  <w:noWrap w:val="0"/>
                  <w:vAlign w:val="center"/>
                </w:tcPr>
                <w:p>
                  <w:pPr>
                    <w:jc w:val="center"/>
                    <w:rPr>
                      <w:color w:val="auto"/>
                      <w:szCs w:val="21"/>
                    </w:rPr>
                  </w:pPr>
                  <w:r>
                    <w:rPr>
                      <w:color w:val="auto"/>
                      <w:szCs w:val="21"/>
                    </w:rPr>
                    <w:t>污染治理设施</w:t>
                  </w:r>
                </w:p>
              </w:tc>
              <w:tc>
                <w:tcPr>
                  <w:tcW w:w="331" w:type="pct"/>
                  <w:vMerge w:val="restart"/>
                  <w:noWrap w:val="0"/>
                  <w:vAlign w:val="center"/>
                </w:tcPr>
                <w:p>
                  <w:pPr>
                    <w:jc w:val="center"/>
                    <w:rPr>
                      <w:color w:val="auto"/>
                      <w:szCs w:val="21"/>
                    </w:rPr>
                  </w:pPr>
                  <w:r>
                    <w:rPr>
                      <w:color w:val="auto"/>
                      <w:szCs w:val="21"/>
                    </w:rPr>
                    <w:t>污染物排放量（t/a）</w:t>
                  </w:r>
                </w:p>
              </w:tc>
              <w:tc>
                <w:tcPr>
                  <w:tcW w:w="387" w:type="pct"/>
                  <w:vMerge w:val="restart"/>
                  <w:noWrap w:val="0"/>
                  <w:vAlign w:val="center"/>
                </w:tcPr>
                <w:p>
                  <w:pPr>
                    <w:jc w:val="center"/>
                    <w:rPr>
                      <w:color w:val="auto"/>
                      <w:szCs w:val="21"/>
                    </w:rPr>
                  </w:pPr>
                  <w:r>
                    <w:rPr>
                      <w:color w:val="auto"/>
                      <w:szCs w:val="21"/>
                    </w:rPr>
                    <w:t>污染物 排放速率（kg/h</w:t>
                  </w:r>
                  <w:r>
                    <w:rPr>
                      <w:rFonts w:hint="eastAsia"/>
                      <w:color w:val="auto"/>
                      <w:szCs w:val="21"/>
                      <w:lang w:eastAsia="zh-CN"/>
                    </w:rPr>
                    <w:t>）</w:t>
                  </w:r>
                </w:p>
              </w:tc>
              <w:tc>
                <w:tcPr>
                  <w:tcW w:w="389" w:type="pct"/>
                  <w:vMerge w:val="restart"/>
                  <w:noWrap w:val="0"/>
                  <w:vAlign w:val="center"/>
                </w:tcPr>
                <w:p>
                  <w:pPr>
                    <w:jc w:val="center"/>
                    <w:rPr>
                      <w:color w:val="auto"/>
                      <w:szCs w:val="21"/>
                    </w:rPr>
                  </w:pPr>
                  <w:r>
                    <w:rPr>
                      <w:color w:val="auto"/>
                      <w:szCs w:val="21"/>
                    </w:rPr>
                    <w:t>污染物排放浓度</w:t>
                  </w:r>
                </w:p>
                <w:p>
                  <w:pPr>
                    <w:jc w:val="center"/>
                    <w:rPr>
                      <w:color w:val="auto"/>
                      <w:szCs w:val="21"/>
                    </w:rPr>
                  </w:pPr>
                  <w:r>
                    <w:rPr>
                      <w:color w:val="auto"/>
                      <w:szCs w:val="21"/>
                    </w:rPr>
                    <w:t>(mg/m</w:t>
                  </w:r>
                  <w:r>
                    <w:rPr>
                      <w:color w:val="auto"/>
                      <w:szCs w:val="21"/>
                      <w:vertAlign w:val="superscript"/>
                    </w:rPr>
                    <w:t>3</w:t>
                  </w:r>
                  <w:r>
                    <w:rPr>
                      <w:color w:val="auto"/>
                      <w:szCs w:val="21"/>
                    </w:rPr>
                    <w:t>)</w:t>
                  </w:r>
                </w:p>
              </w:tc>
              <w:tc>
                <w:tcPr>
                  <w:tcW w:w="300" w:type="pct"/>
                  <w:vMerge w:val="restart"/>
                  <w:noWrap w:val="0"/>
                  <w:vAlign w:val="center"/>
                </w:tcPr>
                <w:p>
                  <w:pPr>
                    <w:jc w:val="center"/>
                    <w:rPr>
                      <w:color w:val="auto"/>
                      <w:szCs w:val="21"/>
                    </w:rPr>
                  </w:pPr>
                  <w:r>
                    <w:rPr>
                      <w:color w:val="auto"/>
                      <w:szCs w:val="21"/>
                    </w:rPr>
                    <w:t>排放口名称</w:t>
                  </w:r>
                </w:p>
              </w:tc>
              <w:tc>
                <w:tcPr>
                  <w:tcW w:w="357" w:type="pct"/>
                  <w:vMerge w:val="restart"/>
                  <w:noWrap w:val="0"/>
                  <w:vAlign w:val="center"/>
                </w:tcPr>
                <w:p>
                  <w:pPr>
                    <w:jc w:val="center"/>
                    <w:rPr>
                      <w:rFonts w:hint="eastAsia" w:eastAsia="宋体"/>
                      <w:color w:val="auto"/>
                      <w:szCs w:val="21"/>
                      <w:lang w:eastAsia="zh-CN"/>
                    </w:rPr>
                  </w:pPr>
                  <w:r>
                    <w:rPr>
                      <w:rFonts w:hint="eastAsia"/>
                      <w:color w:val="auto"/>
                      <w:szCs w:val="21"/>
                      <w:lang w:eastAsia="zh-CN"/>
                    </w:rPr>
                    <w:t>排放口编号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7" w:type="pct"/>
                  <w:vMerge w:val="continue"/>
                  <w:noWrap w:val="0"/>
                  <w:vAlign w:val="center"/>
                </w:tcPr>
                <w:p>
                  <w:pPr>
                    <w:jc w:val="center"/>
                    <w:rPr>
                      <w:color w:val="auto"/>
                      <w:szCs w:val="21"/>
                    </w:rPr>
                  </w:pPr>
                </w:p>
              </w:tc>
              <w:tc>
                <w:tcPr>
                  <w:tcW w:w="280" w:type="pct"/>
                  <w:vMerge w:val="continue"/>
                  <w:noWrap w:val="0"/>
                  <w:vAlign w:val="center"/>
                </w:tcPr>
                <w:p>
                  <w:pPr>
                    <w:jc w:val="center"/>
                    <w:rPr>
                      <w:color w:val="auto"/>
                      <w:szCs w:val="21"/>
                    </w:rPr>
                  </w:pPr>
                </w:p>
              </w:tc>
              <w:tc>
                <w:tcPr>
                  <w:tcW w:w="180" w:type="pct"/>
                  <w:vMerge w:val="continue"/>
                  <w:noWrap w:val="0"/>
                  <w:vAlign w:val="center"/>
                </w:tcPr>
                <w:p>
                  <w:pPr>
                    <w:jc w:val="center"/>
                    <w:rPr>
                      <w:color w:val="auto"/>
                      <w:szCs w:val="21"/>
                    </w:rPr>
                  </w:pPr>
                </w:p>
              </w:tc>
              <w:tc>
                <w:tcPr>
                  <w:tcW w:w="164" w:type="pct"/>
                  <w:vMerge w:val="continue"/>
                  <w:noWrap w:val="0"/>
                  <w:vAlign w:val="center"/>
                </w:tcPr>
                <w:p>
                  <w:pPr>
                    <w:jc w:val="center"/>
                    <w:rPr>
                      <w:color w:val="auto"/>
                      <w:szCs w:val="21"/>
                    </w:rPr>
                  </w:pPr>
                </w:p>
              </w:tc>
              <w:tc>
                <w:tcPr>
                  <w:tcW w:w="368" w:type="pct"/>
                  <w:vMerge w:val="continue"/>
                  <w:noWrap w:val="0"/>
                  <w:vAlign w:val="center"/>
                </w:tcPr>
                <w:p>
                  <w:pPr>
                    <w:jc w:val="center"/>
                    <w:rPr>
                      <w:color w:val="auto"/>
                      <w:szCs w:val="21"/>
                    </w:rPr>
                  </w:pPr>
                </w:p>
              </w:tc>
              <w:tc>
                <w:tcPr>
                  <w:tcW w:w="373" w:type="pct"/>
                  <w:vMerge w:val="continue"/>
                  <w:noWrap w:val="0"/>
                  <w:vAlign w:val="center"/>
                </w:tcPr>
                <w:p>
                  <w:pPr>
                    <w:pStyle w:val="18"/>
                    <w:ind w:firstLine="0" w:firstLineChars="0"/>
                    <w:jc w:val="center"/>
                    <w:rPr>
                      <w:color w:val="auto"/>
                      <w:szCs w:val="21"/>
                    </w:rPr>
                  </w:pPr>
                </w:p>
              </w:tc>
              <w:tc>
                <w:tcPr>
                  <w:tcW w:w="400" w:type="pct"/>
                  <w:vMerge w:val="continue"/>
                  <w:noWrap w:val="0"/>
                  <w:vAlign w:val="center"/>
                </w:tcPr>
                <w:p>
                  <w:pPr>
                    <w:pStyle w:val="18"/>
                    <w:ind w:firstLine="0" w:firstLineChars="0"/>
                    <w:jc w:val="center"/>
                    <w:rPr>
                      <w:color w:val="auto"/>
                      <w:szCs w:val="21"/>
                    </w:rPr>
                  </w:pPr>
                </w:p>
              </w:tc>
              <w:tc>
                <w:tcPr>
                  <w:tcW w:w="511" w:type="pct"/>
                  <w:noWrap w:val="0"/>
                  <w:vAlign w:val="center"/>
                </w:tcPr>
                <w:p>
                  <w:pPr>
                    <w:jc w:val="center"/>
                    <w:rPr>
                      <w:color w:val="auto"/>
                      <w:szCs w:val="21"/>
                    </w:rPr>
                  </w:pPr>
                  <w:r>
                    <w:rPr>
                      <w:color w:val="auto"/>
                      <w:szCs w:val="21"/>
                    </w:rPr>
                    <w:t>名称及工艺</w:t>
                  </w:r>
                </w:p>
              </w:tc>
              <w:tc>
                <w:tcPr>
                  <w:tcW w:w="258" w:type="pct"/>
                  <w:noWrap w:val="0"/>
                  <w:vAlign w:val="center"/>
                </w:tcPr>
                <w:p>
                  <w:pPr>
                    <w:jc w:val="center"/>
                    <w:rPr>
                      <w:color w:val="auto"/>
                      <w:szCs w:val="21"/>
                    </w:rPr>
                  </w:pPr>
                  <w:r>
                    <w:rPr>
                      <w:color w:val="auto"/>
                      <w:szCs w:val="21"/>
                    </w:rPr>
                    <w:t>收集效率%</w:t>
                  </w:r>
                </w:p>
              </w:tc>
              <w:tc>
                <w:tcPr>
                  <w:tcW w:w="264" w:type="pct"/>
                  <w:noWrap w:val="0"/>
                  <w:vAlign w:val="center"/>
                </w:tcPr>
                <w:p>
                  <w:pPr>
                    <w:jc w:val="center"/>
                    <w:rPr>
                      <w:color w:val="auto"/>
                      <w:szCs w:val="21"/>
                    </w:rPr>
                  </w:pPr>
                  <w:r>
                    <w:rPr>
                      <w:color w:val="auto"/>
                      <w:szCs w:val="21"/>
                    </w:rPr>
                    <w:t>去除效率%</w:t>
                  </w:r>
                </w:p>
              </w:tc>
              <w:tc>
                <w:tcPr>
                  <w:tcW w:w="294" w:type="pct"/>
                  <w:noWrap w:val="0"/>
                  <w:vAlign w:val="center"/>
                </w:tcPr>
                <w:p>
                  <w:pPr>
                    <w:jc w:val="center"/>
                    <w:rPr>
                      <w:color w:val="auto"/>
                      <w:szCs w:val="21"/>
                    </w:rPr>
                  </w:pPr>
                  <w:r>
                    <w:rPr>
                      <w:color w:val="auto"/>
                      <w:szCs w:val="21"/>
                    </w:rPr>
                    <w:t>是否为可行技术</w:t>
                  </w:r>
                </w:p>
              </w:tc>
              <w:tc>
                <w:tcPr>
                  <w:tcW w:w="331" w:type="pct"/>
                  <w:vMerge w:val="continue"/>
                  <w:noWrap w:val="0"/>
                  <w:vAlign w:val="center"/>
                </w:tcPr>
                <w:p>
                  <w:pPr>
                    <w:jc w:val="center"/>
                    <w:rPr>
                      <w:color w:val="auto"/>
                      <w:szCs w:val="21"/>
                    </w:rPr>
                  </w:pPr>
                </w:p>
              </w:tc>
              <w:tc>
                <w:tcPr>
                  <w:tcW w:w="387" w:type="pct"/>
                  <w:vMerge w:val="continue"/>
                  <w:noWrap w:val="0"/>
                  <w:vAlign w:val="center"/>
                </w:tcPr>
                <w:p>
                  <w:pPr>
                    <w:jc w:val="center"/>
                    <w:rPr>
                      <w:color w:val="auto"/>
                      <w:szCs w:val="21"/>
                    </w:rPr>
                  </w:pPr>
                </w:p>
              </w:tc>
              <w:tc>
                <w:tcPr>
                  <w:tcW w:w="389" w:type="pct"/>
                  <w:vMerge w:val="continue"/>
                  <w:noWrap w:val="0"/>
                  <w:vAlign w:val="center"/>
                </w:tcPr>
                <w:p>
                  <w:pPr>
                    <w:jc w:val="center"/>
                    <w:rPr>
                      <w:color w:val="auto"/>
                      <w:szCs w:val="21"/>
                    </w:rPr>
                  </w:pPr>
                </w:p>
              </w:tc>
              <w:tc>
                <w:tcPr>
                  <w:tcW w:w="300" w:type="pct"/>
                  <w:vMerge w:val="continue"/>
                  <w:noWrap w:val="0"/>
                  <w:vAlign w:val="center"/>
                </w:tcPr>
                <w:p>
                  <w:pPr>
                    <w:jc w:val="center"/>
                    <w:rPr>
                      <w:color w:val="auto"/>
                      <w:szCs w:val="21"/>
                    </w:rPr>
                  </w:pPr>
                </w:p>
              </w:tc>
              <w:tc>
                <w:tcPr>
                  <w:tcW w:w="357" w:type="pct"/>
                  <w:vMerge w:val="continue"/>
                  <w:noWrap w:val="0"/>
                  <w:vAlign w:val="center"/>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trPr>
              <w:tc>
                <w:tcPr>
                  <w:tcW w:w="137" w:type="pct"/>
                  <w:noWrap w:val="0"/>
                  <w:vAlign w:val="center"/>
                </w:tcPr>
                <w:p>
                  <w:pPr>
                    <w:jc w:val="center"/>
                    <w:rPr>
                      <w:rFonts w:hint="eastAsia" w:eastAsia="宋体"/>
                      <w:color w:val="auto"/>
                      <w:szCs w:val="21"/>
                      <w:lang w:val="en-US" w:eastAsia="zh-CN"/>
                    </w:rPr>
                  </w:pPr>
                  <w:r>
                    <w:rPr>
                      <w:rFonts w:hint="eastAsia"/>
                      <w:color w:val="auto"/>
                      <w:szCs w:val="21"/>
                      <w:lang w:val="en-US" w:eastAsia="zh-CN"/>
                    </w:rPr>
                    <w:t>1</w:t>
                  </w:r>
                </w:p>
              </w:tc>
              <w:tc>
                <w:tcPr>
                  <w:tcW w:w="280" w:type="pct"/>
                  <w:noWrap w:val="0"/>
                  <w:vAlign w:val="center"/>
                </w:tcPr>
                <w:p>
                  <w:pPr>
                    <w:jc w:val="center"/>
                    <w:rPr>
                      <w:rFonts w:hint="eastAsia"/>
                      <w:color w:val="auto"/>
                      <w:szCs w:val="21"/>
                      <w:lang w:val="en-US" w:eastAsia="zh-CN"/>
                    </w:rPr>
                  </w:pPr>
                  <w:r>
                    <w:rPr>
                      <w:rFonts w:hint="eastAsia"/>
                      <w:color w:val="auto"/>
                      <w:szCs w:val="21"/>
                      <w:lang w:val="en-US" w:eastAsia="zh-CN"/>
                    </w:rPr>
                    <w:t>固体物料堆存</w:t>
                  </w:r>
                </w:p>
              </w:tc>
              <w:tc>
                <w:tcPr>
                  <w:tcW w:w="180" w:type="pct"/>
                  <w:noWrap w:val="0"/>
                  <w:vAlign w:val="center"/>
                </w:tcPr>
                <w:p>
                  <w:pPr>
                    <w:jc w:val="center"/>
                    <w:rPr>
                      <w:rFonts w:hint="eastAsia"/>
                      <w:color w:val="auto"/>
                      <w:szCs w:val="21"/>
                    </w:rPr>
                  </w:pPr>
                  <w:r>
                    <w:rPr>
                      <w:rFonts w:hint="eastAsia"/>
                      <w:color w:val="auto"/>
                      <w:szCs w:val="21"/>
                    </w:rPr>
                    <w:t>颗粒物</w:t>
                  </w:r>
                </w:p>
              </w:tc>
              <w:tc>
                <w:tcPr>
                  <w:tcW w:w="164" w:type="pct"/>
                  <w:noWrap w:val="0"/>
                  <w:vAlign w:val="center"/>
                </w:tcPr>
                <w:p>
                  <w:pPr>
                    <w:jc w:val="center"/>
                    <w:rPr>
                      <w:rFonts w:hint="eastAsia"/>
                      <w:color w:val="auto"/>
                      <w:szCs w:val="21"/>
                    </w:rPr>
                  </w:pPr>
                  <w:r>
                    <w:rPr>
                      <w:rFonts w:hint="eastAsia"/>
                      <w:color w:val="auto"/>
                      <w:szCs w:val="21"/>
                    </w:rPr>
                    <w:t>无组织</w:t>
                  </w:r>
                </w:p>
              </w:tc>
              <w:tc>
                <w:tcPr>
                  <w:tcW w:w="368" w:type="pct"/>
                  <w:noWrap w:val="0"/>
                  <w:vAlign w:val="center"/>
                </w:tcPr>
                <w:p>
                  <w:pPr>
                    <w:jc w:val="center"/>
                    <w:rPr>
                      <w:rFonts w:hint="default" w:eastAsia="宋体"/>
                      <w:color w:val="auto"/>
                      <w:szCs w:val="21"/>
                      <w:highlight w:val="yellow"/>
                      <w:lang w:val="en-US" w:eastAsia="zh-CN"/>
                    </w:rPr>
                  </w:pPr>
                  <w:r>
                    <w:rPr>
                      <w:rFonts w:hint="eastAsia"/>
                      <w:color w:val="auto"/>
                      <w:szCs w:val="21"/>
                      <w:highlight w:val="none"/>
                      <w:lang w:val="en-US" w:eastAsia="zh-CN"/>
                    </w:rPr>
                    <w:t>133.632</w:t>
                  </w:r>
                </w:p>
              </w:tc>
              <w:tc>
                <w:tcPr>
                  <w:tcW w:w="373" w:type="pct"/>
                  <w:noWrap w:val="0"/>
                  <w:vAlign w:val="center"/>
                </w:tcPr>
                <w:p>
                  <w:pPr>
                    <w:jc w:val="center"/>
                    <w:rPr>
                      <w:rFonts w:hint="default" w:eastAsia="宋体"/>
                      <w:color w:val="auto"/>
                      <w:szCs w:val="21"/>
                      <w:highlight w:val="yellow"/>
                      <w:lang w:val="en-US" w:eastAsia="zh-CN"/>
                    </w:rPr>
                  </w:pPr>
                  <w:r>
                    <w:rPr>
                      <w:rFonts w:hint="eastAsia"/>
                      <w:color w:val="auto"/>
                      <w:szCs w:val="21"/>
                      <w:highlight w:val="none"/>
                      <w:lang w:val="en-US" w:eastAsia="zh-CN"/>
                    </w:rPr>
                    <w:t>23.2</w:t>
                  </w:r>
                </w:p>
              </w:tc>
              <w:tc>
                <w:tcPr>
                  <w:tcW w:w="400" w:type="pct"/>
                  <w:noWrap w:val="0"/>
                  <w:vAlign w:val="center"/>
                </w:tcPr>
                <w:p>
                  <w:pPr>
                    <w:jc w:val="center"/>
                    <w:rPr>
                      <w:rFonts w:hint="eastAsia"/>
                      <w:color w:val="auto"/>
                      <w:szCs w:val="21"/>
                    </w:rPr>
                  </w:pPr>
                  <w:r>
                    <w:rPr>
                      <w:rFonts w:hint="eastAsia"/>
                      <w:color w:val="auto"/>
                      <w:szCs w:val="21"/>
                    </w:rPr>
                    <w:t>/</w:t>
                  </w:r>
                </w:p>
              </w:tc>
              <w:tc>
                <w:tcPr>
                  <w:tcW w:w="511" w:type="pct"/>
                  <w:noWrap w:val="0"/>
                  <w:vAlign w:val="center"/>
                </w:tcPr>
                <w:p>
                  <w:pPr>
                    <w:jc w:val="center"/>
                    <w:rPr>
                      <w:rFonts w:hint="eastAsia"/>
                      <w:color w:val="auto"/>
                      <w:szCs w:val="21"/>
                      <w:lang w:eastAsia="zh-CN"/>
                    </w:rPr>
                  </w:pPr>
                  <w:r>
                    <w:rPr>
                      <w:rFonts w:hint="eastAsia"/>
                      <w:color w:val="auto"/>
                      <w:szCs w:val="21"/>
                      <w:lang w:val="en-US" w:eastAsia="zh-CN"/>
                    </w:rPr>
                    <w:t>全</w:t>
                  </w:r>
                  <w:r>
                    <w:rPr>
                      <w:rFonts w:hint="eastAsia"/>
                      <w:color w:val="auto"/>
                      <w:szCs w:val="21"/>
                    </w:rPr>
                    <w:t>封闭式</w:t>
                  </w:r>
                  <w:r>
                    <w:rPr>
                      <w:rFonts w:hint="eastAsia"/>
                      <w:color w:val="auto"/>
                      <w:szCs w:val="21"/>
                      <w:lang w:eastAsia="zh-CN"/>
                    </w:rPr>
                    <w:t>堆场</w:t>
                  </w:r>
                </w:p>
              </w:tc>
              <w:tc>
                <w:tcPr>
                  <w:tcW w:w="258" w:type="pct"/>
                  <w:noWrap w:val="0"/>
                  <w:vAlign w:val="center"/>
                </w:tcPr>
                <w:p>
                  <w:pPr>
                    <w:jc w:val="center"/>
                    <w:rPr>
                      <w:rFonts w:hint="eastAsia"/>
                      <w:color w:val="auto"/>
                      <w:szCs w:val="21"/>
                      <w:lang w:eastAsia="zh-CN"/>
                    </w:rPr>
                  </w:pPr>
                  <w:r>
                    <w:rPr>
                      <w:rFonts w:hint="eastAsia"/>
                      <w:color w:val="auto"/>
                      <w:szCs w:val="21"/>
                      <w:lang w:val="en-US" w:eastAsia="zh-CN"/>
                    </w:rPr>
                    <w:t>/</w:t>
                  </w:r>
                </w:p>
              </w:tc>
              <w:tc>
                <w:tcPr>
                  <w:tcW w:w="264" w:type="pct"/>
                  <w:noWrap w:val="0"/>
                  <w:vAlign w:val="center"/>
                </w:tcPr>
                <w:p>
                  <w:pPr>
                    <w:jc w:val="center"/>
                    <w:rPr>
                      <w:rFonts w:hint="default" w:eastAsia="宋体"/>
                      <w:color w:val="auto"/>
                      <w:szCs w:val="21"/>
                      <w:highlight w:val="none"/>
                      <w:lang w:val="en-US" w:eastAsia="zh-CN"/>
                    </w:rPr>
                  </w:pPr>
                  <w:r>
                    <w:rPr>
                      <w:rFonts w:hint="eastAsia"/>
                      <w:color w:val="auto"/>
                      <w:szCs w:val="21"/>
                      <w:highlight w:val="none"/>
                      <w:lang w:val="en-US" w:eastAsia="zh-CN"/>
                    </w:rPr>
                    <w:t>99</w:t>
                  </w:r>
                </w:p>
              </w:tc>
              <w:tc>
                <w:tcPr>
                  <w:tcW w:w="294" w:type="pct"/>
                  <w:noWrap w:val="0"/>
                  <w:vAlign w:val="center"/>
                </w:tcPr>
                <w:p>
                  <w:pPr>
                    <w:jc w:val="center"/>
                    <w:rPr>
                      <w:color w:val="auto"/>
                      <w:szCs w:val="21"/>
                    </w:rPr>
                  </w:pPr>
                  <w:r>
                    <w:rPr>
                      <w:color w:val="auto"/>
                      <w:szCs w:val="21"/>
                    </w:rPr>
                    <w:t>是</w:t>
                  </w:r>
                </w:p>
              </w:tc>
              <w:tc>
                <w:tcPr>
                  <w:tcW w:w="331" w:type="pct"/>
                  <w:noWrap w:val="0"/>
                  <w:vAlign w:val="center"/>
                </w:tcPr>
                <w:p>
                  <w:pPr>
                    <w:jc w:val="center"/>
                    <w:rPr>
                      <w:rFonts w:hint="default" w:eastAsia="宋体"/>
                      <w:color w:val="auto"/>
                      <w:szCs w:val="21"/>
                      <w:highlight w:val="none"/>
                      <w:lang w:val="en-US" w:eastAsia="zh-CN"/>
                    </w:rPr>
                  </w:pPr>
                  <w:r>
                    <w:rPr>
                      <w:rFonts w:hint="eastAsia"/>
                      <w:color w:val="auto"/>
                      <w:szCs w:val="21"/>
                      <w:highlight w:val="none"/>
                      <w:lang w:val="en-US" w:eastAsia="zh-CN"/>
                    </w:rPr>
                    <w:t>1.336</w:t>
                  </w:r>
                </w:p>
              </w:tc>
              <w:tc>
                <w:tcPr>
                  <w:tcW w:w="387" w:type="pct"/>
                  <w:noWrap w:val="0"/>
                  <w:vAlign w:val="center"/>
                </w:tcPr>
                <w:p>
                  <w:pPr>
                    <w:jc w:val="center"/>
                    <w:rPr>
                      <w:rFonts w:hint="default" w:eastAsia="宋体"/>
                      <w:color w:val="auto"/>
                      <w:szCs w:val="21"/>
                      <w:highlight w:val="none"/>
                      <w:lang w:val="en-US" w:eastAsia="zh-CN"/>
                    </w:rPr>
                  </w:pPr>
                  <w:r>
                    <w:rPr>
                      <w:rFonts w:hint="eastAsia"/>
                      <w:color w:val="auto"/>
                      <w:szCs w:val="21"/>
                      <w:highlight w:val="none"/>
                      <w:lang w:val="en-US" w:eastAsia="zh-CN"/>
                    </w:rPr>
                    <w:t>0.232</w:t>
                  </w:r>
                </w:p>
              </w:tc>
              <w:tc>
                <w:tcPr>
                  <w:tcW w:w="389" w:type="pct"/>
                  <w:noWrap w:val="0"/>
                  <w:vAlign w:val="center"/>
                </w:tcPr>
                <w:p>
                  <w:pPr>
                    <w:jc w:val="center"/>
                    <w:rPr>
                      <w:rFonts w:hint="eastAsia"/>
                      <w:color w:val="auto"/>
                      <w:szCs w:val="21"/>
                    </w:rPr>
                  </w:pPr>
                  <w:r>
                    <w:rPr>
                      <w:rFonts w:hint="eastAsia"/>
                      <w:color w:val="auto"/>
                      <w:szCs w:val="21"/>
                    </w:rPr>
                    <w:t>/</w:t>
                  </w:r>
                </w:p>
              </w:tc>
              <w:tc>
                <w:tcPr>
                  <w:tcW w:w="300" w:type="pct"/>
                  <w:noWrap w:val="0"/>
                  <w:vAlign w:val="center"/>
                </w:tcPr>
                <w:p>
                  <w:pPr>
                    <w:jc w:val="center"/>
                    <w:rPr>
                      <w:rFonts w:hint="eastAsia"/>
                      <w:color w:val="auto"/>
                      <w:szCs w:val="21"/>
                      <w:lang w:val="en-US" w:eastAsia="zh-CN"/>
                    </w:rPr>
                  </w:pPr>
                  <w:r>
                    <w:rPr>
                      <w:rFonts w:hint="eastAsia"/>
                      <w:color w:val="auto"/>
                      <w:szCs w:val="21"/>
                    </w:rPr>
                    <w:t>/</w:t>
                  </w:r>
                </w:p>
              </w:tc>
              <w:tc>
                <w:tcPr>
                  <w:tcW w:w="357" w:type="pct"/>
                  <w:noWrap w:val="0"/>
                  <w:vAlign w:val="center"/>
                </w:tcPr>
                <w:p>
                  <w:pPr>
                    <w:jc w:val="center"/>
                    <w:rPr>
                      <w:rFonts w:hint="eastAsia"/>
                      <w:color w:val="auto"/>
                      <w:szCs w:val="21"/>
                      <w:lang w:val="en-US" w:eastAsia="zh-CN"/>
                    </w:rPr>
                  </w:pPr>
                  <w:r>
                    <w:rPr>
                      <w:rFonts w:hint="eastAsia"/>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trPr>
              <w:tc>
                <w:tcPr>
                  <w:tcW w:w="137" w:type="pct"/>
                  <w:noWrap w:val="0"/>
                  <w:vAlign w:val="center"/>
                </w:tcPr>
                <w:p>
                  <w:pPr>
                    <w:jc w:val="center"/>
                    <w:rPr>
                      <w:rFonts w:hint="eastAsia" w:eastAsia="宋体"/>
                      <w:color w:val="auto"/>
                      <w:szCs w:val="21"/>
                      <w:lang w:eastAsia="zh-CN"/>
                    </w:rPr>
                  </w:pPr>
                  <w:r>
                    <w:rPr>
                      <w:rFonts w:hint="eastAsia"/>
                      <w:color w:val="auto"/>
                      <w:szCs w:val="21"/>
                      <w:lang w:val="en-US" w:eastAsia="zh-CN"/>
                    </w:rPr>
                    <w:t>2</w:t>
                  </w:r>
                </w:p>
              </w:tc>
              <w:tc>
                <w:tcPr>
                  <w:tcW w:w="280" w:type="pct"/>
                  <w:noWrap w:val="0"/>
                  <w:vAlign w:val="center"/>
                </w:tcPr>
                <w:p>
                  <w:pPr>
                    <w:jc w:val="center"/>
                    <w:rPr>
                      <w:rFonts w:hint="default" w:eastAsia="宋体"/>
                      <w:color w:val="auto"/>
                      <w:szCs w:val="21"/>
                      <w:lang w:val="en-US" w:eastAsia="zh-CN"/>
                    </w:rPr>
                  </w:pPr>
                  <w:r>
                    <w:rPr>
                      <w:rFonts w:hint="eastAsia"/>
                      <w:lang w:val="en-US" w:eastAsia="zh-CN"/>
                    </w:rPr>
                    <w:t>水泥筒仓</w:t>
                  </w:r>
                  <w:r>
                    <w:rPr>
                      <w:rFonts w:hint="eastAsia"/>
                    </w:rPr>
                    <w:t>进仓粉尘</w:t>
                  </w:r>
                  <w:r>
                    <w:rPr>
                      <w:rFonts w:hint="eastAsia"/>
                      <w:lang w:val="en-US" w:eastAsia="zh-CN"/>
                    </w:rPr>
                    <w:t>1#</w:t>
                  </w:r>
                </w:p>
              </w:tc>
              <w:tc>
                <w:tcPr>
                  <w:tcW w:w="180" w:type="pct"/>
                  <w:noWrap w:val="0"/>
                  <w:vAlign w:val="center"/>
                </w:tcPr>
                <w:p>
                  <w:pPr>
                    <w:jc w:val="center"/>
                    <w:rPr>
                      <w:rFonts w:hint="eastAsia"/>
                      <w:color w:val="auto"/>
                      <w:szCs w:val="21"/>
                    </w:rPr>
                  </w:pPr>
                  <w:r>
                    <w:rPr>
                      <w:rFonts w:hint="eastAsia"/>
                      <w:color w:val="auto"/>
                      <w:szCs w:val="21"/>
                    </w:rPr>
                    <w:t>颗粒物</w:t>
                  </w:r>
                </w:p>
              </w:tc>
              <w:tc>
                <w:tcPr>
                  <w:tcW w:w="164" w:type="pct"/>
                  <w:vMerge w:val="restart"/>
                  <w:noWrap w:val="0"/>
                  <w:vAlign w:val="center"/>
                </w:tcPr>
                <w:p>
                  <w:pPr>
                    <w:jc w:val="center"/>
                    <w:rPr>
                      <w:rFonts w:hint="default"/>
                      <w:color w:val="auto"/>
                      <w:szCs w:val="21"/>
                      <w:lang w:val="en-US" w:eastAsia="zh-CN"/>
                    </w:rPr>
                  </w:pPr>
                  <w:r>
                    <w:rPr>
                      <w:rFonts w:hint="eastAsia"/>
                      <w:color w:val="auto"/>
                      <w:szCs w:val="21"/>
                      <w:lang w:val="en-US" w:eastAsia="zh-CN"/>
                    </w:rPr>
                    <w:t>无组织</w:t>
                  </w:r>
                </w:p>
              </w:tc>
              <w:tc>
                <w:tcPr>
                  <w:tcW w:w="368" w:type="pct"/>
                  <w:noWrap w:val="0"/>
                  <w:vAlign w:val="center"/>
                </w:tcPr>
                <w:p>
                  <w:pPr>
                    <w:jc w:val="center"/>
                    <w:rPr>
                      <w:rFonts w:hint="default" w:eastAsia="宋体"/>
                      <w:color w:val="auto"/>
                      <w:szCs w:val="21"/>
                      <w:highlight w:val="none"/>
                      <w:lang w:val="en-US" w:eastAsia="zh-CN"/>
                    </w:rPr>
                  </w:pPr>
                  <w:r>
                    <w:rPr>
                      <w:rFonts w:hint="eastAsia" w:eastAsia="宋体"/>
                      <w:color w:val="auto"/>
                      <w:szCs w:val="21"/>
                      <w:highlight w:val="none"/>
                      <w:lang w:val="en-US" w:eastAsia="zh-CN"/>
                    </w:rPr>
                    <w:t>1.0</w:t>
                  </w:r>
                </w:p>
              </w:tc>
              <w:tc>
                <w:tcPr>
                  <w:tcW w:w="373" w:type="pct"/>
                  <w:noWrap w:val="0"/>
                  <w:vAlign w:val="center"/>
                </w:tcPr>
                <w:p>
                  <w:pPr>
                    <w:jc w:val="center"/>
                    <w:rPr>
                      <w:rFonts w:hint="default" w:eastAsia="宋体"/>
                      <w:color w:val="auto"/>
                      <w:szCs w:val="21"/>
                      <w:highlight w:val="none"/>
                      <w:lang w:val="en-US" w:eastAsia="zh-CN"/>
                    </w:rPr>
                  </w:pPr>
                  <w:r>
                    <w:rPr>
                      <w:rFonts w:hint="eastAsia"/>
                      <w:color w:val="auto"/>
                      <w:szCs w:val="21"/>
                      <w:highlight w:val="none"/>
                      <w:lang w:val="en-US" w:eastAsia="zh-CN"/>
                    </w:rPr>
                    <w:t>47.619</w:t>
                  </w:r>
                </w:p>
              </w:tc>
              <w:tc>
                <w:tcPr>
                  <w:tcW w:w="400" w:type="pct"/>
                  <w:noWrap w:val="0"/>
                  <w:vAlign w:val="center"/>
                </w:tcPr>
                <w:p>
                  <w:pPr>
                    <w:jc w:val="center"/>
                    <w:rPr>
                      <w:rFonts w:hint="default" w:eastAsia="宋体"/>
                      <w:color w:val="auto"/>
                      <w:szCs w:val="21"/>
                      <w:lang w:val="en-US" w:eastAsia="zh-CN"/>
                    </w:rPr>
                  </w:pPr>
                  <w:r>
                    <w:rPr>
                      <w:rFonts w:hint="eastAsia"/>
                      <w:color w:val="auto"/>
                      <w:szCs w:val="21"/>
                      <w:lang w:val="en-US" w:eastAsia="zh-CN"/>
                    </w:rPr>
                    <w:t>/</w:t>
                  </w:r>
                </w:p>
              </w:tc>
              <w:tc>
                <w:tcPr>
                  <w:tcW w:w="511" w:type="pct"/>
                  <w:noWrap w:val="0"/>
                  <w:vAlign w:val="center"/>
                </w:tcPr>
                <w:p>
                  <w:pPr>
                    <w:jc w:val="center"/>
                    <w:rPr>
                      <w:rFonts w:hint="eastAsia" w:eastAsia="宋体"/>
                      <w:color w:val="auto"/>
                      <w:szCs w:val="21"/>
                      <w:highlight w:val="none"/>
                      <w:lang w:eastAsia="zh-CN"/>
                    </w:rPr>
                  </w:pPr>
                  <w:r>
                    <w:rPr>
                      <w:rFonts w:hint="eastAsia"/>
                      <w:color w:val="auto"/>
                      <w:szCs w:val="21"/>
                      <w:highlight w:val="none"/>
                      <w:lang w:eastAsia="zh-CN"/>
                    </w:rPr>
                    <w:t>仓顶脉冲袋式除尘器</w:t>
                  </w:r>
                </w:p>
              </w:tc>
              <w:tc>
                <w:tcPr>
                  <w:tcW w:w="258" w:type="pct"/>
                  <w:noWrap w:val="0"/>
                  <w:vAlign w:val="center"/>
                </w:tcPr>
                <w:p>
                  <w:pPr>
                    <w:jc w:val="center"/>
                    <w:rPr>
                      <w:rFonts w:hint="default"/>
                      <w:color w:val="auto"/>
                      <w:szCs w:val="21"/>
                      <w:highlight w:val="none"/>
                      <w:lang w:val="en-US"/>
                    </w:rPr>
                  </w:pPr>
                  <w:r>
                    <w:rPr>
                      <w:rFonts w:hint="eastAsia"/>
                      <w:color w:val="auto"/>
                      <w:szCs w:val="21"/>
                      <w:highlight w:val="none"/>
                      <w:lang w:val="en-US" w:eastAsia="zh-CN"/>
                    </w:rPr>
                    <w:t>100</w:t>
                  </w:r>
                </w:p>
              </w:tc>
              <w:tc>
                <w:tcPr>
                  <w:tcW w:w="264" w:type="pct"/>
                  <w:noWrap w:val="0"/>
                  <w:vAlign w:val="center"/>
                </w:tcPr>
                <w:p>
                  <w:pPr>
                    <w:jc w:val="center"/>
                    <w:rPr>
                      <w:rFonts w:hint="default" w:eastAsia="宋体"/>
                      <w:color w:val="auto"/>
                      <w:szCs w:val="21"/>
                      <w:highlight w:val="none"/>
                      <w:lang w:val="en-US" w:eastAsia="zh-CN"/>
                    </w:rPr>
                  </w:pPr>
                  <w:r>
                    <w:rPr>
                      <w:rFonts w:hint="eastAsia"/>
                      <w:color w:val="auto"/>
                      <w:szCs w:val="21"/>
                      <w:highlight w:val="none"/>
                      <w:lang w:val="en-US" w:eastAsia="zh-CN"/>
                    </w:rPr>
                    <w:t>99.7</w:t>
                  </w:r>
                </w:p>
              </w:tc>
              <w:tc>
                <w:tcPr>
                  <w:tcW w:w="294" w:type="pct"/>
                  <w:noWrap w:val="0"/>
                  <w:vAlign w:val="center"/>
                </w:tcPr>
                <w:p>
                  <w:pPr>
                    <w:jc w:val="center"/>
                    <w:rPr>
                      <w:color w:val="auto"/>
                      <w:szCs w:val="21"/>
                    </w:rPr>
                  </w:pPr>
                  <w:r>
                    <w:rPr>
                      <w:color w:val="auto"/>
                      <w:szCs w:val="21"/>
                    </w:rPr>
                    <w:t>是</w:t>
                  </w:r>
                </w:p>
              </w:tc>
              <w:tc>
                <w:tcPr>
                  <w:tcW w:w="331" w:type="pct"/>
                  <w:noWrap w:val="0"/>
                  <w:vAlign w:val="center"/>
                </w:tcPr>
                <w:p>
                  <w:pPr>
                    <w:jc w:val="center"/>
                    <w:rPr>
                      <w:rFonts w:hint="default" w:eastAsia="宋体"/>
                      <w:color w:val="auto"/>
                      <w:szCs w:val="21"/>
                      <w:highlight w:val="none"/>
                      <w:lang w:val="en-US" w:eastAsia="zh-CN"/>
                    </w:rPr>
                  </w:pPr>
                  <w:r>
                    <w:rPr>
                      <w:rFonts w:hint="eastAsia" w:eastAsia="宋体"/>
                      <w:color w:val="auto"/>
                      <w:szCs w:val="21"/>
                      <w:highlight w:val="none"/>
                      <w:lang w:val="en-US" w:eastAsia="zh-CN"/>
                    </w:rPr>
                    <w:t>0.003</w:t>
                  </w:r>
                </w:p>
              </w:tc>
              <w:tc>
                <w:tcPr>
                  <w:tcW w:w="387" w:type="pct"/>
                  <w:noWrap w:val="0"/>
                  <w:vAlign w:val="center"/>
                </w:tcPr>
                <w:p>
                  <w:pPr>
                    <w:jc w:val="center"/>
                    <w:rPr>
                      <w:rFonts w:hint="default" w:eastAsia="宋体"/>
                      <w:color w:val="auto"/>
                      <w:szCs w:val="21"/>
                      <w:highlight w:val="none"/>
                      <w:lang w:val="en-US" w:eastAsia="zh-CN"/>
                    </w:rPr>
                  </w:pPr>
                  <w:r>
                    <w:rPr>
                      <w:rFonts w:hint="eastAsia"/>
                      <w:color w:val="auto"/>
                      <w:szCs w:val="21"/>
                      <w:highlight w:val="none"/>
                      <w:lang w:val="en-US" w:eastAsia="zh-CN"/>
                    </w:rPr>
                    <w:t>0.143</w:t>
                  </w:r>
                </w:p>
              </w:tc>
              <w:tc>
                <w:tcPr>
                  <w:tcW w:w="389" w:type="pct"/>
                  <w:noWrap w:val="0"/>
                  <w:vAlign w:val="center"/>
                </w:tcPr>
                <w:p>
                  <w:pPr>
                    <w:jc w:val="center"/>
                    <w:rPr>
                      <w:rFonts w:hint="default" w:eastAsia="宋体"/>
                      <w:color w:val="auto"/>
                      <w:szCs w:val="21"/>
                      <w:lang w:val="en-US" w:eastAsia="zh-CN"/>
                    </w:rPr>
                  </w:pPr>
                  <w:r>
                    <w:rPr>
                      <w:rFonts w:hint="eastAsia"/>
                      <w:color w:val="auto"/>
                      <w:szCs w:val="21"/>
                      <w:lang w:val="en-US" w:eastAsia="zh-CN"/>
                    </w:rPr>
                    <w:t>/</w:t>
                  </w:r>
                </w:p>
              </w:tc>
              <w:tc>
                <w:tcPr>
                  <w:tcW w:w="300" w:type="pct"/>
                  <w:noWrap w:val="0"/>
                  <w:vAlign w:val="center"/>
                </w:tcPr>
                <w:p>
                  <w:pPr>
                    <w:jc w:val="center"/>
                    <w:rPr>
                      <w:rFonts w:hint="eastAsia" w:eastAsia="宋体"/>
                      <w:color w:val="auto"/>
                      <w:szCs w:val="21"/>
                      <w:lang w:eastAsia="zh-CN"/>
                    </w:rPr>
                  </w:pPr>
                  <w:r>
                    <w:rPr>
                      <w:rFonts w:hint="eastAsia"/>
                      <w:lang w:val="en-US" w:eastAsia="zh-CN"/>
                    </w:rPr>
                    <w:t>/</w:t>
                  </w:r>
                </w:p>
              </w:tc>
              <w:tc>
                <w:tcPr>
                  <w:tcW w:w="357" w:type="pct"/>
                  <w:noWrap w:val="0"/>
                  <w:vAlign w:val="center"/>
                </w:tcPr>
                <w:p>
                  <w:pPr>
                    <w:jc w:val="center"/>
                    <w:rPr>
                      <w:rFonts w:hint="default"/>
                      <w:color w:val="auto"/>
                      <w:szCs w:val="21"/>
                      <w:lang w:val="en-US" w:eastAsia="zh-CN"/>
                    </w:rPr>
                  </w:pPr>
                  <w:r>
                    <w:rPr>
                      <w:rFonts w:hint="eastAsia"/>
                      <w:bCs/>
                      <w:color w:val="auto"/>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137" w:type="pct"/>
                  <w:noWrap w:val="0"/>
                  <w:vAlign w:val="center"/>
                </w:tcPr>
                <w:p>
                  <w:pPr>
                    <w:jc w:val="center"/>
                    <w:rPr>
                      <w:rFonts w:hint="default"/>
                      <w:color w:val="auto"/>
                      <w:szCs w:val="21"/>
                      <w:lang w:val="en-US" w:eastAsia="zh-CN"/>
                    </w:rPr>
                  </w:pPr>
                  <w:r>
                    <w:rPr>
                      <w:rFonts w:hint="eastAsia"/>
                      <w:color w:val="auto"/>
                      <w:szCs w:val="21"/>
                      <w:lang w:val="en-US" w:eastAsia="zh-CN"/>
                    </w:rPr>
                    <w:t>3</w:t>
                  </w:r>
                </w:p>
              </w:tc>
              <w:tc>
                <w:tcPr>
                  <w:tcW w:w="280" w:type="pct"/>
                  <w:noWrap w:val="0"/>
                  <w:vAlign w:val="center"/>
                </w:tcPr>
                <w:p>
                  <w:pPr>
                    <w:jc w:val="center"/>
                    <w:rPr>
                      <w:rFonts w:hint="default" w:eastAsia="宋体"/>
                      <w:lang w:val="en-US" w:eastAsia="zh-CN"/>
                    </w:rPr>
                  </w:pPr>
                  <w:r>
                    <w:rPr>
                      <w:rFonts w:hint="eastAsia"/>
                      <w:lang w:val="en-US" w:eastAsia="zh-CN"/>
                    </w:rPr>
                    <w:t>水泥筒仓</w:t>
                  </w:r>
                  <w:r>
                    <w:rPr>
                      <w:rFonts w:hint="eastAsia"/>
                    </w:rPr>
                    <w:t>进仓粉尘</w:t>
                  </w:r>
                  <w:r>
                    <w:rPr>
                      <w:rFonts w:hint="eastAsia"/>
                      <w:lang w:val="en-US" w:eastAsia="zh-CN"/>
                    </w:rPr>
                    <w:t>2#</w:t>
                  </w:r>
                </w:p>
              </w:tc>
              <w:tc>
                <w:tcPr>
                  <w:tcW w:w="180" w:type="pct"/>
                  <w:noWrap w:val="0"/>
                  <w:vAlign w:val="center"/>
                </w:tcPr>
                <w:p>
                  <w:pPr>
                    <w:jc w:val="center"/>
                    <w:rPr>
                      <w:rFonts w:hint="eastAsia"/>
                      <w:color w:val="auto"/>
                      <w:szCs w:val="21"/>
                    </w:rPr>
                  </w:pPr>
                  <w:r>
                    <w:rPr>
                      <w:rFonts w:hint="eastAsia"/>
                      <w:color w:val="auto"/>
                      <w:szCs w:val="21"/>
                    </w:rPr>
                    <w:t>颗粒物</w:t>
                  </w:r>
                </w:p>
              </w:tc>
              <w:tc>
                <w:tcPr>
                  <w:tcW w:w="164" w:type="pct"/>
                  <w:vMerge w:val="continue"/>
                  <w:noWrap w:val="0"/>
                  <w:vAlign w:val="center"/>
                </w:tcPr>
                <w:p>
                  <w:pPr>
                    <w:jc w:val="center"/>
                    <w:rPr>
                      <w:rFonts w:hint="eastAsia"/>
                      <w:color w:val="auto"/>
                      <w:szCs w:val="21"/>
                      <w:lang w:val="en-US" w:eastAsia="zh-CN"/>
                    </w:rPr>
                  </w:pPr>
                </w:p>
              </w:tc>
              <w:tc>
                <w:tcPr>
                  <w:tcW w:w="368" w:type="pct"/>
                  <w:noWrap w:val="0"/>
                  <w:vAlign w:val="center"/>
                </w:tcPr>
                <w:p>
                  <w:pPr>
                    <w:jc w:val="center"/>
                    <w:rPr>
                      <w:rFonts w:hint="default" w:eastAsia="宋体"/>
                      <w:color w:val="auto"/>
                      <w:szCs w:val="21"/>
                      <w:highlight w:val="yellow"/>
                      <w:lang w:val="en-US" w:eastAsia="zh-CN"/>
                    </w:rPr>
                  </w:pPr>
                  <w:r>
                    <w:rPr>
                      <w:rFonts w:hint="eastAsia" w:eastAsia="宋体"/>
                      <w:color w:val="auto"/>
                      <w:szCs w:val="21"/>
                      <w:highlight w:val="none"/>
                      <w:lang w:val="en-US" w:eastAsia="zh-CN"/>
                    </w:rPr>
                    <w:t>1.0</w:t>
                  </w:r>
                </w:p>
              </w:tc>
              <w:tc>
                <w:tcPr>
                  <w:tcW w:w="373" w:type="pct"/>
                  <w:noWrap w:val="0"/>
                  <w:vAlign w:val="center"/>
                </w:tcPr>
                <w:p>
                  <w:pPr>
                    <w:jc w:val="center"/>
                    <w:rPr>
                      <w:rFonts w:hint="default" w:eastAsia="宋体"/>
                      <w:color w:val="auto"/>
                      <w:szCs w:val="21"/>
                      <w:highlight w:val="yellow"/>
                      <w:lang w:val="en-US" w:eastAsia="zh-CN"/>
                    </w:rPr>
                  </w:pPr>
                  <w:r>
                    <w:rPr>
                      <w:rFonts w:hint="eastAsia"/>
                      <w:color w:val="auto"/>
                      <w:szCs w:val="21"/>
                      <w:highlight w:val="none"/>
                      <w:lang w:val="en-US" w:eastAsia="zh-CN"/>
                    </w:rPr>
                    <w:t>47.619</w:t>
                  </w:r>
                </w:p>
              </w:tc>
              <w:tc>
                <w:tcPr>
                  <w:tcW w:w="400" w:type="pct"/>
                  <w:noWrap w:val="0"/>
                  <w:vAlign w:val="center"/>
                </w:tcPr>
                <w:p>
                  <w:pPr>
                    <w:jc w:val="center"/>
                    <w:rPr>
                      <w:rFonts w:hint="eastAsia" w:eastAsia="宋体"/>
                      <w:color w:val="auto"/>
                      <w:szCs w:val="21"/>
                      <w:lang w:val="en-US" w:eastAsia="zh-CN"/>
                    </w:rPr>
                  </w:pPr>
                  <w:r>
                    <w:rPr>
                      <w:rFonts w:hint="eastAsia"/>
                      <w:color w:val="auto"/>
                      <w:szCs w:val="21"/>
                      <w:lang w:val="en-US" w:eastAsia="zh-CN"/>
                    </w:rPr>
                    <w:t>/</w:t>
                  </w:r>
                </w:p>
              </w:tc>
              <w:tc>
                <w:tcPr>
                  <w:tcW w:w="511" w:type="pct"/>
                  <w:noWrap w:val="0"/>
                  <w:vAlign w:val="center"/>
                </w:tcPr>
                <w:p>
                  <w:pPr>
                    <w:jc w:val="center"/>
                    <w:rPr>
                      <w:rFonts w:hint="eastAsia"/>
                      <w:color w:val="auto"/>
                      <w:szCs w:val="21"/>
                      <w:highlight w:val="none"/>
                      <w:lang w:eastAsia="zh-CN"/>
                    </w:rPr>
                  </w:pPr>
                  <w:r>
                    <w:rPr>
                      <w:rFonts w:hint="eastAsia"/>
                      <w:color w:val="auto"/>
                      <w:szCs w:val="21"/>
                      <w:highlight w:val="none"/>
                      <w:lang w:eastAsia="zh-CN"/>
                    </w:rPr>
                    <w:t>仓顶脉冲袋式除尘器</w:t>
                  </w:r>
                </w:p>
              </w:tc>
              <w:tc>
                <w:tcPr>
                  <w:tcW w:w="258"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100</w:t>
                  </w:r>
                </w:p>
              </w:tc>
              <w:tc>
                <w:tcPr>
                  <w:tcW w:w="264" w:type="pct"/>
                  <w:noWrap w:val="0"/>
                  <w:vAlign w:val="center"/>
                </w:tcPr>
                <w:p>
                  <w:pPr>
                    <w:jc w:val="center"/>
                    <w:rPr>
                      <w:rFonts w:hint="eastAsia"/>
                      <w:color w:val="auto"/>
                      <w:szCs w:val="21"/>
                      <w:highlight w:val="none"/>
                      <w:lang w:eastAsia="zh-CN"/>
                    </w:rPr>
                  </w:pPr>
                  <w:r>
                    <w:rPr>
                      <w:rFonts w:hint="eastAsia"/>
                      <w:color w:val="auto"/>
                      <w:szCs w:val="21"/>
                      <w:highlight w:val="none"/>
                      <w:lang w:val="en-US" w:eastAsia="zh-CN"/>
                    </w:rPr>
                    <w:t>99.7</w:t>
                  </w:r>
                </w:p>
              </w:tc>
              <w:tc>
                <w:tcPr>
                  <w:tcW w:w="294" w:type="pct"/>
                  <w:noWrap w:val="0"/>
                  <w:vAlign w:val="center"/>
                </w:tcPr>
                <w:p>
                  <w:pPr>
                    <w:jc w:val="center"/>
                    <w:rPr>
                      <w:color w:val="auto"/>
                      <w:szCs w:val="21"/>
                    </w:rPr>
                  </w:pPr>
                  <w:r>
                    <w:rPr>
                      <w:color w:val="auto"/>
                      <w:szCs w:val="21"/>
                    </w:rPr>
                    <w:t>是</w:t>
                  </w:r>
                </w:p>
              </w:tc>
              <w:tc>
                <w:tcPr>
                  <w:tcW w:w="331" w:type="pct"/>
                  <w:noWrap w:val="0"/>
                  <w:vAlign w:val="center"/>
                </w:tcPr>
                <w:p>
                  <w:pPr>
                    <w:jc w:val="center"/>
                    <w:rPr>
                      <w:rFonts w:hint="default" w:eastAsia="宋体"/>
                      <w:color w:val="auto"/>
                      <w:szCs w:val="21"/>
                      <w:highlight w:val="yellow"/>
                      <w:lang w:val="en-US" w:eastAsia="zh-CN"/>
                    </w:rPr>
                  </w:pPr>
                  <w:r>
                    <w:rPr>
                      <w:rFonts w:hint="eastAsia" w:eastAsia="宋体"/>
                      <w:color w:val="auto"/>
                      <w:szCs w:val="21"/>
                      <w:highlight w:val="none"/>
                      <w:lang w:val="en-US" w:eastAsia="zh-CN"/>
                    </w:rPr>
                    <w:t>0.003</w:t>
                  </w:r>
                </w:p>
              </w:tc>
              <w:tc>
                <w:tcPr>
                  <w:tcW w:w="387" w:type="pct"/>
                  <w:noWrap w:val="0"/>
                  <w:vAlign w:val="center"/>
                </w:tcPr>
                <w:p>
                  <w:pPr>
                    <w:jc w:val="center"/>
                    <w:rPr>
                      <w:rFonts w:hint="default" w:eastAsia="宋体"/>
                      <w:color w:val="auto"/>
                      <w:szCs w:val="21"/>
                      <w:highlight w:val="yellow"/>
                      <w:lang w:val="en-US" w:eastAsia="zh-CN"/>
                    </w:rPr>
                  </w:pPr>
                  <w:r>
                    <w:rPr>
                      <w:rFonts w:hint="eastAsia"/>
                      <w:color w:val="auto"/>
                      <w:szCs w:val="21"/>
                      <w:highlight w:val="none"/>
                      <w:lang w:val="en-US" w:eastAsia="zh-CN"/>
                    </w:rPr>
                    <w:t>0.143</w:t>
                  </w:r>
                </w:p>
              </w:tc>
              <w:tc>
                <w:tcPr>
                  <w:tcW w:w="389" w:type="pct"/>
                  <w:noWrap w:val="0"/>
                  <w:vAlign w:val="center"/>
                </w:tcPr>
                <w:p>
                  <w:pPr>
                    <w:jc w:val="center"/>
                    <w:rPr>
                      <w:rFonts w:hint="eastAsia" w:eastAsia="宋体"/>
                      <w:color w:val="auto"/>
                      <w:szCs w:val="21"/>
                      <w:lang w:val="en-US" w:eastAsia="zh-CN"/>
                    </w:rPr>
                  </w:pPr>
                  <w:r>
                    <w:rPr>
                      <w:rFonts w:hint="eastAsia"/>
                      <w:color w:val="auto"/>
                      <w:szCs w:val="21"/>
                      <w:lang w:val="en-US" w:eastAsia="zh-CN"/>
                    </w:rPr>
                    <w:t>/</w:t>
                  </w:r>
                </w:p>
              </w:tc>
              <w:tc>
                <w:tcPr>
                  <w:tcW w:w="300" w:type="pct"/>
                  <w:noWrap w:val="0"/>
                  <w:vAlign w:val="center"/>
                </w:tcPr>
                <w:p>
                  <w:pPr>
                    <w:jc w:val="center"/>
                    <w:rPr>
                      <w:rFonts w:hint="eastAsia"/>
                      <w:color w:val="auto"/>
                      <w:szCs w:val="21"/>
                      <w:lang w:val="en-US" w:eastAsia="zh-CN"/>
                    </w:rPr>
                  </w:pPr>
                  <w:r>
                    <w:rPr>
                      <w:rFonts w:hint="eastAsia"/>
                      <w:lang w:val="en-US" w:eastAsia="zh-CN"/>
                    </w:rPr>
                    <w:t>/</w:t>
                  </w:r>
                </w:p>
              </w:tc>
              <w:tc>
                <w:tcPr>
                  <w:tcW w:w="357" w:type="pct"/>
                  <w:noWrap w:val="0"/>
                  <w:vAlign w:val="center"/>
                </w:tcPr>
                <w:p>
                  <w:pPr>
                    <w:jc w:val="center"/>
                    <w:rPr>
                      <w:rFonts w:hint="default"/>
                      <w:color w:val="auto"/>
                      <w:szCs w:val="21"/>
                      <w:lang w:val="en-US" w:eastAsia="zh-CN"/>
                    </w:rPr>
                  </w:pPr>
                  <w:r>
                    <w:rPr>
                      <w:rFonts w:hint="eastAsia"/>
                      <w:bCs/>
                      <w:color w:val="auto"/>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137" w:type="pct"/>
                  <w:noWrap w:val="0"/>
                  <w:vAlign w:val="center"/>
                </w:tcPr>
                <w:p>
                  <w:pPr>
                    <w:jc w:val="center"/>
                    <w:rPr>
                      <w:rFonts w:hint="default"/>
                      <w:color w:val="auto"/>
                      <w:szCs w:val="21"/>
                      <w:lang w:val="en-US" w:eastAsia="zh-CN"/>
                    </w:rPr>
                  </w:pPr>
                  <w:r>
                    <w:rPr>
                      <w:rFonts w:hint="eastAsia"/>
                      <w:color w:val="auto"/>
                      <w:szCs w:val="21"/>
                      <w:lang w:val="en-US" w:eastAsia="zh-CN"/>
                    </w:rPr>
                    <w:t>4</w:t>
                  </w:r>
                </w:p>
              </w:tc>
              <w:tc>
                <w:tcPr>
                  <w:tcW w:w="280" w:type="pct"/>
                  <w:noWrap w:val="0"/>
                  <w:vAlign w:val="center"/>
                </w:tcPr>
                <w:p>
                  <w:pPr>
                    <w:jc w:val="center"/>
                    <w:rPr>
                      <w:rFonts w:hint="eastAsia"/>
                    </w:rPr>
                  </w:pPr>
                  <w:r>
                    <w:rPr>
                      <w:rFonts w:hint="eastAsia"/>
                      <w:lang w:val="en-US" w:eastAsia="zh-CN"/>
                    </w:rPr>
                    <w:t>水泥筒仓</w:t>
                  </w:r>
                  <w:r>
                    <w:rPr>
                      <w:rFonts w:hint="eastAsia"/>
                    </w:rPr>
                    <w:t>进仓粉尘</w:t>
                  </w:r>
                  <w:r>
                    <w:rPr>
                      <w:rFonts w:hint="eastAsia"/>
                      <w:lang w:val="en-US" w:eastAsia="zh-CN"/>
                    </w:rPr>
                    <w:t>3#</w:t>
                  </w:r>
                </w:p>
              </w:tc>
              <w:tc>
                <w:tcPr>
                  <w:tcW w:w="180" w:type="pct"/>
                  <w:noWrap w:val="0"/>
                  <w:vAlign w:val="center"/>
                </w:tcPr>
                <w:p>
                  <w:pPr>
                    <w:jc w:val="center"/>
                    <w:rPr>
                      <w:rFonts w:hint="eastAsia"/>
                      <w:color w:val="auto"/>
                      <w:szCs w:val="21"/>
                    </w:rPr>
                  </w:pPr>
                  <w:r>
                    <w:rPr>
                      <w:rFonts w:hint="eastAsia"/>
                      <w:color w:val="auto"/>
                      <w:szCs w:val="21"/>
                    </w:rPr>
                    <w:t>颗粒物</w:t>
                  </w:r>
                </w:p>
              </w:tc>
              <w:tc>
                <w:tcPr>
                  <w:tcW w:w="164" w:type="pct"/>
                  <w:vMerge w:val="continue"/>
                  <w:noWrap w:val="0"/>
                  <w:vAlign w:val="center"/>
                </w:tcPr>
                <w:p>
                  <w:pPr>
                    <w:jc w:val="center"/>
                    <w:rPr>
                      <w:rFonts w:hint="eastAsia"/>
                      <w:color w:val="auto"/>
                      <w:szCs w:val="21"/>
                      <w:lang w:val="en-US" w:eastAsia="zh-CN"/>
                    </w:rPr>
                  </w:pPr>
                </w:p>
              </w:tc>
              <w:tc>
                <w:tcPr>
                  <w:tcW w:w="368" w:type="pct"/>
                  <w:noWrap w:val="0"/>
                  <w:vAlign w:val="center"/>
                </w:tcPr>
                <w:p>
                  <w:pPr>
                    <w:jc w:val="center"/>
                    <w:rPr>
                      <w:rFonts w:hint="default" w:eastAsia="宋体"/>
                      <w:color w:val="auto"/>
                      <w:szCs w:val="21"/>
                      <w:highlight w:val="yellow"/>
                      <w:lang w:val="en-US" w:eastAsia="zh-CN"/>
                    </w:rPr>
                  </w:pPr>
                  <w:r>
                    <w:rPr>
                      <w:rFonts w:hint="eastAsia" w:eastAsia="宋体"/>
                      <w:color w:val="auto"/>
                      <w:szCs w:val="21"/>
                      <w:highlight w:val="none"/>
                      <w:lang w:val="en-US" w:eastAsia="zh-CN"/>
                    </w:rPr>
                    <w:t>1.0</w:t>
                  </w:r>
                </w:p>
              </w:tc>
              <w:tc>
                <w:tcPr>
                  <w:tcW w:w="373" w:type="pct"/>
                  <w:noWrap w:val="0"/>
                  <w:vAlign w:val="center"/>
                </w:tcPr>
                <w:p>
                  <w:pPr>
                    <w:jc w:val="center"/>
                    <w:rPr>
                      <w:rFonts w:hint="default" w:eastAsia="宋体"/>
                      <w:color w:val="auto"/>
                      <w:szCs w:val="21"/>
                      <w:highlight w:val="yellow"/>
                      <w:lang w:val="en-US" w:eastAsia="zh-CN"/>
                    </w:rPr>
                  </w:pPr>
                  <w:r>
                    <w:rPr>
                      <w:rFonts w:hint="eastAsia"/>
                      <w:color w:val="auto"/>
                      <w:szCs w:val="21"/>
                      <w:highlight w:val="none"/>
                      <w:lang w:val="en-US" w:eastAsia="zh-CN"/>
                    </w:rPr>
                    <w:t>47.619</w:t>
                  </w:r>
                </w:p>
              </w:tc>
              <w:tc>
                <w:tcPr>
                  <w:tcW w:w="400" w:type="pct"/>
                  <w:noWrap w:val="0"/>
                  <w:vAlign w:val="center"/>
                </w:tcPr>
                <w:p>
                  <w:pPr>
                    <w:jc w:val="center"/>
                    <w:rPr>
                      <w:rFonts w:hint="eastAsia" w:eastAsia="宋体"/>
                      <w:color w:val="auto"/>
                      <w:szCs w:val="21"/>
                      <w:lang w:val="en-US" w:eastAsia="zh-CN"/>
                    </w:rPr>
                  </w:pPr>
                  <w:r>
                    <w:rPr>
                      <w:rFonts w:hint="eastAsia"/>
                      <w:color w:val="auto"/>
                      <w:szCs w:val="21"/>
                      <w:lang w:val="en-US" w:eastAsia="zh-CN"/>
                    </w:rPr>
                    <w:t>/</w:t>
                  </w:r>
                </w:p>
              </w:tc>
              <w:tc>
                <w:tcPr>
                  <w:tcW w:w="511" w:type="pct"/>
                  <w:noWrap w:val="0"/>
                  <w:vAlign w:val="center"/>
                </w:tcPr>
                <w:p>
                  <w:pPr>
                    <w:jc w:val="center"/>
                    <w:rPr>
                      <w:rFonts w:hint="eastAsia"/>
                      <w:color w:val="auto"/>
                      <w:szCs w:val="21"/>
                      <w:highlight w:val="none"/>
                      <w:lang w:eastAsia="zh-CN"/>
                    </w:rPr>
                  </w:pPr>
                  <w:r>
                    <w:rPr>
                      <w:rFonts w:hint="eastAsia"/>
                      <w:color w:val="auto"/>
                      <w:szCs w:val="21"/>
                      <w:highlight w:val="none"/>
                      <w:lang w:eastAsia="zh-CN"/>
                    </w:rPr>
                    <w:t>仓顶脉冲袋式除尘器</w:t>
                  </w:r>
                </w:p>
              </w:tc>
              <w:tc>
                <w:tcPr>
                  <w:tcW w:w="258"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100</w:t>
                  </w:r>
                </w:p>
              </w:tc>
              <w:tc>
                <w:tcPr>
                  <w:tcW w:w="264" w:type="pct"/>
                  <w:noWrap w:val="0"/>
                  <w:vAlign w:val="center"/>
                </w:tcPr>
                <w:p>
                  <w:pPr>
                    <w:jc w:val="center"/>
                    <w:rPr>
                      <w:rFonts w:hint="eastAsia"/>
                      <w:color w:val="auto"/>
                      <w:szCs w:val="21"/>
                      <w:highlight w:val="none"/>
                      <w:lang w:eastAsia="zh-CN"/>
                    </w:rPr>
                  </w:pPr>
                  <w:r>
                    <w:rPr>
                      <w:rFonts w:hint="eastAsia"/>
                      <w:color w:val="auto"/>
                      <w:szCs w:val="21"/>
                      <w:highlight w:val="none"/>
                      <w:lang w:val="en-US" w:eastAsia="zh-CN"/>
                    </w:rPr>
                    <w:t>99.7</w:t>
                  </w:r>
                </w:p>
              </w:tc>
              <w:tc>
                <w:tcPr>
                  <w:tcW w:w="294" w:type="pct"/>
                  <w:noWrap w:val="0"/>
                  <w:vAlign w:val="center"/>
                </w:tcPr>
                <w:p>
                  <w:pPr>
                    <w:jc w:val="center"/>
                    <w:rPr>
                      <w:color w:val="auto"/>
                      <w:szCs w:val="21"/>
                    </w:rPr>
                  </w:pPr>
                  <w:r>
                    <w:rPr>
                      <w:color w:val="auto"/>
                      <w:szCs w:val="21"/>
                    </w:rPr>
                    <w:t>是</w:t>
                  </w:r>
                </w:p>
              </w:tc>
              <w:tc>
                <w:tcPr>
                  <w:tcW w:w="331" w:type="pct"/>
                  <w:noWrap w:val="0"/>
                  <w:vAlign w:val="center"/>
                </w:tcPr>
                <w:p>
                  <w:pPr>
                    <w:jc w:val="center"/>
                    <w:rPr>
                      <w:rFonts w:hint="default" w:eastAsia="宋体"/>
                      <w:color w:val="auto"/>
                      <w:szCs w:val="21"/>
                      <w:highlight w:val="yellow"/>
                      <w:lang w:val="en-US" w:eastAsia="zh-CN"/>
                    </w:rPr>
                  </w:pPr>
                  <w:r>
                    <w:rPr>
                      <w:rFonts w:hint="eastAsia" w:eastAsia="宋体"/>
                      <w:color w:val="auto"/>
                      <w:szCs w:val="21"/>
                      <w:highlight w:val="none"/>
                      <w:lang w:val="en-US" w:eastAsia="zh-CN"/>
                    </w:rPr>
                    <w:t>0.003</w:t>
                  </w:r>
                </w:p>
              </w:tc>
              <w:tc>
                <w:tcPr>
                  <w:tcW w:w="387" w:type="pct"/>
                  <w:noWrap w:val="0"/>
                  <w:vAlign w:val="center"/>
                </w:tcPr>
                <w:p>
                  <w:pPr>
                    <w:jc w:val="center"/>
                    <w:rPr>
                      <w:rFonts w:hint="eastAsia" w:eastAsia="宋体"/>
                      <w:color w:val="auto"/>
                      <w:szCs w:val="21"/>
                      <w:highlight w:val="yellow"/>
                      <w:lang w:val="en-US" w:eastAsia="zh-CN"/>
                    </w:rPr>
                  </w:pPr>
                  <w:r>
                    <w:rPr>
                      <w:rFonts w:hint="eastAsia"/>
                      <w:color w:val="auto"/>
                      <w:szCs w:val="21"/>
                      <w:highlight w:val="none"/>
                      <w:lang w:val="en-US" w:eastAsia="zh-CN"/>
                    </w:rPr>
                    <w:t>0.14</w:t>
                  </w:r>
                  <w:r>
                    <w:rPr>
                      <w:rFonts w:hint="eastAsia"/>
                      <w:lang w:val="en-US" w:eastAsia="zh-CN"/>
                    </w:rPr>
                    <w:t>3</w:t>
                  </w:r>
                </w:p>
              </w:tc>
              <w:tc>
                <w:tcPr>
                  <w:tcW w:w="389" w:type="pct"/>
                  <w:noWrap w:val="0"/>
                  <w:vAlign w:val="center"/>
                </w:tcPr>
                <w:p>
                  <w:pPr>
                    <w:jc w:val="center"/>
                    <w:rPr>
                      <w:rFonts w:hint="eastAsia" w:eastAsia="宋体"/>
                      <w:color w:val="auto"/>
                      <w:szCs w:val="21"/>
                      <w:lang w:val="en-US" w:eastAsia="zh-CN"/>
                    </w:rPr>
                  </w:pPr>
                  <w:r>
                    <w:rPr>
                      <w:rFonts w:hint="eastAsia"/>
                      <w:color w:val="auto"/>
                      <w:szCs w:val="21"/>
                      <w:lang w:val="en-US" w:eastAsia="zh-CN"/>
                    </w:rPr>
                    <w:t>/</w:t>
                  </w:r>
                </w:p>
              </w:tc>
              <w:tc>
                <w:tcPr>
                  <w:tcW w:w="300" w:type="pct"/>
                  <w:noWrap w:val="0"/>
                  <w:vAlign w:val="center"/>
                </w:tcPr>
                <w:p>
                  <w:pPr>
                    <w:jc w:val="center"/>
                    <w:rPr>
                      <w:rFonts w:hint="eastAsia"/>
                      <w:color w:val="auto"/>
                      <w:szCs w:val="21"/>
                      <w:lang w:val="en-US" w:eastAsia="zh-CN"/>
                    </w:rPr>
                  </w:pPr>
                  <w:r>
                    <w:rPr>
                      <w:rFonts w:hint="eastAsia"/>
                      <w:lang w:val="en-US" w:eastAsia="zh-CN"/>
                    </w:rPr>
                    <w:t>/</w:t>
                  </w:r>
                </w:p>
              </w:tc>
              <w:tc>
                <w:tcPr>
                  <w:tcW w:w="357" w:type="pct"/>
                  <w:noWrap w:val="0"/>
                  <w:vAlign w:val="center"/>
                </w:tcPr>
                <w:p>
                  <w:pPr>
                    <w:jc w:val="center"/>
                    <w:rPr>
                      <w:rFonts w:hint="default"/>
                      <w:color w:val="auto"/>
                      <w:szCs w:val="21"/>
                      <w:lang w:val="en-US" w:eastAsia="zh-CN"/>
                    </w:rPr>
                  </w:pPr>
                  <w:r>
                    <w:rPr>
                      <w:rFonts w:hint="eastAsia"/>
                      <w:bCs/>
                      <w:color w:val="auto"/>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137" w:type="pct"/>
                  <w:noWrap w:val="0"/>
                  <w:vAlign w:val="center"/>
                </w:tcPr>
                <w:p>
                  <w:pPr>
                    <w:jc w:val="center"/>
                    <w:rPr>
                      <w:rFonts w:hint="default" w:eastAsia="宋体"/>
                      <w:color w:val="auto"/>
                      <w:szCs w:val="21"/>
                      <w:lang w:val="en-US" w:eastAsia="zh-CN"/>
                    </w:rPr>
                  </w:pPr>
                  <w:r>
                    <w:rPr>
                      <w:rFonts w:hint="eastAsia" w:eastAsia="宋体"/>
                      <w:color w:val="auto"/>
                      <w:szCs w:val="21"/>
                      <w:lang w:val="en-US" w:eastAsia="zh-CN"/>
                    </w:rPr>
                    <w:t>5</w:t>
                  </w:r>
                </w:p>
              </w:tc>
              <w:tc>
                <w:tcPr>
                  <w:tcW w:w="280" w:type="pct"/>
                  <w:noWrap w:val="0"/>
                  <w:vAlign w:val="center"/>
                </w:tcPr>
                <w:p>
                  <w:pPr>
                    <w:jc w:val="center"/>
                    <w:rPr>
                      <w:rFonts w:hint="eastAsia"/>
                      <w:bCs/>
                      <w:color w:val="auto"/>
                      <w:szCs w:val="21"/>
                    </w:rPr>
                  </w:pPr>
                  <w:r>
                    <w:rPr>
                      <w:rFonts w:hint="eastAsia"/>
                      <w:lang w:val="en-US" w:eastAsia="zh-CN"/>
                    </w:rPr>
                    <w:t>粉煤灰筒仓</w:t>
                  </w:r>
                  <w:r>
                    <w:rPr>
                      <w:rFonts w:hint="eastAsia"/>
                    </w:rPr>
                    <w:t>进仓粉尘</w:t>
                  </w:r>
                </w:p>
              </w:tc>
              <w:tc>
                <w:tcPr>
                  <w:tcW w:w="180" w:type="pct"/>
                  <w:noWrap w:val="0"/>
                  <w:vAlign w:val="center"/>
                </w:tcPr>
                <w:p>
                  <w:pPr>
                    <w:jc w:val="center"/>
                    <w:rPr>
                      <w:rFonts w:hint="eastAsia"/>
                      <w:color w:val="auto"/>
                      <w:szCs w:val="21"/>
                    </w:rPr>
                  </w:pPr>
                  <w:r>
                    <w:rPr>
                      <w:rFonts w:hint="eastAsia"/>
                      <w:color w:val="auto"/>
                      <w:szCs w:val="21"/>
                    </w:rPr>
                    <w:t>颗粒物</w:t>
                  </w:r>
                </w:p>
              </w:tc>
              <w:tc>
                <w:tcPr>
                  <w:tcW w:w="164" w:type="pct"/>
                  <w:vMerge w:val="continue"/>
                  <w:noWrap w:val="0"/>
                  <w:vAlign w:val="center"/>
                </w:tcPr>
                <w:p>
                  <w:pPr>
                    <w:jc w:val="center"/>
                    <w:rPr>
                      <w:rFonts w:hint="eastAsia" w:eastAsia="宋体"/>
                      <w:color w:val="auto"/>
                      <w:szCs w:val="21"/>
                      <w:lang w:eastAsia="zh-CN"/>
                    </w:rPr>
                  </w:pPr>
                </w:p>
              </w:tc>
              <w:tc>
                <w:tcPr>
                  <w:tcW w:w="368"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0.84</w:t>
                  </w:r>
                </w:p>
              </w:tc>
              <w:tc>
                <w:tcPr>
                  <w:tcW w:w="373"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48</w:t>
                  </w:r>
                </w:p>
              </w:tc>
              <w:tc>
                <w:tcPr>
                  <w:tcW w:w="400" w:type="pct"/>
                  <w:noWrap w:val="0"/>
                  <w:vAlign w:val="center"/>
                </w:tcPr>
                <w:p>
                  <w:pPr>
                    <w:jc w:val="center"/>
                    <w:rPr>
                      <w:rFonts w:hint="default" w:eastAsia="宋体"/>
                      <w:color w:val="auto"/>
                      <w:szCs w:val="21"/>
                      <w:lang w:val="en-US" w:eastAsia="zh-CN"/>
                    </w:rPr>
                  </w:pPr>
                  <w:r>
                    <w:rPr>
                      <w:rFonts w:hint="eastAsia"/>
                      <w:color w:val="auto"/>
                      <w:szCs w:val="21"/>
                      <w:lang w:val="en-US" w:eastAsia="zh-CN"/>
                    </w:rPr>
                    <w:t>/</w:t>
                  </w:r>
                </w:p>
              </w:tc>
              <w:tc>
                <w:tcPr>
                  <w:tcW w:w="511" w:type="pct"/>
                  <w:noWrap w:val="0"/>
                  <w:vAlign w:val="center"/>
                </w:tcPr>
                <w:p>
                  <w:pPr>
                    <w:jc w:val="center"/>
                    <w:rPr>
                      <w:rFonts w:hint="eastAsia"/>
                      <w:color w:val="auto"/>
                      <w:szCs w:val="21"/>
                      <w:lang w:eastAsia="zh-CN"/>
                    </w:rPr>
                  </w:pPr>
                  <w:r>
                    <w:rPr>
                      <w:rFonts w:hint="eastAsia"/>
                      <w:color w:val="auto"/>
                      <w:szCs w:val="21"/>
                      <w:highlight w:val="none"/>
                      <w:lang w:eastAsia="zh-CN"/>
                    </w:rPr>
                    <w:t>仓顶脉冲袋式除尘器</w:t>
                  </w:r>
                </w:p>
              </w:tc>
              <w:tc>
                <w:tcPr>
                  <w:tcW w:w="258" w:type="pct"/>
                  <w:noWrap w:val="0"/>
                  <w:vAlign w:val="center"/>
                </w:tcPr>
                <w:p>
                  <w:pPr>
                    <w:jc w:val="center"/>
                    <w:rPr>
                      <w:rFonts w:hint="default" w:eastAsia="宋体"/>
                      <w:color w:val="auto"/>
                      <w:szCs w:val="21"/>
                      <w:highlight w:val="none"/>
                      <w:lang w:val="en-US" w:eastAsia="zh-CN"/>
                    </w:rPr>
                  </w:pPr>
                  <w:r>
                    <w:rPr>
                      <w:rFonts w:hint="eastAsia"/>
                      <w:color w:val="auto"/>
                      <w:szCs w:val="21"/>
                      <w:highlight w:val="none"/>
                      <w:lang w:val="en-US" w:eastAsia="zh-CN"/>
                    </w:rPr>
                    <w:t>100</w:t>
                  </w:r>
                </w:p>
              </w:tc>
              <w:tc>
                <w:tcPr>
                  <w:tcW w:w="264"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99.7</w:t>
                  </w:r>
                </w:p>
              </w:tc>
              <w:tc>
                <w:tcPr>
                  <w:tcW w:w="294" w:type="pct"/>
                  <w:noWrap w:val="0"/>
                  <w:vAlign w:val="center"/>
                </w:tcPr>
                <w:p>
                  <w:pPr>
                    <w:jc w:val="center"/>
                    <w:rPr>
                      <w:color w:val="auto"/>
                      <w:szCs w:val="21"/>
                      <w:highlight w:val="none"/>
                    </w:rPr>
                  </w:pPr>
                  <w:r>
                    <w:rPr>
                      <w:color w:val="auto"/>
                      <w:szCs w:val="21"/>
                      <w:highlight w:val="none"/>
                    </w:rPr>
                    <w:t>是</w:t>
                  </w:r>
                </w:p>
              </w:tc>
              <w:tc>
                <w:tcPr>
                  <w:tcW w:w="331"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0.0025</w:t>
                  </w:r>
                </w:p>
              </w:tc>
              <w:tc>
                <w:tcPr>
                  <w:tcW w:w="387"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0.144</w:t>
                  </w:r>
                </w:p>
              </w:tc>
              <w:tc>
                <w:tcPr>
                  <w:tcW w:w="389" w:type="pct"/>
                  <w:noWrap w:val="0"/>
                  <w:vAlign w:val="center"/>
                </w:tcPr>
                <w:p>
                  <w:pPr>
                    <w:jc w:val="center"/>
                    <w:rPr>
                      <w:rFonts w:hint="default" w:eastAsia="宋体"/>
                      <w:color w:val="auto"/>
                      <w:szCs w:val="21"/>
                      <w:lang w:val="en-US" w:eastAsia="zh-CN"/>
                    </w:rPr>
                  </w:pPr>
                  <w:r>
                    <w:rPr>
                      <w:rFonts w:hint="eastAsia"/>
                      <w:color w:val="auto"/>
                      <w:szCs w:val="21"/>
                      <w:lang w:val="en-US" w:eastAsia="zh-CN"/>
                    </w:rPr>
                    <w:t>/</w:t>
                  </w:r>
                </w:p>
              </w:tc>
              <w:tc>
                <w:tcPr>
                  <w:tcW w:w="300" w:type="pct"/>
                  <w:noWrap w:val="0"/>
                  <w:vAlign w:val="center"/>
                </w:tcPr>
                <w:p>
                  <w:pPr>
                    <w:jc w:val="center"/>
                    <w:rPr>
                      <w:rFonts w:hint="default"/>
                      <w:color w:val="auto"/>
                      <w:szCs w:val="21"/>
                      <w:lang w:val="en-US" w:eastAsia="zh-CN"/>
                    </w:rPr>
                  </w:pPr>
                  <w:r>
                    <w:rPr>
                      <w:rFonts w:hint="eastAsia"/>
                      <w:lang w:val="en-US" w:eastAsia="zh-CN"/>
                    </w:rPr>
                    <w:t>/</w:t>
                  </w:r>
                </w:p>
              </w:tc>
              <w:tc>
                <w:tcPr>
                  <w:tcW w:w="357" w:type="pct"/>
                  <w:noWrap w:val="0"/>
                  <w:vAlign w:val="center"/>
                </w:tcPr>
                <w:p>
                  <w:pPr>
                    <w:jc w:val="center"/>
                    <w:rPr>
                      <w:rFonts w:hint="default"/>
                      <w:color w:val="auto"/>
                      <w:szCs w:val="21"/>
                      <w:lang w:val="en-US" w:eastAsia="zh-CN"/>
                    </w:rPr>
                  </w:pPr>
                  <w:r>
                    <w:rPr>
                      <w:rFonts w:hint="eastAsia"/>
                      <w:bCs/>
                      <w:color w:val="auto"/>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137" w:type="pct"/>
                  <w:noWrap w:val="0"/>
                  <w:vAlign w:val="center"/>
                </w:tcPr>
                <w:p>
                  <w:pPr>
                    <w:jc w:val="center"/>
                    <w:rPr>
                      <w:rFonts w:hint="default"/>
                      <w:color w:val="auto"/>
                      <w:szCs w:val="21"/>
                      <w:lang w:val="en-US" w:eastAsia="zh-CN"/>
                    </w:rPr>
                  </w:pPr>
                  <w:r>
                    <w:rPr>
                      <w:rFonts w:hint="eastAsia"/>
                      <w:color w:val="auto"/>
                      <w:szCs w:val="21"/>
                      <w:lang w:val="en-US" w:eastAsia="zh-CN"/>
                    </w:rPr>
                    <w:t>6</w:t>
                  </w:r>
                </w:p>
              </w:tc>
              <w:tc>
                <w:tcPr>
                  <w:tcW w:w="280" w:type="pct"/>
                  <w:noWrap w:val="0"/>
                  <w:vAlign w:val="center"/>
                </w:tcPr>
                <w:p>
                  <w:pPr>
                    <w:jc w:val="center"/>
                    <w:rPr>
                      <w:rFonts w:hint="eastAsia"/>
                      <w:lang w:val="en-US" w:eastAsia="zh-CN"/>
                    </w:rPr>
                  </w:pPr>
                  <w:r>
                    <w:rPr>
                      <w:rFonts w:hint="eastAsia"/>
                      <w:lang w:val="en-US" w:eastAsia="zh-CN"/>
                    </w:rPr>
                    <w:t>矿粉筒仓</w:t>
                  </w:r>
                  <w:r>
                    <w:rPr>
                      <w:rFonts w:hint="eastAsia"/>
                    </w:rPr>
                    <w:t>进仓粉尘</w:t>
                  </w:r>
                </w:p>
              </w:tc>
              <w:tc>
                <w:tcPr>
                  <w:tcW w:w="180" w:type="pct"/>
                  <w:noWrap w:val="0"/>
                  <w:vAlign w:val="center"/>
                </w:tcPr>
                <w:p>
                  <w:pPr>
                    <w:jc w:val="center"/>
                    <w:rPr>
                      <w:rFonts w:hint="eastAsia"/>
                      <w:color w:val="auto"/>
                      <w:szCs w:val="21"/>
                    </w:rPr>
                  </w:pPr>
                  <w:r>
                    <w:rPr>
                      <w:rFonts w:hint="eastAsia"/>
                      <w:color w:val="auto"/>
                      <w:szCs w:val="21"/>
                    </w:rPr>
                    <w:t>颗粒物</w:t>
                  </w:r>
                </w:p>
              </w:tc>
              <w:tc>
                <w:tcPr>
                  <w:tcW w:w="164" w:type="pct"/>
                  <w:vMerge w:val="continue"/>
                  <w:noWrap w:val="0"/>
                  <w:vAlign w:val="center"/>
                </w:tcPr>
                <w:p>
                  <w:pPr>
                    <w:jc w:val="center"/>
                    <w:rPr>
                      <w:rFonts w:hint="eastAsia"/>
                      <w:color w:val="auto"/>
                      <w:szCs w:val="21"/>
                      <w:lang w:val="en-US" w:eastAsia="zh-CN"/>
                    </w:rPr>
                  </w:pPr>
                </w:p>
              </w:tc>
              <w:tc>
                <w:tcPr>
                  <w:tcW w:w="368"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0.72</w:t>
                  </w:r>
                </w:p>
              </w:tc>
              <w:tc>
                <w:tcPr>
                  <w:tcW w:w="373"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48</w:t>
                  </w:r>
                </w:p>
              </w:tc>
              <w:tc>
                <w:tcPr>
                  <w:tcW w:w="400" w:type="pct"/>
                  <w:noWrap w:val="0"/>
                  <w:vAlign w:val="center"/>
                </w:tcPr>
                <w:p>
                  <w:pPr>
                    <w:jc w:val="center"/>
                    <w:rPr>
                      <w:rFonts w:hint="default" w:eastAsia="宋体"/>
                      <w:color w:val="auto"/>
                      <w:szCs w:val="21"/>
                      <w:lang w:val="en-US" w:eastAsia="zh-CN"/>
                    </w:rPr>
                  </w:pPr>
                  <w:r>
                    <w:rPr>
                      <w:rFonts w:hint="eastAsia"/>
                      <w:color w:val="auto"/>
                      <w:szCs w:val="21"/>
                      <w:lang w:val="en-US" w:eastAsia="zh-CN"/>
                    </w:rPr>
                    <w:t>/</w:t>
                  </w:r>
                </w:p>
              </w:tc>
              <w:tc>
                <w:tcPr>
                  <w:tcW w:w="511" w:type="pct"/>
                  <w:noWrap w:val="0"/>
                  <w:vAlign w:val="center"/>
                </w:tcPr>
                <w:p>
                  <w:pPr>
                    <w:jc w:val="center"/>
                    <w:rPr>
                      <w:rFonts w:hint="eastAsia"/>
                      <w:color w:val="auto"/>
                      <w:szCs w:val="21"/>
                      <w:lang w:val="en-US" w:eastAsia="zh-CN"/>
                    </w:rPr>
                  </w:pPr>
                  <w:r>
                    <w:rPr>
                      <w:rFonts w:hint="eastAsia"/>
                      <w:color w:val="auto"/>
                      <w:szCs w:val="21"/>
                      <w:highlight w:val="none"/>
                      <w:lang w:eastAsia="zh-CN"/>
                    </w:rPr>
                    <w:t>仓顶脉冲袋式除尘器</w:t>
                  </w:r>
                </w:p>
              </w:tc>
              <w:tc>
                <w:tcPr>
                  <w:tcW w:w="258"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100</w:t>
                  </w:r>
                </w:p>
              </w:tc>
              <w:tc>
                <w:tcPr>
                  <w:tcW w:w="264" w:type="pct"/>
                  <w:noWrap w:val="0"/>
                  <w:vAlign w:val="center"/>
                </w:tcPr>
                <w:p>
                  <w:pPr>
                    <w:jc w:val="center"/>
                    <w:rPr>
                      <w:rFonts w:hint="default"/>
                      <w:color w:val="auto"/>
                      <w:szCs w:val="21"/>
                      <w:highlight w:val="yellow"/>
                      <w:lang w:val="en-US" w:eastAsia="zh-CN"/>
                    </w:rPr>
                  </w:pPr>
                  <w:r>
                    <w:rPr>
                      <w:rFonts w:hint="eastAsia"/>
                      <w:color w:val="auto"/>
                      <w:szCs w:val="21"/>
                      <w:highlight w:val="none"/>
                      <w:lang w:val="en-US" w:eastAsia="zh-CN"/>
                    </w:rPr>
                    <w:t>99.7</w:t>
                  </w:r>
                </w:p>
              </w:tc>
              <w:tc>
                <w:tcPr>
                  <w:tcW w:w="294" w:type="pct"/>
                  <w:noWrap w:val="0"/>
                  <w:vAlign w:val="center"/>
                </w:tcPr>
                <w:p>
                  <w:pPr>
                    <w:jc w:val="center"/>
                    <w:rPr>
                      <w:color w:val="auto"/>
                      <w:szCs w:val="21"/>
                      <w:highlight w:val="yellow"/>
                    </w:rPr>
                  </w:pPr>
                  <w:r>
                    <w:rPr>
                      <w:color w:val="auto"/>
                      <w:szCs w:val="21"/>
                      <w:highlight w:val="none"/>
                    </w:rPr>
                    <w:t>是</w:t>
                  </w:r>
                </w:p>
              </w:tc>
              <w:tc>
                <w:tcPr>
                  <w:tcW w:w="331"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0.0022</w:t>
                  </w:r>
                </w:p>
              </w:tc>
              <w:tc>
                <w:tcPr>
                  <w:tcW w:w="387"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0.144</w:t>
                  </w:r>
                </w:p>
              </w:tc>
              <w:tc>
                <w:tcPr>
                  <w:tcW w:w="389" w:type="pct"/>
                  <w:noWrap w:val="0"/>
                  <w:vAlign w:val="center"/>
                </w:tcPr>
                <w:p>
                  <w:pPr>
                    <w:jc w:val="center"/>
                    <w:rPr>
                      <w:rFonts w:hint="default" w:eastAsia="宋体"/>
                      <w:color w:val="auto"/>
                      <w:szCs w:val="21"/>
                      <w:lang w:val="en-US" w:eastAsia="zh-CN"/>
                    </w:rPr>
                  </w:pPr>
                  <w:r>
                    <w:rPr>
                      <w:rFonts w:hint="eastAsia"/>
                      <w:color w:val="auto"/>
                      <w:szCs w:val="21"/>
                      <w:lang w:val="en-US" w:eastAsia="zh-CN"/>
                    </w:rPr>
                    <w:t>/</w:t>
                  </w:r>
                </w:p>
              </w:tc>
              <w:tc>
                <w:tcPr>
                  <w:tcW w:w="300" w:type="pct"/>
                  <w:noWrap w:val="0"/>
                  <w:vAlign w:val="center"/>
                </w:tcPr>
                <w:p>
                  <w:pPr>
                    <w:jc w:val="center"/>
                    <w:rPr>
                      <w:rFonts w:hint="eastAsia"/>
                      <w:color w:val="auto"/>
                      <w:szCs w:val="21"/>
                      <w:lang w:val="en-US" w:eastAsia="zh-CN"/>
                    </w:rPr>
                  </w:pPr>
                  <w:r>
                    <w:rPr>
                      <w:rFonts w:hint="eastAsia"/>
                      <w:lang w:val="en-US" w:eastAsia="zh-CN"/>
                    </w:rPr>
                    <w:t>/</w:t>
                  </w:r>
                </w:p>
              </w:tc>
              <w:tc>
                <w:tcPr>
                  <w:tcW w:w="357" w:type="pct"/>
                  <w:noWrap w:val="0"/>
                  <w:vAlign w:val="center"/>
                </w:tcPr>
                <w:p>
                  <w:pPr>
                    <w:jc w:val="center"/>
                    <w:rPr>
                      <w:rFonts w:hint="default"/>
                      <w:color w:val="auto"/>
                      <w:szCs w:val="21"/>
                      <w:lang w:val="en-US" w:eastAsia="zh-CN"/>
                    </w:rPr>
                  </w:pPr>
                  <w:r>
                    <w:rPr>
                      <w:rFonts w:hint="eastAsia"/>
                      <w:bCs/>
                      <w:color w:val="auto"/>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137"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7</w:t>
                  </w:r>
                </w:p>
              </w:tc>
              <w:tc>
                <w:tcPr>
                  <w:tcW w:w="280" w:type="pct"/>
                  <w:noWrap w:val="0"/>
                  <w:vAlign w:val="center"/>
                </w:tcPr>
                <w:p>
                  <w:pPr>
                    <w:jc w:val="center"/>
                    <w:rPr>
                      <w:rFonts w:hint="default"/>
                      <w:highlight w:val="none"/>
                      <w:lang w:val="en-US" w:eastAsia="zh-CN"/>
                    </w:rPr>
                  </w:pPr>
                  <w:r>
                    <w:rPr>
                      <w:rFonts w:hint="eastAsia"/>
                      <w:highlight w:val="none"/>
                      <w:lang w:val="en-US" w:eastAsia="zh-CN"/>
                    </w:rPr>
                    <w:t>物料混合搅拌</w:t>
                  </w:r>
                </w:p>
              </w:tc>
              <w:tc>
                <w:tcPr>
                  <w:tcW w:w="180" w:type="pct"/>
                  <w:noWrap w:val="0"/>
                  <w:vAlign w:val="center"/>
                </w:tcPr>
                <w:p>
                  <w:pPr>
                    <w:jc w:val="center"/>
                    <w:rPr>
                      <w:rFonts w:hint="eastAsia"/>
                      <w:color w:val="auto"/>
                      <w:szCs w:val="21"/>
                      <w:highlight w:val="none"/>
                    </w:rPr>
                  </w:pPr>
                  <w:r>
                    <w:rPr>
                      <w:rFonts w:hint="eastAsia"/>
                      <w:color w:val="auto"/>
                      <w:szCs w:val="21"/>
                      <w:highlight w:val="none"/>
                    </w:rPr>
                    <w:t>颗粒物</w:t>
                  </w:r>
                </w:p>
              </w:tc>
              <w:tc>
                <w:tcPr>
                  <w:tcW w:w="164" w:type="pct"/>
                  <w:noWrap w:val="0"/>
                  <w:vAlign w:val="center"/>
                </w:tcPr>
                <w:p>
                  <w:pPr>
                    <w:jc w:val="center"/>
                    <w:rPr>
                      <w:rFonts w:hint="eastAsia"/>
                      <w:color w:val="auto"/>
                      <w:szCs w:val="21"/>
                      <w:highlight w:val="none"/>
                      <w:lang w:val="en-US" w:eastAsia="zh-CN"/>
                    </w:rPr>
                  </w:pPr>
                  <w:r>
                    <w:rPr>
                      <w:rFonts w:hint="eastAsia"/>
                      <w:color w:val="auto"/>
                      <w:szCs w:val="21"/>
                      <w:highlight w:val="none"/>
                      <w:lang w:val="en-US" w:eastAsia="zh-CN"/>
                    </w:rPr>
                    <w:t>/</w:t>
                  </w:r>
                </w:p>
              </w:tc>
              <w:tc>
                <w:tcPr>
                  <w:tcW w:w="368"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29.9</w:t>
                  </w:r>
                </w:p>
              </w:tc>
              <w:tc>
                <w:tcPr>
                  <w:tcW w:w="373"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5.191</w:t>
                  </w:r>
                </w:p>
              </w:tc>
              <w:tc>
                <w:tcPr>
                  <w:tcW w:w="400" w:type="pct"/>
                  <w:noWrap w:val="0"/>
                  <w:vAlign w:val="center"/>
                </w:tcPr>
                <w:p>
                  <w:pPr>
                    <w:jc w:val="center"/>
                    <w:rPr>
                      <w:rFonts w:hint="default" w:eastAsia="宋体"/>
                      <w:color w:val="auto"/>
                      <w:szCs w:val="21"/>
                      <w:highlight w:val="none"/>
                      <w:lang w:val="en-US" w:eastAsia="zh-CN"/>
                    </w:rPr>
                  </w:pPr>
                  <w:r>
                    <w:rPr>
                      <w:rFonts w:hint="eastAsia" w:eastAsia="宋体"/>
                      <w:color w:val="auto"/>
                      <w:szCs w:val="21"/>
                      <w:highlight w:val="none"/>
                      <w:lang w:val="en-US" w:eastAsia="zh-CN"/>
                    </w:rPr>
                    <w:t>/</w:t>
                  </w:r>
                </w:p>
              </w:tc>
              <w:tc>
                <w:tcPr>
                  <w:tcW w:w="511" w:type="pct"/>
                  <w:noWrap w:val="0"/>
                  <w:vAlign w:val="center"/>
                </w:tcPr>
                <w:p>
                  <w:pPr>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反吹风袋式除尘器</w:t>
                  </w:r>
                  <w:r>
                    <w:rPr>
                      <w:rFonts w:hint="eastAsia" w:cs="Times New Roman"/>
                      <w:color w:val="auto"/>
                      <w:szCs w:val="21"/>
                      <w:highlight w:val="none"/>
                      <w:lang w:val="en-US" w:eastAsia="zh-CN"/>
                    </w:rPr>
                    <w:t>+全密闭搅拌楼</w:t>
                  </w:r>
                </w:p>
              </w:tc>
              <w:tc>
                <w:tcPr>
                  <w:tcW w:w="258" w:type="pct"/>
                  <w:noWrap w:val="0"/>
                  <w:vAlign w:val="center"/>
                </w:tcPr>
                <w:p>
                  <w:pPr>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90</w:t>
                  </w:r>
                </w:p>
              </w:tc>
              <w:tc>
                <w:tcPr>
                  <w:tcW w:w="264"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199</w:t>
                  </w:r>
                </w:p>
              </w:tc>
              <w:tc>
                <w:tcPr>
                  <w:tcW w:w="294" w:type="pct"/>
                  <w:noWrap w:val="0"/>
                  <w:vAlign w:val="center"/>
                </w:tcPr>
                <w:p>
                  <w:pPr>
                    <w:jc w:val="center"/>
                    <w:rPr>
                      <w:color w:val="auto"/>
                      <w:szCs w:val="21"/>
                      <w:highlight w:val="none"/>
                    </w:rPr>
                  </w:pPr>
                  <w:r>
                    <w:rPr>
                      <w:color w:val="auto"/>
                      <w:szCs w:val="21"/>
                      <w:highlight w:val="none"/>
                    </w:rPr>
                    <w:t>是</w:t>
                  </w:r>
                </w:p>
              </w:tc>
              <w:tc>
                <w:tcPr>
                  <w:tcW w:w="331"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0.0299</w:t>
                  </w:r>
                </w:p>
              </w:tc>
              <w:tc>
                <w:tcPr>
                  <w:tcW w:w="387"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0.0052</w:t>
                  </w:r>
                </w:p>
              </w:tc>
              <w:tc>
                <w:tcPr>
                  <w:tcW w:w="389" w:type="pct"/>
                  <w:noWrap w:val="0"/>
                  <w:vAlign w:val="center"/>
                </w:tcPr>
                <w:p>
                  <w:pPr>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300"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w:t>
                  </w:r>
                </w:p>
              </w:tc>
              <w:tc>
                <w:tcPr>
                  <w:tcW w:w="357" w:type="pct"/>
                  <w:noWrap w:val="0"/>
                  <w:vAlign w:val="center"/>
                </w:tcPr>
                <w:p>
                  <w:pPr>
                    <w:jc w:val="center"/>
                    <w:rPr>
                      <w:rFonts w:hint="default"/>
                      <w:color w:val="auto"/>
                      <w:szCs w:val="21"/>
                      <w:highlight w:val="none"/>
                      <w:lang w:val="en-US" w:eastAsia="zh-CN"/>
                    </w:rPr>
                  </w:pPr>
                  <w:r>
                    <w:rPr>
                      <w:rFonts w:hint="eastAsia"/>
                      <w:color w:val="auto"/>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137" w:type="pct"/>
                  <w:vMerge w:val="restart"/>
                  <w:noWrap w:val="0"/>
                  <w:vAlign w:val="center"/>
                </w:tcPr>
                <w:p>
                  <w:pPr>
                    <w:jc w:val="center"/>
                    <w:rPr>
                      <w:rFonts w:hint="default" w:eastAsia="宋体"/>
                      <w:color w:val="auto"/>
                      <w:szCs w:val="21"/>
                      <w:highlight w:val="none"/>
                      <w:lang w:val="en-US" w:eastAsia="zh-CN"/>
                    </w:rPr>
                  </w:pPr>
                  <w:r>
                    <w:rPr>
                      <w:rFonts w:hint="eastAsia" w:eastAsia="宋体"/>
                      <w:color w:val="auto"/>
                      <w:szCs w:val="21"/>
                      <w:highlight w:val="none"/>
                      <w:lang w:val="en-US" w:eastAsia="zh-CN"/>
                    </w:rPr>
                    <w:t>8</w:t>
                  </w:r>
                </w:p>
              </w:tc>
              <w:tc>
                <w:tcPr>
                  <w:tcW w:w="280" w:type="pct"/>
                  <w:vMerge w:val="restart"/>
                  <w:noWrap w:val="0"/>
                  <w:vAlign w:val="center"/>
                </w:tcPr>
                <w:p>
                  <w:pPr>
                    <w:jc w:val="center"/>
                    <w:rPr>
                      <w:rFonts w:hint="eastAsia"/>
                      <w:bCs/>
                      <w:color w:val="auto"/>
                      <w:szCs w:val="21"/>
                      <w:highlight w:val="none"/>
                    </w:rPr>
                  </w:pPr>
                  <w:r>
                    <w:rPr>
                      <w:rFonts w:hint="eastAsia"/>
                      <w:bCs/>
                      <w:color w:val="auto"/>
                      <w:szCs w:val="21"/>
                      <w:highlight w:val="none"/>
                    </w:rPr>
                    <w:t>食堂油烟</w:t>
                  </w:r>
                </w:p>
              </w:tc>
              <w:tc>
                <w:tcPr>
                  <w:tcW w:w="180" w:type="pct"/>
                  <w:vMerge w:val="restart"/>
                  <w:noWrap w:val="0"/>
                  <w:vAlign w:val="center"/>
                </w:tcPr>
                <w:p>
                  <w:pPr>
                    <w:jc w:val="center"/>
                    <w:rPr>
                      <w:rFonts w:hint="eastAsia"/>
                      <w:color w:val="auto"/>
                      <w:sz w:val="21"/>
                      <w:szCs w:val="21"/>
                      <w:highlight w:val="none"/>
                    </w:rPr>
                  </w:pPr>
                  <w:r>
                    <w:rPr>
                      <w:rFonts w:hint="eastAsia"/>
                      <w:color w:val="auto"/>
                      <w:sz w:val="21"/>
                      <w:szCs w:val="21"/>
                      <w:highlight w:val="none"/>
                    </w:rPr>
                    <w:t>油烟</w:t>
                  </w:r>
                </w:p>
              </w:tc>
              <w:tc>
                <w:tcPr>
                  <w:tcW w:w="164" w:type="pct"/>
                  <w:noWrap w:val="0"/>
                  <w:vAlign w:val="center"/>
                </w:tcPr>
                <w:p>
                  <w:pPr>
                    <w:jc w:val="center"/>
                    <w:rPr>
                      <w:rFonts w:hint="eastAsia"/>
                      <w:color w:val="auto"/>
                      <w:sz w:val="21"/>
                      <w:szCs w:val="21"/>
                      <w:highlight w:val="none"/>
                    </w:rPr>
                  </w:pPr>
                  <w:r>
                    <w:rPr>
                      <w:rFonts w:hint="eastAsia"/>
                      <w:color w:val="auto"/>
                      <w:sz w:val="21"/>
                      <w:szCs w:val="21"/>
                      <w:highlight w:val="none"/>
                    </w:rPr>
                    <w:t>有组织</w:t>
                  </w:r>
                </w:p>
              </w:tc>
              <w:tc>
                <w:tcPr>
                  <w:tcW w:w="368" w:type="pct"/>
                  <w:noWrap w:val="0"/>
                  <w:vAlign w:val="center"/>
                </w:tcPr>
                <w:p>
                  <w:pPr>
                    <w:jc w:val="center"/>
                    <w:rPr>
                      <w:bCs/>
                      <w:color w:val="auto"/>
                      <w:sz w:val="21"/>
                      <w:szCs w:val="21"/>
                      <w:highlight w:val="none"/>
                    </w:rPr>
                  </w:pPr>
                  <w:r>
                    <w:rPr>
                      <w:rFonts w:hint="eastAsia"/>
                      <w:bCs/>
                      <w:color w:val="auto"/>
                      <w:sz w:val="21"/>
                      <w:szCs w:val="21"/>
                      <w:highlight w:val="none"/>
                      <w:lang w:val="en-US" w:eastAsia="zh-CN"/>
                    </w:rPr>
                    <w:t>6.912</w:t>
                  </w:r>
                  <w:r>
                    <w:rPr>
                      <w:rFonts w:hint="eastAsia"/>
                      <w:bCs/>
                      <w:color w:val="auto"/>
                      <w:sz w:val="21"/>
                      <w:szCs w:val="21"/>
                      <w:highlight w:val="none"/>
                    </w:rPr>
                    <w:t>kg/a</w:t>
                  </w:r>
                </w:p>
              </w:tc>
              <w:tc>
                <w:tcPr>
                  <w:tcW w:w="373" w:type="pct"/>
                  <w:noWrap w:val="0"/>
                  <w:vAlign w:val="center"/>
                </w:tcPr>
                <w:p>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0.0072</w:t>
                  </w:r>
                </w:p>
              </w:tc>
              <w:tc>
                <w:tcPr>
                  <w:tcW w:w="400" w:type="pct"/>
                  <w:noWrap w:val="0"/>
                  <w:vAlign w:val="center"/>
                </w:tcPr>
                <w:p>
                  <w:pPr>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3.6</w:t>
                  </w:r>
                </w:p>
              </w:tc>
              <w:tc>
                <w:tcPr>
                  <w:tcW w:w="511" w:type="pct"/>
                  <w:noWrap w:val="0"/>
                  <w:vAlign w:val="center"/>
                </w:tcPr>
                <w:p>
                  <w:pPr>
                    <w:jc w:val="center"/>
                    <w:rPr>
                      <w:rFonts w:hint="eastAsia"/>
                      <w:bCs/>
                      <w:color w:val="auto"/>
                      <w:szCs w:val="21"/>
                      <w:highlight w:val="none"/>
                    </w:rPr>
                  </w:pPr>
                  <w:r>
                    <w:rPr>
                      <w:rFonts w:hint="eastAsia"/>
                      <w:bCs/>
                      <w:color w:val="auto"/>
                      <w:szCs w:val="21"/>
                      <w:highlight w:val="none"/>
                    </w:rPr>
                    <w:t>油烟净化器</w:t>
                  </w:r>
                </w:p>
              </w:tc>
              <w:tc>
                <w:tcPr>
                  <w:tcW w:w="258" w:type="pct"/>
                  <w:noWrap w:val="0"/>
                  <w:vAlign w:val="center"/>
                </w:tcPr>
                <w:p>
                  <w:pPr>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80</w:t>
                  </w:r>
                </w:p>
              </w:tc>
              <w:tc>
                <w:tcPr>
                  <w:tcW w:w="264" w:type="pct"/>
                  <w:noWrap w:val="0"/>
                  <w:vAlign w:val="center"/>
                </w:tcPr>
                <w:p>
                  <w:pPr>
                    <w:jc w:val="center"/>
                    <w:rPr>
                      <w:bCs/>
                      <w:color w:val="auto"/>
                      <w:sz w:val="21"/>
                      <w:szCs w:val="21"/>
                      <w:highlight w:val="none"/>
                    </w:rPr>
                  </w:pPr>
                  <w:r>
                    <w:rPr>
                      <w:rFonts w:hint="eastAsia"/>
                      <w:bCs/>
                      <w:color w:val="auto"/>
                      <w:sz w:val="21"/>
                      <w:szCs w:val="21"/>
                      <w:highlight w:val="none"/>
                    </w:rPr>
                    <w:t>60</w:t>
                  </w:r>
                </w:p>
              </w:tc>
              <w:tc>
                <w:tcPr>
                  <w:tcW w:w="294" w:type="pct"/>
                  <w:noWrap w:val="0"/>
                  <w:vAlign w:val="center"/>
                </w:tcPr>
                <w:p>
                  <w:pPr>
                    <w:jc w:val="center"/>
                    <w:rPr>
                      <w:color w:val="auto"/>
                      <w:sz w:val="21"/>
                      <w:szCs w:val="21"/>
                      <w:highlight w:val="none"/>
                    </w:rPr>
                  </w:pPr>
                  <w:r>
                    <w:rPr>
                      <w:rFonts w:hint="eastAsia"/>
                      <w:color w:val="auto"/>
                      <w:sz w:val="21"/>
                      <w:szCs w:val="21"/>
                      <w:highlight w:val="none"/>
                    </w:rPr>
                    <w:t>是</w:t>
                  </w:r>
                </w:p>
              </w:tc>
              <w:tc>
                <w:tcPr>
                  <w:tcW w:w="331" w:type="pct"/>
                  <w:noWrap w:val="0"/>
                  <w:vAlign w:val="center"/>
                </w:tcPr>
                <w:p>
                  <w:pPr>
                    <w:jc w:val="center"/>
                    <w:rPr>
                      <w:bCs/>
                      <w:color w:val="auto"/>
                      <w:sz w:val="21"/>
                      <w:szCs w:val="21"/>
                      <w:highlight w:val="none"/>
                    </w:rPr>
                  </w:pPr>
                  <w:r>
                    <w:rPr>
                      <w:rFonts w:hint="eastAsia"/>
                      <w:bCs/>
                      <w:color w:val="auto"/>
                      <w:sz w:val="21"/>
                      <w:szCs w:val="21"/>
                      <w:highlight w:val="none"/>
                      <w:lang w:val="en-US" w:eastAsia="zh-CN"/>
                    </w:rPr>
                    <w:t>2.7648</w:t>
                  </w:r>
                  <w:r>
                    <w:rPr>
                      <w:rFonts w:hint="eastAsia"/>
                      <w:bCs/>
                      <w:color w:val="auto"/>
                      <w:sz w:val="21"/>
                      <w:szCs w:val="21"/>
                      <w:highlight w:val="none"/>
                    </w:rPr>
                    <w:t>kg/a</w:t>
                  </w:r>
                </w:p>
              </w:tc>
              <w:tc>
                <w:tcPr>
                  <w:tcW w:w="387" w:type="pct"/>
                  <w:noWrap w:val="0"/>
                  <w:vAlign w:val="center"/>
                </w:tcPr>
                <w:p>
                  <w:pPr>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0.0029</w:t>
                  </w:r>
                </w:p>
              </w:tc>
              <w:tc>
                <w:tcPr>
                  <w:tcW w:w="389" w:type="pct"/>
                  <w:noWrap w:val="0"/>
                  <w:vAlign w:val="center"/>
                </w:tcPr>
                <w:p>
                  <w:pPr>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1.44</w:t>
                  </w:r>
                </w:p>
              </w:tc>
              <w:tc>
                <w:tcPr>
                  <w:tcW w:w="300" w:type="pct"/>
                  <w:noWrap w:val="0"/>
                  <w:vAlign w:val="center"/>
                </w:tcPr>
                <w:p>
                  <w:pPr>
                    <w:jc w:val="center"/>
                    <w:rPr>
                      <w:rFonts w:hint="eastAsia"/>
                      <w:color w:val="auto"/>
                      <w:sz w:val="21"/>
                      <w:szCs w:val="21"/>
                      <w:highlight w:val="none"/>
                    </w:rPr>
                  </w:pPr>
                  <w:r>
                    <w:rPr>
                      <w:rFonts w:hint="eastAsia"/>
                      <w:color w:val="auto"/>
                      <w:sz w:val="21"/>
                      <w:szCs w:val="21"/>
                      <w:highlight w:val="none"/>
                    </w:rPr>
                    <w:t>油烟排放口</w:t>
                  </w:r>
                </w:p>
              </w:tc>
              <w:tc>
                <w:tcPr>
                  <w:tcW w:w="357" w:type="pct"/>
                  <w:noWrap w:val="0"/>
                  <w:vAlign w:val="center"/>
                </w:tcPr>
                <w:p>
                  <w:pPr>
                    <w:jc w:val="center"/>
                    <w:rPr>
                      <w:rFonts w:hint="default"/>
                      <w:color w:val="auto"/>
                      <w:szCs w:val="21"/>
                      <w:highlight w:val="none"/>
                      <w:lang w:val="en-US"/>
                    </w:rPr>
                  </w:pPr>
                  <w:r>
                    <w:rPr>
                      <w:rFonts w:hint="eastAsia"/>
                      <w:bCs/>
                      <w:color w:val="auto"/>
                      <w:szCs w:val="21"/>
                      <w:highlight w:val="none"/>
                      <w:lang w:val="en-US" w:eastAsia="zh-CN"/>
                    </w:rPr>
                    <w:t>DA001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137" w:type="pct"/>
                  <w:vMerge w:val="continue"/>
                  <w:noWrap w:val="0"/>
                  <w:vAlign w:val="center"/>
                </w:tcPr>
                <w:p>
                  <w:pPr>
                    <w:jc w:val="center"/>
                    <w:rPr>
                      <w:rFonts w:hint="eastAsia" w:eastAsia="宋体"/>
                      <w:color w:val="auto"/>
                      <w:szCs w:val="21"/>
                      <w:highlight w:val="none"/>
                      <w:lang w:val="en-US" w:eastAsia="zh-CN"/>
                    </w:rPr>
                  </w:pPr>
                </w:p>
              </w:tc>
              <w:tc>
                <w:tcPr>
                  <w:tcW w:w="280" w:type="pct"/>
                  <w:vMerge w:val="continue"/>
                  <w:noWrap w:val="0"/>
                  <w:vAlign w:val="center"/>
                </w:tcPr>
                <w:p>
                  <w:pPr>
                    <w:jc w:val="center"/>
                    <w:rPr>
                      <w:rFonts w:hint="eastAsia"/>
                      <w:bCs/>
                      <w:color w:val="auto"/>
                      <w:szCs w:val="21"/>
                      <w:highlight w:val="none"/>
                    </w:rPr>
                  </w:pPr>
                </w:p>
              </w:tc>
              <w:tc>
                <w:tcPr>
                  <w:tcW w:w="180" w:type="pct"/>
                  <w:vMerge w:val="continue"/>
                  <w:noWrap w:val="0"/>
                  <w:vAlign w:val="center"/>
                </w:tcPr>
                <w:p>
                  <w:pPr>
                    <w:jc w:val="center"/>
                    <w:rPr>
                      <w:rFonts w:hint="eastAsia"/>
                      <w:color w:val="auto"/>
                      <w:sz w:val="21"/>
                      <w:szCs w:val="21"/>
                      <w:highlight w:val="none"/>
                    </w:rPr>
                  </w:pPr>
                </w:p>
              </w:tc>
              <w:tc>
                <w:tcPr>
                  <w:tcW w:w="164" w:type="pct"/>
                  <w:noWrap w:val="0"/>
                  <w:vAlign w:val="center"/>
                </w:tcPr>
                <w:p>
                  <w:pP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无组织</w:t>
                  </w:r>
                </w:p>
              </w:tc>
              <w:tc>
                <w:tcPr>
                  <w:tcW w:w="368" w:type="pct"/>
                  <w:noWrap w:val="0"/>
                  <w:vAlign w:val="center"/>
                </w:tcPr>
                <w:p>
                  <w:pPr>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1.728kg/a</w:t>
                  </w:r>
                </w:p>
              </w:tc>
              <w:tc>
                <w:tcPr>
                  <w:tcW w:w="373" w:type="pct"/>
                  <w:noWrap w:val="0"/>
                  <w:vAlign w:val="center"/>
                </w:tcPr>
                <w:p>
                  <w:pPr>
                    <w:jc w:val="center"/>
                    <w:rPr>
                      <w:rFonts w:hint="default"/>
                      <w:color w:val="auto"/>
                      <w:sz w:val="21"/>
                      <w:szCs w:val="21"/>
                      <w:highlight w:val="none"/>
                      <w:lang w:val="en-US" w:eastAsia="zh-CN"/>
                    </w:rPr>
                  </w:pPr>
                  <w:r>
                    <w:rPr>
                      <w:rFonts w:hint="eastAsia"/>
                      <w:color w:val="auto"/>
                      <w:sz w:val="21"/>
                      <w:szCs w:val="21"/>
                      <w:highlight w:val="none"/>
                      <w:lang w:val="en-US" w:eastAsia="zh-CN"/>
                    </w:rPr>
                    <w:t>0.0018</w:t>
                  </w:r>
                </w:p>
              </w:tc>
              <w:tc>
                <w:tcPr>
                  <w:tcW w:w="400" w:type="pct"/>
                  <w:noWrap w:val="0"/>
                  <w:vAlign w:val="center"/>
                </w:tcPr>
                <w:p>
                  <w:pPr>
                    <w:jc w:val="center"/>
                    <w:rPr>
                      <w:rFonts w:hint="default"/>
                      <w:bCs/>
                      <w:color w:val="auto"/>
                      <w:sz w:val="21"/>
                      <w:szCs w:val="21"/>
                      <w:highlight w:val="none"/>
                      <w:lang w:val="en-US" w:eastAsia="zh-CN"/>
                    </w:rPr>
                  </w:pPr>
                  <w:r>
                    <w:rPr>
                      <w:rFonts w:hint="eastAsia"/>
                      <w:bCs/>
                      <w:color w:val="auto"/>
                      <w:sz w:val="21"/>
                      <w:szCs w:val="21"/>
                      <w:highlight w:val="none"/>
                      <w:lang w:val="en-US" w:eastAsia="zh-CN"/>
                    </w:rPr>
                    <w:t>/</w:t>
                  </w:r>
                </w:p>
              </w:tc>
              <w:tc>
                <w:tcPr>
                  <w:tcW w:w="511" w:type="pct"/>
                  <w:noWrap w:val="0"/>
                  <w:vAlign w:val="center"/>
                </w:tcPr>
                <w:p>
                  <w:pPr>
                    <w:jc w:val="center"/>
                    <w:rPr>
                      <w:rFonts w:hint="eastAsia" w:eastAsia="宋体"/>
                      <w:bCs/>
                      <w:color w:val="auto"/>
                      <w:szCs w:val="21"/>
                      <w:highlight w:val="none"/>
                      <w:lang w:val="en-US" w:eastAsia="zh-CN"/>
                    </w:rPr>
                  </w:pPr>
                  <w:r>
                    <w:rPr>
                      <w:rFonts w:hint="eastAsia"/>
                      <w:bCs/>
                      <w:color w:val="auto"/>
                      <w:szCs w:val="21"/>
                      <w:highlight w:val="none"/>
                      <w:lang w:val="en-US" w:eastAsia="zh-CN"/>
                    </w:rPr>
                    <w:t>/</w:t>
                  </w:r>
                </w:p>
              </w:tc>
              <w:tc>
                <w:tcPr>
                  <w:tcW w:w="258" w:type="pct"/>
                  <w:noWrap w:val="0"/>
                  <w:vAlign w:val="center"/>
                </w:tcPr>
                <w:p>
                  <w:pPr>
                    <w:jc w:val="center"/>
                    <w:rPr>
                      <w:rFonts w:hint="default"/>
                      <w:bCs/>
                      <w:color w:val="auto"/>
                      <w:sz w:val="21"/>
                      <w:szCs w:val="21"/>
                      <w:highlight w:val="none"/>
                      <w:lang w:val="en-US" w:eastAsia="zh-CN"/>
                    </w:rPr>
                  </w:pPr>
                  <w:r>
                    <w:rPr>
                      <w:rFonts w:hint="eastAsia"/>
                      <w:bCs/>
                      <w:color w:val="auto"/>
                      <w:sz w:val="21"/>
                      <w:szCs w:val="21"/>
                      <w:highlight w:val="none"/>
                      <w:lang w:val="en-US" w:eastAsia="zh-CN"/>
                    </w:rPr>
                    <w:t>/</w:t>
                  </w:r>
                </w:p>
              </w:tc>
              <w:tc>
                <w:tcPr>
                  <w:tcW w:w="264" w:type="pct"/>
                  <w:noWrap w:val="0"/>
                  <w:vAlign w:val="center"/>
                </w:tcPr>
                <w:p>
                  <w:pPr>
                    <w:jc w:val="center"/>
                    <w:rPr>
                      <w:rFonts w:hint="eastAsia" w:eastAsia="宋体"/>
                      <w:bCs/>
                      <w:color w:val="auto"/>
                      <w:sz w:val="21"/>
                      <w:szCs w:val="21"/>
                      <w:highlight w:val="none"/>
                      <w:lang w:val="en-US" w:eastAsia="zh-CN"/>
                    </w:rPr>
                  </w:pPr>
                  <w:r>
                    <w:rPr>
                      <w:rFonts w:hint="eastAsia"/>
                      <w:bCs/>
                      <w:color w:val="auto"/>
                      <w:sz w:val="21"/>
                      <w:szCs w:val="21"/>
                      <w:highlight w:val="none"/>
                      <w:lang w:val="en-US" w:eastAsia="zh-CN"/>
                    </w:rPr>
                    <w:t>/</w:t>
                  </w:r>
                </w:p>
              </w:tc>
              <w:tc>
                <w:tcPr>
                  <w:tcW w:w="294" w:type="pct"/>
                  <w:noWrap w:val="0"/>
                  <w:vAlign w:val="center"/>
                </w:tcPr>
                <w:p>
                  <w:pP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是</w:t>
                  </w:r>
                </w:p>
              </w:tc>
              <w:tc>
                <w:tcPr>
                  <w:tcW w:w="331" w:type="pct"/>
                  <w:noWrap w:val="0"/>
                  <w:vAlign w:val="center"/>
                </w:tcPr>
                <w:p>
                  <w:pPr>
                    <w:jc w:val="center"/>
                    <w:rPr>
                      <w:rFonts w:hint="default"/>
                      <w:bCs/>
                      <w:color w:val="auto"/>
                      <w:sz w:val="21"/>
                      <w:szCs w:val="21"/>
                      <w:highlight w:val="none"/>
                      <w:lang w:val="en-US" w:eastAsia="zh-CN"/>
                    </w:rPr>
                  </w:pPr>
                  <w:r>
                    <w:rPr>
                      <w:rFonts w:hint="eastAsia"/>
                      <w:bCs/>
                      <w:color w:val="auto"/>
                      <w:sz w:val="21"/>
                      <w:szCs w:val="21"/>
                      <w:highlight w:val="none"/>
                      <w:lang w:val="en-US" w:eastAsia="zh-CN"/>
                    </w:rPr>
                    <w:t>/</w:t>
                  </w:r>
                </w:p>
              </w:tc>
              <w:tc>
                <w:tcPr>
                  <w:tcW w:w="387" w:type="pct"/>
                  <w:noWrap w:val="0"/>
                  <w:vAlign w:val="center"/>
                </w:tcPr>
                <w:p>
                  <w:pPr>
                    <w:jc w:val="center"/>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389" w:type="pct"/>
                  <w:noWrap w:val="0"/>
                  <w:vAlign w:val="center"/>
                </w:tcPr>
                <w:p>
                  <w:pPr>
                    <w:jc w:val="center"/>
                    <w:rPr>
                      <w:rFonts w:hint="default"/>
                      <w:bCs/>
                      <w:color w:val="auto"/>
                      <w:sz w:val="21"/>
                      <w:szCs w:val="21"/>
                      <w:highlight w:val="none"/>
                      <w:lang w:val="en-US" w:eastAsia="zh-CN"/>
                    </w:rPr>
                  </w:pPr>
                  <w:r>
                    <w:rPr>
                      <w:rFonts w:hint="eastAsia"/>
                      <w:bCs/>
                      <w:color w:val="auto"/>
                      <w:szCs w:val="21"/>
                      <w:highlight w:val="none"/>
                      <w:lang w:val="en-US" w:eastAsia="zh-CN"/>
                    </w:rPr>
                    <w:t>/</w:t>
                  </w:r>
                </w:p>
              </w:tc>
              <w:tc>
                <w:tcPr>
                  <w:tcW w:w="300" w:type="pct"/>
                  <w:noWrap w:val="0"/>
                  <w:vAlign w:val="center"/>
                </w:tcPr>
                <w:p>
                  <w:pP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w:t>
                  </w:r>
                </w:p>
              </w:tc>
              <w:tc>
                <w:tcPr>
                  <w:tcW w:w="357" w:type="pct"/>
                  <w:noWrap w:val="0"/>
                  <w:vAlign w:val="center"/>
                </w:tcPr>
                <w:p>
                  <w:pPr>
                    <w:jc w:val="center"/>
                    <w:rPr>
                      <w:rFonts w:hint="default"/>
                      <w:bCs/>
                      <w:color w:val="auto"/>
                      <w:szCs w:val="21"/>
                      <w:highlight w:val="none"/>
                      <w:lang w:val="en-US" w:eastAsia="zh-CN"/>
                    </w:rPr>
                  </w:pPr>
                  <w:r>
                    <w:rPr>
                      <w:rFonts w:hint="eastAsia"/>
                      <w:bCs/>
                      <w:color w:val="auto"/>
                      <w:szCs w:val="21"/>
                      <w:highlight w:val="none"/>
                      <w:lang w:val="en-US" w:eastAsia="zh-CN"/>
                    </w:rPr>
                    <w:t>/</w:t>
                  </w:r>
                </w:p>
              </w:tc>
            </w:tr>
          </w:tbl>
          <w:p>
            <w:pPr>
              <w:pStyle w:val="18"/>
              <w:rPr>
                <w:rFonts w:hint="eastAsia"/>
                <w:vertAlign w:val="baseline"/>
              </w:rPr>
            </w:pPr>
          </w:p>
        </w:tc>
      </w:tr>
    </w:tbl>
    <w:p>
      <w:pPr>
        <w:pStyle w:val="2"/>
        <w:rPr>
          <w:rFonts w:hint="eastAsia"/>
        </w:rPr>
        <w:sectPr>
          <w:pgSz w:w="16840" w:h="11907" w:orient="landscape"/>
          <w:pgMar w:top="1531" w:right="1701" w:bottom="1531" w:left="2127" w:header="851" w:footer="851" w:gutter="0"/>
          <w:cols w:space="720" w:num="1"/>
          <w:docGrid w:linePitch="312" w:charSpace="0"/>
        </w:sectPr>
      </w:pP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8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0" w:hRule="atLeast"/>
        </w:trPr>
        <w:tc>
          <w:tcPr>
            <w:tcW w:w="536" w:type="pct"/>
            <w:noWrap w:val="0"/>
            <w:vAlign w:val="center"/>
          </w:tcPr>
          <w:p>
            <w:pPr>
              <w:spacing w:line="360" w:lineRule="auto"/>
              <w:jc w:val="center"/>
              <w:rPr>
                <w:rFonts w:hint="eastAsia"/>
                <w:vertAlign w:val="baseline"/>
              </w:rPr>
            </w:pPr>
            <w:r>
              <w:rPr>
                <w:rFonts w:hint="eastAsia" w:ascii="宋体" w:hAnsi="宋体" w:cs="宋体"/>
                <w:bCs/>
                <w:szCs w:val="21"/>
              </w:rPr>
              <w:t>运营期环境影响和保护措施</w:t>
            </w:r>
          </w:p>
        </w:tc>
        <w:tc>
          <w:tcPr>
            <w:tcW w:w="4463" w:type="pct"/>
            <w:noWrap w:val="0"/>
            <w:vAlign w:val="top"/>
          </w:tcPr>
          <w:p>
            <w:pPr>
              <w:keepNext w:val="0"/>
              <w:keepLines w:val="0"/>
              <w:pageBreakBefore w:val="0"/>
              <w:widowControl/>
              <w:kinsoku/>
              <w:wordWrap/>
              <w:overflowPunct/>
              <w:topLinePunct w:val="0"/>
              <w:autoSpaceDE/>
              <w:autoSpaceDN/>
              <w:bidi w:val="0"/>
              <w:adjustRightInd/>
              <w:snapToGrid/>
              <w:spacing w:line="520" w:lineRule="exact"/>
              <w:ind w:left="0" w:firstLine="482" w:firstLineChars="200"/>
              <w:textAlignment w:val="auto"/>
              <w:rPr>
                <w:rFonts w:hint="eastAsia" w:ascii="Times New Roman" w:hAnsi="Times New Roman" w:eastAsia="宋体" w:cs="Times New Roman"/>
                <w:b/>
                <w:bCs/>
                <w:sz w:val="24"/>
                <w:szCs w:val="24"/>
              </w:rPr>
            </w:pPr>
            <w:r>
              <w:rPr>
                <w:rFonts w:hint="eastAsia" w:cs="Times New Roman"/>
                <w:b/>
                <w:bCs/>
                <w:sz w:val="24"/>
                <w:szCs w:val="24"/>
                <w:lang w:val="en-US" w:eastAsia="zh-CN"/>
              </w:rPr>
              <w:t>1.3</w:t>
            </w:r>
            <w:r>
              <w:rPr>
                <w:rFonts w:hint="eastAsia" w:ascii="Times New Roman" w:hAnsi="Times New Roman" w:eastAsia="宋体" w:cs="Times New Roman"/>
                <w:b/>
                <w:bCs/>
                <w:sz w:val="24"/>
                <w:szCs w:val="24"/>
              </w:rPr>
              <w:t>达标分析</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eastAsia="zh-CN"/>
              </w:rPr>
              <w:t>）</w:t>
            </w:r>
            <w:r>
              <w:rPr>
                <w:rFonts w:hint="eastAsia" w:ascii="Times New Roman" w:hAnsi="Times New Roman" w:eastAsia="宋体" w:cs="Times New Roman"/>
                <w:sz w:val="24"/>
                <w:szCs w:val="24"/>
              </w:rPr>
              <w:t>废气治理措施可行性及达标分析：</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本项目属于</w:t>
            </w:r>
            <w:r>
              <w:rPr>
                <w:rFonts w:hint="eastAsia" w:ascii="Times New Roman" w:hAnsi="Times New Roman" w:eastAsia="宋体" w:cs="Times New Roman"/>
                <w:sz w:val="24"/>
                <w:szCs w:val="24"/>
                <w:lang w:val="en-US" w:eastAsia="zh-CN"/>
              </w:rPr>
              <w:t>混凝土</w:t>
            </w:r>
            <w:r>
              <w:rPr>
                <w:rFonts w:hint="eastAsia" w:ascii="Times New Roman" w:hAnsi="Times New Roman" w:eastAsia="宋体" w:cs="Times New Roman"/>
                <w:sz w:val="24"/>
                <w:szCs w:val="24"/>
              </w:rPr>
              <w:t>制造，主要污染物是粉尘（颗粒物）。根据《工业料堆场扬尘整治规范》（DB65/T4061-2017）中基本规定“5</w:t>
            </w:r>
            <w:r>
              <w:rPr>
                <w:rFonts w:hint="default" w:ascii="Times New Roman" w:hAnsi="Times New Roman" w:eastAsia="宋体" w:cs="Times New Roman"/>
                <w:sz w:val="24"/>
                <w:szCs w:val="24"/>
              </w:rPr>
              <w:t>.8</w:t>
            </w:r>
            <w:r>
              <w:rPr>
                <w:rFonts w:hint="eastAsia" w:ascii="Times New Roman" w:hAnsi="Times New Roman" w:eastAsia="宋体" w:cs="Times New Roman"/>
                <w:sz w:val="24"/>
                <w:szCs w:val="24"/>
              </w:rPr>
              <w:t>对工业料堆场内装卸、运输等作业过程中，易产生扬尘污染的物料必须采取封闭、遮盖、洒水降尘措施</w:t>
            </w:r>
            <w:r>
              <w:rPr>
                <w:rFonts w:hint="eastAsia" w:ascii="Times New Roman" w:hAnsi="Times New Roman" w:cs="Times New Roman"/>
                <w:sz w:val="24"/>
                <w:szCs w:val="24"/>
                <w:lang w:eastAsia="zh-CN"/>
              </w:rPr>
              <w:t>；</w:t>
            </w:r>
            <w:r>
              <w:rPr>
                <w:rFonts w:hint="eastAsia" w:ascii="Times New Roman" w:hAnsi="Times New Roman" w:eastAsia="宋体" w:cs="Times New Roman"/>
                <w:sz w:val="24"/>
                <w:szCs w:val="24"/>
              </w:rPr>
              <w:t>密闭输送物料必须在装料、卸料处配备吸尘、喷淋防尘措施”，本项目对粉料筒仓进料粉尘采用脉冲布袋除尘器、搅拌机粉尘采用</w:t>
            </w:r>
            <w:r>
              <w:rPr>
                <w:rFonts w:hint="eastAsia" w:ascii="Times New Roman" w:hAnsi="Times New Roman" w:eastAsia="宋体" w:cs="Times New Roman"/>
                <w:sz w:val="24"/>
                <w:szCs w:val="24"/>
                <w:lang w:val="en-US" w:eastAsia="zh-CN"/>
              </w:rPr>
              <w:t>反吹风袋式</w:t>
            </w:r>
            <w:r>
              <w:rPr>
                <w:rFonts w:hint="default" w:ascii="Times New Roman" w:hAnsi="Times New Roman" w:eastAsia="宋体" w:cs="Times New Roman"/>
                <w:sz w:val="24"/>
                <w:szCs w:val="24"/>
                <w:lang w:val="en-US" w:eastAsia="zh-CN"/>
              </w:rPr>
              <w:t>除尘器</w:t>
            </w:r>
            <w:r>
              <w:rPr>
                <w:rFonts w:hint="eastAsia" w:ascii="Times New Roman" w:hAnsi="Times New Roman" w:eastAsia="宋体" w:cs="Times New Roman"/>
                <w:sz w:val="24"/>
                <w:szCs w:val="24"/>
              </w:rPr>
              <w:t>对粉尘（颗粒物）进行治理，建设全封闭式原料堆场</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本项目粉尘（颗粒物）排放满足《水泥工业大气污染物排放标准》</w:t>
            </w:r>
            <w:r>
              <w:rPr>
                <w:rFonts w:hint="eastAsia" w:cs="Times New Roman" w:eastAsiaTheme="minorEastAsia"/>
                <w:sz w:val="24"/>
                <w:highlight w:val="none"/>
                <w:lang w:val="en-US" w:eastAsia="zh-CN"/>
              </w:rPr>
              <w:t>（含2025年修改单）</w:t>
            </w:r>
            <w:r>
              <w:rPr>
                <w:rFonts w:hint="eastAsia" w:ascii="Times New Roman" w:hAnsi="Times New Roman" w:eastAsia="宋体" w:cs="Times New Roman"/>
                <w:sz w:val="24"/>
                <w:szCs w:val="24"/>
              </w:rPr>
              <w:t>（GB4915-2013）中标准限值要求，符合《工业料堆场扬尘整治规范》（DB65/T4061-2017）中基本要求。因此，本项目废气治理措施可行。</w:t>
            </w:r>
          </w:p>
          <w:p>
            <w:pPr>
              <w:pStyle w:val="5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cs="Times New Roman"/>
                <w:b/>
                <w:kern w:val="2"/>
                <w:sz w:val="24"/>
                <w:szCs w:val="24"/>
                <w:highlight w:val="none"/>
                <w:lang w:val="en-US" w:eastAsia="zh-CN"/>
              </w:rPr>
            </w:pPr>
            <w:r>
              <w:rPr>
                <w:rFonts w:hint="eastAsia" w:ascii="Times New Roman" w:hAnsi="Times New Roman" w:cs="Times New Roman"/>
                <w:b/>
                <w:kern w:val="2"/>
                <w:sz w:val="24"/>
                <w:szCs w:val="24"/>
                <w:highlight w:val="none"/>
                <w:lang w:val="en-US" w:eastAsia="zh-CN"/>
              </w:rPr>
              <w:t>表4-3  本项目废气产污环节、污染物及治理措施情况</w:t>
            </w:r>
          </w:p>
          <w:tbl>
            <w:tblPr>
              <w:tblStyle w:val="24"/>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800"/>
              <w:gridCol w:w="975"/>
              <w:gridCol w:w="3476"/>
              <w:gridCol w:w="1108"/>
              <w:gridCol w:w="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产污环节</w:t>
                  </w:r>
                </w:p>
              </w:tc>
              <w:tc>
                <w:tcPr>
                  <w:tcW w:w="800"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类别</w:t>
                  </w:r>
                </w:p>
              </w:tc>
              <w:tc>
                <w:tcPr>
                  <w:tcW w:w="97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污染物</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种类</w:t>
                  </w:r>
                </w:p>
              </w:tc>
              <w:tc>
                <w:tcPr>
                  <w:tcW w:w="458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治理措施</w:t>
                  </w:r>
                </w:p>
              </w:tc>
              <w:tc>
                <w:tcPr>
                  <w:tcW w:w="8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排放形式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800"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97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34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污染防治设施名称及工艺</w:t>
                  </w:r>
                </w:p>
              </w:tc>
              <w:tc>
                <w:tcPr>
                  <w:tcW w:w="110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是否为可行技术</w:t>
                  </w:r>
                </w:p>
              </w:tc>
              <w:tc>
                <w:tcPr>
                  <w:tcW w:w="8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原料堆场</w:t>
                  </w:r>
                </w:p>
              </w:tc>
              <w:tc>
                <w:tcPr>
                  <w:tcW w:w="8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堆放扬尘</w:t>
                  </w:r>
                </w:p>
              </w:tc>
              <w:tc>
                <w:tcPr>
                  <w:tcW w:w="97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颗粒物</w:t>
                  </w:r>
                </w:p>
              </w:tc>
              <w:tc>
                <w:tcPr>
                  <w:tcW w:w="34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原料堆场采用全封闭式结构，堆场内设置喷淋、喷雾装置进行抑尘；合理调度生产，即产即销，最大限度降低堆场物料堆放量</w:t>
                  </w:r>
                </w:p>
              </w:tc>
              <w:tc>
                <w:tcPr>
                  <w:tcW w:w="110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是</w:t>
                  </w:r>
                </w:p>
              </w:tc>
              <w:tc>
                <w:tcPr>
                  <w:tcW w:w="8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8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装卸扬尘</w:t>
                  </w:r>
                </w:p>
              </w:tc>
              <w:tc>
                <w:tcPr>
                  <w:tcW w:w="97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颗粒物</w:t>
                  </w:r>
                </w:p>
              </w:tc>
              <w:tc>
                <w:tcPr>
                  <w:tcW w:w="34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原料及成品做到规范堆放，文明装卸；原料及成品装卸前后进行洒水抑尘；尽量降低物料落差，装车完毕后及时用篷布遮盖</w:t>
                  </w:r>
                </w:p>
              </w:tc>
              <w:tc>
                <w:tcPr>
                  <w:tcW w:w="110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是</w:t>
                  </w:r>
                </w:p>
              </w:tc>
              <w:tc>
                <w:tcPr>
                  <w:tcW w:w="8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粉料筒仓</w:t>
                  </w:r>
                </w:p>
              </w:tc>
              <w:tc>
                <w:tcPr>
                  <w:tcW w:w="8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进料粉尘</w:t>
                  </w:r>
                </w:p>
              </w:tc>
              <w:tc>
                <w:tcPr>
                  <w:tcW w:w="97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颗粒物</w:t>
                  </w:r>
                </w:p>
              </w:tc>
              <w:tc>
                <w:tcPr>
                  <w:tcW w:w="34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项目采用封闭式筒仓，在每个筒仓顶部设置一套脉冲布袋除尘器（效率不低于99%），经处理后由排气口无组织排放</w:t>
                  </w:r>
                </w:p>
              </w:tc>
              <w:tc>
                <w:tcPr>
                  <w:tcW w:w="110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是</w:t>
                  </w:r>
                </w:p>
              </w:tc>
              <w:tc>
                <w:tcPr>
                  <w:tcW w:w="8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无组织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搅拌楼</w:t>
                  </w:r>
                </w:p>
              </w:tc>
              <w:tc>
                <w:tcPr>
                  <w:tcW w:w="8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搅拌粉尘</w:t>
                  </w:r>
                </w:p>
              </w:tc>
              <w:tc>
                <w:tcPr>
                  <w:tcW w:w="97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颗粒物</w:t>
                  </w:r>
                </w:p>
              </w:tc>
              <w:tc>
                <w:tcPr>
                  <w:tcW w:w="347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项目采用封闭式搅拌楼，配置一套反吹风袋式</w:t>
                  </w:r>
                  <w:r>
                    <w:rPr>
                      <w:rFonts w:hint="default" w:ascii="Times New Roman" w:hAnsi="Times New Roman" w:cs="Times New Roman" w:eastAsiaTheme="minorEastAsia"/>
                      <w:sz w:val="21"/>
                      <w:szCs w:val="21"/>
                      <w:lang w:val="en-US" w:eastAsia="zh-CN"/>
                    </w:rPr>
                    <w:t>除尘器</w:t>
                  </w:r>
                  <w:r>
                    <w:rPr>
                      <w:rFonts w:hint="eastAsia" w:ascii="Times New Roman" w:hAnsi="Times New Roman" w:cs="Times New Roman" w:eastAsiaTheme="minorEastAsia"/>
                      <w:sz w:val="21"/>
                      <w:szCs w:val="21"/>
                      <w:lang w:val="en-US" w:eastAsia="zh-CN"/>
                    </w:rPr>
                    <w:t>，运行过程中密闭，收集的粉尘回到搅拌机中，利用系统内的循环烟气反吹清灰，不设排气筒。</w:t>
                  </w:r>
                </w:p>
              </w:tc>
              <w:tc>
                <w:tcPr>
                  <w:tcW w:w="1108"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是</w:t>
                  </w:r>
                </w:p>
              </w:tc>
              <w:tc>
                <w:tcPr>
                  <w:tcW w:w="8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w:t>
                  </w:r>
                </w:p>
              </w:tc>
            </w:tr>
          </w:tbl>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宋体"/>
                <w:kern w:val="0"/>
                <w:sz w:val="24"/>
                <w:szCs w:val="24"/>
                <w:highlight w:val="none"/>
                <w:lang w:val="en-US" w:eastAsia="zh-CN" w:bidi="ar-SA"/>
              </w:rPr>
            </w:pPr>
            <w:r>
              <w:rPr>
                <w:rFonts w:hint="eastAsia" w:ascii="Times New Roman" w:hAnsi="Times New Roman" w:eastAsia="宋体" w:cs="宋体"/>
                <w:kern w:val="0"/>
                <w:sz w:val="24"/>
                <w:szCs w:val="24"/>
                <w:highlight w:val="none"/>
                <w:lang w:val="en-US" w:eastAsia="zh-CN" w:bidi="ar-SA"/>
              </w:rPr>
              <w:t>（2）反吹风袋式除尘器工艺流程简述：</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宋体"/>
                <w:kern w:val="0"/>
                <w:sz w:val="24"/>
                <w:szCs w:val="24"/>
                <w:highlight w:val="none"/>
                <w:lang w:val="en-US" w:eastAsia="zh-CN" w:bidi="ar-SA"/>
              </w:rPr>
            </w:pPr>
            <w:r>
              <w:rPr>
                <w:rFonts w:hint="eastAsia" w:ascii="Times New Roman" w:hAnsi="Times New Roman" w:eastAsia="宋体" w:cs="宋体"/>
                <w:kern w:val="0"/>
                <w:sz w:val="24"/>
                <w:szCs w:val="24"/>
                <w:highlight w:val="none"/>
                <w:lang w:val="en-US" w:eastAsia="zh-CN" w:bidi="ar-SA"/>
              </w:rPr>
              <w:t>反吹风袋式除尘器由除尘器箱体、框架、灰斗、阀门（卸灰阀、反吹风阀、风量调节阀）、风管（进风管、排风管、反吹风管）、差压系统、走梯平台及电控系统组成。所谓反吹风清灰是利用大气或除尘系统循环烟气进行反吹（吸）风清灰的，它是逆向气流清灰的一种形式，其工艺流程如图3。</w:t>
            </w:r>
          </w:p>
          <w:p>
            <w:pPr>
              <w:pStyle w:val="67"/>
              <w:keepNext w:val="0"/>
              <w:keepLines w:val="0"/>
              <w:pageBreakBefore w:val="0"/>
              <w:widowControl w:val="0"/>
              <w:kinsoku/>
              <w:overflowPunct/>
              <w:topLinePunct w:val="0"/>
              <w:autoSpaceDE/>
              <w:autoSpaceDN/>
              <w:bidi w:val="0"/>
              <w:adjustRightInd/>
              <w:snapToGrid/>
              <w:spacing w:line="520" w:lineRule="exact"/>
              <w:textAlignment w:val="auto"/>
              <w:rPr>
                <w:rFonts w:hint="default" w:ascii="Times New Roman" w:hAnsi="Times New Roman" w:eastAsia="宋体" w:cs="宋体"/>
                <w:highlight w:val="none"/>
                <w:lang w:val="en-US" w:eastAsia="zh-CN"/>
              </w:rPr>
            </w:pPr>
            <w:r>
              <w:rPr>
                <w:rFonts w:hint="eastAsia" w:ascii="Times New Roman" w:hAnsi="Times New Roman" w:eastAsia="宋体" w:cs="宋体"/>
                <w:kern w:val="0"/>
                <w:sz w:val="24"/>
                <w:szCs w:val="24"/>
                <w:highlight w:val="none"/>
                <w:lang w:val="en-US" w:eastAsia="zh-CN" w:bidi="ar-SA"/>
              </w:rPr>
              <w:t>负压清灰：指布袋除尘器处在风机的负压端，这种除尘器通常采用下进风上排风内滤式结构，且其有相互分割的袋滤室。当某一袋滤</w:t>
            </w:r>
            <w:r>
              <w:rPr>
                <w:rFonts w:hint="eastAsia" w:cs="宋体"/>
                <w:kern w:val="0"/>
                <w:sz w:val="24"/>
                <w:szCs w:val="24"/>
                <w:highlight w:val="none"/>
                <w:lang w:val="en-US" w:eastAsia="zh-CN" w:bidi="ar-SA"/>
              </w:rPr>
              <w:t>室</w:t>
            </w:r>
            <w:r>
              <w:rPr>
                <w:rFonts w:hint="eastAsia" w:ascii="Times New Roman" w:hAnsi="Times New Roman" w:eastAsia="宋体" w:cs="宋体"/>
                <w:highlight w:val="none"/>
                <w:lang w:val="en-US" w:eastAsia="zh-CN"/>
              </w:rPr>
              <w:t>清灰时，通过控制机构先关闭该室的出风口阀门，同时打开反吹风管的进风阀门，使该袋滤室与室外大气相通。此时由于其他各袋滤室都处在风机负压状态下运行，而待清灰的袋滤室在大气压的作用下使室外空气经反吹风管进入该室。反吹风气流被吸入滤袋内，并沿着含尘气流过滤时相反的方向，经进气管道被吸入其他滤袋室。清灰气流通过滤袋时，使滤袋压瘪，通过控制机构控制阀门的启闭，使滤袋反复胀瘪次数，抖动滤袋，更有利于粉尘的脱落，提高了清灰效果。</w:t>
            </w:r>
          </w:p>
          <w:p>
            <w:pPr>
              <w:adjustRightInd w:val="0"/>
              <w:snapToGrid w:val="0"/>
              <w:rPr>
                <w:rFonts w:hint="default" w:ascii="宋体" w:hAnsi="宋体" w:eastAsia="宋体"/>
                <w:bCs/>
                <w:szCs w:val="21"/>
                <w:lang w:val="en-US" w:eastAsia="zh-CN"/>
              </w:rPr>
            </w:pPr>
          </w:p>
          <w:p>
            <w:pPr>
              <w:adjustRightInd w:val="0"/>
              <w:snapToGrid w:val="0"/>
              <w:rPr>
                <w:rFonts w:hint="default" w:ascii="宋体" w:hAnsi="宋体" w:eastAsia="宋体"/>
                <w:bCs/>
                <w:szCs w:val="21"/>
                <w:lang w:val="en-US" w:eastAsia="zh-CN"/>
              </w:rPr>
            </w:pPr>
          </w:p>
          <w:p>
            <w:pPr>
              <w:adjustRightInd w:val="0"/>
              <w:snapToGrid w:val="0"/>
              <w:jc w:val="center"/>
              <w:rPr>
                <w:b/>
                <w:sz w:val="24"/>
              </w:rPr>
            </w:pPr>
            <w:r>
              <w:rPr>
                <w:rFonts w:hint="default" w:ascii="宋体" w:hAnsi="宋体" w:eastAsia="宋体" w:cs="宋体"/>
                <w:kern w:val="0"/>
                <w:sz w:val="24"/>
                <w:highlight w:val="none"/>
                <w:lang w:val="en-US" w:eastAsia="zh-CN"/>
              </w:rPr>
              <w:drawing>
                <wp:inline distT="0" distB="0" distL="114300" distR="114300">
                  <wp:extent cx="2569210" cy="2731135"/>
                  <wp:effectExtent l="0" t="0" r="2540" b="12065"/>
                  <wp:docPr id="49" name="图片 343" descr="8385432241a4fc15b5669bbcb88b5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43" descr="8385432241a4fc15b5669bbcb88b5fb"/>
                          <pic:cNvPicPr>
                            <a:picLocks noChangeAspect="1"/>
                          </pic:cNvPicPr>
                        </pic:nvPicPr>
                        <pic:blipFill>
                          <a:blip r:embed="rId12"/>
                          <a:stretch>
                            <a:fillRect/>
                          </a:stretch>
                        </pic:blipFill>
                        <pic:spPr>
                          <a:xfrm>
                            <a:off x="0" y="0"/>
                            <a:ext cx="2569210" cy="273113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val="0"/>
              <w:autoSpaceDN w:val="0"/>
              <w:bidi w:val="0"/>
              <w:adjustRightInd w:val="0"/>
              <w:snapToGrid w:val="0"/>
              <w:spacing w:before="157" w:beforeLines="50" w:line="240" w:lineRule="auto"/>
              <w:jc w:val="center"/>
              <w:textAlignment w:val="auto"/>
              <w:rPr>
                <w:rFonts w:hint="default" w:ascii="Times New Roman" w:hAnsi="Times New Roman" w:eastAsia="宋体" w:cs="Times New Roman"/>
                <w:b/>
                <w:bCs/>
                <w:kern w:val="0"/>
                <w:sz w:val="24"/>
                <w:szCs w:val="24"/>
                <w:lang w:val="en-US" w:eastAsia="zh-CN"/>
              </w:rPr>
            </w:pPr>
            <w:r>
              <w:rPr>
                <w:rFonts w:hint="eastAsia" w:ascii="Times New Roman" w:hAnsi="Times New Roman" w:eastAsia="宋体" w:cs="Times New Roman"/>
                <w:b/>
                <w:bCs/>
                <w:kern w:val="0"/>
                <w:sz w:val="24"/>
                <w:szCs w:val="24"/>
                <w:lang w:val="en-US" w:eastAsia="zh-CN"/>
              </w:rPr>
              <w:t>图3   负压反吹风袋式除尘器工艺流程</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反吹风袋式除尘器主要特点如下：</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①</w:t>
            </w:r>
            <w:r>
              <w:rPr>
                <w:rFonts w:hint="eastAsia" w:ascii="Times New Roman" w:hAnsi="Times New Roman" w:eastAsia="宋体" w:cs="Times New Roman"/>
                <w:sz w:val="24"/>
                <w:szCs w:val="24"/>
                <w:lang w:val="en-US" w:eastAsia="zh-CN"/>
              </w:rPr>
              <w:t>反吹风袋式除尘器都是分室工作的；</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②</w:t>
            </w:r>
            <w:r>
              <w:rPr>
                <w:rFonts w:hint="eastAsia" w:ascii="Times New Roman" w:hAnsi="Times New Roman" w:eastAsia="宋体" w:cs="Times New Roman"/>
                <w:sz w:val="24"/>
                <w:szCs w:val="24"/>
                <w:lang w:val="en-US" w:eastAsia="zh-CN"/>
              </w:rPr>
              <w:t>反吹风袋式除尘器清灰强度较低，清灰气流可以利用专门设置的反吹风机，也可以利用除尘器主风机形成的压差气流；</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③</w:t>
            </w:r>
            <w:r>
              <w:rPr>
                <w:rFonts w:hint="eastAsia" w:ascii="Times New Roman" w:hAnsi="Times New Roman" w:eastAsia="宋体" w:cs="Times New Roman"/>
                <w:sz w:val="24"/>
                <w:szCs w:val="24"/>
                <w:lang w:val="en-US" w:eastAsia="zh-CN"/>
              </w:rPr>
              <w:t>反吹风袋式除尘器维护检修方便，检修人员进入滤袋室不仅可以更换滤袋，还可以检查滤袋使用情况，从而确定换袋时间；</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④</w:t>
            </w:r>
            <w:r>
              <w:rPr>
                <w:rFonts w:hint="eastAsia" w:ascii="Times New Roman" w:hAnsi="Times New Roman" w:eastAsia="宋体" w:cs="Times New Roman"/>
                <w:sz w:val="24"/>
                <w:szCs w:val="24"/>
                <w:lang w:val="en-US" w:eastAsia="zh-CN"/>
              </w:rPr>
              <w:t>反吹风袋式除尘器多采用薄型滤袋，价格低，费用少；</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⑤</w:t>
            </w:r>
            <w:r>
              <w:rPr>
                <w:rFonts w:hint="eastAsia" w:ascii="Times New Roman" w:hAnsi="Times New Roman" w:eastAsia="宋体" w:cs="Times New Roman"/>
                <w:sz w:val="24"/>
                <w:szCs w:val="24"/>
                <w:lang w:val="en-US" w:eastAsia="zh-CN"/>
              </w:rPr>
              <w:t>反吹风袋式除尘器滤袋采用内滤方式，粉尘在滤袋内侧，工人更换滤袋时，劳动条件较好；</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⑥</w:t>
            </w:r>
            <w:r>
              <w:rPr>
                <w:rFonts w:hint="eastAsia" w:ascii="Times New Roman" w:hAnsi="Times New Roman" w:eastAsia="宋体" w:cs="Times New Roman"/>
                <w:sz w:val="24"/>
                <w:szCs w:val="24"/>
                <w:lang w:val="en-US" w:eastAsia="zh-CN"/>
              </w:rPr>
              <w:t>反吹风袋式除尘器过滤速度较低，体积较大。因滤袋长，占地面积不大；</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eastAsia" w:cs="Times New Roman"/>
                <w:sz w:val="24"/>
                <w:szCs w:val="24"/>
                <w:lang w:val="en-US" w:eastAsia="zh-CN"/>
              </w:rPr>
              <w:t>3</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油烟废气可行性分析</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本项目食堂烹饪油烟为间隙、不定量排放，厨房安装净化效率在60%以上的油烟净化装置对油烟进行处理，油烟经处理后，排放浓度可降至</w:t>
            </w: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4</w:t>
            </w:r>
            <w:r>
              <w:rPr>
                <w:rFonts w:hint="eastAsia" w:cs="Times New Roman"/>
                <w:sz w:val="24"/>
                <w:szCs w:val="24"/>
                <w:lang w:val="en-US" w:eastAsia="zh-CN"/>
              </w:rPr>
              <w:t>4</w:t>
            </w:r>
            <w:r>
              <w:rPr>
                <w:rFonts w:hint="default" w:ascii="Times New Roman" w:hAnsi="Times New Roman" w:eastAsia="宋体" w:cs="Times New Roman"/>
                <w:sz w:val="24"/>
                <w:szCs w:val="24"/>
              </w:rPr>
              <w:t>mg/m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，油烟排放量为</w:t>
            </w:r>
            <w:r>
              <w:rPr>
                <w:rFonts w:hint="eastAsia" w:ascii="Times New Roman" w:hAnsi="Times New Roman" w:eastAsia="宋体" w:cs="Times New Roman"/>
                <w:sz w:val="24"/>
                <w:szCs w:val="24"/>
                <w:lang w:val="en-US" w:eastAsia="zh-CN"/>
              </w:rPr>
              <w:t>2.7648</w:t>
            </w:r>
            <w:r>
              <w:rPr>
                <w:rFonts w:hint="default" w:ascii="Times New Roman" w:hAnsi="Times New Roman" w:eastAsia="宋体" w:cs="Times New Roman"/>
                <w:sz w:val="24"/>
                <w:szCs w:val="24"/>
              </w:rPr>
              <w:t>kg/a。满足《饮食业油烟排放标准》（GB18483-2001）中的相关要求。在采取上述治理措施后，能实现废气达标排放，措施可行。</w:t>
            </w:r>
          </w:p>
          <w:p>
            <w:pPr>
              <w:keepNext w:val="0"/>
              <w:keepLines w:val="0"/>
              <w:pageBreakBefore w:val="0"/>
              <w:widowControl/>
              <w:kinsoku/>
              <w:wordWrap/>
              <w:overflowPunct/>
              <w:topLinePunct w:val="0"/>
              <w:autoSpaceDE/>
              <w:autoSpaceDN/>
              <w:bidi w:val="0"/>
              <w:adjustRightInd/>
              <w:snapToGrid/>
              <w:spacing w:line="520" w:lineRule="exact"/>
              <w:ind w:left="0" w:firstLine="482" w:firstLineChars="200"/>
              <w:textAlignment w:val="auto"/>
              <w:rPr>
                <w:rFonts w:hint="default" w:ascii="Times New Roman" w:hAnsi="Times New Roman" w:eastAsia="宋体" w:cs="Times New Roman"/>
                <w:b/>
                <w:bCs/>
                <w:sz w:val="24"/>
                <w:szCs w:val="24"/>
                <w:lang w:val="en-US" w:eastAsia="zh-CN"/>
              </w:rPr>
            </w:pPr>
            <w:r>
              <w:rPr>
                <w:rFonts w:hint="eastAsia" w:cs="Times New Roman"/>
                <w:b/>
                <w:bCs/>
                <w:sz w:val="24"/>
                <w:szCs w:val="24"/>
                <w:lang w:val="en-US" w:eastAsia="zh-CN"/>
              </w:rPr>
              <w:t>1.4</w:t>
            </w:r>
            <w:r>
              <w:rPr>
                <w:rFonts w:hint="eastAsia" w:ascii="Times New Roman" w:hAnsi="Times New Roman" w:eastAsia="宋体" w:cs="Times New Roman"/>
                <w:b/>
                <w:bCs/>
                <w:sz w:val="24"/>
                <w:szCs w:val="24"/>
                <w:lang w:val="en-US" w:eastAsia="zh-CN"/>
              </w:rPr>
              <w:t>非正常工况污染源强分析</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非正常工况主要是污染物排放控制措施达不到应有效率，即治污措施装置失效，处理效率为0，其排放情况见下表。</w:t>
            </w:r>
          </w:p>
          <w:p>
            <w:pPr>
              <w:pStyle w:val="5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cs="Times New Roman"/>
                <w:b/>
                <w:kern w:val="2"/>
                <w:sz w:val="24"/>
                <w:szCs w:val="24"/>
                <w:highlight w:val="none"/>
                <w:lang w:val="en-US" w:eastAsia="zh-CN"/>
              </w:rPr>
            </w:pPr>
            <w:r>
              <w:rPr>
                <w:rFonts w:hint="eastAsia" w:ascii="Times New Roman" w:hAnsi="Times New Roman" w:cs="Times New Roman"/>
                <w:b/>
                <w:kern w:val="2"/>
                <w:sz w:val="24"/>
                <w:szCs w:val="24"/>
                <w:highlight w:val="none"/>
                <w:lang w:val="en-US" w:eastAsia="zh-CN"/>
              </w:rPr>
              <w:t>表</w:t>
            </w:r>
            <w:r>
              <w:rPr>
                <w:rFonts w:hint="default" w:ascii="Times New Roman" w:hAnsi="Times New Roman" w:cs="Times New Roman"/>
                <w:b/>
                <w:kern w:val="2"/>
                <w:sz w:val="24"/>
                <w:szCs w:val="24"/>
                <w:highlight w:val="none"/>
                <w:lang w:val="en-US" w:eastAsia="zh-CN"/>
              </w:rPr>
              <w:t>4-</w:t>
            </w:r>
            <w:r>
              <w:rPr>
                <w:rFonts w:hint="eastAsia" w:ascii="Times New Roman" w:hAnsi="Times New Roman" w:cs="Times New Roman"/>
                <w:b/>
                <w:kern w:val="2"/>
                <w:sz w:val="24"/>
                <w:szCs w:val="24"/>
                <w:highlight w:val="none"/>
                <w:lang w:val="en-US" w:eastAsia="zh-CN"/>
              </w:rPr>
              <w:t>4</w:t>
            </w:r>
            <w:r>
              <w:rPr>
                <w:rFonts w:hint="default" w:ascii="Times New Roman" w:hAnsi="Times New Roman" w:cs="Times New Roman"/>
                <w:b/>
                <w:kern w:val="2"/>
                <w:sz w:val="24"/>
                <w:szCs w:val="24"/>
                <w:highlight w:val="none"/>
                <w:lang w:val="en-US" w:eastAsia="zh-CN"/>
              </w:rPr>
              <w:t xml:space="preserve"> </w:t>
            </w:r>
            <w:r>
              <w:rPr>
                <w:rFonts w:hint="eastAsia" w:ascii="Times New Roman" w:hAnsi="Times New Roman" w:cs="Times New Roman"/>
                <w:b/>
                <w:kern w:val="2"/>
                <w:sz w:val="24"/>
                <w:szCs w:val="24"/>
                <w:highlight w:val="none"/>
                <w:lang w:val="en-US" w:eastAsia="zh-CN"/>
              </w:rPr>
              <w:t xml:space="preserve"> 本项目非正常工况污染物产排情况</w:t>
            </w:r>
          </w:p>
          <w:tbl>
            <w:tblPr>
              <w:tblStyle w:val="2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709"/>
              <w:gridCol w:w="759"/>
              <w:gridCol w:w="1026"/>
              <w:gridCol w:w="816"/>
              <w:gridCol w:w="729"/>
              <w:gridCol w:w="864"/>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1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污染源</w:t>
                  </w:r>
                </w:p>
              </w:tc>
              <w:tc>
                <w:tcPr>
                  <w:tcW w:w="108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非正常排放原因</w:t>
                  </w:r>
                </w:p>
              </w:tc>
              <w:tc>
                <w:tcPr>
                  <w:tcW w:w="48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污染物</w:t>
                  </w:r>
                </w:p>
              </w:tc>
              <w:tc>
                <w:tcPr>
                  <w:tcW w:w="65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非正常排放速率</w:t>
                  </w:r>
                  <w:r>
                    <w:rPr>
                      <w:rFonts w:hint="eastAsia" w:ascii="Times New Roman" w:hAnsi="Times New Roman" w:cs="Times New Roman" w:eastAsiaTheme="minorEastAsia"/>
                      <w:sz w:val="21"/>
                      <w:szCs w:val="21"/>
                      <w:lang w:val="en-US" w:eastAsia="zh-CN"/>
                    </w:rPr>
                    <w:t>（</w:t>
                  </w:r>
                  <w:r>
                    <w:rPr>
                      <w:rFonts w:hint="default" w:ascii="Times New Roman" w:hAnsi="Times New Roman" w:cs="Times New Roman" w:eastAsiaTheme="minorEastAsia"/>
                      <w:sz w:val="21"/>
                      <w:szCs w:val="21"/>
                      <w:lang w:val="en-US" w:eastAsia="zh-CN"/>
                    </w:rPr>
                    <w:t>kg/h</w:t>
                  </w:r>
                  <w:r>
                    <w:rPr>
                      <w:rFonts w:hint="eastAsia" w:ascii="Times New Roman" w:hAnsi="Times New Roman" w:cs="Times New Roman" w:eastAsiaTheme="minorEastAsia"/>
                      <w:sz w:val="21"/>
                      <w:szCs w:val="21"/>
                      <w:lang w:val="en-US" w:eastAsia="zh-CN"/>
                    </w:rPr>
                    <w:t>）</w:t>
                  </w:r>
                </w:p>
              </w:tc>
              <w:tc>
                <w:tcPr>
                  <w:tcW w:w="519"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单次持续时间</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/h</w:t>
                  </w:r>
                </w:p>
              </w:tc>
              <w:tc>
                <w:tcPr>
                  <w:tcW w:w="46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年发生频次</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次/年</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排放量</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(kg)</w:t>
                  </w:r>
                </w:p>
              </w:tc>
              <w:tc>
                <w:tcPr>
                  <w:tcW w:w="62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应对措施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1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水泥筒仓1#</w:t>
                  </w:r>
                </w:p>
              </w:tc>
              <w:tc>
                <w:tcPr>
                  <w:tcW w:w="108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布袋堵塞，除尘效率降为0%</w:t>
                  </w:r>
                </w:p>
              </w:tc>
              <w:tc>
                <w:tcPr>
                  <w:tcW w:w="48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颗粒物</w:t>
                  </w:r>
                </w:p>
              </w:tc>
              <w:tc>
                <w:tcPr>
                  <w:tcW w:w="65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47.619</w:t>
                  </w:r>
                </w:p>
              </w:tc>
              <w:tc>
                <w:tcPr>
                  <w:tcW w:w="519"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w:t>
                  </w:r>
                </w:p>
              </w:tc>
              <w:tc>
                <w:tcPr>
                  <w:tcW w:w="46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1</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47.619</w:t>
                  </w:r>
                </w:p>
              </w:tc>
              <w:tc>
                <w:tcPr>
                  <w:tcW w:w="623"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发现问题第一时间维修、停止生产，待设备正常后恢复生产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1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水泥筒仓2#</w:t>
                  </w:r>
                </w:p>
              </w:tc>
              <w:tc>
                <w:tcPr>
                  <w:tcW w:w="108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布袋堵塞，除尘效率降为0%</w:t>
                  </w:r>
                </w:p>
              </w:tc>
              <w:tc>
                <w:tcPr>
                  <w:tcW w:w="48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颗粒物</w:t>
                  </w:r>
                </w:p>
              </w:tc>
              <w:tc>
                <w:tcPr>
                  <w:tcW w:w="65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47.619</w:t>
                  </w:r>
                </w:p>
              </w:tc>
              <w:tc>
                <w:tcPr>
                  <w:tcW w:w="519"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w:t>
                  </w:r>
                </w:p>
              </w:tc>
              <w:tc>
                <w:tcPr>
                  <w:tcW w:w="46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1</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47.619</w:t>
                  </w:r>
                </w:p>
              </w:tc>
              <w:tc>
                <w:tcPr>
                  <w:tcW w:w="623" w:type="pct"/>
                  <w:vMerge w:val="continue"/>
                  <w:noWrap w:val="0"/>
                  <w:vAlign w:val="center"/>
                </w:tcPr>
                <w:p>
                  <w:pPr>
                    <w:adjustRightInd w:val="0"/>
                    <w:snapToGrid w:val="0"/>
                    <w:spacing w:line="240" w:lineRule="auto"/>
                    <w:jc w:val="center"/>
                    <w:rPr>
                      <w:rFonts w:hint="default" w:ascii="Times New Roman" w:hAnsi="Times New Roman" w:cs="Times New Roman"/>
                      <w:bCs/>
                      <w:spacing w:val="-1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1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水泥筒仓3#</w:t>
                  </w:r>
                </w:p>
              </w:tc>
              <w:tc>
                <w:tcPr>
                  <w:tcW w:w="108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布袋堵塞，除尘效率降为0%</w:t>
                  </w:r>
                </w:p>
              </w:tc>
              <w:tc>
                <w:tcPr>
                  <w:tcW w:w="48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颗粒物</w:t>
                  </w:r>
                </w:p>
              </w:tc>
              <w:tc>
                <w:tcPr>
                  <w:tcW w:w="65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47.619</w:t>
                  </w:r>
                </w:p>
              </w:tc>
              <w:tc>
                <w:tcPr>
                  <w:tcW w:w="519"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w:t>
                  </w:r>
                </w:p>
              </w:tc>
              <w:tc>
                <w:tcPr>
                  <w:tcW w:w="46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1</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47.619</w:t>
                  </w:r>
                </w:p>
              </w:tc>
              <w:tc>
                <w:tcPr>
                  <w:tcW w:w="623" w:type="pct"/>
                  <w:vMerge w:val="continue"/>
                  <w:noWrap w:val="0"/>
                  <w:vAlign w:val="center"/>
                </w:tcPr>
                <w:p>
                  <w:pPr>
                    <w:adjustRightInd w:val="0"/>
                    <w:snapToGrid w:val="0"/>
                    <w:spacing w:line="240" w:lineRule="auto"/>
                    <w:jc w:val="center"/>
                    <w:rPr>
                      <w:rFonts w:hint="default" w:ascii="Times New Roman" w:hAnsi="Times New Roman" w:cs="Times New Roman"/>
                      <w:bCs/>
                      <w:spacing w:val="-1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1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粉煤灰筒仓</w:t>
                  </w:r>
                </w:p>
              </w:tc>
              <w:tc>
                <w:tcPr>
                  <w:tcW w:w="108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布袋堵塞，除尘效率降为0%</w:t>
                  </w:r>
                </w:p>
              </w:tc>
              <w:tc>
                <w:tcPr>
                  <w:tcW w:w="48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颗粒物</w:t>
                  </w:r>
                </w:p>
              </w:tc>
              <w:tc>
                <w:tcPr>
                  <w:tcW w:w="65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48</w:t>
                  </w:r>
                </w:p>
              </w:tc>
              <w:tc>
                <w:tcPr>
                  <w:tcW w:w="519"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w:t>
                  </w:r>
                </w:p>
              </w:tc>
              <w:tc>
                <w:tcPr>
                  <w:tcW w:w="46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1</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48</w:t>
                  </w:r>
                </w:p>
              </w:tc>
              <w:tc>
                <w:tcPr>
                  <w:tcW w:w="623" w:type="pct"/>
                  <w:vMerge w:val="continue"/>
                  <w:noWrap w:val="0"/>
                  <w:vAlign w:val="center"/>
                </w:tcPr>
                <w:p>
                  <w:pPr>
                    <w:adjustRightInd w:val="0"/>
                    <w:snapToGrid w:val="0"/>
                    <w:spacing w:line="240" w:lineRule="auto"/>
                    <w:jc w:val="center"/>
                    <w:rPr>
                      <w:rFonts w:hint="default" w:ascii="Times New Roman" w:hAnsi="Times New Roman" w:cs="Times New Roman"/>
                      <w:bCs/>
                      <w:spacing w:val="-1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1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矿粉筒仓</w:t>
                  </w:r>
                </w:p>
              </w:tc>
              <w:tc>
                <w:tcPr>
                  <w:tcW w:w="108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布袋堵塞，除尘效率降为0%</w:t>
                  </w:r>
                </w:p>
              </w:tc>
              <w:tc>
                <w:tcPr>
                  <w:tcW w:w="48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颗粒物</w:t>
                  </w:r>
                </w:p>
              </w:tc>
              <w:tc>
                <w:tcPr>
                  <w:tcW w:w="65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48</w:t>
                  </w:r>
                </w:p>
              </w:tc>
              <w:tc>
                <w:tcPr>
                  <w:tcW w:w="519"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w:t>
                  </w:r>
                </w:p>
              </w:tc>
              <w:tc>
                <w:tcPr>
                  <w:tcW w:w="46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1</w:t>
                  </w:r>
                </w:p>
              </w:tc>
              <w:tc>
                <w:tcPr>
                  <w:tcW w:w="55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48</w:t>
                  </w:r>
                </w:p>
              </w:tc>
              <w:tc>
                <w:tcPr>
                  <w:tcW w:w="623" w:type="pct"/>
                  <w:vMerge w:val="continue"/>
                  <w:noWrap w:val="0"/>
                  <w:vAlign w:val="center"/>
                </w:tcPr>
                <w:p>
                  <w:pPr>
                    <w:adjustRightInd w:val="0"/>
                    <w:snapToGrid w:val="0"/>
                    <w:spacing w:line="240" w:lineRule="auto"/>
                    <w:jc w:val="center"/>
                    <w:rPr>
                      <w:rFonts w:hint="default" w:ascii="Times New Roman" w:hAnsi="Times New Roman" w:cs="Times New Roman"/>
                      <w:bCs/>
                      <w:spacing w:val="-10"/>
                      <w:szCs w:val="21"/>
                    </w:rPr>
                  </w:pPr>
                </w:p>
              </w:tc>
            </w:tr>
          </w:tbl>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highlight w:val="none"/>
              </w:rPr>
            </w:pPr>
            <w:r>
              <w:rPr>
                <w:rFonts w:hint="eastAsia" w:ascii="Times New Roman" w:hAnsi="Times New Roman" w:cs="Times New Roman"/>
                <w:sz w:val="24"/>
                <w:highlight w:val="none"/>
              </w:rPr>
              <w:t>为防止生产废气</w:t>
            </w:r>
            <w:r>
              <w:rPr>
                <w:rFonts w:hint="eastAsia" w:ascii="Times New Roman" w:hAnsi="Times New Roman" w:cs="Times New Roman"/>
                <w:sz w:val="24"/>
                <w:highlight w:val="none"/>
                <w:lang w:eastAsia="zh-CN"/>
              </w:rPr>
              <w:t>在非正常</w:t>
            </w:r>
            <w:r>
              <w:rPr>
                <w:rFonts w:hint="eastAsia" w:ascii="Times New Roman" w:hAnsi="Times New Roman" w:cs="Times New Roman"/>
                <w:sz w:val="24"/>
                <w:highlight w:val="none"/>
              </w:rPr>
              <w:t>工况</w:t>
            </w:r>
            <w:r>
              <w:rPr>
                <w:rFonts w:hint="eastAsia" w:ascii="Times New Roman" w:hAnsi="Times New Roman" w:cs="Times New Roman"/>
                <w:sz w:val="24"/>
                <w:highlight w:val="none"/>
                <w:lang w:eastAsia="zh-CN"/>
              </w:rPr>
              <w:t>下排放</w:t>
            </w:r>
            <w:r>
              <w:rPr>
                <w:rFonts w:hint="eastAsia" w:ascii="Times New Roman" w:hAnsi="Times New Roman" w:cs="Times New Roman"/>
                <w:sz w:val="24"/>
                <w:highlight w:val="none"/>
              </w:rPr>
              <w:t>，</w:t>
            </w:r>
            <w:r>
              <w:rPr>
                <w:rFonts w:hint="eastAsia" w:ascii="Times New Roman" w:hAnsi="Times New Roman" w:cs="Times New Roman"/>
                <w:sz w:val="24"/>
                <w:highlight w:val="none"/>
                <w:lang w:eastAsia="zh-CN"/>
              </w:rPr>
              <w:t>应及时</w:t>
            </w:r>
            <w:r>
              <w:rPr>
                <w:rFonts w:hint="eastAsia" w:ascii="Times New Roman" w:hAnsi="Times New Roman" w:cs="Times New Roman"/>
                <w:sz w:val="24"/>
                <w:highlight w:val="none"/>
              </w:rPr>
              <w:t>检查废气处理装置的有效性和设备的运行情况，确保废气处理系统正常运行；开、停、检修要有预案，</w:t>
            </w:r>
            <w:r>
              <w:rPr>
                <w:rFonts w:hint="eastAsia" w:ascii="Times New Roman" w:hAnsi="Times New Roman" w:cs="Times New Roman"/>
                <w:sz w:val="24"/>
                <w:highlight w:val="none"/>
                <w:lang w:eastAsia="zh-CN"/>
              </w:rPr>
              <w:t>制定</w:t>
            </w:r>
            <w:r>
              <w:rPr>
                <w:rFonts w:hint="eastAsia" w:ascii="Times New Roman" w:hAnsi="Times New Roman" w:cs="Times New Roman"/>
                <w:sz w:val="24"/>
                <w:highlight w:val="none"/>
              </w:rPr>
              <w:t>严密周全的计划，降低非正常排放</w:t>
            </w:r>
            <w:r>
              <w:rPr>
                <w:rFonts w:hint="eastAsia" w:ascii="Times New Roman" w:hAnsi="Times New Roman" w:cs="Times New Roman"/>
                <w:sz w:val="24"/>
                <w:highlight w:val="none"/>
                <w:lang w:eastAsia="zh-CN"/>
              </w:rPr>
              <w:t>概率</w:t>
            </w:r>
            <w:r>
              <w:rPr>
                <w:rFonts w:hint="eastAsia" w:ascii="Times New Roman" w:hAnsi="Times New Roman" w:cs="Times New Roman"/>
                <w:sz w:val="24"/>
                <w:highlight w:val="none"/>
              </w:rPr>
              <w:t>，使影响最小</w:t>
            </w:r>
            <w:r>
              <w:rPr>
                <w:rFonts w:hint="eastAsia" w:ascii="Times New Roman" w:hAnsi="Times New Roman" w:cs="Times New Roman"/>
                <w:sz w:val="24"/>
                <w:highlight w:val="none"/>
                <w:lang w:eastAsia="zh-CN"/>
              </w:rPr>
              <w:t>。</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highlight w:val="none"/>
              </w:rPr>
            </w:pPr>
            <w:r>
              <w:rPr>
                <w:rFonts w:hint="eastAsia" w:ascii="Times New Roman" w:hAnsi="Times New Roman" w:cs="Times New Roman"/>
                <w:sz w:val="24"/>
                <w:highlight w:val="none"/>
                <w:lang w:val="en-US" w:eastAsia="zh-CN"/>
              </w:rPr>
              <w:t>a</w:t>
            </w:r>
            <w:r>
              <w:rPr>
                <w:rFonts w:hint="eastAsia" w:ascii="Times New Roman" w:hAnsi="Times New Roman" w:cs="Times New Roman"/>
                <w:sz w:val="24"/>
                <w:highlight w:val="none"/>
              </w:rPr>
              <w:t>为确保项目</w:t>
            </w:r>
            <w:r>
              <w:rPr>
                <w:rFonts w:hint="eastAsia" w:ascii="Times New Roman" w:hAnsi="Times New Roman" w:cs="Times New Roman"/>
                <w:sz w:val="24"/>
                <w:highlight w:val="none"/>
                <w:lang w:eastAsia="zh-CN"/>
              </w:rPr>
              <w:t>袋式除尘器</w:t>
            </w:r>
            <w:r>
              <w:rPr>
                <w:rFonts w:hint="eastAsia" w:ascii="Times New Roman" w:hAnsi="Times New Roman" w:cs="Times New Roman"/>
                <w:sz w:val="24"/>
                <w:highlight w:val="none"/>
              </w:rPr>
              <w:t>能够有效收集和处理</w:t>
            </w:r>
            <w:r>
              <w:rPr>
                <w:rFonts w:hint="eastAsia" w:ascii="Times New Roman" w:hAnsi="Times New Roman" w:cs="Times New Roman"/>
                <w:sz w:val="24"/>
                <w:highlight w:val="none"/>
                <w:lang w:eastAsia="zh-CN"/>
              </w:rPr>
              <w:t>污染物，</w:t>
            </w:r>
            <w:r>
              <w:rPr>
                <w:rFonts w:hint="eastAsia" w:ascii="Times New Roman" w:hAnsi="Times New Roman" w:cs="Times New Roman"/>
                <w:sz w:val="24"/>
                <w:highlight w:val="none"/>
              </w:rPr>
              <w:t>评价建议定期对</w:t>
            </w:r>
            <w:r>
              <w:rPr>
                <w:rFonts w:hint="eastAsia" w:ascii="Times New Roman" w:hAnsi="Times New Roman" w:cs="Times New Roman"/>
                <w:sz w:val="24"/>
                <w:highlight w:val="none"/>
                <w:lang w:eastAsia="zh-CN"/>
              </w:rPr>
              <w:t>袋式除尘器</w:t>
            </w:r>
            <w:r>
              <w:rPr>
                <w:rFonts w:hint="eastAsia" w:ascii="Times New Roman" w:hAnsi="Times New Roman" w:cs="Times New Roman"/>
                <w:sz w:val="24"/>
                <w:highlight w:val="none"/>
              </w:rPr>
              <w:t>装置</w:t>
            </w:r>
            <w:r>
              <w:rPr>
                <w:rFonts w:hint="eastAsia" w:ascii="Times New Roman" w:hAnsi="Times New Roman" w:cs="Times New Roman"/>
                <w:sz w:val="24"/>
                <w:highlight w:val="none"/>
                <w:lang w:eastAsia="zh-CN"/>
              </w:rPr>
              <w:t>进行检查和</w:t>
            </w:r>
            <w:r>
              <w:rPr>
                <w:rFonts w:hint="eastAsia" w:ascii="Times New Roman" w:hAnsi="Times New Roman" w:cs="Times New Roman"/>
                <w:sz w:val="24"/>
                <w:highlight w:val="none"/>
              </w:rPr>
              <w:t>维修</w:t>
            </w:r>
            <w:r>
              <w:rPr>
                <w:rFonts w:hint="eastAsia" w:ascii="Times New Roman" w:hAnsi="Times New Roman" w:cs="Times New Roman"/>
                <w:sz w:val="24"/>
                <w:highlight w:val="none"/>
                <w:lang w:eastAsia="zh-CN"/>
              </w:rPr>
              <w:t>。</w:t>
            </w:r>
            <w:r>
              <w:rPr>
                <w:rFonts w:hint="eastAsia" w:ascii="Times New Roman" w:hAnsi="Times New Roman" w:cs="Times New Roman"/>
                <w:sz w:val="24"/>
                <w:highlight w:val="none"/>
                <w:lang w:val="en-US" w:eastAsia="zh-CN"/>
              </w:rPr>
              <w:t>b</w:t>
            </w:r>
            <w:r>
              <w:rPr>
                <w:rFonts w:hint="eastAsia" w:ascii="Times New Roman" w:hAnsi="Times New Roman" w:cs="Times New Roman"/>
                <w:sz w:val="24"/>
                <w:highlight w:val="none"/>
              </w:rPr>
              <w:t>应设有备用电源和备用处理设备</w:t>
            </w:r>
            <w:r>
              <w:rPr>
                <w:rFonts w:hint="eastAsia" w:ascii="Times New Roman" w:hAnsi="Times New Roman" w:cs="Times New Roman"/>
                <w:sz w:val="24"/>
                <w:highlight w:val="none"/>
                <w:lang w:eastAsia="zh-CN"/>
              </w:rPr>
              <w:t>及</w:t>
            </w:r>
            <w:r>
              <w:rPr>
                <w:rFonts w:hint="eastAsia" w:ascii="Times New Roman" w:hAnsi="Times New Roman" w:cs="Times New Roman"/>
                <w:sz w:val="24"/>
                <w:highlight w:val="none"/>
              </w:rPr>
              <w:t>零件，以备停电或设备出现故障</w:t>
            </w:r>
            <w:r>
              <w:rPr>
                <w:rFonts w:hint="eastAsia" w:ascii="Times New Roman" w:hAnsi="Times New Roman" w:cs="Times New Roman"/>
                <w:sz w:val="24"/>
                <w:highlight w:val="none"/>
                <w:lang w:eastAsia="zh-CN"/>
              </w:rPr>
              <w:t>时</w:t>
            </w:r>
            <w:r>
              <w:rPr>
                <w:rFonts w:hint="eastAsia" w:ascii="Times New Roman" w:hAnsi="Times New Roman" w:cs="Times New Roman"/>
                <w:sz w:val="24"/>
                <w:highlight w:val="none"/>
              </w:rPr>
              <w:t>及时更换</w:t>
            </w:r>
            <w:r>
              <w:rPr>
                <w:rFonts w:hint="eastAsia" w:ascii="Times New Roman" w:hAnsi="Times New Roman" w:cs="Times New Roman"/>
                <w:sz w:val="24"/>
                <w:highlight w:val="none"/>
                <w:lang w:eastAsia="zh-CN"/>
              </w:rPr>
              <w:t>，确保</w:t>
            </w:r>
            <w:r>
              <w:rPr>
                <w:rFonts w:hint="eastAsia" w:ascii="Times New Roman" w:hAnsi="Times New Roman" w:cs="Times New Roman"/>
                <w:sz w:val="24"/>
                <w:highlight w:val="none"/>
              </w:rPr>
              <w:t>废气</w:t>
            </w:r>
            <w:r>
              <w:rPr>
                <w:rFonts w:hint="eastAsia" w:ascii="Times New Roman" w:hAnsi="Times New Roman" w:cs="Times New Roman"/>
                <w:sz w:val="24"/>
                <w:highlight w:val="none"/>
                <w:lang w:eastAsia="zh-CN"/>
              </w:rPr>
              <w:t>全部</w:t>
            </w:r>
            <w:r>
              <w:rPr>
                <w:rFonts w:hint="eastAsia" w:ascii="Times New Roman" w:hAnsi="Times New Roman" w:cs="Times New Roman"/>
                <w:sz w:val="24"/>
                <w:highlight w:val="none"/>
              </w:rPr>
              <w:t>达标排放。</w:t>
            </w:r>
            <w:r>
              <w:rPr>
                <w:rFonts w:hint="eastAsia" w:ascii="Times New Roman" w:hAnsi="Times New Roman" w:cs="Times New Roman"/>
                <w:sz w:val="24"/>
                <w:highlight w:val="none"/>
                <w:lang w:val="en-US" w:eastAsia="zh-CN"/>
              </w:rPr>
              <w:t>c</w:t>
            </w:r>
            <w:r>
              <w:rPr>
                <w:rFonts w:hint="eastAsia" w:ascii="Times New Roman" w:hAnsi="Times New Roman" w:cs="Times New Roman"/>
                <w:sz w:val="24"/>
                <w:highlight w:val="none"/>
              </w:rPr>
              <w:t>对员工进行岗位培训</w:t>
            </w:r>
            <w:r>
              <w:rPr>
                <w:rFonts w:hint="eastAsia" w:ascii="Times New Roman" w:hAnsi="Times New Roman" w:cs="Times New Roman"/>
                <w:sz w:val="24"/>
                <w:highlight w:val="none"/>
                <w:lang w:eastAsia="zh-CN"/>
              </w:rPr>
              <w:t>，</w:t>
            </w:r>
            <w:r>
              <w:rPr>
                <w:rFonts w:hint="eastAsia" w:ascii="Times New Roman" w:hAnsi="Times New Roman" w:cs="Times New Roman"/>
                <w:sz w:val="24"/>
                <w:highlight w:val="none"/>
              </w:rPr>
              <w:t>做好值班记录，实行岗位责任制。</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highlight w:val="none"/>
              </w:rPr>
            </w:pPr>
            <w:r>
              <w:rPr>
                <w:rFonts w:hint="eastAsia" w:ascii="Times New Roman" w:hAnsi="Times New Roman" w:cs="Times New Roman"/>
                <w:sz w:val="24"/>
                <w:highlight w:val="none"/>
                <w:lang w:eastAsia="zh-CN"/>
              </w:rPr>
              <w:t>仓顶脉冲除尘器的清理及维护：</w:t>
            </w:r>
            <w:r>
              <w:rPr>
                <w:rFonts w:hint="eastAsia" w:ascii="Times New Roman" w:hAnsi="Times New Roman" w:cs="Times New Roman"/>
                <w:sz w:val="24"/>
                <w:highlight w:val="none"/>
                <w:lang w:val="en-US" w:eastAsia="zh-CN"/>
              </w:rPr>
              <w:t>a</w:t>
            </w:r>
            <w:r>
              <w:rPr>
                <w:rFonts w:hint="eastAsia" w:ascii="Times New Roman" w:hAnsi="Times New Roman" w:cs="Times New Roman"/>
                <w:sz w:val="24"/>
                <w:highlight w:val="none"/>
                <w:lang w:eastAsia="zh-CN"/>
              </w:rPr>
              <w:t>使用前检查线路是否畅通。</w:t>
            </w:r>
            <w:r>
              <w:rPr>
                <w:rFonts w:hint="eastAsia" w:ascii="Times New Roman" w:hAnsi="Times New Roman" w:cs="Times New Roman"/>
                <w:sz w:val="24"/>
                <w:highlight w:val="none"/>
                <w:lang w:val="en-US" w:eastAsia="zh-CN"/>
              </w:rPr>
              <w:t>b</w:t>
            </w:r>
            <w:r>
              <w:rPr>
                <w:rFonts w:hint="eastAsia" w:ascii="Times New Roman" w:hAnsi="Times New Roman" w:cs="Times New Roman"/>
                <w:sz w:val="24"/>
                <w:highlight w:val="none"/>
                <w:lang w:eastAsia="zh-CN"/>
              </w:rPr>
              <w:t>散装水泥车向罐中注灰前后，应开启振动2～3分钟。</w:t>
            </w:r>
            <w:r>
              <w:rPr>
                <w:rFonts w:hint="eastAsia" w:ascii="Times New Roman" w:hAnsi="Times New Roman" w:cs="Times New Roman"/>
                <w:sz w:val="24"/>
                <w:highlight w:val="none"/>
                <w:lang w:val="en-US" w:eastAsia="zh-CN"/>
              </w:rPr>
              <w:t>c</w:t>
            </w:r>
            <w:r>
              <w:rPr>
                <w:rFonts w:hint="eastAsia" w:ascii="Times New Roman" w:hAnsi="Times New Roman" w:cs="Times New Roman"/>
                <w:sz w:val="24"/>
                <w:highlight w:val="none"/>
                <w:lang w:eastAsia="zh-CN"/>
              </w:rPr>
              <w:t>水泥罐上报警器报警时，停止注灰，以防止损害设备。</w:t>
            </w:r>
            <w:r>
              <w:rPr>
                <w:rFonts w:hint="eastAsia" w:ascii="Times New Roman" w:hAnsi="Times New Roman" w:cs="Times New Roman"/>
                <w:sz w:val="24"/>
                <w:highlight w:val="none"/>
                <w:lang w:val="en-US" w:eastAsia="zh-CN"/>
              </w:rPr>
              <w:t>d</w:t>
            </w:r>
            <w:r>
              <w:rPr>
                <w:rFonts w:hint="eastAsia" w:ascii="Times New Roman" w:hAnsi="Times New Roman" w:cs="Times New Roman"/>
                <w:sz w:val="24"/>
                <w:highlight w:val="none"/>
                <w:lang w:eastAsia="zh-CN"/>
              </w:rPr>
              <w:t>出风口气不畅时，应检查除尘滤袋是否堵塞，如被堵应及时清洗。</w:t>
            </w:r>
            <w:r>
              <w:rPr>
                <w:rFonts w:hint="eastAsia" w:ascii="Times New Roman" w:hAnsi="Times New Roman" w:cs="Times New Roman"/>
                <w:sz w:val="24"/>
                <w:highlight w:val="none"/>
                <w:lang w:val="en-US" w:eastAsia="zh-CN"/>
              </w:rPr>
              <w:t>e清洗</w:t>
            </w:r>
            <w:r>
              <w:rPr>
                <w:rFonts w:hint="eastAsia" w:ascii="Times New Roman" w:hAnsi="Times New Roman" w:cs="Times New Roman"/>
                <w:sz w:val="24"/>
                <w:highlight w:val="none"/>
                <w:lang w:eastAsia="zh-CN"/>
              </w:rPr>
              <w:t>滤袋前，应先用线将其捆绑2-3道，以防冲洗时滤袋变形。</w:t>
            </w:r>
            <w:r>
              <w:rPr>
                <w:rFonts w:hint="eastAsia" w:ascii="Times New Roman" w:hAnsi="Times New Roman" w:cs="Times New Roman"/>
                <w:sz w:val="24"/>
                <w:highlight w:val="none"/>
                <w:lang w:val="en-US" w:eastAsia="zh-CN"/>
              </w:rPr>
              <w:t>f</w:t>
            </w:r>
            <w:r>
              <w:rPr>
                <w:rFonts w:hint="eastAsia" w:ascii="Times New Roman" w:hAnsi="Times New Roman" w:cs="Times New Roman"/>
                <w:sz w:val="24"/>
                <w:highlight w:val="none"/>
                <w:lang w:eastAsia="zh-CN"/>
              </w:rPr>
              <w:t>清洗时，必须等滤袋晾干后才能安装使用。</w:t>
            </w:r>
            <w:r>
              <w:rPr>
                <w:rFonts w:hint="eastAsia" w:ascii="Times New Roman" w:hAnsi="Times New Roman" w:cs="Times New Roman"/>
                <w:sz w:val="24"/>
                <w:highlight w:val="none"/>
                <w:lang w:val="en-US" w:eastAsia="zh-CN"/>
              </w:rPr>
              <w:t>g</w:t>
            </w:r>
            <w:r>
              <w:rPr>
                <w:rFonts w:hint="eastAsia" w:ascii="Times New Roman" w:hAnsi="Times New Roman" w:cs="Times New Roman"/>
                <w:sz w:val="24"/>
                <w:highlight w:val="none"/>
                <w:lang w:eastAsia="zh-CN"/>
              </w:rPr>
              <w:t>滤袋经反复清洗后，已达到除尘目的时，应及时更换新滤袋。</w:t>
            </w:r>
          </w:p>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本次评价要求项目应按上述措施严格落实，杜绝非正常工况下废气排放情况的发生；当发生非正常工况下废气排放情况时，应立即停车检查和维修，确保废气得到有效收集和处理。</w:t>
            </w:r>
          </w:p>
          <w:p>
            <w:pPr>
              <w:pageBreakBefore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cs="Times New Roman"/>
                <w:b/>
                <w:bCs/>
                <w:sz w:val="24"/>
                <w:highlight w:val="none"/>
                <w:lang w:val="en-US" w:eastAsia="zh-CN"/>
              </w:rPr>
            </w:pPr>
            <w:r>
              <w:rPr>
                <w:rFonts w:hint="eastAsia" w:cs="Times New Roman"/>
                <w:b/>
                <w:bCs/>
                <w:sz w:val="24"/>
                <w:highlight w:val="none"/>
                <w:lang w:val="en-US" w:eastAsia="zh-CN"/>
              </w:rPr>
              <w:t>1.5</w:t>
            </w:r>
            <w:r>
              <w:rPr>
                <w:rFonts w:hint="default" w:ascii="Times New Roman" w:hAnsi="Times New Roman" w:cs="Times New Roman"/>
                <w:b/>
                <w:bCs/>
                <w:sz w:val="24"/>
                <w:highlight w:val="none"/>
                <w:lang w:val="en-US" w:eastAsia="zh-CN"/>
              </w:rPr>
              <w:t>监测要求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根据《排污单位自行监测技术指南 总则》（HJ</w:t>
            </w:r>
            <w:r>
              <w:rPr>
                <w:rFonts w:hint="eastAsia" w:ascii="Times New Roman" w:hAnsi="Times New Roman" w:eastAsia="宋体" w:cs="Times New Roman"/>
                <w:sz w:val="24"/>
                <w:szCs w:val="24"/>
                <w:lang w:val="en-US" w:eastAsia="zh-CN"/>
              </w:rPr>
              <w:t xml:space="preserve"> 819</w:t>
            </w:r>
            <w:r>
              <w:rPr>
                <w:rFonts w:hint="default" w:ascii="Times New Roman" w:hAnsi="Times New Roman" w:eastAsia="宋体" w:cs="Times New Roman"/>
                <w:sz w:val="24"/>
                <w:szCs w:val="24"/>
                <w:lang w:val="en-US" w:eastAsia="zh-CN"/>
              </w:rPr>
              <w:t>-201</w:t>
            </w:r>
            <w:r>
              <w:rPr>
                <w:rFonts w:hint="eastAsia"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val="en-US" w:eastAsia="zh-CN"/>
              </w:rPr>
              <w:t>）、《排污单位自行监测技术指南 水泥工业》（HJ</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en-US" w:eastAsia="zh-CN"/>
              </w:rPr>
              <w:t>848-2017）</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《排污许可证申请与核发技术规范</w:t>
            </w:r>
            <w:r>
              <w:rPr>
                <w:rFonts w:hint="eastAsia" w:ascii="Times New Roman" w:hAnsi="Times New Roman" w:eastAsia="宋体" w:cs="Times New Roman"/>
                <w:sz w:val="24"/>
                <w:szCs w:val="24"/>
                <w:lang w:val="en-US" w:eastAsia="zh-CN"/>
              </w:rPr>
              <w:t xml:space="preserve"> 水泥工业</w:t>
            </w:r>
            <w:r>
              <w:rPr>
                <w:rFonts w:hint="default" w:ascii="Times New Roman" w:hAnsi="Times New Roman" w:eastAsia="宋体" w:cs="Times New Roman"/>
                <w:sz w:val="24"/>
                <w:szCs w:val="24"/>
                <w:lang w:val="en-US" w:eastAsia="zh-CN"/>
              </w:rPr>
              <w:t xml:space="preserve">》（HJ </w:t>
            </w:r>
            <w:r>
              <w:rPr>
                <w:rFonts w:hint="eastAsia" w:ascii="Times New Roman" w:hAnsi="Times New Roman" w:eastAsia="宋体" w:cs="Times New Roman"/>
                <w:sz w:val="24"/>
                <w:szCs w:val="24"/>
                <w:lang w:val="en-US" w:eastAsia="zh-CN"/>
              </w:rPr>
              <w:t>847</w:t>
            </w:r>
            <w:r>
              <w:rPr>
                <w:rFonts w:hint="default" w:ascii="Times New Roman" w:hAnsi="Times New Roman" w:eastAsia="宋体" w:cs="Times New Roman"/>
                <w:sz w:val="24"/>
                <w:szCs w:val="24"/>
                <w:lang w:val="en-US" w:eastAsia="zh-CN"/>
              </w:rPr>
              <w:t>-2017），本项目大气监测计划见表4-</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en-US" w:eastAsia="zh-CN"/>
              </w:rPr>
              <w:t>：</w:t>
            </w:r>
          </w:p>
          <w:p>
            <w:pPr>
              <w:pStyle w:val="5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cs="Times New Roman"/>
                <w:b/>
                <w:kern w:val="2"/>
                <w:sz w:val="24"/>
                <w:szCs w:val="24"/>
                <w:highlight w:val="none"/>
                <w:lang w:val="en-US" w:eastAsia="zh-CN"/>
              </w:rPr>
            </w:pPr>
            <w:r>
              <w:rPr>
                <w:rFonts w:hint="eastAsia" w:ascii="Times New Roman" w:hAnsi="Times New Roman" w:cs="Times New Roman"/>
                <w:b/>
                <w:kern w:val="2"/>
                <w:sz w:val="24"/>
                <w:szCs w:val="24"/>
                <w:highlight w:val="none"/>
                <w:lang w:val="en-US" w:eastAsia="zh-CN"/>
              </w:rPr>
              <w:t>表4-5  废气环境监测计划</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638"/>
              <w:gridCol w:w="1541"/>
              <w:gridCol w:w="1283"/>
              <w:gridCol w:w="1085"/>
              <w:gridCol w:w="2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45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类型</w:t>
                  </w:r>
                </w:p>
              </w:tc>
              <w:tc>
                <w:tcPr>
                  <w:tcW w:w="406"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类型</w:t>
                  </w:r>
                </w:p>
              </w:tc>
              <w:tc>
                <w:tcPr>
                  <w:tcW w:w="98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监测</w:t>
                  </w:r>
                  <w:r>
                    <w:rPr>
                      <w:rFonts w:hint="default" w:ascii="Times New Roman" w:hAnsi="Times New Roman" w:cs="Times New Roman" w:eastAsiaTheme="minorEastAsia"/>
                      <w:sz w:val="21"/>
                      <w:szCs w:val="21"/>
                      <w:lang w:val="en-US" w:eastAsia="zh-CN"/>
                    </w:rPr>
                    <w:t>位置</w:t>
                  </w:r>
                </w:p>
              </w:tc>
              <w:tc>
                <w:tcPr>
                  <w:tcW w:w="816"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监测项目</w:t>
                  </w:r>
                </w:p>
              </w:tc>
              <w:tc>
                <w:tcPr>
                  <w:tcW w:w="69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监测频次</w:t>
                  </w:r>
                </w:p>
              </w:tc>
              <w:tc>
                <w:tcPr>
                  <w:tcW w:w="164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废气</w:t>
                  </w:r>
                </w:p>
              </w:tc>
              <w:tc>
                <w:tcPr>
                  <w:tcW w:w="406"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无组织废气</w:t>
                  </w:r>
                </w:p>
              </w:tc>
              <w:tc>
                <w:tcPr>
                  <w:tcW w:w="98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厂界</w:t>
                  </w:r>
                </w:p>
              </w:tc>
              <w:tc>
                <w:tcPr>
                  <w:tcW w:w="816"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颗粒物</w:t>
                  </w:r>
                </w:p>
              </w:tc>
              <w:tc>
                <w:tcPr>
                  <w:tcW w:w="69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w:t>
                  </w:r>
                  <w:r>
                    <w:rPr>
                      <w:rFonts w:hint="default" w:ascii="Times New Roman" w:hAnsi="Times New Roman" w:cs="Times New Roman" w:eastAsiaTheme="minorEastAsia"/>
                      <w:sz w:val="21"/>
                      <w:szCs w:val="21"/>
                      <w:lang w:val="en-US" w:eastAsia="zh-CN"/>
                    </w:rPr>
                    <w:t>次/</w:t>
                  </w:r>
                  <w:r>
                    <w:rPr>
                      <w:rFonts w:hint="eastAsia" w:ascii="Times New Roman" w:hAnsi="Times New Roman" w:cs="Times New Roman" w:eastAsiaTheme="minorEastAsia"/>
                      <w:sz w:val="21"/>
                      <w:szCs w:val="21"/>
                      <w:lang w:val="en-US" w:eastAsia="zh-CN"/>
                    </w:rPr>
                    <w:t>季</w:t>
                  </w:r>
                </w:p>
              </w:tc>
              <w:tc>
                <w:tcPr>
                  <w:tcW w:w="164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《排污单位自行监测技术指南水泥工业》（HJ848-2017）中表3大气污染物无组织排放限值</w:t>
                  </w:r>
                </w:p>
              </w:tc>
            </w:tr>
          </w:tbl>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sz w:val="24"/>
                <w:szCs w:val="24"/>
                <w:lang w:val="en-US" w:eastAsia="zh-CN"/>
              </w:rPr>
            </w:pPr>
            <w:r>
              <w:rPr>
                <w:rFonts w:hint="eastAsia" w:eastAsia="宋体" w:cs="Times New Roman"/>
                <w:b/>
                <w:bCs/>
                <w:sz w:val="24"/>
                <w:highlight w:val="none"/>
                <w:lang w:val="en-US" w:eastAsia="zh-CN"/>
              </w:rPr>
              <w:t>2、</w:t>
            </w:r>
            <w:r>
              <w:rPr>
                <w:rFonts w:hint="default" w:eastAsia="宋体" w:cs="Times New Roman"/>
                <w:b/>
                <w:bCs/>
                <w:sz w:val="24"/>
                <w:highlight w:val="none"/>
                <w:lang w:val="en-US" w:eastAsia="zh-CN"/>
              </w:rPr>
              <w:t>废水污染工序及源强分析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2.1</w:t>
            </w:r>
            <w:r>
              <w:rPr>
                <w:rFonts w:hint="eastAsia" w:eastAsia="宋体" w:cs="Times New Roman"/>
                <w:b/>
                <w:bCs/>
                <w:sz w:val="24"/>
                <w:szCs w:val="24"/>
                <w:lang w:val="en-US" w:eastAsia="zh-CN"/>
              </w:rPr>
              <w:t>项目废水产排情况</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本项目用水主要为员工生活用水和生产用水</w:t>
            </w:r>
            <w:r>
              <w:rPr>
                <w:rFonts w:hint="eastAsia" w:ascii="Times New Roman" w:hAnsi="Times New Roman" w:eastAsia="宋体" w:cs="Times New Roman"/>
                <w:sz w:val="24"/>
                <w:szCs w:val="24"/>
                <w:lang w:val="en-US" w:eastAsia="zh-CN"/>
              </w:rPr>
              <w:t>。生活污水经化粪池预处理后拉运至库尔勒市南市区污水处理厂处理</w:t>
            </w:r>
            <w:r>
              <w:rPr>
                <w:rFonts w:hint="eastAsia" w:cs="Times New Roman"/>
                <w:sz w:val="24"/>
                <w:szCs w:val="24"/>
                <w:lang w:val="en-GB" w:eastAsia="zh-CN"/>
              </w:rPr>
              <w:t>，</w:t>
            </w:r>
            <w:r>
              <w:rPr>
                <w:rFonts w:hint="eastAsia" w:ascii="Times New Roman" w:hAnsi="Times New Roman" w:eastAsia="宋体" w:cs="Times New Roman"/>
                <w:sz w:val="24"/>
                <w:szCs w:val="24"/>
                <w:lang w:val="en-US" w:eastAsia="zh-CN"/>
              </w:rPr>
              <w:t>生产废水经沉淀池处理后用于洒水降尘。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 1 \* GB3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①</w:t>
            </w:r>
            <w:r>
              <w:rPr>
                <w:rFonts w:hint="default" w:ascii="Times New Roman" w:hAnsi="Times New Roman" w:eastAsia="宋体" w:cs="Times New Roman"/>
                <w:sz w:val="24"/>
                <w:szCs w:val="24"/>
                <w:lang w:val="en-US" w:eastAsia="zh-CN"/>
              </w:rPr>
              <w:fldChar w:fldCharType="end"/>
            </w:r>
            <w:r>
              <w:rPr>
                <w:rFonts w:hint="default" w:ascii="Times New Roman" w:hAnsi="Times New Roman" w:eastAsia="宋体" w:cs="Times New Roman"/>
                <w:sz w:val="24"/>
                <w:szCs w:val="24"/>
                <w:lang w:val="en-US" w:eastAsia="zh-CN"/>
              </w:rPr>
              <w:t>生活用水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本项目劳动定员20人，年工作天数为240天，参照《新疆维吾尔自治区生活用水定额》（新政办发</w:t>
            </w:r>
            <w:r>
              <w:rPr>
                <w:rFonts w:hint="eastAsia" w:ascii="Times New Roman" w:hAnsi="Times New Roman" w:cs="Times New Roman"/>
                <w:sz w:val="24"/>
                <w:szCs w:val="24"/>
                <w:lang w:val="en-US" w:eastAsia="zh-CN"/>
              </w:rPr>
              <w:t>〔2007〕105号</w:t>
            </w:r>
            <w:r>
              <w:rPr>
                <w:rFonts w:hint="default" w:ascii="Times New Roman" w:hAnsi="Times New Roman" w:eastAsia="宋体" w:cs="Times New Roman"/>
                <w:sz w:val="24"/>
                <w:szCs w:val="24"/>
                <w:lang w:val="en-US" w:eastAsia="zh-CN"/>
              </w:rPr>
              <w:t>）规定，用水量按50L/人</w:t>
            </w:r>
            <w:r>
              <w:rPr>
                <w:rFonts w:hint="eastAsia"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日计，则用水量1.0m</w:t>
            </w:r>
            <w:r>
              <w:rPr>
                <w:rFonts w:hint="default" w:ascii="Times New Roman" w:hAnsi="Times New Roman" w:eastAsia="宋体" w:cs="Times New Roman"/>
                <w:sz w:val="24"/>
                <w:szCs w:val="24"/>
                <w:vertAlign w:val="superscript"/>
                <w:lang w:val="en-US" w:eastAsia="zh-CN"/>
              </w:rPr>
              <w:t>3</w:t>
            </w:r>
            <w:r>
              <w:rPr>
                <w:rFonts w:hint="default" w:ascii="Times New Roman" w:hAnsi="Times New Roman" w:eastAsia="宋体" w:cs="Times New Roman"/>
                <w:sz w:val="24"/>
                <w:szCs w:val="24"/>
                <w:lang w:val="en-US" w:eastAsia="zh-CN"/>
              </w:rPr>
              <w:t>/d（240m</w:t>
            </w:r>
            <w:r>
              <w:rPr>
                <w:rFonts w:hint="default" w:ascii="Times New Roman" w:hAnsi="Times New Roman" w:eastAsia="宋体" w:cs="Times New Roman"/>
                <w:sz w:val="24"/>
                <w:szCs w:val="24"/>
                <w:vertAlign w:val="superscript"/>
                <w:lang w:val="en-US" w:eastAsia="zh-CN"/>
              </w:rPr>
              <w:t>3</w:t>
            </w:r>
            <w:r>
              <w:rPr>
                <w:rFonts w:hint="default" w:ascii="Times New Roman" w:hAnsi="Times New Roman" w:eastAsia="宋体" w:cs="Times New Roman"/>
                <w:sz w:val="24"/>
                <w:szCs w:val="24"/>
                <w:lang w:val="en-US" w:eastAsia="zh-CN"/>
              </w:rPr>
              <w:t>/a），产污系数按0.8计，废水量0.80m</w:t>
            </w:r>
            <w:r>
              <w:rPr>
                <w:rFonts w:hint="default" w:ascii="Times New Roman" w:hAnsi="Times New Roman" w:eastAsia="宋体" w:cs="Times New Roman"/>
                <w:sz w:val="24"/>
                <w:szCs w:val="24"/>
                <w:vertAlign w:val="superscript"/>
                <w:lang w:val="en-US" w:eastAsia="zh-CN"/>
              </w:rPr>
              <w:t>3</w:t>
            </w:r>
            <w:r>
              <w:rPr>
                <w:rFonts w:hint="default" w:ascii="Times New Roman" w:hAnsi="Times New Roman" w:eastAsia="宋体" w:cs="Times New Roman"/>
                <w:sz w:val="24"/>
                <w:szCs w:val="24"/>
                <w:lang w:val="en-US" w:eastAsia="zh-CN"/>
              </w:rPr>
              <w:t>/d（192m</w:t>
            </w:r>
            <w:r>
              <w:rPr>
                <w:rFonts w:hint="default" w:ascii="Times New Roman" w:hAnsi="Times New Roman" w:eastAsia="宋体" w:cs="Times New Roman"/>
                <w:sz w:val="24"/>
                <w:szCs w:val="24"/>
                <w:vertAlign w:val="superscript"/>
                <w:lang w:val="en-US" w:eastAsia="zh-CN"/>
              </w:rPr>
              <w:t>3</w:t>
            </w:r>
            <w:r>
              <w:rPr>
                <w:rFonts w:hint="default" w:ascii="Times New Roman" w:hAnsi="Times New Roman" w:eastAsia="宋体" w:cs="Times New Roman"/>
                <w:sz w:val="24"/>
                <w:szCs w:val="24"/>
                <w:lang w:val="en-US" w:eastAsia="zh-CN"/>
              </w:rPr>
              <w:t>/a），生活污水浓度参照《建筑中水设计标准》（GB50336-2018）中生活污水中各污染物产生浓度，生活污水污染物浓度COD</w:t>
            </w:r>
            <w:r>
              <w:rPr>
                <w:rFonts w:hint="default" w:ascii="Times New Roman" w:hAnsi="Times New Roman" w:eastAsia="宋体" w:cs="Times New Roman"/>
                <w:sz w:val="24"/>
                <w:szCs w:val="24"/>
                <w:vertAlign w:val="subscript"/>
                <w:lang w:val="en-US" w:eastAsia="zh-CN"/>
              </w:rPr>
              <w:t>cr</w:t>
            </w:r>
            <w:r>
              <w:rPr>
                <w:rFonts w:hint="default" w:ascii="Times New Roman" w:hAnsi="Times New Roman" w:eastAsia="宋体" w:cs="Times New Roman"/>
                <w:sz w:val="24"/>
                <w:szCs w:val="24"/>
                <w:lang w:val="en-US" w:eastAsia="zh-CN"/>
              </w:rPr>
              <w:t>350mg/L，BOD</w:t>
            </w:r>
            <w:r>
              <w:rPr>
                <w:rFonts w:hint="default" w:ascii="Times New Roman" w:hAnsi="Times New Roman" w:eastAsia="宋体" w:cs="Times New Roman"/>
                <w:sz w:val="24"/>
                <w:szCs w:val="24"/>
                <w:vertAlign w:val="subscript"/>
                <w:lang w:val="en-US" w:eastAsia="zh-CN"/>
              </w:rPr>
              <w:t>5</w:t>
            </w:r>
            <w:r>
              <w:rPr>
                <w:rFonts w:hint="default" w:ascii="Times New Roman" w:hAnsi="Times New Roman" w:eastAsia="宋体" w:cs="Times New Roman"/>
                <w:sz w:val="24"/>
                <w:szCs w:val="24"/>
                <w:lang w:val="en-US" w:eastAsia="zh-CN"/>
              </w:rPr>
              <w:t>250mg/L，SS200mg/L，氨氮30mg/L。废水收集到化粪池处理后，由清污车拉运至</w:t>
            </w:r>
            <w:r>
              <w:rPr>
                <w:rFonts w:hint="eastAsia" w:ascii="Times New Roman" w:hAnsi="Times New Roman" w:eastAsia="宋体" w:cs="Times New Roman"/>
                <w:sz w:val="24"/>
                <w:szCs w:val="24"/>
                <w:lang w:val="en-US" w:eastAsia="zh-CN"/>
              </w:rPr>
              <w:t>库尔勒南市区污水处理厂</w:t>
            </w:r>
            <w:r>
              <w:rPr>
                <w:rFonts w:hint="default"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 2 \* GB3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②</w:t>
            </w:r>
            <w:r>
              <w:rPr>
                <w:rFonts w:hint="default" w:ascii="Times New Roman" w:hAnsi="Times New Roman" w:eastAsia="宋体" w:cs="Times New Roman"/>
                <w:sz w:val="24"/>
                <w:szCs w:val="24"/>
                <w:lang w:val="en-US" w:eastAsia="zh-CN"/>
              </w:rPr>
              <w:fldChar w:fldCharType="end"/>
            </w:r>
            <w:r>
              <w:rPr>
                <w:rFonts w:hint="default" w:ascii="Times New Roman" w:hAnsi="Times New Roman" w:eastAsia="宋体" w:cs="Times New Roman"/>
                <w:sz w:val="24"/>
                <w:szCs w:val="24"/>
                <w:lang w:val="en-US" w:eastAsia="zh-CN"/>
              </w:rPr>
              <w:t>生产用水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根据企业提供的资料，年生产1</w:t>
            </w:r>
            <w:r>
              <w:rPr>
                <w:rFonts w:hint="eastAsia" w:ascii="Times New Roman" w:hAnsi="Times New Roman" w:eastAsia="宋体" w:cs="Times New Roman"/>
                <w:sz w:val="24"/>
                <w:szCs w:val="24"/>
                <w:lang w:val="en-US" w:eastAsia="zh-CN"/>
              </w:rPr>
              <w:t>0</w:t>
            </w:r>
            <w:r>
              <w:rPr>
                <w:rFonts w:hint="default" w:ascii="Times New Roman" w:hAnsi="Times New Roman" w:eastAsia="宋体" w:cs="Times New Roman"/>
                <w:sz w:val="24"/>
                <w:szCs w:val="24"/>
                <w:lang w:val="en-US" w:eastAsia="zh-CN"/>
              </w:rPr>
              <w:t>万m</w:t>
            </w:r>
            <w:r>
              <w:rPr>
                <w:rFonts w:hint="default" w:ascii="Times New Roman" w:hAnsi="Times New Roman" w:eastAsia="宋体" w:cs="Times New Roman"/>
                <w:sz w:val="24"/>
                <w:szCs w:val="24"/>
                <w:vertAlign w:val="superscript"/>
                <w:lang w:val="en-US" w:eastAsia="zh-CN"/>
              </w:rPr>
              <w:t>3</w:t>
            </w:r>
            <w:r>
              <w:rPr>
                <w:rFonts w:hint="default" w:ascii="Times New Roman" w:hAnsi="Times New Roman" w:eastAsia="宋体" w:cs="Times New Roman"/>
                <w:sz w:val="24"/>
                <w:szCs w:val="24"/>
                <w:lang w:val="en-US" w:eastAsia="zh-CN"/>
              </w:rPr>
              <w:t>混凝土，用水量约为</w:t>
            </w:r>
            <w:r>
              <w:rPr>
                <w:rFonts w:hint="eastAsia" w:ascii="Times New Roman" w:hAnsi="Times New Roman" w:eastAsia="宋体" w:cs="Times New Roman"/>
                <w:sz w:val="24"/>
                <w:szCs w:val="24"/>
                <w:lang w:val="en-US" w:eastAsia="zh-CN"/>
              </w:rPr>
              <w:t>1</w:t>
            </w:r>
            <w:r>
              <w:rPr>
                <w:rFonts w:hint="eastAsia" w:cs="Times New Roman"/>
                <w:sz w:val="24"/>
                <w:szCs w:val="24"/>
                <w:lang w:val="en-US" w:eastAsia="zh-CN"/>
              </w:rPr>
              <w:t>0</w:t>
            </w:r>
            <w:r>
              <w:rPr>
                <w:rFonts w:hint="eastAsia" w:ascii="Times New Roman" w:hAnsi="Times New Roman" w:eastAsia="宋体" w:cs="Times New Roman"/>
                <w:sz w:val="24"/>
                <w:szCs w:val="24"/>
                <w:lang w:val="en-US" w:eastAsia="zh-CN"/>
              </w:rPr>
              <w:t>000</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3</w:t>
            </w:r>
            <w:r>
              <w:rPr>
                <w:rFonts w:hint="eastAsia" w:ascii="Times New Roman" w:hAnsi="Times New Roman" w:eastAsia="宋体" w:cs="Times New Roman"/>
                <w:sz w:val="24"/>
                <w:szCs w:val="24"/>
                <w:lang w:val="en-US" w:eastAsia="zh-CN"/>
              </w:rPr>
              <w:t>，此部分用水全部进入产品，或养护自然蒸发，不</w:t>
            </w:r>
            <w:r>
              <w:rPr>
                <w:rFonts w:hint="default" w:ascii="Times New Roman" w:hAnsi="Times New Roman" w:eastAsia="宋体" w:cs="Times New Roman"/>
                <w:sz w:val="24"/>
                <w:szCs w:val="24"/>
                <w:lang w:val="en-US" w:eastAsia="zh-CN"/>
              </w:rPr>
              <w:t>排放</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 3 \* GB3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③</w:t>
            </w:r>
            <w:r>
              <w:rPr>
                <w:rFonts w:hint="default" w:ascii="Times New Roman" w:hAnsi="Times New Roman" w:eastAsia="宋体" w:cs="Times New Roman"/>
                <w:sz w:val="24"/>
                <w:szCs w:val="24"/>
                <w:lang w:val="en-US" w:eastAsia="zh-CN"/>
              </w:rPr>
              <w:fldChar w:fldCharType="end"/>
            </w:r>
            <w:r>
              <w:rPr>
                <w:rFonts w:hint="default" w:ascii="Times New Roman" w:hAnsi="Times New Roman" w:eastAsia="宋体" w:cs="Times New Roman"/>
                <w:sz w:val="24"/>
                <w:szCs w:val="24"/>
                <w:lang w:val="en-US" w:eastAsia="zh-CN"/>
              </w:rPr>
              <w:t>设备车辆冲洗</w:t>
            </w:r>
            <w:r>
              <w:rPr>
                <w:rFonts w:hint="eastAsia" w:ascii="Times New Roman" w:hAnsi="Times New Roman" w:eastAsia="宋体" w:cs="Times New Roman"/>
                <w:sz w:val="24"/>
                <w:szCs w:val="24"/>
                <w:lang w:val="en-US" w:eastAsia="zh-CN"/>
              </w:rPr>
              <w:t>用</w:t>
            </w:r>
            <w:r>
              <w:rPr>
                <w:rFonts w:hint="default" w:ascii="Times New Roman" w:hAnsi="Times New Roman" w:eastAsia="宋体" w:cs="Times New Roman"/>
                <w:sz w:val="24"/>
                <w:szCs w:val="24"/>
                <w:lang w:val="en-US" w:eastAsia="zh-CN"/>
              </w:rPr>
              <w:t>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lang w:val="en-US" w:eastAsia="zh-CN"/>
              </w:rPr>
              <w:t>搅拌设备、车辆清洗</w:t>
            </w:r>
            <w:r>
              <w:rPr>
                <w:rFonts w:hint="default" w:ascii="Times New Roman" w:hAnsi="Times New Roman" w:eastAsia="宋体" w:cs="Times New Roman"/>
                <w:sz w:val="24"/>
                <w:szCs w:val="24"/>
                <w:lang w:val="en-US" w:eastAsia="zh-CN"/>
              </w:rPr>
              <w:t>在暂时停止生产时必须冲洗干净。停止生产</w:t>
            </w:r>
            <w:r>
              <w:rPr>
                <w:rFonts w:hint="eastAsia" w:ascii="Times New Roman" w:hAnsi="Times New Roman" w:cs="Times New Roman"/>
                <w:sz w:val="24"/>
                <w:szCs w:val="24"/>
                <w:lang w:val="en-US" w:eastAsia="zh-CN"/>
              </w:rPr>
              <w:t>的原因</w:t>
            </w:r>
            <w:r>
              <w:rPr>
                <w:rFonts w:hint="default" w:ascii="Times New Roman" w:hAnsi="Times New Roman" w:eastAsia="宋体" w:cs="Times New Roman"/>
                <w:sz w:val="24"/>
                <w:szCs w:val="24"/>
                <w:lang w:val="en-US" w:eastAsia="zh-CN"/>
              </w:rPr>
              <w:t>有生产间歇及设备</w:t>
            </w:r>
            <w:r>
              <w:rPr>
                <w:rFonts w:hint="eastAsia" w:ascii="Times New Roman" w:hAnsi="Times New Roman" w:cs="Times New Roman"/>
                <w:sz w:val="24"/>
                <w:szCs w:val="24"/>
                <w:lang w:val="en-US" w:eastAsia="zh-CN"/>
              </w:rPr>
              <w:t>检修</w:t>
            </w:r>
            <w:r>
              <w:rPr>
                <w:rFonts w:hint="default" w:ascii="Times New Roman" w:hAnsi="Times New Roman" w:eastAsia="宋体" w:cs="Times New Roman"/>
                <w:sz w:val="24"/>
                <w:szCs w:val="24"/>
                <w:lang w:val="en-US" w:eastAsia="zh-CN"/>
              </w:rPr>
              <w:t>。根据企业提供资料，</w:t>
            </w:r>
            <w:r>
              <w:rPr>
                <w:rFonts w:hint="eastAsia" w:ascii="Times New Roman" w:hAnsi="Times New Roman" w:eastAsia="宋体" w:cs="Times New Roman"/>
                <w:sz w:val="24"/>
                <w:szCs w:val="24"/>
                <w:lang w:val="en-US" w:eastAsia="zh-CN"/>
              </w:rPr>
              <w:t>设备冲洗</w:t>
            </w:r>
            <w:r>
              <w:rPr>
                <w:rFonts w:hint="default" w:ascii="Times New Roman" w:hAnsi="Times New Roman" w:eastAsia="宋体" w:cs="Times New Roman"/>
                <w:sz w:val="24"/>
                <w:szCs w:val="24"/>
                <w:lang w:val="en-US" w:eastAsia="zh-CN"/>
              </w:rPr>
              <w:t>平均每天冲洗一次，每次冲洗水约1</w:t>
            </w:r>
            <w:r>
              <w:rPr>
                <w:rFonts w:hint="eastAsia" w:ascii="Times New Roman" w:hAnsi="Times New Roman" w:eastAsia="宋体" w:cs="Times New Roman"/>
                <w:sz w:val="24"/>
                <w:szCs w:val="24"/>
                <w:lang w:val="en-US" w:eastAsia="zh-CN"/>
              </w:rPr>
              <w:t>5m</w:t>
            </w:r>
            <w:r>
              <w:rPr>
                <w:rFonts w:hint="eastAsia" w:ascii="Times New Roman" w:hAnsi="Times New Roman" w:eastAsia="宋体" w:cs="Times New Roman"/>
                <w:sz w:val="24"/>
                <w:szCs w:val="24"/>
                <w:vertAlign w:val="superscript"/>
                <w:lang w:val="en-US" w:eastAsia="zh-CN"/>
              </w:rPr>
              <w:t>3</w:t>
            </w:r>
            <w:r>
              <w:rPr>
                <w:rFonts w:hint="eastAsia" w:ascii="Times New Roman" w:hAnsi="Times New Roman" w:eastAsia="宋体" w:cs="Times New Roman"/>
                <w:sz w:val="24"/>
                <w:szCs w:val="24"/>
                <w:lang w:val="en-US" w:eastAsia="zh-CN"/>
              </w:rPr>
              <w:t>/d</w:t>
            </w:r>
            <w:r>
              <w:rPr>
                <w:rFonts w:hint="default" w:ascii="Times New Roman" w:hAnsi="Times New Roman" w:eastAsia="宋体" w:cs="Times New Roman"/>
                <w:sz w:val="24"/>
                <w:szCs w:val="24"/>
                <w:lang w:val="en-US" w:eastAsia="zh-CN"/>
              </w:rPr>
              <w:t>计，搅拌机冲洗水用水量为</w:t>
            </w:r>
            <w:r>
              <w:rPr>
                <w:rFonts w:hint="eastAsia" w:ascii="Times New Roman" w:hAnsi="Times New Roman" w:eastAsia="宋体" w:cs="Times New Roman"/>
                <w:sz w:val="24"/>
                <w:szCs w:val="24"/>
                <w:lang w:val="en-US" w:eastAsia="zh-CN"/>
              </w:rPr>
              <w:t>360</w:t>
            </w:r>
            <w:r>
              <w:rPr>
                <w:rFonts w:hint="default" w:ascii="Times New Roman" w:hAnsi="Times New Roman" w:eastAsia="宋体" w:cs="Times New Roman"/>
                <w:sz w:val="24"/>
                <w:szCs w:val="24"/>
                <w:lang w:val="en-US" w:eastAsia="zh-CN"/>
              </w:rPr>
              <w:t>0m</w:t>
            </w:r>
            <w:r>
              <w:rPr>
                <w:rFonts w:hint="default" w:ascii="Times New Roman" w:hAnsi="Times New Roman" w:eastAsia="宋体" w:cs="Times New Roman"/>
                <w:sz w:val="24"/>
                <w:szCs w:val="24"/>
                <w:vertAlign w:val="superscript"/>
                <w:lang w:val="en-US" w:eastAsia="zh-CN"/>
              </w:rPr>
              <w:t>3</w:t>
            </w:r>
            <w:r>
              <w:rPr>
                <w:rFonts w:hint="default" w:ascii="Times New Roman" w:hAnsi="Times New Roman" w:eastAsia="宋体" w:cs="Times New Roman"/>
                <w:sz w:val="24"/>
                <w:szCs w:val="24"/>
                <w:lang w:val="en-US" w:eastAsia="zh-CN"/>
              </w:rPr>
              <w:t>/a。</w:t>
            </w:r>
            <w:r>
              <w:rPr>
                <w:rFonts w:hint="eastAsia" w:ascii="Times New Roman" w:hAnsi="Times New Roman" w:eastAsia="宋体" w:cs="Times New Roman"/>
                <w:sz w:val="24"/>
                <w:szCs w:val="24"/>
                <w:lang w:val="en-US" w:eastAsia="zh-CN"/>
              </w:rPr>
              <w:t>废水产生量按用水</w:t>
            </w:r>
            <w:r>
              <w:rPr>
                <w:rFonts w:hint="eastAsia" w:ascii="Times New Roman" w:hAnsi="Times New Roman" w:eastAsia="宋体" w:cs="Times New Roman"/>
                <w:sz w:val="24"/>
                <w:szCs w:val="24"/>
                <w:highlight w:val="none"/>
                <w:lang w:val="en-US" w:eastAsia="zh-CN"/>
              </w:rPr>
              <w:t>量的0.8计，废水产生量为12m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/d（2880m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/a）。</w:t>
            </w:r>
            <w:r>
              <w:rPr>
                <w:rFonts w:hint="default" w:ascii="Times New Roman" w:hAnsi="Times New Roman" w:eastAsia="宋体" w:cs="Times New Roman"/>
                <w:sz w:val="24"/>
                <w:szCs w:val="24"/>
                <w:highlight w:val="none"/>
                <w:lang w:val="en-US" w:eastAsia="zh-CN"/>
              </w:rPr>
              <w:t>采用新鲜水，经沉淀池沉淀后</w:t>
            </w:r>
            <w:r>
              <w:rPr>
                <w:rFonts w:hint="eastAsia" w:ascii="Times New Roman" w:hAnsi="Times New Roman" w:cs="Times New Roman"/>
                <w:sz w:val="24"/>
                <w:szCs w:val="24"/>
                <w:highlight w:val="none"/>
                <w:lang w:val="en-US" w:eastAsia="zh-CN"/>
              </w:rPr>
              <w:t>回用于</w:t>
            </w:r>
            <w:r>
              <w:rPr>
                <w:rFonts w:hint="eastAsia" w:cs="Times New Roman"/>
                <w:sz w:val="24"/>
                <w:szCs w:val="24"/>
                <w:highlight w:val="none"/>
                <w:lang w:val="en-US" w:eastAsia="zh-CN"/>
              </w:rPr>
              <w:t>洒水抑尘</w:t>
            </w:r>
            <w:r>
              <w:rPr>
                <w:rFonts w:hint="default" w:ascii="Times New Roman" w:hAnsi="Times New Roman" w:eastAsia="宋体" w:cs="Times New Roman"/>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④</w:t>
            </w:r>
            <w:r>
              <w:rPr>
                <w:rFonts w:hint="eastAsia" w:ascii="Times New Roman" w:hAnsi="Times New Roman" w:eastAsia="宋体" w:cs="Times New Roman"/>
                <w:sz w:val="24"/>
                <w:szCs w:val="24"/>
                <w:highlight w:val="none"/>
                <w:lang w:val="en-US" w:eastAsia="zh-CN"/>
              </w:rPr>
              <w:t>实验用水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检验室对原辅料及产品进行质量检测，主要包括原料细度，产品的坍落度、扩展度、抗水渗透性能等，通过检验仪器设施进行试验，全为物理检验</w:t>
            </w:r>
            <w:r>
              <w:rPr>
                <w:rFonts w:hint="eastAsia" w:ascii="Times New Roman" w:hAnsi="Times New Roman" w:cs="Times New Roman"/>
                <w:sz w:val="24"/>
                <w:szCs w:val="24"/>
                <w:highlight w:val="none"/>
                <w:lang w:val="en-US" w:eastAsia="zh-CN"/>
              </w:rPr>
              <w:t>，不</w:t>
            </w:r>
            <w:r>
              <w:rPr>
                <w:rFonts w:hint="eastAsia" w:ascii="Times New Roman" w:hAnsi="Times New Roman" w:eastAsia="宋体" w:cs="Times New Roman"/>
                <w:sz w:val="24"/>
                <w:szCs w:val="24"/>
                <w:highlight w:val="none"/>
                <w:lang w:val="en-US" w:eastAsia="zh-CN"/>
              </w:rPr>
              <w:t>需要添加化学试剂，检测</w:t>
            </w:r>
            <w:r>
              <w:rPr>
                <w:rFonts w:hint="eastAsia" w:ascii="Times New Roman" w:hAnsi="Times New Roman" w:cs="Times New Roman"/>
                <w:sz w:val="24"/>
                <w:szCs w:val="24"/>
                <w:highlight w:val="none"/>
                <w:lang w:val="en-US" w:eastAsia="zh-CN"/>
              </w:rPr>
              <w:t>完成</w:t>
            </w:r>
            <w:r>
              <w:rPr>
                <w:rFonts w:hint="eastAsia" w:ascii="Times New Roman" w:hAnsi="Times New Roman" w:eastAsia="宋体" w:cs="Times New Roman"/>
                <w:sz w:val="24"/>
                <w:szCs w:val="24"/>
                <w:highlight w:val="none"/>
                <w:lang w:val="en-US" w:eastAsia="zh-CN"/>
              </w:rPr>
              <w:t>后需要对仪器进行清洗，检验室清洗用水量约为0.5m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/d（120m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/a）</w:t>
            </w:r>
            <w:r>
              <w:rPr>
                <w:rFonts w:hint="eastAsia" w:ascii="Times New Roman" w:hAnsi="Times New Roman" w:cs="Times New Roman"/>
                <w:sz w:val="24"/>
                <w:szCs w:val="24"/>
                <w:highlight w:val="none"/>
                <w:lang w:val="en-US" w:eastAsia="zh-CN"/>
              </w:rPr>
              <w:t>，废水</w:t>
            </w:r>
            <w:r>
              <w:rPr>
                <w:rFonts w:hint="eastAsia" w:ascii="Times New Roman" w:hAnsi="Times New Roman" w:eastAsia="宋体" w:cs="Times New Roman"/>
                <w:sz w:val="24"/>
                <w:szCs w:val="24"/>
                <w:highlight w:val="none"/>
                <w:lang w:val="en-US" w:eastAsia="zh-CN"/>
              </w:rPr>
              <w:t>排放量按用水量的80%</w:t>
            </w:r>
            <w:r>
              <w:rPr>
                <w:rFonts w:hint="eastAsia" w:cs="Times New Roman"/>
                <w:sz w:val="24"/>
                <w:szCs w:val="24"/>
                <w:highlight w:val="none"/>
                <w:lang w:val="en-US" w:eastAsia="zh-CN"/>
              </w:rPr>
              <w:t>计算</w:t>
            </w:r>
            <w:r>
              <w:rPr>
                <w:rFonts w:hint="eastAsia" w:ascii="Times New Roman" w:hAnsi="Times New Roman" w:eastAsia="宋体" w:cs="Times New Roman"/>
                <w:sz w:val="24"/>
                <w:szCs w:val="24"/>
                <w:highlight w:val="none"/>
                <w:lang w:val="en-US" w:eastAsia="zh-CN"/>
              </w:rPr>
              <w:t>，检验清洗废水为96m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/a，经沉淀池（76m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lang w:val="en-US" w:eastAsia="zh-CN"/>
              </w:rPr>
              <w:t>）沉淀后</w:t>
            </w:r>
            <w:r>
              <w:rPr>
                <w:rFonts w:hint="eastAsia" w:ascii="Times New Roman" w:hAnsi="Times New Roman" w:cs="Times New Roman"/>
                <w:sz w:val="24"/>
                <w:szCs w:val="24"/>
                <w:highlight w:val="none"/>
                <w:lang w:val="en-US" w:eastAsia="zh-CN"/>
              </w:rPr>
              <w:t>回用于</w:t>
            </w:r>
            <w:r>
              <w:rPr>
                <w:rFonts w:hint="eastAsia" w:cs="Times New Roman"/>
                <w:sz w:val="24"/>
                <w:szCs w:val="24"/>
                <w:highlight w:val="none"/>
                <w:lang w:val="en-US" w:eastAsia="zh-CN"/>
              </w:rPr>
              <w:t>洒水抑尘</w:t>
            </w:r>
            <w:r>
              <w:rPr>
                <w:rFonts w:hint="eastAsia" w:ascii="Times New Roman" w:hAnsi="Times New Roman" w:eastAsia="宋体" w:cs="Times New Roman"/>
                <w:sz w:val="24"/>
                <w:szCs w:val="24"/>
                <w:highlight w:val="none"/>
                <w:lang w:val="en-US" w:eastAsia="zh-CN"/>
              </w:rPr>
              <w:t>，不外排。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⑤</w:t>
            </w:r>
            <w:r>
              <w:rPr>
                <w:rFonts w:hint="eastAsia" w:ascii="Times New Roman" w:hAnsi="Times New Roman" w:eastAsia="宋体" w:cs="Times New Roman"/>
                <w:sz w:val="24"/>
                <w:szCs w:val="24"/>
                <w:highlight w:val="none"/>
                <w:lang w:val="en-US" w:eastAsia="zh-CN"/>
              </w:rPr>
              <w:t>绿化用水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本厂区绿化面积为3023m</w:t>
            </w:r>
            <w:r>
              <w:rPr>
                <w:rFonts w:hint="eastAsia" w:ascii="Times New Roman" w:hAnsi="Times New Roman" w:eastAsia="宋体" w:cs="Times New Roman"/>
                <w:sz w:val="24"/>
                <w:szCs w:val="24"/>
                <w:vertAlign w:val="superscript"/>
                <w:lang w:val="en-US" w:eastAsia="zh-CN"/>
              </w:rPr>
              <w:t>2</w:t>
            </w:r>
            <w:r>
              <w:rPr>
                <w:rFonts w:hint="eastAsia" w:ascii="Times New Roman" w:hAnsi="Times New Roman" w:eastAsia="宋体" w:cs="Times New Roman"/>
                <w:sz w:val="24"/>
                <w:szCs w:val="24"/>
                <w:lang w:val="en-US" w:eastAsia="zh-CN"/>
              </w:rPr>
              <w:t>，绿化率为22.76%。按照《建筑给水排水设计规范》中绿化浇灌最高日用水定额</w:t>
            </w:r>
            <w:r>
              <w:rPr>
                <w:rFonts w:hint="eastAsia" w:ascii="Times New Roman" w:hAnsi="Times New Roman" w:cs="Times New Roman"/>
                <w:sz w:val="24"/>
                <w:szCs w:val="24"/>
                <w:lang w:val="en-US" w:eastAsia="zh-CN"/>
              </w:rPr>
              <w:t>，可</w:t>
            </w:r>
            <w:r>
              <w:rPr>
                <w:rFonts w:hint="eastAsia" w:ascii="Times New Roman" w:hAnsi="Times New Roman" w:eastAsia="宋体" w:cs="Times New Roman"/>
                <w:sz w:val="24"/>
                <w:szCs w:val="24"/>
                <w:lang w:val="en-US" w:eastAsia="zh-CN"/>
              </w:rPr>
              <w:t>按浇洒面积1.0L/（m</w:t>
            </w:r>
            <w:r>
              <w:rPr>
                <w:rFonts w:hint="eastAsia"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vertAlign w:val="baseline"/>
                <w:lang w:val="en-US" w:eastAsia="zh-CN"/>
              </w:rPr>
              <w:t>·</w:t>
            </w:r>
            <w:r>
              <w:rPr>
                <w:rFonts w:hint="eastAsia" w:ascii="Times New Roman" w:hAnsi="Times New Roman" w:eastAsia="宋体" w:cs="Times New Roman"/>
                <w:sz w:val="24"/>
                <w:szCs w:val="24"/>
                <w:lang w:val="en-US" w:eastAsia="zh-CN"/>
              </w:rPr>
              <w:t>d）～3.0L/（m</w:t>
            </w:r>
            <w:r>
              <w:rPr>
                <w:rFonts w:hint="eastAsia"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d）计算，本厂区绿化按2.0L/（m</w:t>
            </w:r>
            <w:r>
              <w:rPr>
                <w:rFonts w:hint="eastAsia" w:ascii="Times New Roman" w:hAnsi="Times New Roman" w:eastAsia="宋体" w:cs="Times New Roman"/>
                <w:sz w:val="24"/>
                <w:szCs w:val="24"/>
                <w:vertAlign w:val="superscript"/>
                <w:lang w:val="en-US" w:eastAsia="zh-CN"/>
              </w:rPr>
              <w:t>2</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d）计算，则绿化用水量约为1451.04m</w:t>
            </w:r>
            <w:r>
              <w:rPr>
                <w:rFonts w:hint="eastAsia" w:ascii="Times New Roman" w:hAnsi="Times New Roman" w:eastAsia="宋体" w:cs="Times New Roman"/>
                <w:sz w:val="24"/>
                <w:szCs w:val="24"/>
                <w:vertAlign w:val="superscript"/>
                <w:lang w:val="en-US" w:eastAsia="zh-CN"/>
              </w:rPr>
              <w:t>3</w:t>
            </w:r>
            <w:r>
              <w:rPr>
                <w:rFonts w:hint="eastAsia" w:ascii="Times New Roman" w:hAnsi="Times New Roman" w:eastAsia="宋体" w:cs="Times New Roman"/>
                <w:sz w:val="24"/>
                <w:szCs w:val="24"/>
                <w:lang w:val="en-US" w:eastAsia="zh-CN"/>
              </w:rPr>
              <w:t>/a。绿化用水全部被植被吸收。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（2）排水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项目排水主要为生活污水和清洗废水，</w:t>
            </w:r>
            <w:r>
              <w:rPr>
                <w:rFonts w:hint="eastAsia" w:ascii="Times New Roman" w:hAnsi="Times New Roman" w:eastAsia="宋体" w:cs="Times New Roman"/>
                <w:sz w:val="24"/>
                <w:szCs w:val="24"/>
                <w:lang w:val="en-US" w:eastAsia="zh-CN"/>
              </w:rPr>
              <w:t>本项目食堂污水经油水分离器分离后排入化粪池，其余生活污水直接排入化粪池，经化粪池收集后定期</w:t>
            </w:r>
            <w:r>
              <w:rPr>
                <w:rFonts w:hint="default" w:ascii="Times New Roman" w:hAnsi="Times New Roman" w:eastAsia="宋体" w:cs="Times New Roman"/>
                <w:sz w:val="24"/>
                <w:szCs w:val="24"/>
                <w:lang w:val="en-US" w:eastAsia="zh-CN"/>
              </w:rPr>
              <w:t>由清污车拉运至</w:t>
            </w:r>
            <w:r>
              <w:rPr>
                <w:rFonts w:hint="eastAsia" w:ascii="Times New Roman" w:hAnsi="Times New Roman" w:cs="Times New Roman"/>
                <w:sz w:val="24"/>
                <w:szCs w:val="24"/>
                <w:lang w:val="en-US" w:eastAsia="zh-CN"/>
              </w:rPr>
              <w:t>库尔勒市</w:t>
            </w:r>
            <w:r>
              <w:rPr>
                <w:rFonts w:hint="eastAsia" w:ascii="Times New Roman" w:hAnsi="Times New Roman" w:eastAsia="宋体" w:cs="Times New Roman"/>
                <w:sz w:val="24"/>
                <w:szCs w:val="24"/>
                <w:lang w:val="en-US" w:eastAsia="zh-CN"/>
              </w:rPr>
              <w:t>南市区污水处理厂</w:t>
            </w:r>
            <w:r>
              <w:rPr>
                <w:rFonts w:hint="default" w:ascii="Times New Roman" w:hAnsi="Times New Roman" w:eastAsia="宋体" w:cs="Times New Roman"/>
                <w:sz w:val="24"/>
                <w:szCs w:val="24"/>
                <w:lang w:val="en-US" w:eastAsia="zh-CN"/>
              </w:rPr>
              <w:t>。清洗废水排入三级沉淀池，经沉淀后回用于原料库及厂区洒水抑尘。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本项目生活</w:t>
            </w:r>
            <w:r>
              <w:rPr>
                <w:rFonts w:hint="eastAsia" w:ascii="Times New Roman" w:hAnsi="Times New Roman" w:eastAsia="宋体" w:cs="Times New Roman"/>
                <w:sz w:val="24"/>
                <w:szCs w:val="24"/>
                <w:lang w:val="en-US" w:eastAsia="zh-CN"/>
              </w:rPr>
              <w:t>污</w:t>
            </w:r>
            <w:r>
              <w:rPr>
                <w:rFonts w:hint="default" w:ascii="Times New Roman" w:hAnsi="Times New Roman" w:eastAsia="宋体" w:cs="Times New Roman"/>
                <w:sz w:val="24"/>
                <w:szCs w:val="24"/>
                <w:lang w:val="en-US" w:eastAsia="zh-CN"/>
              </w:rPr>
              <w:t>水中主要污染物的产生及排放情况见表4-</w:t>
            </w:r>
            <w:r>
              <w:rPr>
                <w:rFonts w:hint="eastAsia"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val="en-US" w:eastAsia="zh-CN"/>
              </w:rPr>
              <w:t>。</w:t>
            </w:r>
          </w:p>
          <w:p>
            <w:pPr>
              <w:pStyle w:val="5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sz w:val="24"/>
                <w:szCs w:val="24"/>
              </w:rPr>
            </w:pPr>
            <w:r>
              <w:rPr>
                <w:rFonts w:hint="eastAsia" w:ascii="Times New Roman" w:hAnsi="Times New Roman" w:cs="Times New Roman"/>
                <w:b/>
                <w:kern w:val="2"/>
                <w:sz w:val="24"/>
                <w:szCs w:val="24"/>
                <w:highlight w:val="none"/>
                <w:lang w:val="en-US" w:eastAsia="zh-CN"/>
              </w:rPr>
              <w:t>表4-6  废水主要污染物产生量</w:t>
            </w:r>
          </w:p>
          <w:tbl>
            <w:tblPr>
              <w:tblStyle w:val="23"/>
              <w:tblW w:w="496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03"/>
              <w:gridCol w:w="659"/>
              <w:gridCol w:w="473"/>
              <w:gridCol w:w="729"/>
              <w:gridCol w:w="797"/>
              <w:gridCol w:w="914"/>
              <w:gridCol w:w="986"/>
              <w:gridCol w:w="1090"/>
              <w:gridCol w:w="850"/>
              <w:gridCol w:w="80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03" w:hRule="atLeast"/>
              </w:trPr>
              <w:tc>
                <w:tcPr>
                  <w:tcW w:w="322"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类别</w:t>
                  </w:r>
                </w:p>
              </w:tc>
              <w:tc>
                <w:tcPr>
                  <w:tcW w:w="422"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污染物</w:t>
                  </w:r>
                </w:p>
              </w:tc>
              <w:tc>
                <w:tcPr>
                  <w:tcW w:w="1280"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污染物</w:t>
                  </w:r>
                  <w:r>
                    <w:rPr>
                      <w:rFonts w:hint="default" w:ascii="Times New Roman" w:hAnsi="Times New Roman" w:cs="Times New Roman" w:eastAsiaTheme="minorEastAsia"/>
                      <w:sz w:val="21"/>
                      <w:szCs w:val="21"/>
                      <w:lang w:val="en-US" w:eastAsia="zh-CN"/>
                    </w:rPr>
                    <w:t>产生情况</w:t>
                  </w:r>
                </w:p>
              </w:tc>
              <w:tc>
                <w:tcPr>
                  <w:tcW w:w="585" w:type="pct"/>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治理措施</w:t>
                  </w:r>
                </w:p>
              </w:tc>
              <w:tc>
                <w:tcPr>
                  <w:tcW w:w="631"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标准</w:t>
                  </w:r>
                </w:p>
              </w:tc>
              <w:tc>
                <w:tcPr>
                  <w:tcW w:w="1242"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排放</w:t>
                  </w:r>
                </w:p>
              </w:tc>
              <w:tc>
                <w:tcPr>
                  <w:tcW w:w="514"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最终去向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2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42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303"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核算方法</w:t>
                  </w:r>
                </w:p>
              </w:tc>
              <w:tc>
                <w:tcPr>
                  <w:tcW w:w="977"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生活污水</w:t>
                  </w:r>
                  <w:r>
                    <w:rPr>
                      <w:rFonts w:hint="eastAsia" w:cs="Times New Roman" w:eastAsiaTheme="minorEastAsia"/>
                      <w:sz w:val="21"/>
                      <w:szCs w:val="21"/>
                      <w:lang w:val="en-US" w:eastAsia="zh-CN"/>
                    </w:rPr>
                    <w:t>192</w:t>
                  </w:r>
                  <w:r>
                    <w:rPr>
                      <w:rFonts w:hint="eastAsia" w:ascii="Times New Roman" w:hAnsi="Times New Roman" w:cs="Times New Roman" w:eastAsiaTheme="minorEastAsia"/>
                      <w:sz w:val="21"/>
                      <w:szCs w:val="21"/>
                      <w:lang w:val="en-US" w:eastAsia="zh-CN"/>
                    </w:rPr>
                    <w:t>m</w:t>
                  </w:r>
                  <w:r>
                    <w:rPr>
                      <w:rFonts w:hint="eastAsia" w:ascii="Times New Roman" w:hAnsi="Times New Roman" w:cs="Times New Roman" w:eastAsiaTheme="minorEastAsia"/>
                      <w:sz w:val="21"/>
                      <w:szCs w:val="21"/>
                      <w:vertAlign w:val="superscript"/>
                      <w:lang w:val="en-US" w:eastAsia="zh-CN"/>
                    </w:rPr>
                    <w:t>3</w:t>
                  </w:r>
                  <w:r>
                    <w:rPr>
                      <w:rFonts w:hint="eastAsia" w:ascii="Times New Roman" w:hAnsi="Times New Roman" w:cs="Times New Roman" w:eastAsiaTheme="minorEastAsia"/>
                      <w:sz w:val="21"/>
                      <w:szCs w:val="21"/>
                      <w:lang w:val="en-US" w:eastAsia="zh-CN"/>
                    </w:rPr>
                    <w:t>/a</w:t>
                  </w:r>
                </w:p>
              </w:tc>
              <w:tc>
                <w:tcPr>
                  <w:tcW w:w="585" w:type="pct"/>
                  <w:vMerge w:val="restart"/>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工艺</w:t>
                  </w:r>
                </w:p>
              </w:tc>
              <w:tc>
                <w:tcPr>
                  <w:tcW w:w="63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69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浓度（</w:t>
                  </w:r>
                  <w:r>
                    <w:rPr>
                      <w:rFonts w:hint="default" w:ascii="Times New Roman" w:hAnsi="Times New Roman" w:cs="Times New Roman" w:eastAsiaTheme="minorEastAsia"/>
                      <w:sz w:val="21"/>
                      <w:szCs w:val="21"/>
                      <w:lang w:val="en-US" w:eastAsia="zh-CN"/>
                    </w:rPr>
                    <w:t>mg/L</w:t>
                  </w:r>
                  <w:r>
                    <w:rPr>
                      <w:rFonts w:hint="eastAsia" w:ascii="Times New Roman" w:hAnsi="Times New Roman" w:cs="Times New Roman" w:eastAsiaTheme="minorEastAsia"/>
                      <w:sz w:val="21"/>
                      <w:szCs w:val="21"/>
                      <w:lang w:val="en-US" w:eastAsia="zh-CN"/>
                    </w:rPr>
                    <w:t>）</w:t>
                  </w:r>
                </w:p>
              </w:tc>
              <w:tc>
                <w:tcPr>
                  <w:tcW w:w="544"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排放量（</w:t>
                  </w:r>
                  <w:r>
                    <w:rPr>
                      <w:rFonts w:hint="default" w:ascii="Times New Roman" w:hAnsi="Times New Roman" w:cs="Times New Roman" w:eastAsiaTheme="minorEastAsia"/>
                      <w:sz w:val="21"/>
                      <w:szCs w:val="21"/>
                      <w:lang w:val="en-US" w:eastAsia="zh-CN"/>
                    </w:rPr>
                    <w:t>t/a</w:t>
                  </w:r>
                  <w:r>
                    <w:rPr>
                      <w:rFonts w:hint="eastAsia" w:ascii="Times New Roman" w:hAnsi="Times New Roman" w:cs="Times New Roman" w:eastAsiaTheme="minorEastAsia"/>
                      <w:sz w:val="21"/>
                      <w:szCs w:val="21"/>
                      <w:lang w:val="en-US" w:eastAsia="zh-CN"/>
                    </w:rPr>
                    <w:t>）</w:t>
                  </w:r>
                </w:p>
              </w:tc>
              <w:tc>
                <w:tcPr>
                  <w:tcW w:w="51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4" w:hRule="atLeast"/>
              </w:trPr>
              <w:tc>
                <w:tcPr>
                  <w:tcW w:w="32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42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30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46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产生</w:t>
                  </w:r>
                  <w:r>
                    <w:rPr>
                      <w:rFonts w:hint="default" w:ascii="Times New Roman" w:hAnsi="Times New Roman" w:cs="Times New Roman" w:eastAsiaTheme="minorEastAsia"/>
                      <w:sz w:val="21"/>
                      <w:szCs w:val="21"/>
                      <w:lang w:val="en-US" w:eastAsia="zh-CN"/>
                    </w:rPr>
                    <w:t>浓度</w:t>
                  </w:r>
                  <w:r>
                    <w:rPr>
                      <w:rFonts w:hint="eastAsia" w:ascii="Times New Roman" w:hAnsi="Times New Roman" w:cs="Times New Roman" w:eastAsiaTheme="minorEastAsia"/>
                      <w:sz w:val="21"/>
                      <w:szCs w:val="21"/>
                      <w:lang w:val="en-US" w:eastAsia="zh-CN"/>
                    </w:rPr>
                    <w:t>mg/L</w:t>
                  </w:r>
                </w:p>
              </w:tc>
              <w:tc>
                <w:tcPr>
                  <w:tcW w:w="51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产生量t/a</w:t>
                  </w:r>
                </w:p>
              </w:tc>
              <w:tc>
                <w:tcPr>
                  <w:tcW w:w="58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63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6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54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51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64" w:hRule="atLeast"/>
              </w:trPr>
              <w:tc>
                <w:tcPr>
                  <w:tcW w:w="322"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生活污水</w:t>
                  </w:r>
                </w:p>
              </w:tc>
              <w:tc>
                <w:tcPr>
                  <w:tcW w:w="422"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COD</w:t>
                  </w:r>
                </w:p>
              </w:tc>
              <w:tc>
                <w:tcPr>
                  <w:tcW w:w="303"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类比法</w:t>
                  </w:r>
                </w:p>
              </w:tc>
              <w:tc>
                <w:tcPr>
                  <w:tcW w:w="46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350</w:t>
                  </w:r>
                </w:p>
              </w:tc>
              <w:tc>
                <w:tcPr>
                  <w:tcW w:w="51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0.067</w:t>
                  </w:r>
                </w:p>
              </w:tc>
              <w:tc>
                <w:tcPr>
                  <w:tcW w:w="585"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106m</w:t>
                  </w:r>
                  <w:r>
                    <w:rPr>
                      <w:rFonts w:hint="eastAsia" w:ascii="Times New Roman" w:hAnsi="Times New Roman" w:cs="Times New Roman" w:eastAsiaTheme="minorEastAsia"/>
                      <w:sz w:val="21"/>
                      <w:szCs w:val="21"/>
                      <w:vertAlign w:val="superscript"/>
                      <w:lang w:val="en-US" w:eastAsia="zh-CN"/>
                    </w:rPr>
                    <w:t>3</w:t>
                  </w:r>
                  <w:r>
                    <w:rPr>
                      <w:rFonts w:hint="default" w:ascii="Times New Roman" w:hAnsi="Times New Roman" w:cs="Times New Roman" w:eastAsiaTheme="minorEastAsia"/>
                      <w:sz w:val="21"/>
                      <w:szCs w:val="21"/>
                      <w:lang w:val="en-US" w:eastAsia="zh-CN"/>
                    </w:rPr>
                    <w:t>化粪池</w:t>
                  </w:r>
                  <w:r>
                    <w:rPr>
                      <w:rFonts w:hint="eastAsia" w:ascii="Times New Roman" w:hAnsi="Times New Roman" w:cs="Times New Roman" w:eastAsiaTheme="minorEastAsia"/>
                      <w:sz w:val="21"/>
                      <w:szCs w:val="21"/>
                      <w:lang w:val="en-US" w:eastAsia="zh-CN"/>
                    </w:rPr>
                    <w:t>预</w:t>
                  </w:r>
                  <w:r>
                    <w:rPr>
                      <w:rFonts w:hint="default" w:ascii="Times New Roman" w:hAnsi="Times New Roman" w:cs="Times New Roman" w:eastAsiaTheme="minorEastAsia"/>
                      <w:sz w:val="21"/>
                      <w:szCs w:val="21"/>
                      <w:lang w:val="en-US" w:eastAsia="zh-CN"/>
                    </w:rPr>
                    <w:t>处理</w:t>
                  </w:r>
                </w:p>
              </w:tc>
              <w:tc>
                <w:tcPr>
                  <w:tcW w:w="631"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500</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mg/L</w:t>
                  </w:r>
                </w:p>
              </w:tc>
              <w:tc>
                <w:tcPr>
                  <w:tcW w:w="69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280</w:t>
                  </w:r>
                </w:p>
              </w:tc>
              <w:tc>
                <w:tcPr>
                  <w:tcW w:w="54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0.054</w:t>
                  </w:r>
                </w:p>
              </w:tc>
              <w:tc>
                <w:tcPr>
                  <w:tcW w:w="514"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库尔勒市南市区污水处理厂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32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422"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BOD</w:t>
                  </w:r>
                </w:p>
              </w:tc>
              <w:tc>
                <w:tcPr>
                  <w:tcW w:w="30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46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250</w:t>
                  </w:r>
                </w:p>
              </w:tc>
              <w:tc>
                <w:tcPr>
                  <w:tcW w:w="51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0.048</w:t>
                  </w:r>
                </w:p>
              </w:tc>
              <w:tc>
                <w:tcPr>
                  <w:tcW w:w="58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631"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300</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mg/L</w:t>
                  </w:r>
                </w:p>
              </w:tc>
              <w:tc>
                <w:tcPr>
                  <w:tcW w:w="69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w:t>
                  </w:r>
                  <w:r>
                    <w:rPr>
                      <w:rFonts w:hint="eastAsia" w:ascii="Times New Roman" w:hAnsi="Times New Roman" w:cs="Times New Roman" w:eastAsiaTheme="minorEastAsia"/>
                      <w:sz w:val="21"/>
                      <w:szCs w:val="21"/>
                      <w:lang w:val="en-US" w:eastAsia="zh-CN"/>
                    </w:rPr>
                    <w:t>25</w:t>
                  </w:r>
                </w:p>
              </w:tc>
              <w:tc>
                <w:tcPr>
                  <w:tcW w:w="54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0.024</w:t>
                  </w:r>
                </w:p>
              </w:tc>
              <w:tc>
                <w:tcPr>
                  <w:tcW w:w="51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trPr>
              <w:tc>
                <w:tcPr>
                  <w:tcW w:w="32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422"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SS</w:t>
                  </w:r>
                </w:p>
              </w:tc>
              <w:tc>
                <w:tcPr>
                  <w:tcW w:w="30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46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200</w:t>
                  </w:r>
                </w:p>
              </w:tc>
              <w:tc>
                <w:tcPr>
                  <w:tcW w:w="51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0.038</w:t>
                  </w:r>
                </w:p>
              </w:tc>
              <w:tc>
                <w:tcPr>
                  <w:tcW w:w="58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631"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400</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mg/L</w:t>
                  </w:r>
                </w:p>
              </w:tc>
              <w:tc>
                <w:tcPr>
                  <w:tcW w:w="69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94</w:t>
                  </w:r>
                </w:p>
              </w:tc>
              <w:tc>
                <w:tcPr>
                  <w:tcW w:w="54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0.018</w:t>
                  </w:r>
                </w:p>
              </w:tc>
              <w:tc>
                <w:tcPr>
                  <w:tcW w:w="51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32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422"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氨氮</w:t>
                  </w:r>
                </w:p>
              </w:tc>
              <w:tc>
                <w:tcPr>
                  <w:tcW w:w="30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46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30</w:t>
                  </w:r>
                </w:p>
              </w:tc>
              <w:tc>
                <w:tcPr>
                  <w:tcW w:w="51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0.006</w:t>
                  </w:r>
                </w:p>
              </w:tc>
              <w:tc>
                <w:tcPr>
                  <w:tcW w:w="58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631"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w:t>
                  </w:r>
                </w:p>
              </w:tc>
              <w:tc>
                <w:tcPr>
                  <w:tcW w:w="69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18</w:t>
                  </w:r>
                </w:p>
              </w:tc>
              <w:tc>
                <w:tcPr>
                  <w:tcW w:w="54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0.003</w:t>
                  </w:r>
                </w:p>
              </w:tc>
              <w:tc>
                <w:tcPr>
                  <w:tcW w:w="51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27" w:hRule="atLeast"/>
              </w:trPr>
              <w:tc>
                <w:tcPr>
                  <w:tcW w:w="322"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422"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动植物油</w:t>
                  </w:r>
                </w:p>
              </w:tc>
              <w:tc>
                <w:tcPr>
                  <w:tcW w:w="30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46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150</w:t>
                  </w:r>
                </w:p>
              </w:tc>
              <w:tc>
                <w:tcPr>
                  <w:tcW w:w="51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0.029</w:t>
                  </w:r>
                </w:p>
              </w:tc>
              <w:tc>
                <w:tcPr>
                  <w:tcW w:w="58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631"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100mg/L</w:t>
                  </w:r>
                </w:p>
              </w:tc>
              <w:tc>
                <w:tcPr>
                  <w:tcW w:w="69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60</w:t>
                  </w:r>
                </w:p>
              </w:tc>
              <w:tc>
                <w:tcPr>
                  <w:tcW w:w="54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0.012</w:t>
                  </w:r>
                </w:p>
              </w:tc>
              <w:tc>
                <w:tcPr>
                  <w:tcW w:w="51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r>
          </w:tbl>
          <w:p>
            <w:pPr>
              <w:pageBreakBefore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cs="Times New Roman"/>
                <w:b/>
                <w:bCs/>
                <w:sz w:val="24"/>
              </w:rPr>
            </w:pPr>
            <w:r>
              <w:rPr>
                <w:rFonts w:hint="eastAsia" w:cs="Times New Roman"/>
                <w:b/>
                <w:bCs/>
                <w:sz w:val="24"/>
                <w:lang w:val="en-US" w:eastAsia="zh-CN"/>
              </w:rPr>
              <w:t>2.2</w:t>
            </w:r>
            <w:r>
              <w:rPr>
                <w:rFonts w:hint="eastAsia" w:ascii="Times New Roman" w:hAnsi="Times New Roman" w:cs="Times New Roman"/>
                <w:b/>
                <w:bCs/>
                <w:sz w:val="24"/>
              </w:rPr>
              <w:t>废水污染防治措施可行性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本项目生产用水全部进入产品，或</w:t>
            </w:r>
            <w:r>
              <w:rPr>
                <w:rFonts w:hint="eastAsia" w:ascii="Times New Roman" w:hAnsi="Times New Roman" w:cs="Times New Roman"/>
                <w:sz w:val="24"/>
                <w:szCs w:val="24"/>
                <w:lang w:val="en-US" w:eastAsia="zh-CN"/>
              </w:rPr>
              <w:t>用于养护</w:t>
            </w:r>
            <w:r>
              <w:rPr>
                <w:rFonts w:hint="eastAsia" w:ascii="Times New Roman" w:hAnsi="Times New Roman" w:eastAsia="宋体" w:cs="Times New Roman"/>
                <w:sz w:val="24"/>
                <w:szCs w:val="24"/>
                <w:lang w:val="en-US" w:eastAsia="zh-CN"/>
              </w:rPr>
              <w:t>自然蒸发，不</w:t>
            </w:r>
            <w:r>
              <w:rPr>
                <w:rFonts w:hint="default" w:ascii="Times New Roman" w:hAnsi="Times New Roman" w:eastAsia="宋体" w:cs="Times New Roman"/>
                <w:sz w:val="24"/>
                <w:szCs w:val="24"/>
                <w:lang w:val="en-US" w:eastAsia="zh-CN"/>
              </w:rPr>
              <w:t>排放</w:t>
            </w:r>
            <w:r>
              <w:rPr>
                <w:rFonts w:hint="eastAsia" w:ascii="Times New Roman" w:hAnsi="Times New Roman" w:eastAsia="宋体" w:cs="Times New Roman"/>
                <w:sz w:val="24"/>
                <w:szCs w:val="24"/>
                <w:lang w:val="en-US" w:eastAsia="zh-CN"/>
              </w:rPr>
              <w:t>。设备车辆冲洗用水依托沉淀池</w:t>
            </w:r>
            <w:r>
              <w:rPr>
                <w:rFonts w:hint="eastAsia" w:cs="Times New Roman"/>
                <w:sz w:val="24"/>
                <w:szCs w:val="24"/>
                <w:lang w:val="en-US" w:eastAsia="zh-CN"/>
              </w:rPr>
              <w:t>处理后回用于洒水抑尘</w:t>
            </w:r>
            <w:r>
              <w:rPr>
                <w:rFonts w:hint="eastAsia" w:ascii="Times New Roman" w:hAnsi="Times New Roman" w:eastAsia="宋体" w:cs="Times New Roman"/>
                <w:sz w:val="24"/>
                <w:szCs w:val="24"/>
                <w:lang w:val="en-US" w:eastAsia="zh-CN"/>
              </w:rPr>
              <w:t>。废水主要为职工产生的生活污水，主要污染物</w:t>
            </w:r>
            <w:r>
              <w:rPr>
                <w:rFonts w:hint="eastAsia" w:ascii="Times New Roman" w:hAnsi="Times New Roman" w:cs="Times New Roman"/>
                <w:sz w:val="24"/>
                <w:szCs w:val="24"/>
                <w:lang w:val="en-US" w:eastAsia="zh-CN"/>
              </w:rPr>
              <w:t>为CODcr</w:t>
            </w:r>
            <w:r>
              <w:rPr>
                <w:rFonts w:hint="eastAsia" w:ascii="Times New Roman" w:hAnsi="Times New Roman" w:eastAsia="宋体" w:cs="Times New Roman"/>
                <w:sz w:val="24"/>
                <w:szCs w:val="24"/>
                <w:lang w:val="en-US" w:eastAsia="zh-CN"/>
              </w:rPr>
              <w:t>、BOD</w:t>
            </w:r>
            <w:r>
              <w:rPr>
                <w:rFonts w:hint="eastAsia" w:ascii="Times New Roman" w:hAnsi="Times New Roman" w:eastAsia="宋体" w:cs="Times New Roman"/>
                <w:sz w:val="24"/>
                <w:szCs w:val="24"/>
                <w:vertAlign w:val="subscript"/>
                <w:lang w:val="en-US" w:eastAsia="zh-CN"/>
              </w:rPr>
              <w:t>5</w:t>
            </w:r>
            <w:r>
              <w:rPr>
                <w:rFonts w:hint="eastAsia" w:ascii="Times New Roman" w:hAnsi="Times New Roman" w:eastAsia="宋体" w:cs="Times New Roman"/>
                <w:sz w:val="24"/>
                <w:szCs w:val="24"/>
                <w:lang w:val="en-US" w:eastAsia="zh-CN"/>
              </w:rPr>
              <w:t>、SS、氨氮、动植物油等。本项目生活污水中食堂污水经油水分离器处理后排入化粪池</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其余生活</w:t>
            </w:r>
            <w:r>
              <w:rPr>
                <w:rFonts w:hint="eastAsia" w:ascii="Times New Roman" w:hAnsi="Times New Roman" w:cs="Times New Roman"/>
                <w:sz w:val="24"/>
                <w:szCs w:val="24"/>
                <w:lang w:val="en-US" w:eastAsia="zh-CN"/>
              </w:rPr>
              <w:t>污水</w:t>
            </w:r>
            <w:r>
              <w:rPr>
                <w:rFonts w:hint="eastAsia" w:ascii="Times New Roman" w:hAnsi="Times New Roman" w:eastAsia="宋体" w:cs="Times New Roman"/>
                <w:sz w:val="24"/>
                <w:szCs w:val="24"/>
                <w:lang w:val="en-US" w:eastAsia="zh-CN"/>
              </w:rPr>
              <w:t>直接排入化粪池，定期将化粪池内生活污水拉运至库尔勒南市区污水处理厂。各项污染物排放浓度均可达到《污水综合排放标准》（GB8978-1996）三级标准，可以满足库尔勒南市区污水处理厂纳管条件。综上</w:t>
            </w:r>
            <w:r>
              <w:rPr>
                <w:rFonts w:hint="eastAsia" w:ascii="Times New Roman" w:hAnsi="Times New Roman" w:cs="Times New Roman"/>
                <w:sz w:val="24"/>
                <w:szCs w:val="24"/>
                <w:lang w:val="en-US" w:eastAsia="zh-CN"/>
              </w:rPr>
              <w:t>，不会</w:t>
            </w:r>
            <w:r>
              <w:rPr>
                <w:rFonts w:hint="eastAsia" w:ascii="Times New Roman" w:hAnsi="Times New Roman" w:eastAsia="宋体" w:cs="Times New Roman"/>
                <w:sz w:val="24"/>
                <w:szCs w:val="24"/>
                <w:lang w:val="en-US" w:eastAsia="zh-CN"/>
              </w:rPr>
              <w:t>对区域水环境产生明显影响。</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eastAsia" w:cs="Times New Roman"/>
                <w:b/>
                <w:bCs/>
                <w:sz w:val="24"/>
                <w:szCs w:val="24"/>
                <w:lang w:val="en-US" w:eastAsia="zh-CN"/>
              </w:rPr>
              <w:t>2.3</w:t>
            </w:r>
            <w:r>
              <w:rPr>
                <w:rFonts w:hint="eastAsia" w:ascii="Times New Roman" w:hAnsi="Times New Roman" w:eastAsia="宋体" w:cs="Times New Roman"/>
                <w:b/>
                <w:bCs/>
                <w:sz w:val="24"/>
                <w:szCs w:val="24"/>
                <w:lang w:val="en-US" w:eastAsia="zh-CN"/>
              </w:rPr>
              <w:t>污水处理厂的依托可行性分析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本项目生产废水主要为生活污水。污水处理厂可依托性：</w:t>
            </w:r>
            <w:r>
              <w:rPr>
                <w:rFonts w:hint="eastAsia" w:ascii="Times New Roman" w:hAnsi="Times New Roman" w:eastAsia="宋体" w:cs="Times New Roman"/>
                <w:sz w:val="24"/>
                <w:szCs w:val="24"/>
                <w:lang w:val="en-US" w:eastAsia="zh-CN"/>
              </w:rPr>
              <w:t>库尔勒市南市区污水处理厂位于库尔勒经济技术开发区，占地约210亩，设计规模为15万立方米/日，处理工艺：预处理+A2/O+传统深度处理工艺+反应沉淀过滤+消毒工艺。春</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夏</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秋三季输送至杜鹃河湿地公园绿化用水，冬季输送至库尔勒石油石化产业园做工业用水。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本项目生活污水排放量为</w:t>
            </w:r>
            <w:r>
              <w:rPr>
                <w:rFonts w:hint="eastAsia" w:ascii="Times New Roman" w:hAnsi="Times New Roman" w:eastAsia="宋体" w:cs="Times New Roman"/>
                <w:sz w:val="24"/>
                <w:szCs w:val="24"/>
                <w:lang w:val="en-US" w:eastAsia="zh-CN"/>
              </w:rPr>
              <w:t>192</w:t>
            </w:r>
            <w:r>
              <w:rPr>
                <w:rFonts w:hint="default" w:ascii="Times New Roman" w:hAnsi="Times New Roman" w:eastAsia="宋体" w:cs="Times New Roman"/>
                <w:sz w:val="24"/>
                <w:szCs w:val="24"/>
                <w:lang w:val="en-US" w:eastAsia="zh-CN"/>
              </w:rPr>
              <w:t>m</w:t>
            </w:r>
            <w:r>
              <w:rPr>
                <w:rFonts w:hint="default" w:ascii="Times New Roman" w:hAnsi="Times New Roman" w:eastAsia="宋体" w:cs="Times New Roman"/>
                <w:sz w:val="24"/>
                <w:szCs w:val="24"/>
                <w:vertAlign w:val="superscript"/>
                <w:lang w:val="en-US" w:eastAsia="zh-CN"/>
              </w:rPr>
              <w:t>3</w:t>
            </w:r>
            <w:r>
              <w:rPr>
                <w:rFonts w:hint="default" w:ascii="Times New Roman" w:hAnsi="Times New Roman" w:eastAsia="宋体" w:cs="Times New Roman"/>
                <w:sz w:val="24"/>
                <w:szCs w:val="24"/>
                <w:lang w:val="en-US" w:eastAsia="zh-CN"/>
              </w:rPr>
              <w:t>/d，从水量上来说约占污水处理厂日处理量的0.</w:t>
            </w:r>
            <w:r>
              <w:rPr>
                <w:rFonts w:hint="eastAsia" w:cs="Times New Roman"/>
                <w:sz w:val="24"/>
                <w:szCs w:val="24"/>
                <w:lang w:val="en-US" w:eastAsia="zh-CN"/>
              </w:rPr>
              <w:t>128</w:t>
            </w:r>
            <w:r>
              <w:rPr>
                <w:rFonts w:hint="default" w:ascii="Times New Roman" w:hAnsi="Times New Roman" w:eastAsia="宋体" w:cs="Times New Roman"/>
                <w:sz w:val="24"/>
                <w:szCs w:val="24"/>
                <w:lang w:val="en-US" w:eastAsia="zh-CN"/>
              </w:rPr>
              <w:t>%，因此从处理能力上看污水处理厂有能力接纳项目废水；项目生活污水污染物浓度较低、水质简单，经化粪池处理后可以达到《污水综合排放标准》（GB8978-1996）三级标准，废水水质满足库尔勒市南市区污水处理厂进水水质标准要求。生活污水拉运至库尔勒市南市区污水处理厂，依托该污水处理厂从时间、空间上均可行。此外项目水量和水质不会对污水处理厂的处理能力和处理工艺造成冲击，经处理后的污水对项目附近水域水质无重大影响，且不会改变当地水环境的功能类别。依托库尔勒市南市区污水处理厂可行。</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eastAsia" w:cs="Times New Roman"/>
                <w:b/>
                <w:bCs/>
                <w:sz w:val="24"/>
                <w:szCs w:val="24"/>
                <w:lang w:val="en-US" w:eastAsia="zh-CN"/>
              </w:rPr>
              <w:t>3、</w:t>
            </w:r>
            <w:r>
              <w:rPr>
                <w:rFonts w:hint="eastAsia" w:ascii="Times New Roman" w:hAnsi="Times New Roman" w:eastAsia="宋体" w:cs="Times New Roman"/>
                <w:b/>
                <w:bCs/>
                <w:sz w:val="24"/>
                <w:szCs w:val="24"/>
                <w:lang w:val="en-US" w:eastAsia="zh-CN"/>
              </w:rPr>
              <w:t>运营期噪声环境影响和保护措施</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eastAsia" w:cs="Times New Roman"/>
                <w:b/>
                <w:bCs/>
                <w:sz w:val="24"/>
                <w:szCs w:val="24"/>
                <w:lang w:val="en-US" w:eastAsia="zh-CN"/>
              </w:rPr>
              <w:t>3.1</w:t>
            </w:r>
            <w:r>
              <w:rPr>
                <w:rFonts w:hint="eastAsia" w:ascii="Times New Roman" w:hAnsi="Times New Roman" w:eastAsia="宋体" w:cs="Times New Roman"/>
                <w:b/>
                <w:bCs/>
                <w:sz w:val="24"/>
                <w:szCs w:val="24"/>
                <w:lang w:val="en-US" w:eastAsia="zh-CN"/>
              </w:rPr>
              <w:t>预测模型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根据项目建设内容及《环境影响评价技术导则—声环境》（HJ2.4-2021）的要求，项目环评采用的模型为《环境影响评价技术导则 声环境》</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HJ2.4</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2021</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附录A（规范性附录）户外声传播的衰减和附录B（规范性附录）中“B.1工业噪声预测计算模型”。</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eastAsia" w:cs="Times New Roman"/>
                <w:b/>
                <w:bCs/>
                <w:sz w:val="24"/>
                <w:szCs w:val="24"/>
                <w:lang w:val="en-US" w:eastAsia="zh-CN"/>
              </w:rPr>
              <w:t>3.2</w:t>
            </w:r>
            <w:r>
              <w:rPr>
                <w:rFonts w:hint="eastAsia" w:ascii="Times New Roman" w:hAnsi="Times New Roman" w:eastAsia="宋体" w:cs="Times New Roman"/>
                <w:b/>
                <w:bCs/>
                <w:sz w:val="24"/>
                <w:szCs w:val="24"/>
                <w:lang w:val="en-US" w:eastAsia="zh-CN"/>
              </w:rPr>
              <w:t>噪声参数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lang w:val="en-US" w:eastAsia="zh-CN"/>
              </w:rPr>
              <w:t>项目在生产过程中产生的噪声主要源自螺旋输送机、搅拌机、装载机、砂石分离机等</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这些设备产生的噪声声级一般在70dB以上。项目产生噪声的噪声源强</w:t>
            </w:r>
            <w:r>
              <w:rPr>
                <w:rFonts w:hint="eastAsia" w:ascii="Times New Roman" w:hAnsi="Times New Roman" w:eastAsia="宋体" w:cs="Times New Roman"/>
                <w:sz w:val="24"/>
                <w:szCs w:val="24"/>
                <w:highlight w:val="none"/>
                <w:lang w:val="en-US" w:eastAsia="zh-CN"/>
              </w:rPr>
              <w:t>调查清单见表4-8、表4-9。</w:t>
            </w:r>
          </w:p>
          <w:p>
            <w:pPr>
              <w:pStyle w:val="5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ascii="Times New Roman" w:hAnsi="Times New Roman" w:cs="Times New Roman"/>
                <w:highlight w:val="none"/>
                <w:lang w:eastAsia="zh-CN"/>
              </w:rPr>
            </w:pPr>
            <w:r>
              <w:rPr>
                <w:rFonts w:hint="eastAsia" w:ascii="Times New Roman" w:hAnsi="Times New Roman" w:cs="Times New Roman"/>
                <w:b/>
                <w:kern w:val="2"/>
                <w:sz w:val="24"/>
                <w:szCs w:val="24"/>
                <w:highlight w:val="none"/>
                <w:lang w:val="en-US" w:eastAsia="zh-CN"/>
              </w:rPr>
              <w:t>表4-8  工业企业噪声源强调查清单（室外声源）</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1165"/>
              <w:gridCol w:w="791"/>
              <w:gridCol w:w="753"/>
              <w:gridCol w:w="825"/>
              <w:gridCol w:w="1605"/>
              <w:gridCol w:w="1625"/>
              <w:gridCol w:w="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trPr>
              <w:tc>
                <w:tcPr>
                  <w:tcW w:w="285"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序号</w:t>
                  </w:r>
                </w:p>
              </w:tc>
              <w:tc>
                <w:tcPr>
                  <w:tcW w:w="741"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声源名称</w:t>
                  </w:r>
                </w:p>
              </w:tc>
              <w:tc>
                <w:tcPr>
                  <w:tcW w:w="1507" w:type="pct"/>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空间相对位置/m</w:t>
                  </w:r>
                </w:p>
              </w:tc>
              <w:tc>
                <w:tcPr>
                  <w:tcW w:w="1021"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声功率级/dB(A)</w:t>
                  </w:r>
                </w:p>
              </w:tc>
              <w:tc>
                <w:tcPr>
                  <w:tcW w:w="1034"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声源控制措施</w:t>
                  </w:r>
                </w:p>
              </w:tc>
              <w:tc>
                <w:tcPr>
                  <w:tcW w:w="409"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运行时段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5" w:type="pct"/>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741" w:type="pct"/>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503"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X</w:t>
                  </w:r>
                </w:p>
              </w:tc>
              <w:tc>
                <w:tcPr>
                  <w:tcW w:w="479"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Y</w:t>
                  </w:r>
                </w:p>
              </w:tc>
              <w:tc>
                <w:tcPr>
                  <w:tcW w:w="525"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Z</w:t>
                  </w:r>
                </w:p>
              </w:tc>
              <w:tc>
                <w:tcPr>
                  <w:tcW w:w="1021" w:type="pct"/>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1034" w:type="pct"/>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409" w:type="pct"/>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92" w:hRule="exact"/>
              </w:trPr>
              <w:tc>
                <w:tcPr>
                  <w:tcW w:w="285"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w:t>
                  </w:r>
                </w:p>
              </w:tc>
              <w:tc>
                <w:tcPr>
                  <w:tcW w:w="741"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皮带输送机</w:t>
                  </w:r>
                </w:p>
              </w:tc>
              <w:tc>
                <w:tcPr>
                  <w:tcW w:w="503"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-38.4</w:t>
                  </w:r>
                </w:p>
              </w:tc>
              <w:tc>
                <w:tcPr>
                  <w:tcW w:w="479"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0.3</w:t>
                  </w:r>
                </w:p>
              </w:tc>
              <w:tc>
                <w:tcPr>
                  <w:tcW w:w="525"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1.2</w:t>
                  </w:r>
                </w:p>
              </w:tc>
              <w:tc>
                <w:tcPr>
                  <w:tcW w:w="1021"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80</w:t>
                  </w:r>
                </w:p>
              </w:tc>
              <w:tc>
                <w:tcPr>
                  <w:tcW w:w="1034" w:type="pct"/>
                  <w:vMerge w:val="restar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选用性能优异设备，设备基础减震</w:t>
                  </w:r>
                </w:p>
              </w:tc>
              <w:tc>
                <w:tcPr>
                  <w:tcW w:w="409"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2" w:hRule="exact"/>
              </w:trPr>
              <w:tc>
                <w:tcPr>
                  <w:tcW w:w="285"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w:t>
                  </w:r>
                </w:p>
              </w:tc>
              <w:tc>
                <w:tcPr>
                  <w:tcW w:w="741"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搅拌机</w:t>
                  </w:r>
                </w:p>
              </w:tc>
              <w:tc>
                <w:tcPr>
                  <w:tcW w:w="503"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-57.9</w:t>
                  </w:r>
                </w:p>
              </w:tc>
              <w:tc>
                <w:tcPr>
                  <w:tcW w:w="479"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25.2</w:t>
                  </w:r>
                </w:p>
              </w:tc>
              <w:tc>
                <w:tcPr>
                  <w:tcW w:w="525"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1.2</w:t>
                  </w:r>
                </w:p>
              </w:tc>
              <w:tc>
                <w:tcPr>
                  <w:tcW w:w="1021"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85</w:t>
                  </w:r>
                </w:p>
              </w:tc>
              <w:tc>
                <w:tcPr>
                  <w:tcW w:w="1034" w:type="pct"/>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409"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22" w:hRule="exact"/>
              </w:trPr>
              <w:tc>
                <w:tcPr>
                  <w:tcW w:w="285"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c>
                <w:tcPr>
                  <w:tcW w:w="741"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砂石分离机</w:t>
                  </w:r>
                </w:p>
              </w:tc>
              <w:tc>
                <w:tcPr>
                  <w:tcW w:w="503"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105</w:t>
                  </w:r>
                </w:p>
              </w:tc>
              <w:tc>
                <w:tcPr>
                  <w:tcW w:w="479"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-32.7</w:t>
                  </w:r>
                </w:p>
              </w:tc>
              <w:tc>
                <w:tcPr>
                  <w:tcW w:w="525"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1.2</w:t>
                  </w:r>
                </w:p>
              </w:tc>
              <w:tc>
                <w:tcPr>
                  <w:tcW w:w="1021"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85</w:t>
                  </w:r>
                </w:p>
              </w:tc>
              <w:tc>
                <w:tcPr>
                  <w:tcW w:w="1034" w:type="pct"/>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409"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22" w:hRule="exact"/>
              </w:trPr>
              <w:tc>
                <w:tcPr>
                  <w:tcW w:w="285" w:type="pct"/>
                  <w:shd w:val="clear" w:color="auto" w:fill="FFFFFF"/>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4</w:t>
                  </w:r>
                </w:p>
              </w:tc>
              <w:tc>
                <w:tcPr>
                  <w:tcW w:w="741" w:type="pct"/>
                  <w:shd w:val="clear" w:color="auto" w:fill="FFFFFF"/>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泵车组,3台（按点声源组预测）</w:t>
                  </w:r>
                </w:p>
              </w:tc>
              <w:tc>
                <w:tcPr>
                  <w:tcW w:w="503" w:type="pct"/>
                  <w:shd w:val="clear" w:color="auto" w:fill="FFFFFF"/>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-63.9</w:t>
                  </w:r>
                </w:p>
              </w:tc>
              <w:tc>
                <w:tcPr>
                  <w:tcW w:w="479" w:type="pct"/>
                  <w:shd w:val="clear" w:color="auto" w:fill="FFFFFF"/>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24.7</w:t>
                  </w:r>
                </w:p>
              </w:tc>
              <w:tc>
                <w:tcPr>
                  <w:tcW w:w="525" w:type="pct"/>
                  <w:shd w:val="clear" w:color="auto" w:fill="FFFFFF"/>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1.2</w:t>
                  </w:r>
                </w:p>
              </w:tc>
              <w:tc>
                <w:tcPr>
                  <w:tcW w:w="1021"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ascii="Arial" w:hAnsi="Arial" w:eastAsia="Arial" w:cs="Arial"/>
                      <w:sz w:val="20"/>
                    </w:rPr>
                    <w:t>85（等效后：89.8</w:t>
                  </w:r>
                  <w:r>
                    <w:rPr>
                      <w:rFonts w:hint="eastAsia" w:ascii="Arial" w:hAnsi="Arial" w:eastAsia="宋体" w:cs="Arial"/>
                      <w:sz w:val="20"/>
                      <w:lang w:eastAsia="zh-CN"/>
                    </w:rPr>
                    <w:t>）</w:t>
                  </w:r>
                </w:p>
              </w:tc>
              <w:tc>
                <w:tcPr>
                  <w:tcW w:w="1034" w:type="pct"/>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409" w:type="pc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ascii="Arial" w:hAnsi="Arial" w:eastAsia="Arial" w:cs="Arial"/>
                      <w:sz w:val="20"/>
                    </w:rPr>
                    <w:t>24.0</w:t>
                  </w:r>
                </w:p>
              </w:tc>
            </w:tr>
          </w:tbl>
          <w:p>
            <w:pPr>
              <w:pStyle w:val="19"/>
              <w:rPr>
                <w:rFonts w:hint="default"/>
                <w:lang w:val="en-US"/>
              </w:rPr>
            </w:pPr>
          </w:p>
        </w:tc>
      </w:tr>
    </w:tbl>
    <w:p>
      <w:pPr>
        <w:pStyle w:val="3"/>
        <w:rPr>
          <w:rFonts w:hint="eastAsia"/>
        </w:rPr>
        <w:sectPr>
          <w:pgSz w:w="11907" w:h="16840"/>
          <w:pgMar w:top="1701" w:right="1531" w:bottom="2127" w:left="1531" w:header="851" w:footer="851" w:gutter="0"/>
          <w:cols w:space="720" w:num="1"/>
          <w:docGrid w:linePitch="312" w:charSpace="0"/>
        </w:sect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2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pPr>
              <w:pStyle w:val="4"/>
              <w:rPr>
                <w:rFonts w:hint="eastAsia"/>
                <w:vertAlign w:val="baseline"/>
              </w:rPr>
            </w:pPr>
          </w:p>
        </w:tc>
        <w:tc>
          <w:tcPr>
            <w:tcW w:w="12455" w:type="dxa"/>
          </w:tcPr>
          <w:tbl>
            <w:tblPr>
              <w:tblStyle w:val="23"/>
              <w:tblpPr w:leftFromText="180" w:rightFromText="180" w:vertAnchor="text" w:horzAnchor="page" w:tblpX="336" w:tblpY="323"/>
              <w:tblOverlap w:val="never"/>
              <w:tblW w:w="482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62"/>
              <w:gridCol w:w="441"/>
              <w:gridCol w:w="811"/>
              <w:gridCol w:w="455"/>
              <w:gridCol w:w="507"/>
              <w:gridCol w:w="507"/>
              <w:gridCol w:w="514"/>
              <w:gridCol w:w="415"/>
              <w:gridCol w:w="415"/>
              <w:gridCol w:w="415"/>
              <w:gridCol w:w="427"/>
              <w:gridCol w:w="479"/>
              <w:gridCol w:w="439"/>
              <w:gridCol w:w="439"/>
              <w:gridCol w:w="448"/>
              <w:gridCol w:w="521"/>
              <w:gridCol w:w="1362"/>
              <w:gridCol w:w="423"/>
              <w:gridCol w:w="423"/>
              <w:gridCol w:w="423"/>
              <w:gridCol w:w="423"/>
              <w:gridCol w:w="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trPr>
              <w:tc>
                <w:tcPr>
                  <w:tcW w:w="180"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bookmarkStart w:id="3" w:name="PT_6"/>
                  <w:r>
                    <w:rPr>
                      <w:rFonts w:hint="eastAsia" w:ascii="Times New Roman" w:hAnsi="Times New Roman" w:cs="Times New Roman" w:eastAsiaTheme="minorEastAsia"/>
                      <w:sz w:val="21"/>
                      <w:szCs w:val="21"/>
                      <w:lang w:val="en-US" w:eastAsia="zh-CN"/>
                    </w:rPr>
                    <w:t>序号</w:t>
                  </w:r>
                </w:p>
              </w:tc>
              <w:tc>
                <w:tcPr>
                  <w:tcW w:w="200"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建筑物名称</w:t>
                  </w:r>
                </w:p>
              </w:tc>
              <w:tc>
                <w:tcPr>
                  <w:tcW w:w="191"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声源名称</w:t>
                  </w:r>
                </w:p>
              </w:tc>
              <w:tc>
                <w:tcPr>
                  <w:tcW w:w="25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声源源强/dB(A)</w:t>
                  </w:r>
                </w:p>
              </w:tc>
              <w:tc>
                <w:tcPr>
                  <w:tcW w:w="197"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声源控制措施</w:t>
                  </w:r>
                </w:p>
              </w:tc>
              <w:tc>
                <w:tcPr>
                  <w:tcW w:w="660" w:type="pct"/>
                  <w:gridSpan w:val="3"/>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空间相对位置/m</w:t>
                  </w:r>
                </w:p>
              </w:tc>
              <w:tc>
                <w:tcPr>
                  <w:tcW w:w="725"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距室内边界距离/m</w:t>
                  </w:r>
                </w:p>
              </w:tc>
              <w:tc>
                <w:tcPr>
                  <w:tcW w:w="781" w:type="pct"/>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室内边界声级/dB(A)</w:t>
                  </w:r>
                </w:p>
              </w:tc>
              <w:tc>
                <w:tcPr>
                  <w:tcW w:w="225"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运行时段</w:t>
                  </w:r>
                </w:p>
              </w:tc>
              <w:tc>
                <w:tcPr>
                  <w:tcW w:w="581"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建筑物插入损失/dB(A)</w:t>
                  </w:r>
                  <w:bookmarkStart w:id="4" w:name="PT_10"/>
                  <w:bookmarkEnd w:id="4"/>
                </w:p>
              </w:tc>
              <w:tc>
                <w:tcPr>
                  <w:tcW w:w="998" w:type="pct"/>
                  <w:gridSpan w:val="5"/>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建筑物外噪声声压级/dB(A)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rPr>
              <w:tc>
                <w:tcPr>
                  <w:tcW w:w="180"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200"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191"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256"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197"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219"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X</w:t>
                  </w:r>
                </w:p>
              </w:tc>
              <w:tc>
                <w:tcPr>
                  <w:tcW w:w="219"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Y</w:t>
                  </w:r>
                </w:p>
              </w:tc>
              <w:tc>
                <w:tcPr>
                  <w:tcW w:w="222"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Z</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东</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南</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西</w:t>
                  </w:r>
                </w:p>
              </w:tc>
              <w:tc>
                <w:tcPr>
                  <w:tcW w:w="185"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北</w:t>
                  </w:r>
                </w:p>
              </w:tc>
              <w:tc>
                <w:tcPr>
                  <w:tcW w:w="207"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东</w:t>
                  </w:r>
                </w:p>
              </w:tc>
              <w:tc>
                <w:tcPr>
                  <w:tcW w:w="19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南</w:t>
                  </w:r>
                </w:p>
              </w:tc>
              <w:tc>
                <w:tcPr>
                  <w:tcW w:w="19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西</w:t>
                  </w:r>
                </w:p>
              </w:tc>
              <w:tc>
                <w:tcPr>
                  <w:tcW w:w="19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北</w:t>
                  </w:r>
                </w:p>
              </w:tc>
              <w:tc>
                <w:tcPr>
                  <w:tcW w:w="225"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581"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东南西北</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东</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南</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西</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北</w:t>
                  </w:r>
                </w:p>
              </w:tc>
              <w:tc>
                <w:tcPr>
                  <w:tcW w:w="266"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建筑物外距离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rPr>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w:t>
                  </w:r>
                </w:p>
              </w:tc>
              <w:tc>
                <w:tcPr>
                  <w:tcW w:w="20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全密闭堆场</w:t>
                  </w:r>
                </w:p>
              </w:tc>
              <w:tc>
                <w:tcPr>
                  <w:tcW w:w="191"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螺杆机</w:t>
                  </w:r>
                </w:p>
              </w:tc>
              <w:tc>
                <w:tcPr>
                  <w:tcW w:w="256"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85</w:t>
                  </w:r>
                </w:p>
              </w:tc>
              <w:tc>
                <w:tcPr>
                  <w:tcW w:w="197" w:type="pct"/>
                  <w:vMerge w:val="restar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厂房隔声</w:t>
                  </w:r>
                </w:p>
              </w:tc>
              <w:tc>
                <w:tcPr>
                  <w:tcW w:w="219"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-21.4</w:t>
                  </w:r>
                </w:p>
              </w:tc>
              <w:tc>
                <w:tcPr>
                  <w:tcW w:w="219"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-9.5</w:t>
                  </w:r>
                </w:p>
              </w:tc>
              <w:tc>
                <w:tcPr>
                  <w:tcW w:w="222"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1.2</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60.5</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22.3</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2.7</w:t>
                  </w:r>
                </w:p>
              </w:tc>
              <w:tc>
                <w:tcPr>
                  <w:tcW w:w="185"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11.6</w:t>
                  </w:r>
                </w:p>
              </w:tc>
              <w:tc>
                <w:tcPr>
                  <w:tcW w:w="207"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70.5</w:t>
                  </w:r>
                </w:p>
              </w:tc>
              <w:tc>
                <w:tcPr>
                  <w:tcW w:w="19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70.5</w:t>
                  </w:r>
                </w:p>
              </w:tc>
              <w:tc>
                <w:tcPr>
                  <w:tcW w:w="19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71.7</w:t>
                  </w:r>
                </w:p>
              </w:tc>
              <w:tc>
                <w:tcPr>
                  <w:tcW w:w="19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70.6</w:t>
                  </w:r>
                </w:p>
              </w:tc>
              <w:tc>
                <w:tcPr>
                  <w:tcW w:w="225"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24.0</w:t>
                  </w:r>
                </w:p>
              </w:tc>
              <w:tc>
                <w:tcPr>
                  <w:tcW w:w="581" w:type="pct"/>
                  <w:vMerge w:val="restar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26.0</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44.5</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44.5</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45.7</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44.6</w:t>
                  </w:r>
                </w:p>
              </w:tc>
              <w:tc>
                <w:tcPr>
                  <w:tcW w:w="266" w:type="pct"/>
                  <w:vMerge w:val="restar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rPr>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w:t>
                  </w:r>
                </w:p>
              </w:tc>
              <w:tc>
                <w:tcPr>
                  <w:tcW w:w="20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全密闭堆场</w:t>
                  </w:r>
                </w:p>
              </w:tc>
              <w:tc>
                <w:tcPr>
                  <w:tcW w:w="191"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装载机</w:t>
                  </w:r>
                </w:p>
              </w:tc>
              <w:tc>
                <w:tcPr>
                  <w:tcW w:w="256"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80</w:t>
                  </w:r>
                </w:p>
              </w:tc>
              <w:tc>
                <w:tcPr>
                  <w:tcW w:w="197"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219"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-3.6</w:t>
                  </w:r>
                </w:p>
              </w:tc>
              <w:tc>
                <w:tcPr>
                  <w:tcW w:w="219"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-29.1</w:t>
                  </w:r>
                </w:p>
              </w:tc>
              <w:tc>
                <w:tcPr>
                  <w:tcW w:w="222"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1.2</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35.2</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16.5</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28.0</w:t>
                  </w:r>
                </w:p>
              </w:tc>
              <w:tc>
                <w:tcPr>
                  <w:tcW w:w="185"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17.8</w:t>
                  </w:r>
                </w:p>
              </w:tc>
              <w:tc>
                <w:tcPr>
                  <w:tcW w:w="207"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65.5</w:t>
                  </w:r>
                </w:p>
              </w:tc>
              <w:tc>
                <w:tcPr>
                  <w:tcW w:w="19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65.5</w:t>
                  </w:r>
                </w:p>
              </w:tc>
              <w:tc>
                <w:tcPr>
                  <w:tcW w:w="19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65.5</w:t>
                  </w:r>
                </w:p>
              </w:tc>
              <w:tc>
                <w:tcPr>
                  <w:tcW w:w="19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65.5</w:t>
                  </w:r>
                </w:p>
              </w:tc>
              <w:tc>
                <w:tcPr>
                  <w:tcW w:w="225"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24.0</w:t>
                  </w:r>
                </w:p>
              </w:tc>
              <w:tc>
                <w:tcPr>
                  <w:tcW w:w="581"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39.5</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39.5</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39.5</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39.5</w:t>
                  </w:r>
                </w:p>
              </w:tc>
              <w:tc>
                <w:tcPr>
                  <w:tcW w:w="266"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rPr>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c>
                <w:tcPr>
                  <w:tcW w:w="20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搅拌楼</w:t>
                  </w:r>
                </w:p>
              </w:tc>
              <w:tc>
                <w:tcPr>
                  <w:tcW w:w="191"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供水水泵</w:t>
                  </w:r>
                </w:p>
              </w:tc>
              <w:tc>
                <w:tcPr>
                  <w:tcW w:w="256"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85</w:t>
                  </w:r>
                </w:p>
              </w:tc>
              <w:tc>
                <w:tcPr>
                  <w:tcW w:w="197"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219"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-54.4</w:t>
                  </w:r>
                </w:p>
              </w:tc>
              <w:tc>
                <w:tcPr>
                  <w:tcW w:w="219"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14.5</w:t>
                  </w:r>
                </w:p>
              </w:tc>
              <w:tc>
                <w:tcPr>
                  <w:tcW w:w="222"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1.2</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9.5</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9.7</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18.8</w:t>
                  </w:r>
                </w:p>
              </w:tc>
              <w:tc>
                <w:tcPr>
                  <w:tcW w:w="185"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20.6</w:t>
                  </w:r>
                </w:p>
              </w:tc>
              <w:tc>
                <w:tcPr>
                  <w:tcW w:w="207"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70.6</w:t>
                  </w:r>
                </w:p>
              </w:tc>
              <w:tc>
                <w:tcPr>
                  <w:tcW w:w="19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70.6</w:t>
                  </w:r>
                </w:p>
              </w:tc>
              <w:tc>
                <w:tcPr>
                  <w:tcW w:w="19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70.5</w:t>
                  </w:r>
                </w:p>
              </w:tc>
              <w:tc>
                <w:tcPr>
                  <w:tcW w:w="19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70.5</w:t>
                  </w:r>
                </w:p>
              </w:tc>
              <w:tc>
                <w:tcPr>
                  <w:tcW w:w="225"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24.0</w:t>
                  </w:r>
                </w:p>
              </w:tc>
              <w:tc>
                <w:tcPr>
                  <w:tcW w:w="581"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44.6</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44.6</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44.5</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44.5</w:t>
                  </w:r>
                </w:p>
              </w:tc>
              <w:tc>
                <w:tcPr>
                  <w:tcW w:w="266"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rPr>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w:t>
                  </w:r>
                </w:p>
              </w:tc>
              <w:tc>
                <w:tcPr>
                  <w:tcW w:w="20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搅拌楼</w:t>
                  </w:r>
                </w:p>
              </w:tc>
              <w:tc>
                <w:tcPr>
                  <w:tcW w:w="191"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电子衡器</w:t>
                  </w:r>
                </w:p>
              </w:tc>
              <w:tc>
                <w:tcPr>
                  <w:tcW w:w="256"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80</w:t>
                  </w:r>
                </w:p>
              </w:tc>
              <w:tc>
                <w:tcPr>
                  <w:tcW w:w="197"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219"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-46.4</w:t>
                  </w:r>
                </w:p>
              </w:tc>
              <w:tc>
                <w:tcPr>
                  <w:tcW w:w="219"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21.7</w:t>
                  </w:r>
                </w:p>
              </w:tc>
              <w:tc>
                <w:tcPr>
                  <w:tcW w:w="222"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1.2</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7.4</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19.8</w:t>
                  </w:r>
                </w:p>
              </w:tc>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21.3</w:t>
                  </w:r>
                </w:p>
              </w:tc>
              <w:tc>
                <w:tcPr>
                  <w:tcW w:w="185"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10.3</w:t>
                  </w:r>
                </w:p>
              </w:tc>
              <w:tc>
                <w:tcPr>
                  <w:tcW w:w="207"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65.6</w:t>
                  </w:r>
                </w:p>
              </w:tc>
              <w:tc>
                <w:tcPr>
                  <w:tcW w:w="19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65.5</w:t>
                  </w:r>
                </w:p>
              </w:tc>
              <w:tc>
                <w:tcPr>
                  <w:tcW w:w="19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65.5</w:t>
                  </w:r>
                </w:p>
              </w:tc>
              <w:tc>
                <w:tcPr>
                  <w:tcW w:w="19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65.6</w:t>
                  </w:r>
                </w:p>
              </w:tc>
              <w:tc>
                <w:tcPr>
                  <w:tcW w:w="225"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24.0</w:t>
                  </w:r>
                </w:p>
              </w:tc>
              <w:tc>
                <w:tcPr>
                  <w:tcW w:w="581"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39.6</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39.5</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39.5</w:t>
                  </w:r>
                </w:p>
              </w:tc>
              <w:tc>
                <w:tcPr>
                  <w:tcW w:w="183"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39.6</w:t>
                  </w:r>
                </w:p>
              </w:tc>
              <w:tc>
                <w:tcPr>
                  <w:tcW w:w="266"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rPr>
              <w:tc>
                <w:tcPr>
                  <w:tcW w:w="18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w:t>
                  </w:r>
                </w:p>
              </w:tc>
              <w:tc>
                <w:tcPr>
                  <w:tcW w:w="200"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全密闭堆场</w:t>
                  </w:r>
                </w:p>
              </w:tc>
              <w:tc>
                <w:tcPr>
                  <w:tcW w:w="191"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电子衡器</w:t>
                  </w:r>
                </w:p>
              </w:tc>
              <w:tc>
                <w:tcPr>
                  <w:tcW w:w="256"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80</w:t>
                  </w:r>
                </w:p>
              </w:tc>
              <w:tc>
                <w:tcPr>
                  <w:tcW w:w="197"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507"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-23.6</w:t>
                  </w:r>
                </w:p>
              </w:tc>
              <w:tc>
                <w:tcPr>
                  <w:tcW w:w="507"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-18.3</w:t>
                  </w:r>
                </w:p>
              </w:tc>
              <w:tc>
                <w:tcPr>
                  <w:tcW w:w="514"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1.2</w:t>
                  </w:r>
                </w:p>
              </w:tc>
              <w:tc>
                <w:tcPr>
                  <w:tcW w:w="415"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57.9</w:t>
                  </w:r>
                </w:p>
              </w:tc>
              <w:tc>
                <w:tcPr>
                  <w:tcW w:w="415"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13.8</w:t>
                  </w:r>
                </w:p>
              </w:tc>
              <w:tc>
                <w:tcPr>
                  <w:tcW w:w="415"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5.2</w:t>
                  </w:r>
                </w:p>
              </w:tc>
              <w:tc>
                <w:tcPr>
                  <w:tcW w:w="427"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20.1</w:t>
                  </w:r>
                </w:p>
              </w:tc>
              <w:tc>
                <w:tcPr>
                  <w:tcW w:w="479"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65.5</w:t>
                  </w:r>
                </w:p>
              </w:tc>
              <w:tc>
                <w:tcPr>
                  <w:tcW w:w="439"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65.6</w:t>
                  </w:r>
                </w:p>
              </w:tc>
              <w:tc>
                <w:tcPr>
                  <w:tcW w:w="439"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65.9</w:t>
                  </w:r>
                </w:p>
              </w:tc>
              <w:tc>
                <w:tcPr>
                  <w:tcW w:w="448"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65.5</w:t>
                  </w:r>
                </w:p>
              </w:tc>
              <w:tc>
                <w:tcPr>
                  <w:tcW w:w="225" w:type="pc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24.0</w:t>
                  </w:r>
                </w:p>
              </w:tc>
              <w:tc>
                <w:tcPr>
                  <w:tcW w:w="581"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423"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39.5</w:t>
                  </w:r>
                </w:p>
              </w:tc>
              <w:tc>
                <w:tcPr>
                  <w:tcW w:w="423"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39.6</w:t>
                  </w:r>
                </w:p>
              </w:tc>
              <w:tc>
                <w:tcPr>
                  <w:tcW w:w="423"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39.9</w:t>
                  </w:r>
                </w:p>
              </w:tc>
              <w:tc>
                <w:tcPr>
                  <w:tcW w:w="423" w:type="dxa"/>
                  <w:shd w:val="clear" w:color="auto" w:fill="FFFFFF"/>
                  <w:tcMar>
                    <w:top w:w="0" w:type="dxa"/>
                    <w:left w:w="0" w:type="dxa"/>
                    <w:bottom w:w="0" w:type="dxa"/>
                    <w:right w:w="0" w:type="dxa"/>
                  </w:tcMar>
                  <w:vAlign w:val="center"/>
                </w:tcPr>
                <w:p>
                  <w:pPr>
                    <w:rPr>
                      <w:rFonts w:hint="eastAsia" w:ascii="Times New Roman" w:hAnsi="Times New Roman" w:cs="Times New Roman" w:eastAsiaTheme="minorEastAsia"/>
                      <w:sz w:val="21"/>
                      <w:szCs w:val="21"/>
                      <w:lang w:val="en-US" w:eastAsia="zh-CN"/>
                    </w:rPr>
                  </w:pPr>
                  <w:r>
                    <w:rPr>
                      <w:rFonts w:ascii="Arial" w:hAnsi="Arial" w:eastAsia="Arial" w:cs="Arial"/>
                      <w:sz w:val="20"/>
                    </w:rPr>
                    <w:t>39.5</w:t>
                  </w:r>
                </w:p>
              </w:tc>
              <w:tc>
                <w:tcPr>
                  <w:tcW w:w="266" w:type="pct"/>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r>
            <w:bookmarkEnd w:id="3"/>
          </w:tbl>
          <w:p>
            <w:pPr>
              <w:pStyle w:val="5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Times New Roman"/>
                <w:b/>
                <w:kern w:val="2"/>
                <w:sz w:val="24"/>
                <w:szCs w:val="24"/>
                <w:highlight w:val="none"/>
                <w:lang w:val="en-US" w:eastAsia="zh-CN"/>
              </w:rPr>
            </w:pPr>
            <w:r>
              <w:rPr>
                <w:rFonts w:hint="eastAsia" w:ascii="Times New Roman" w:hAnsi="Times New Roman" w:eastAsia="宋体" w:cs="Times New Roman"/>
                <w:b/>
                <w:kern w:val="2"/>
                <w:sz w:val="24"/>
                <w:szCs w:val="24"/>
                <w:highlight w:val="none"/>
                <w:lang w:val="en-US" w:eastAsia="zh-CN"/>
              </w:rPr>
              <w:t>表4-9  工业企业噪声源强调查清单（室内声源）</w:t>
            </w:r>
          </w:p>
          <w:p>
            <w:pPr>
              <w:rPr>
                <w:rFonts w:ascii="Times New Roman" w:hAnsi="Times New Roman" w:cs="Times New Roman"/>
              </w:rPr>
            </w:pPr>
            <w:r>
              <w:rPr>
                <w:rFonts w:hint="default" w:ascii="Times New Roman" w:hAnsi="Times New Roman" w:cs="Times New Roman" w:eastAsiaTheme="minorEastAsia"/>
                <w:b w:val="0"/>
                <w:bCs/>
                <w:sz w:val="21"/>
                <w:szCs w:val="21"/>
                <w:lang w:val="en-US" w:eastAsia="zh-CN"/>
              </w:rPr>
              <w:t>表中坐标以厂界中心（</w:t>
            </w:r>
            <w:bookmarkStart w:id="5" w:name="PO_7"/>
            <w:r>
              <w:rPr>
                <w:rFonts w:hint="default" w:ascii="Times New Roman" w:hAnsi="Times New Roman" w:cs="Times New Roman" w:eastAsiaTheme="minorEastAsia"/>
                <w:b w:val="0"/>
                <w:bCs/>
                <w:sz w:val="21"/>
                <w:szCs w:val="21"/>
                <w:lang w:val="en-US" w:eastAsia="zh-CN"/>
              </w:rPr>
              <w:t>86.1139450,41.805477</w:t>
            </w:r>
            <w:bookmarkEnd w:id="5"/>
            <w:r>
              <w:rPr>
                <w:rFonts w:hint="default" w:ascii="Times New Roman" w:hAnsi="Times New Roman" w:cs="Times New Roman" w:eastAsiaTheme="minorEastAsia"/>
                <w:b w:val="0"/>
                <w:bCs/>
                <w:sz w:val="21"/>
                <w:szCs w:val="21"/>
                <w:lang w:val="en-US" w:eastAsia="zh-CN"/>
              </w:rPr>
              <w:t>）为坐标原点，正东向为X轴正方向，正北向为Y轴正方向</w:t>
            </w:r>
          </w:p>
          <w:p>
            <w:pPr>
              <w:pStyle w:val="5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eastAsia="宋体" w:cs="Times New Roman"/>
                <w:b/>
                <w:kern w:val="2"/>
                <w:sz w:val="24"/>
                <w:szCs w:val="24"/>
                <w:highlight w:val="none"/>
                <w:lang w:val="en-US" w:eastAsia="zh-CN"/>
              </w:rPr>
            </w:pPr>
          </w:p>
          <w:p>
            <w:pPr>
              <w:pStyle w:val="12"/>
              <w:bidi w:val="0"/>
              <w:ind w:left="0" w:leftChars="0" w:firstLine="0" w:firstLineChars="0"/>
              <w:rPr>
                <w:rFonts w:hint="eastAsia"/>
                <w:vertAlign w:val="baseline"/>
              </w:rPr>
            </w:pPr>
          </w:p>
          <w:p>
            <w:pPr>
              <w:rPr>
                <w:rFonts w:hint="eastAsia"/>
                <w:vertAlign w:val="baseline"/>
              </w:rPr>
            </w:pPr>
          </w:p>
          <w:p>
            <w:pPr>
              <w:rPr>
                <w:rFonts w:hint="eastAsia"/>
                <w:vertAlign w:val="baseline"/>
              </w:rPr>
            </w:pPr>
          </w:p>
        </w:tc>
      </w:tr>
    </w:tbl>
    <w:p>
      <w:pPr>
        <w:pStyle w:val="4"/>
        <w:rPr>
          <w:rFonts w:hint="eastAsia"/>
        </w:rPr>
        <w:sectPr>
          <w:pgSz w:w="16840" w:h="11907" w:orient="landscape"/>
          <w:pgMar w:top="1531" w:right="1701" w:bottom="1531" w:left="2127" w:header="851" w:footer="851" w:gutter="0"/>
          <w:cols w:space="720" w:num="1"/>
          <w:docGrid w:linePitch="312" w:charSpace="0"/>
        </w:sect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3"/>
        <w:gridCol w:w="8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 w:type="dxa"/>
          </w:tcPr>
          <w:p>
            <w:pPr>
              <w:rPr>
                <w:rFonts w:hint="eastAsia"/>
                <w:vertAlign w:val="baseline"/>
              </w:rPr>
            </w:pPr>
          </w:p>
        </w:tc>
        <w:tc>
          <w:tcPr>
            <w:tcW w:w="8038" w:type="dxa"/>
          </w:tcPr>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Times New Roman" w:hAnsi="Times New Roman" w:eastAsia="宋体" w:cs="Times New Roman"/>
                <w:b/>
                <w:bCs/>
                <w:sz w:val="24"/>
                <w:szCs w:val="24"/>
                <w:lang w:val="en-US" w:eastAsia="zh-CN"/>
              </w:rPr>
            </w:pPr>
            <w:r>
              <w:rPr>
                <w:rFonts w:hint="eastAsia" w:eastAsia="宋体" w:cs="Times New Roman"/>
                <w:b/>
                <w:bCs/>
                <w:sz w:val="24"/>
                <w:szCs w:val="24"/>
                <w:lang w:val="en-US" w:eastAsia="zh-CN"/>
              </w:rPr>
              <w:t>3.3</w:t>
            </w:r>
            <w:r>
              <w:rPr>
                <w:rFonts w:hint="eastAsia" w:ascii="Times New Roman" w:hAnsi="Times New Roman" w:eastAsia="宋体" w:cs="Times New Roman"/>
                <w:b/>
                <w:bCs/>
                <w:sz w:val="24"/>
                <w:szCs w:val="24"/>
                <w:lang w:val="en-US" w:eastAsia="zh-CN"/>
              </w:rPr>
              <w:t>预测结果</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通过预测模型计算，项目厂界噪声预测结果与达标分析见表4-10</w:t>
            </w:r>
            <w:r>
              <w:rPr>
                <w:rFonts w:hint="eastAsia" w:cs="Times New Roman"/>
                <w:sz w:val="24"/>
                <w:szCs w:val="24"/>
                <w:lang w:val="en-US" w:eastAsia="zh-CN"/>
              </w:rPr>
              <w:t>。</w:t>
            </w:r>
          </w:p>
          <w:p>
            <w:pPr>
              <w:pStyle w:val="5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cs="Times New Roman"/>
                <w:b/>
                <w:kern w:val="2"/>
                <w:sz w:val="24"/>
                <w:szCs w:val="24"/>
                <w:highlight w:val="none"/>
                <w:lang w:val="en-US" w:eastAsia="zh-CN"/>
              </w:rPr>
            </w:pPr>
            <w:r>
              <w:rPr>
                <w:rFonts w:hint="eastAsia" w:ascii="Times New Roman" w:hAnsi="Times New Roman" w:cs="Times New Roman"/>
                <w:b/>
                <w:kern w:val="2"/>
                <w:sz w:val="24"/>
                <w:szCs w:val="24"/>
                <w:highlight w:val="none"/>
                <w:lang w:val="en-US" w:eastAsia="zh-CN"/>
              </w:rPr>
              <w:t>表4-10  厂界噪声预测结果与达标分析表</w:t>
            </w:r>
            <w:bookmarkStart w:id="6" w:name="PT_7"/>
          </w:p>
          <w:bookmarkEnd w:id="6"/>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735"/>
              <w:gridCol w:w="735"/>
              <w:gridCol w:w="736"/>
              <w:gridCol w:w="910"/>
              <w:gridCol w:w="1299"/>
              <w:gridCol w:w="1299"/>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007" w:type="dxa"/>
                  <w:vMerge w:val="restart"/>
                  <w:vAlign w:val="center"/>
                </w:tcPr>
                <w:p>
                  <w:pPr>
                    <w:jc w:val="center"/>
                    <w:rPr>
                      <w:rFonts w:hint="eastAsia" w:ascii="Times New Roman" w:hAnsi="Times New Roman" w:cs="Times New Roman" w:eastAsiaTheme="minorEastAsia"/>
                      <w:sz w:val="21"/>
                      <w:szCs w:val="21"/>
                      <w:lang w:val="en-US" w:eastAsia="zh-CN"/>
                    </w:rPr>
                  </w:pPr>
                  <w:r>
                    <w:rPr>
                      <w:rFonts w:ascii="Times New Roman" w:hAnsi="Times New Roman" w:cs="Times New Roman" w:eastAsiaTheme="minorEastAsia"/>
                      <w:b/>
                      <w:sz w:val="21"/>
                      <w:szCs w:val="21"/>
                    </w:rPr>
                    <w:t>预测方位</w:t>
                  </w:r>
                </w:p>
              </w:tc>
              <w:tc>
                <w:tcPr>
                  <w:tcW w:w="2206" w:type="dxa"/>
                  <w:gridSpan w:val="3"/>
                  <w:vAlign w:val="center"/>
                </w:tcPr>
                <w:p>
                  <w:pPr>
                    <w:jc w:val="center"/>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b/>
                      <w:sz w:val="21"/>
                      <w:szCs w:val="21"/>
                      <w:lang w:val="en-US" w:eastAsia="zh-CN"/>
                    </w:rPr>
                    <w:t>最大值点</w:t>
                  </w:r>
                  <w:r>
                    <w:rPr>
                      <w:rFonts w:ascii="Times New Roman" w:hAnsi="Times New Roman" w:cs="Times New Roman" w:eastAsiaTheme="minorEastAsia"/>
                      <w:b/>
                      <w:sz w:val="21"/>
                      <w:szCs w:val="21"/>
                    </w:rPr>
                    <w:t>空间相对位置/m</w:t>
                  </w:r>
                </w:p>
              </w:tc>
              <w:tc>
                <w:tcPr>
                  <w:tcW w:w="910" w:type="dxa"/>
                  <w:vMerge w:val="restart"/>
                  <w:vAlign w:val="center"/>
                </w:tcPr>
                <w:p>
                  <w:pPr>
                    <w:jc w:val="center"/>
                    <w:rPr>
                      <w:rFonts w:hint="eastAsia" w:ascii="Times New Roman" w:hAnsi="Times New Roman" w:cs="Times New Roman" w:eastAsiaTheme="minorEastAsia"/>
                      <w:sz w:val="21"/>
                      <w:szCs w:val="21"/>
                      <w:lang w:val="en-US" w:eastAsia="zh-CN"/>
                    </w:rPr>
                  </w:pPr>
                  <w:r>
                    <w:rPr>
                      <w:rFonts w:ascii="Times New Roman" w:hAnsi="Times New Roman" w:cs="Times New Roman" w:eastAsiaTheme="minorEastAsia"/>
                      <w:b/>
                      <w:sz w:val="21"/>
                      <w:szCs w:val="21"/>
                    </w:rPr>
                    <w:t>时段</w:t>
                  </w:r>
                </w:p>
              </w:tc>
              <w:tc>
                <w:tcPr>
                  <w:tcW w:w="1299" w:type="dxa"/>
                  <w:vMerge w:val="restart"/>
                  <w:vAlign w:val="center"/>
                </w:tcPr>
                <w:p>
                  <w:pPr>
                    <w:jc w:val="center"/>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b/>
                      <w:sz w:val="21"/>
                      <w:szCs w:val="21"/>
                    </w:rPr>
                    <w:t>贡献值</w:t>
                  </w:r>
                  <w:r>
                    <w:rPr>
                      <w:rFonts w:ascii="Times New Roman" w:hAnsi="Times New Roman" w:cs="Times New Roman" w:eastAsiaTheme="minorEastAsia"/>
                      <w:b/>
                      <w:sz w:val="21"/>
                      <w:szCs w:val="21"/>
                    </w:rPr>
                    <w:t>（dB(A)）</w:t>
                  </w:r>
                </w:p>
              </w:tc>
              <w:tc>
                <w:tcPr>
                  <w:tcW w:w="1299" w:type="dxa"/>
                  <w:vMerge w:val="restart"/>
                  <w:vAlign w:val="center"/>
                </w:tcPr>
                <w:p>
                  <w:pPr>
                    <w:jc w:val="center"/>
                    <w:rPr>
                      <w:rFonts w:hint="eastAsia" w:ascii="Times New Roman" w:hAnsi="Times New Roman" w:cs="Times New Roman" w:eastAsiaTheme="minorEastAsia"/>
                      <w:sz w:val="21"/>
                      <w:szCs w:val="21"/>
                      <w:lang w:val="en-US" w:eastAsia="zh-CN"/>
                    </w:rPr>
                  </w:pPr>
                  <w:r>
                    <w:rPr>
                      <w:rFonts w:ascii="Times New Roman" w:hAnsi="Times New Roman" w:cs="Times New Roman" w:eastAsiaTheme="minorEastAsia"/>
                      <w:b/>
                      <w:sz w:val="21"/>
                      <w:szCs w:val="21"/>
                    </w:rPr>
                    <w:t>标准限值（dB(A)）</w:t>
                  </w:r>
                </w:p>
              </w:tc>
              <w:tc>
                <w:tcPr>
                  <w:tcW w:w="1088" w:type="dxa"/>
                  <w:vMerge w:val="restart"/>
                  <w:vAlign w:val="center"/>
                </w:tcPr>
                <w:p>
                  <w:pPr>
                    <w:jc w:val="center"/>
                    <w:rPr>
                      <w:rFonts w:hint="eastAsia" w:ascii="Times New Roman" w:hAnsi="Times New Roman" w:cs="Times New Roman" w:eastAsiaTheme="minorEastAsia"/>
                      <w:sz w:val="21"/>
                      <w:szCs w:val="21"/>
                      <w:lang w:val="en-US" w:eastAsia="zh-CN"/>
                    </w:rPr>
                  </w:pPr>
                  <w:r>
                    <w:rPr>
                      <w:rFonts w:ascii="Times New Roman" w:hAnsi="Times New Roman" w:cs="Times New Roman" w:eastAsiaTheme="minorEastAsia"/>
                      <w:b/>
                      <w:sz w:val="21"/>
                      <w:szCs w:val="21"/>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07" w:type="dxa"/>
                  <w:vMerge w:val="continue"/>
                  <w:shd w:val="clear" w:color="auto" w:fill="FFFFFF"/>
                  <w:vAlign w:val="center"/>
                </w:tcPr>
                <w:p>
                  <w:pPr>
                    <w:jc w:val="center"/>
                    <w:rPr>
                      <w:rFonts w:hint="eastAsia" w:ascii="Times New Roman" w:hAnsi="Times New Roman" w:cs="Times New Roman" w:eastAsiaTheme="minorEastAsia"/>
                      <w:sz w:val="21"/>
                      <w:szCs w:val="21"/>
                      <w:lang w:val="en-US" w:eastAsia="zh-CN"/>
                    </w:rPr>
                  </w:pPr>
                </w:p>
              </w:tc>
              <w:tc>
                <w:tcPr>
                  <w:tcW w:w="735" w:type="dxa"/>
                  <w:shd w:val="clear" w:color="auto" w:fill="FFFFFF"/>
                  <w:vAlign w:val="center"/>
                </w:tcPr>
                <w:p>
                  <w:pPr>
                    <w:jc w:val="center"/>
                    <w:rPr>
                      <w:rFonts w:hint="eastAsia" w:ascii="Times New Roman" w:hAnsi="Times New Roman" w:cs="Times New Roman" w:eastAsiaTheme="minorEastAsia"/>
                      <w:sz w:val="21"/>
                      <w:szCs w:val="21"/>
                      <w:lang w:val="en-US" w:eastAsia="zh-CN"/>
                    </w:rPr>
                  </w:pPr>
                  <w:r>
                    <w:rPr>
                      <w:rFonts w:ascii="Times New Roman" w:hAnsi="Times New Roman" w:cs="Times New Roman" w:eastAsiaTheme="minorEastAsia"/>
                      <w:sz w:val="21"/>
                      <w:szCs w:val="21"/>
                    </w:rPr>
                    <w:t>X</w:t>
                  </w:r>
                </w:p>
              </w:tc>
              <w:tc>
                <w:tcPr>
                  <w:tcW w:w="735" w:type="dxa"/>
                  <w:shd w:val="clear" w:color="auto" w:fill="FFFFFF"/>
                  <w:vAlign w:val="center"/>
                </w:tcPr>
                <w:p>
                  <w:pPr>
                    <w:jc w:val="center"/>
                    <w:rPr>
                      <w:rFonts w:hint="eastAsia" w:ascii="Times New Roman" w:hAnsi="Times New Roman" w:cs="Times New Roman" w:eastAsiaTheme="minorEastAsia"/>
                      <w:sz w:val="21"/>
                      <w:szCs w:val="21"/>
                      <w:lang w:val="en-US" w:eastAsia="zh-CN"/>
                    </w:rPr>
                  </w:pPr>
                  <w:r>
                    <w:rPr>
                      <w:rFonts w:ascii="Times New Roman" w:hAnsi="Times New Roman" w:cs="Times New Roman" w:eastAsiaTheme="minorEastAsia"/>
                      <w:sz w:val="21"/>
                      <w:szCs w:val="21"/>
                    </w:rPr>
                    <w:t>Y</w:t>
                  </w:r>
                </w:p>
              </w:tc>
              <w:tc>
                <w:tcPr>
                  <w:tcW w:w="736" w:type="dxa"/>
                  <w:shd w:val="clear" w:color="auto" w:fill="FFFFFF"/>
                  <w:vAlign w:val="center"/>
                </w:tcPr>
                <w:p>
                  <w:pPr>
                    <w:jc w:val="center"/>
                    <w:rPr>
                      <w:rFonts w:hint="eastAsia" w:ascii="Times New Roman" w:hAnsi="Times New Roman" w:cs="Times New Roman" w:eastAsiaTheme="minorEastAsia"/>
                      <w:sz w:val="21"/>
                      <w:szCs w:val="21"/>
                      <w:lang w:val="en-US" w:eastAsia="zh-CN"/>
                    </w:rPr>
                  </w:pPr>
                  <w:r>
                    <w:rPr>
                      <w:rFonts w:ascii="Times New Roman" w:hAnsi="Times New Roman" w:cs="Times New Roman" w:eastAsiaTheme="minorEastAsia"/>
                      <w:sz w:val="21"/>
                      <w:szCs w:val="21"/>
                    </w:rPr>
                    <w:t>Z</w:t>
                  </w:r>
                </w:p>
              </w:tc>
              <w:tc>
                <w:tcPr>
                  <w:tcW w:w="910" w:type="dxa"/>
                  <w:vMerge w:val="continue"/>
                  <w:shd w:val="clear" w:color="auto" w:fill="FFFFFF"/>
                  <w:vAlign w:val="center"/>
                </w:tcPr>
                <w:p>
                  <w:pPr>
                    <w:jc w:val="center"/>
                    <w:rPr>
                      <w:rFonts w:hint="eastAsia" w:ascii="Times New Roman" w:hAnsi="Times New Roman" w:cs="Times New Roman" w:eastAsiaTheme="minorEastAsia"/>
                      <w:sz w:val="21"/>
                      <w:szCs w:val="21"/>
                      <w:lang w:val="en-US" w:eastAsia="zh-CN"/>
                    </w:rPr>
                  </w:pPr>
                </w:p>
              </w:tc>
              <w:tc>
                <w:tcPr>
                  <w:tcW w:w="1299" w:type="dxa"/>
                  <w:vMerge w:val="continue"/>
                  <w:shd w:val="clear" w:color="auto" w:fill="FFFFFF"/>
                  <w:vAlign w:val="center"/>
                </w:tcPr>
                <w:p>
                  <w:pPr>
                    <w:jc w:val="center"/>
                    <w:rPr>
                      <w:rFonts w:hint="eastAsia" w:ascii="Times New Roman" w:hAnsi="Times New Roman" w:cs="Times New Roman" w:eastAsiaTheme="minorEastAsia"/>
                      <w:sz w:val="21"/>
                      <w:szCs w:val="21"/>
                      <w:lang w:val="en-US" w:eastAsia="zh-CN"/>
                    </w:rPr>
                  </w:pPr>
                </w:p>
              </w:tc>
              <w:tc>
                <w:tcPr>
                  <w:tcW w:w="1299" w:type="dxa"/>
                  <w:vMerge w:val="continue"/>
                  <w:shd w:val="clear" w:color="auto" w:fill="FFFFFF"/>
                  <w:vAlign w:val="center"/>
                </w:tcPr>
                <w:p>
                  <w:pPr>
                    <w:jc w:val="center"/>
                    <w:rPr>
                      <w:rFonts w:hint="eastAsia" w:ascii="Times New Roman" w:hAnsi="Times New Roman" w:cs="Times New Roman" w:eastAsiaTheme="minorEastAsia"/>
                      <w:sz w:val="21"/>
                      <w:szCs w:val="21"/>
                      <w:lang w:val="en-US" w:eastAsia="zh-CN"/>
                    </w:rPr>
                  </w:pPr>
                </w:p>
              </w:tc>
              <w:tc>
                <w:tcPr>
                  <w:tcW w:w="1088" w:type="dxa"/>
                  <w:vMerge w:val="continue"/>
                  <w:shd w:val="clear" w:color="auto" w:fill="FFFFFF"/>
                  <w:vAlign w:val="center"/>
                </w:tcPr>
                <w:p>
                  <w:pPr>
                    <w:jc w:val="center"/>
                    <w:rPr>
                      <w:rFonts w:hint="eastAsia" w:ascii="Times New Roman" w:hAnsi="Times New Roman" w:cs="Times New Roman" w:eastAsiaTheme="minorEastAsia"/>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007" w:type="dxa"/>
                  <w:vMerge w:val="restar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东侧</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132.7</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3.8</w:t>
                  </w:r>
                </w:p>
              </w:tc>
              <w:tc>
                <w:tcPr>
                  <w:tcW w:w="736"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1.2</w:t>
                  </w:r>
                </w:p>
              </w:tc>
              <w:tc>
                <w:tcPr>
                  <w:tcW w:w="910"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昼间</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43.8</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65</w:t>
                  </w:r>
                </w:p>
              </w:tc>
              <w:tc>
                <w:tcPr>
                  <w:tcW w:w="1088"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007" w:type="dxa"/>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132.7</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3.8</w:t>
                  </w:r>
                </w:p>
              </w:tc>
              <w:tc>
                <w:tcPr>
                  <w:tcW w:w="736"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1.2</w:t>
                  </w:r>
                </w:p>
              </w:tc>
              <w:tc>
                <w:tcPr>
                  <w:tcW w:w="910"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夜间</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43.8</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55</w:t>
                  </w:r>
                </w:p>
              </w:tc>
              <w:tc>
                <w:tcPr>
                  <w:tcW w:w="1088"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007" w:type="dxa"/>
                  <w:vMerge w:val="restar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南侧</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123.1</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-50</w:t>
                  </w:r>
                </w:p>
              </w:tc>
              <w:tc>
                <w:tcPr>
                  <w:tcW w:w="736"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1.2</w:t>
                  </w:r>
                </w:p>
              </w:tc>
              <w:tc>
                <w:tcPr>
                  <w:tcW w:w="910"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昼间</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52.6</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65</w:t>
                  </w:r>
                </w:p>
              </w:tc>
              <w:tc>
                <w:tcPr>
                  <w:tcW w:w="1088"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007" w:type="dxa"/>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123.1</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-50</w:t>
                  </w:r>
                </w:p>
              </w:tc>
              <w:tc>
                <w:tcPr>
                  <w:tcW w:w="736"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1.2</w:t>
                  </w:r>
                </w:p>
              </w:tc>
              <w:tc>
                <w:tcPr>
                  <w:tcW w:w="910"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夜间</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52.6</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55</w:t>
                  </w:r>
                </w:p>
              </w:tc>
              <w:tc>
                <w:tcPr>
                  <w:tcW w:w="1088"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007" w:type="dxa"/>
                  <w:vMerge w:val="restar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西侧</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-87.8</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29.4</w:t>
                  </w:r>
                </w:p>
              </w:tc>
              <w:tc>
                <w:tcPr>
                  <w:tcW w:w="736"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1.2</w:t>
                  </w:r>
                </w:p>
              </w:tc>
              <w:tc>
                <w:tcPr>
                  <w:tcW w:w="910"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昼间</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50.7</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65</w:t>
                  </w:r>
                </w:p>
              </w:tc>
              <w:tc>
                <w:tcPr>
                  <w:tcW w:w="1088"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007" w:type="dxa"/>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-87.8</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29.4</w:t>
                  </w:r>
                </w:p>
              </w:tc>
              <w:tc>
                <w:tcPr>
                  <w:tcW w:w="736"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1.2</w:t>
                  </w:r>
                </w:p>
              </w:tc>
              <w:tc>
                <w:tcPr>
                  <w:tcW w:w="910"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夜间</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50.7</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55</w:t>
                  </w:r>
                </w:p>
              </w:tc>
              <w:tc>
                <w:tcPr>
                  <w:tcW w:w="1088"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007" w:type="dxa"/>
                  <w:vMerge w:val="restart"/>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北侧</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-79.7</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38.4</w:t>
                  </w:r>
                </w:p>
              </w:tc>
              <w:tc>
                <w:tcPr>
                  <w:tcW w:w="736"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1.2</w:t>
                  </w:r>
                </w:p>
              </w:tc>
              <w:tc>
                <w:tcPr>
                  <w:tcW w:w="910"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昼间</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52</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65</w:t>
                  </w:r>
                </w:p>
              </w:tc>
              <w:tc>
                <w:tcPr>
                  <w:tcW w:w="1088"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exact"/>
                <w:jc w:val="center"/>
              </w:trPr>
              <w:tc>
                <w:tcPr>
                  <w:tcW w:w="1007" w:type="dxa"/>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-79.7</w:t>
                  </w:r>
                </w:p>
              </w:tc>
              <w:tc>
                <w:tcPr>
                  <w:tcW w:w="735"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38.4</w:t>
                  </w:r>
                </w:p>
              </w:tc>
              <w:tc>
                <w:tcPr>
                  <w:tcW w:w="736"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1.2</w:t>
                  </w:r>
                </w:p>
              </w:tc>
              <w:tc>
                <w:tcPr>
                  <w:tcW w:w="910"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夜间</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52</w:t>
                  </w:r>
                </w:p>
              </w:tc>
              <w:tc>
                <w:tcPr>
                  <w:tcW w:w="1299"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55</w:t>
                  </w:r>
                </w:p>
              </w:tc>
              <w:tc>
                <w:tcPr>
                  <w:tcW w:w="1088" w:type="dxa"/>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达标</w:t>
                  </w:r>
                </w:p>
              </w:tc>
            </w:tr>
          </w:tbl>
          <w:p>
            <w:pPr>
              <w:pageBreakBefore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cs="Times New Roman"/>
                <w:b/>
                <w:bCs w:val="0"/>
                <w:sz w:val="24"/>
                <w:szCs w:val="24"/>
                <w:highlight w:val="none"/>
                <w:lang w:val="en-US" w:eastAsia="zh-CN"/>
              </w:rPr>
            </w:pPr>
            <w:r>
              <w:rPr>
                <w:rFonts w:hint="eastAsia" w:ascii="Times New Roman" w:hAnsi="Times New Roman" w:cs="Times New Roman"/>
                <w:sz w:val="24"/>
                <w:highlight w:val="none"/>
                <w:lang w:eastAsia="zh-CN"/>
              </w:rPr>
              <w:t>由上表可知，正常工况下，项目厂界噪声满足《工业企业厂界环境噪声排放标准》（GB 12348-2008）</w:t>
            </w:r>
            <w:r>
              <w:rPr>
                <w:rFonts w:hint="eastAsia" w:ascii="Times New Roman" w:hAnsi="Times New Roman" w:cs="Times New Roman"/>
                <w:sz w:val="24"/>
                <w:highlight w:val="none"/>
                <w:lang w:val="en-US" w:eastAsia="zh-CN"/>
              </w:rPr>
              <w:t>3</w:t>
            </w:r>
            <w:r>
              <w:rPr>
                <w:rFonts w:hint="eastAsia" w:ascii="Times New Roman" w:hAnsi="Times New Roman" w:cs="Times New Roman"/>
                <w:sz w:val="24"/>
                <w:highlight w:val="none"/>
                <w:lang w:eastAsia="zh-CN"/>
              </w:rPr>
              <w:t>类标准。</w:t>
            </w:r>
          </w:p>
          <w:p>
            <w:pPr>
              <w:pStyle w:val="6"/>
              <w:pageBreakBefore w:val="0"/>
              <w:kinsoku/>
              <w:wordWrap/>
              <w:overflowPunct/>
              <w:topLinePunct w:val="0"/>
              <w:autoSpaceDE/>
              <w:autoSpaceDN/>
              <w:bidi w:val="0"/>
              <w:adjustRightInd/>
              <w:snapToGrid/>
              <w:spacing w:before="20" w:beforeLines="0" w:after="20" w:afterLines="0" w:line="520" w:lineRule="exact"/>
              <w:ind w:firstLine="482" w:firstLineChars="200"/>
              <w:jc w:val="left"/>
              <w:textAlignment w:val="auto"/>
              <w:outlineLvl w:val="1"/>
              <w:rPr>
                <w:rFonts w:hint="eastAsia" w:ascii="Times New Roman" w:hAnsi="Times New Roman" w:cs="Times New Roman"/>
                <w:b/>
                <w:bCs w:val="0"/>
                <w:sz w:val="24"/>
                <w:szCs w:val="24"/>
                <w:highlight w:val="none"/>
                <w:lang w:val="en-US" w:eastAsia="zh-CN"/>
              </w:rPr>
            </w:pPr>
            <w:r>
              <w:rPr>
                <w:rFonts w:hint="eastAsia" w:cs="Times New Roman"/>
                <w:b/>
                <w:bCs w:val="0"/>
                <w:sz w:val="24"/>
                <w:szCs w:val="24"/>
                <w:highlight w:val="none"/>
                <w:lang w:val="en-US" w:eastAsia="zh-CN"/>
              </w:rPr>
              <w:t>4、</w:t>
            </w:r>
            <w:r>
              <w:rPr>
                <w:rFonts w:hint="eastAsia" w:ascii="Times New Roman" w:hAnsi="Times New Roman" w:cs="Times New Roman"/>
                <w:b/>
                <w:bCs w:val="0"/>
                <w:sz w:val="24"/>
                <w:szCs w:val="24"/>
                <w:highlight w:val="none"/>
                <w:lang w:val="en-US" w:eastAsia="zh-CN"/>
              </w:rPr>
              <w:t>运营期固体废物环境影响和保护措施</w:t>
            </w:r>
          </w:p>
          <w:p>
            <w:pPr>
              <w:pStyle w:val="6"/>
              <w:pageBreakBefore w:val="0"/>
              <w:kinsoku/>
              <w:wordWrap/>
              <w:overflowPunct/>
              <w:topLinePunct w:val="0"/>
              <w:autoSpaceDE/>
              <w:autoSpaceDN/>
              <w:bidi w:val="0"/>
              <w:adjustRightInd/>
              <w:snapToGrid/>
              <w:spacing w:before="20" w:beforeLines="0" w:after="20" w:afterLines="0" w:line="520" w:lineRule="exact"/>
              <w:ind w:firstLine="482" w:firstLineChars="200"/>
              <w:jc w:val="left"/>
              <w:textAlignment w:val="auto"/>
              <w:outlineLvl w:val="1"/>
              <w:rPr>
                <w:rFonts w:hint="eastAsia" w:ascii="Times New Roman" w:hAnsi="Times New Roman" w:cs="Times New Roman"/>
                <w:b/>
                <w:bCs w:val="0"/>
                <w:sz w:val="24"/>
                <w:szCs w:val="24"/>
                <w:highlight w:val="none"/>
                <w:lang w:val="en-US" w:eastAsia="zh-CN"/>
              </w:rPr>
            </w:pPr>
            <w:r>
              <w:rPr>
                <w:rFonts w:hint="eastAsia" w:cs="Times New Roman"/>
                <w:b/>
                <w:bCs w:val="0"/>
                <w:sz w:val="24"/>
                <w:szCs w:val="24"/>
                <w:highlight w:val="none"/>
                <w:lang w:val="en-US" w:eastAsia="zh-CN"/>
              </w:rPr>
              <w:t>4.1</w:t>
            </w:r>
            <w:r>
              <w:rPr>
                <w:rFonts w:hint="eastAsia" w:ascii="Times New Roman" w:hAnsi="Times New Roman" w:cs="Times New Roman"/>
                <w:b/>
                <w:bCs w:val="0"/>
                <w:sz w:val="24"/>
                <w:szCs w:val="24"/>
                <w:highlight w:val="none"/>
                <w:lang w:val="en-US" w:eastAsia="zh-CN"/>
              </w:rPr>
              <w:t>固体废物产生情况和处置情况</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本项目</w:t>
            </w:r>
            <w:r>
              <w:rPr>
                <w:rFonts w:hint="eastAsia" w:ascii="Times New Roman" w:hAnsi="Times New Roman" w:cs="Times New Roman"/>
                <w:sz w:val="24"/>
                <w:szCs w:val="24"/>
                <w:lang w:eastAsia="zh-CN"/>
              </w:rPr>
              <w:t>固体废物</w:t>
            </w:r>
            <w:r>
              <w:rPr>
                <w:rFonts w:hint="eastAsia" w:ascii="Times New Roman" w:hAnsi="Times New Roman" w:eastAsia="宋体" w:cs="Times New Roman"/>
                <w:sz w:val="24"/>
                <w:szCs w:val="24"/>
              </w:rPr>
              <w:t>主要</w:t>
            </w:r>
            <w:r>
              <w:rPr>
                <w:rFonts w:hint="eastAsia" w:ascii="Times New Roman" w:hAnsi="Times New Roman" w:eastAsia="宋体" w:cs="Times New Roman"/>
                <w:sz w:val="24"/>
                <w:szCs w:val="24"/>
                <w:lang w:val="en-US" w:eastAsia="zh-CN"/>
              </w:rPr>
              <w:t>为</w:t>
            </w:r>
            <w:r>
              <w:rPr>
                <w:rFonts w:hint="eastAsia" w:ascii="Times New Roman" w:hAnsi="Times New Roman" w:eastAsia="宋体" w:cs="Times New Roman"/>
                <w:sz w:val="24"/>
                <w:szCs w:val="24"/>
              </w:rPr>
              <w:t>生活垃圾、除尘器收集的粉尘、沉淀池沉渣、冲洗废水沉砂、检验废渣和设备清理维护过</w:t>
            </w:r>
            <w:r>
              <w:rPr>
                <w:rFonts w:hint="eastAsia" w:ascii="Times New Roman" w:hAnsi="Times New Roman" w:cs="Times New Roman"/>
                <w:sz w:val="24"/>
                <w:szCs w:val="24"/>
                <w:lang w:eastAsia="zh-CN"/>
              </w:rPr>
              <w:t>程中</w:t>
            </w:r>
            <w:r>
              <w:rPr>
                <w:rFonts w:hint="eastAsia" w:ascii="Times New Roman" w:hAnsi="Times New Roman" w:eastAsia="宋体" w:cs="Times New Roman"/>
                <w:sz w:val="24"/>
                <w:szCs w:val="24"/>
              </w:rPr>
              <w:t>产生的少量废机油等。</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（1）生活垃圾：本项目共有职工</w:t>
            </w:r>
            <w:r>
              <w:rPr>
                <w:rFonts w:hint="eastAsia" w:ascii="Times New Roman" w:hAnsi="Times New Roman" w:eastAsia="宋体" w:cs="Times New Roman"/>
                <w:sz w:val="24"/>
                <w:szCs w:val="24"/>
                <w:lang w:val="en-US" w:eastAsia="zh-CN"/>
              </w:rPr>
              <w:t>20</w:t>
            </w:r>
            <w:r>
              <w:rPr>
                <w:rFonts w:hint="eastAsia" w:ascii="Times New Roman" w:hAnsi="Times New Roman" w:eastAsia="宋体" w:cs="Times New Roman"/>
                <w:sz w:val="24"/>
                <w:szCs w:val="24"/>
              </w:rPr>
              <w:t>人，年工作日</w:t>
            </w:r>
            <w:r>
              <w:rPr>
                <w:rFonts w:hint="eastAsia" w:ascii="Times New Roman" w:hAnsi="Times New Roman" w:eastAsia="宋体" w:cs="Times New Roman"/>
                <w:sz w:val="24"/>
                <w:szCs w:val="24"/>
                <w:lang w:val="en-US" w:eastAsia="zh-CN"/>
              </w:rPr>
              <w:t>240</w:t>
            </w:r>
            <w:r>
              <w:rPr>
                <w:rFonts w:hint="eastAsia" w:ascii="Times New Roman" w:hAnsi="Times New Roman" w:eastAsia="宋体" w:cs="Times New Roman"/>
                <w:sz w:val="24"/>
                <w:szCs w:val="24"/>
              </w:rPr>
              <w:t>天，生活垃圾按0.5kg/</w:t>
            </w:r>
            <w:r>
              <w:rPr>
                <w:rFonts w:hint="eastAsia" w:ascii="Times New Roman" w:hAnsi="Times New Roman" w:cs="Times New Roman"/>
                <w:sz w:val="24"/>
                <w:szCs w:val="24"/>
                <w:lang w:eastAsia="zh-CN"/>
              </w:rPr>
              <w:t>（</w:t>
            </w:r>
            <w:r>
              <w:rPr>
                <w:rFonts w:hint="eastAsia" w:ascii="Times New Roman" w:hAnsi="Times New Roman" w:eastAsia="宋体" w:cs="Times New Roman"/>
                <w:sz w:val="24"/>
                <w:szCs w:val="24"/>
              </w:rPr>
              <w:t>人·d</w:t>
            </w:r>
            <w:r>
              <w:rPr>
                <w:rFonts w:hint="eastAsia" w:ascii="Times New Roman" w:hAnsi="Times New Roman" w:cs="Times New Roman"/>
                <w:sz w:val="24"/>
                <w:szCs w:val="24"/>
                <w:lang w:eastAsia="zh-CN"/>
              </w:rPr>
              <w:t>）</w:t>
            </w:r>
            <w:r>
              <w:rPr>
                <w:rFonts w:hint="eastAsia" w:ascii="Times New Roman" w:hAnsi="Times New Roman" w:eastAsia="宋体" w:cs="Times New Roman"/>
                <w:sz w:val="24"/>
                <w:szCs w:val="24"/>
              </w:rPr>
              <w:t>计，则本项目生活垃圾产生量约为</w:t>
            </w:r>
            <w:r>
              <w:rPr>
                <w:rFonts w:hint="eastAsia" w:ascii="Times New Roman" w:hAnsi="Times New Roman" w:eastAsia="宋体" w:cs="Times New Roman"/>
                <w:sz w:val="24"/>
                <w:szCs w:val="24"/>
                <w:lang w:val="en-US" w:eastAsia="zh-CN"/>
              </w:rPr>
              <w:t>2.4</w:t>
            </w:r>
            <w:r>
              <w:rPr>
                <w:rFonts w:hint="eastAsia" w:ascii="Times New Roman" w:hAnsi="Times New Roman" w:eastAsia="宋体" w:cs="Times New Roman"/>
                <w:sz w:val="24"/>
                <w:szCs w:val="24"/>
              </w:rPr>
              <w:t>t/a，集中收集后，由环卫部门统一清运。</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（2）除尘系统收集粉尘</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根据前文</w:t>
            </w:r>
            <w:r>
              <w:rPr>
                <w:rFonts w:hint="eastAsia" w:ascii="Times New Roman" w:hAnsi="Times New Roman" w:eastAsia="宋体" w:cs="Times New Roman"/>
                <w:sz w:val="24"/>
                <w:szCs w:val="24"/>
                <w:lang w:val="en-US" w:eastAsia="zh-CN"/>
              </w:rPr>
              <w:t>源强</w:t>
            </w:r>
            <w:r>
              <w:rPr>
                <w:rFonts w:hint="eastAsia" w:ascii="Times New Roman" w:hAnsi="Times New Roman" w:eastAsia="宋体" w:cs="Times New Roman"/>
                <w:sz w:val="24"/>
                <w:szCs w:val="24"/>
              </w:rPr>
              <w:t>分析及计算，本项目经</w:t>
            </w:r>
            <w:r>
              <w:rPr>
                <w:rFonts w:hint="eastAsia" w:ascii="Times New Roman" w:hAnsi="Times New Roman" w:eastAsia="宋体" w:cs="Times New Roman"/>
                <w:sz w:val="24"/>
                <w:szCs w:val="24"/>
                <w:lang w:eastAsia="zh-CN"/>
              </w:rPr>
              <w:t>袋式除尘器</w:t>
            </w:r>
            <w:r>
              <w:rPr>
                <w:rFonts w:hint="eastAsia" w:ascii="Times New Roman" w:hAnsi="Times New Roman" w:eastAsia="宋体" w:cs="Times New Roman"/>
                <w:sz w:val="24"/>
                <w:szCs w:val="24"/>
              </w:rPr>
              <w:t>收集的粉尘约为</w:t>
            </w:r>
            <w:r>
              <w:rPr>
                <w:rFonts w:hint="eastAsia" w:cs="Times New Roman"/>
                <w:sz w:val="24"/>
                <w:szCs w:val="24"/>
                <w:lang w:val="en-US" w:eastAsia="zh-CN"/>
              </w:rPr>
              <w:t>31.456</w:t>
            </w:r>
            <w:r>
              <w:rPr>
                <w:rFonts w:hint="eastAsia" w:ascii="Times New Roman" w:hAnsi="Times New Roman" w:eastAsia="宋体" w:cs="Times New Roman"/>
                <w:sz w:val="24"/>
                <w:szCs w:val="24"/>
              </w:rPr>
              <w:t>t/a。</w:t>
            </w:r>
            <w:r>
              <w:rPr>
                <w:rFonts w:hint="eastAsia" w:ascii="Times New Roman" w:hAnsi="Times New Roman" w:eastAsia="宋体" w:cs="Times New Roman"/>
                <w:sz w:val="24"/>
                <w:szCs w:val="24"/>
                <w:lang w:eastAsia="zh-CN"/>
              </w:rPr>
              <w:t>收集后均回用于生产</w:t>
            </w:r>
            <w:r>
              <w:rPr>
                <w:rFonts w:hint="eastAsia" w:ascii="Times New Roman" w:hAnsi="Times New Roman" w:eastAsia="宋体" w:cs="Times New Roman"/>
                <w:sz w:val="24"/>
                <w:szCs w:val="24"/>
              </w:rPr>
              <w:t>。</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rPr>
              <w:t>）沉淀池沉渣、冲洗废水沉砂</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本项目沉淀池沉渣、冲洗废水沉砂</w:t>
            </w:r>
            <w:r>
              <w:rPr>
                <w:rFonts w:hint="eastAsia" w:ascii="Times New Roman" w:hAnsi="Times New Roman" w:eastAsia="宋体" w:cs="Times New Roman"/>
                <w:sz w:val="24"/>
                <w:szCs w:val="24"/>
                <w:lang w:eastAsia="zh-CN"/>
              </w:rPr>
              <w:t>收集后</w:t>
            </w:r>
            <w:r>
              <w:rPr>
                <w:rFonts w:hint="eastAsia" w:cs="Times New Roman"/>
                <w:sz w:val="24"/>
                <w:szCs w:val="24"/>
                <w:lang w:val="en-US" w:eastAsia="zh-CN"/>
              </w:rPr>
              <w:t>经砂石分离机处置，处置完成后</w:t>
            </w:r>
            <w:r>
              <w:rPr>
                <w:rFonts w:hint="eastAsia" w:ascii="Times New Roman" w:hAnsi="Times New Roman" w:eastAsia="宋体" w:cs="Times New Roman"/>
                <w:sz w:val="24"/>
                <w:szCs w:val="24"/>
                <w:lang w:eastAsia="zh-CN"/>
              </w:rPr>
              <w:t>均回用于生产</w:t>
            </w:r>
            <w:r>
              <w:rPr>
                <w:rFonts w:hint="eastAsia" w:ascii="Times New Roman" w:hAnsi="Times New Roman" w:eastAsia="宋体" w:cs="Times New Roman"/>
                <w:sz w:val="24"/>
                <w:szCs w:val="24"/>
              </w:rPr>
              <w:t>。</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eastAsia="zh-CN"/>
              </w:rPr>
              <w:t>检验</w:t>
            </w:r>
            <w:r>
              <w:rPr>
                <w:rFonts w:hint="eastAsia" w:ascii="Times New Roman" w:hAnsi="Times New Roman" w:eastAsia="宋体" w:cs="Times New Roman"/>
                <w:sz w:val="24"/>
                <w:szCs w:val="24"/>
              </w:rPr>
              <w:t>废混凝土</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在生产的过程中会有少量的试验混凝土产生。试验混凝土产生量较少，该部分固废的产生量在0.5t/a左右，</w:t>
            </w:r>
            <w:r>
              <w:rPr>
                <w:rFonts w:hint="eastAsia" w:cs="Times New Roman"/>
                <w:sz w:val="24"/>
                <w:szCs w:val="24"/>
                <w:lang w:val="en-US" w:eastAsia="zh-CN"/>
              </w:rPr>
              <w:t>属于</w:t>
            </w:r>
            <w:r>
              <w:rPr>
                <w:rFonts w:hint="eastAsia" w:ascii="Times New Roman" w:hAnsi="Times New Roman" w:eastAsia="宋体" w:cs="Times New Roman"/>
                <w:sz w:val="24"/>
                <w:szCs w:val="24"/>
                <w:lang w:val="en-US" w:eastAsia="zh-CN"/>
              </w:rPr>
              <w:t>一般固废，定期</w:t>
            </w:r>
            <w:r>
              <w:rPr>
                <w:rFonts w:hint="eastAsia" w:cs="Times New Roman"/>
                <w:sz w:val="24"/>
                <w:szCs w:val="24"/>
                <w:lang w:val="en-US" w:eastAsia="zh-CN"/>
              </w:rPr>
              <w:t>拉运至一般固废填埋场</w:t>
            </w:r>
            <w:r>
              <w:rPr>
                <w:rFonts w:hint="eastAsia" w:ascii="Times New Roman" w:hAnsi="Times New Roman" w:eastAsia="宋体" w:cs="Times New Roman"/>
                <w:sz w:val="24"/>
                <w:szCs w:val="24"/>
                <w:lang w:val="en-US" w:eastAsia="zh-CN"/>
              </w:rPr>
              <w:t>处理</w:t>
            </w:r>
            <w:r>
              <w:rPr>
                <w:rFonts w:hint="eastAsia" w:ascii="Times New Roman" w:hAnsi="Times New Roman" w:eastAsia="宋体" w:cs="Times New Roman"/>
                <w:sz w:val="24"/>
                <w:szCs w:val="24"/>
              </w:rPr>
              <w:t>。</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rPr>
              <w:t>）</w:t>
            </w:r>
            <w:r>
              <w:rPr>
                <w:rFonts w:hint="eastAsia" w:cs="Times New Roman"/>
                <w:sz w:val="24"/>
                <w:szCs w:val="24"/>
                <w:lang w:val="en-US" w:eastAsia="zh-CN"/>
              </w:rPr>
              <w:t>废机油及废机油桶</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本</w:t>
            </w:r>
            <w:r>
              <w:rPr>
                <w:rFonts w:hint="eastAsia" w:ascii="Times New Roman" w:hAnsi="Times New Roman" w:eastAsia="宋体" w:cs="Times New Roman"/>
                <w:sz w:val="24"/>
                <w:szCs w:val="24"/>
                <w:lang w:val="en-US" w:eastAsia="zh-CN"/>
              </w:rPr>
              <w:t>项目</w:t>
            </w:r>
            <w:r>
              <w:rPr>
                <w:rFonts w:hint="default" w:ascii="Times New Roman" w:hAnsi="Times New Roman" w:eastAsia="宋体" w:cs="Times New Roman"/>
                <w:sz w:val="24"/>
                <w:szCs w:val="24"/>
                <w:lang w:val="en-US" w:eastAsia="zh-CN"/>
              </w:rPr>
              <w:t>设备运行维护过程中会产生少量废</w:t>
            </w:r>
            <w:r>
              <w:rPr>
                <w:rFonts w:hint="eastAsia" w:eastAsia="宋体" w:cs="Times New Roman"/>
                <w:sz w:val="24"/>
                <w:szCs w:val="24"/>
                <w:lang w:val="en-US" w:eastAsia="zh-CN"/>
              </w:rPr>
              <w:t>机油</w:t>
            </w:r>
            <w:r>
              <w:rPr>
                <w:rFonts w:hint="default" w:ascii="Times New Roman" w:hAnsi="Times New Roman" w:eastAsia="宋体" w:cs="Times New Roman"/>
                <w:sz w:val="24"/>
                <w:szCs w:val="24"/>
                <w:lang w:val="en-US" w:eastAsia="zh-CN"/>
              </w:rPr>
              <w:t>（HW08 900-214-08），产生量约为0.</w:t>
            </w:r>
            <w:r>
              <w:rPr>
                <w:rFonts w:hint="eastAsia" w:eastAsia="宋体" w:cs="Times New Roman"/>
                <w:sz w:val="24"/>
                <w:szCs w:val="24"/>
                <w:lang w:val="en-US" w:eastAsia="zh-CN"/>
              </w:rPr>
              <w:t>05</w:t>
            </w:r>
            <w:r>
              <w:rPr>
                <w:rFonts w:hint="default" w:ascii="Times New Roman" w:hAnsi="Times New Roman" w:eastAsia="宋体" w:cs="Times New Roman"/>
                <w:sz w:val="24"/>
                <w:szCs w:val="24"/>
                <w:lang w:val="en-US" w:eastAsia="zh-CN"/>
              </w:rPr>
              <w:t>t/a，废</w:t>
            </w:r>
            <w:r>
              <w:rPr>
                <w:rFonts w:hint="eastAsia" w:eastAsia="宋体" w:cs="Times New Roman"/>
                <w:sz w:val="24"/>
                <w:szCs w:val="24"/>
                <w:lang w:val="en-US" w:eastAsia="zh-CN"/>
              </w:rPr>
              <w:t>机油</w:t>
            </w:r>
            <w:r>
              <w:rPr>
                <w:rFonts w:hint="default" w:ascii="Times New Roman" w:hAnsi="Times New Roman" w:eastAsia="宋体" w:cs="Times New Roman"/>
                <w:sz w:val="24"/>
                <w:szCs w:val="24"/>
                <w:lang w:val="en-US" w:eastAsia="zh-CN"/>
              </w:rPr>
              <w:t>桶（HW08 900-249-08）产生量约为0.01t/a。经收集后暂存于危废贮存点内，定期交由有资质单位进行无害化处置。</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项目固废产生明细见</w:t>
            </w:r>
            <w:r>
              <w:rPr>
                <w:rFonts w:hint="eastAsia" w:ascii="Times New Roman" w:hAnsi="Times New Roman" w:eastAsia="宋体" w:cs="Times New Roman"/>
                <w:sz w:val="24"/>
                <w:szCs w:val="24"/>
                <w:lang w:eastAsia="zh-CN"/>
              </w:rPr>
              <w:t>表</w:t>
            </w:r>
            <w:r>
              <w:rPr>
                <w:rFonts w:hint="eastAsia" w:ascii="Times New Roman" w:hAnsi="Times New Roman" w:eastAsia="宋体" w:cs="Times New Roman"/>
                <w:sz w:val="24"/>
                <w:szCs w:val="24"/>
                <w:lang w:val="en-US" w:eastAsia="zh-CN"/>
              </w:rPr>
              <w:t>4-11</w:t>
            </w:r>
            <w:r>
              <w:rPr>
                <w:rFonts w:hint="eastAsia" w:ascii="Times New Roman" w:hAnsi="Times New Roman" w:eastAsia="宋体" w:cs="Times New Roman"/>
                <w:sz w:val="24"/>
                <w:szCs w:val="24"/>
              </w:rPr>
              <w:t>。</w:t>
            </w:r>
          </w:p>
          <w:p>
            <w:pPr>
              <w:pStyle w:val="5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cs="Times New Roman"/>
                <w:b/>
                <w:kern w:val="2"/>
                <w:sz w:val="24"/>
                <w:szCs w:val="24"/>
                <w:highlight w:val="none"/>
                <w:lang w:val="en-US" w:eastAsia="zh-CN"/>
              </w:rPr>
            </w:pPr>
            <w:r>
              <w:rPr>
                <w:rFonts w:hint="eastAsia" w:ascii="Times New Roman" w:hAnsi="Times New Roman" w:cs="Times New Roman"/>
                <w:b/>
                <w:kern w:val="2"/>
                <w:sz w:val="24"/>
                <w:szCs w:val="24"/>
                <w:highlight w:val="none"/>
                <w:lang w:val="en-US" w:eastAsia="zh-CN"/>
              </w:rPr>
              <w:t>表4-11  项目固体废物产生情况明细</w:t>
            </w:r>
          </w:p>
          <w:tbl>
            <w:tblPr>
              <w:tblStyle w:val="23"/>
              <w:tblW w:w="496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377"/>
              <w:gridCol w:w="843"/>
              <w:gridCol w:w="928"/>
              <w:gridCol w:w="1335"/>
              <w:gridCol w:w="1077"/>
              <w:gridCol w:w="219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88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类型</w:t>
                  </w:r>
                </w:p>
              </w:tc>
              <w:tc>
                <w:tcPr>
                  <w:tcW w:w="543"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固废类别</w:t>
                  </w:r>
                </w:p>
              </w:tc>
              <w:tc>
                <w:tcPr>
                  <w:tcW w:w="598"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废物类别</w:t>
                  </w:r>
                </w:p>
              </w:tc>
              <w:tc>
                <w:tcPr>
                  <w:tcW w:w="86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废物代码</w:t>
                  </w:r>
                </w:p>
              </w:tc>
              <w:tc>
                <w:tcPr>
                  <w:tcW w:w="69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产生量（</w:t>
                  </w:r>
                  <w:r>
                    <w:rPr>
                      <w:rFonts w:hint="eastAsia" w:ascii="Times New Roman" w:hAnsi="Times New Roman" w:cs="Times New Roman" w:eastAsiaTheme="minorEastAsia"/>
                      <w:sz w:val="21"/>
                      <w:szCs w:val="21"/>
                      <w:lang w:val="en-US" w:eastAsia="zh-CN"/>
                    </w:rPr>
                    <w:t>t</w:t>
                  </w:r>
                  <w:r>
                    <w:rPr>
                      <w:rFonts w:hint="default" w:ascii="Times New Roman" w:hAnsi="Times New Roman" w:cs="Times New Roman" w:eastAsiaTheme="minorEastAsia"/>
                      <w:sz w:val="21"/>
                      <w:szCs w:val="21"/>
                      <w:lang w:val="en-US" w:eastAsia="zh-CN"/>
                    </w:rPr>
                    <w:t>/a）</w:t>
                  </w:r>
                </w:p>
              </w:tc>
              <w:tc>
                <w:tcPr>
                  <w:tcW w:w="14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去向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87"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除尘系统收集粉尘</w:t>
                  </w:r>
                </w:p>
              </w:tc>
              <w:tc>
                <w:tcPr>
                  <w:tcW w:w="543"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一般固废</w:t>
                  </w:r>
                </w:p>
              </w:tc>
              <w:tc>
                <w:tcPr>
                  <w:tcW w:w="598"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SW17</w:t>
                  </w:r>
                </w:p>
              </w:tc>
              <w:tc>
                <w:tcPr>
                  <w:tcW w:w="860"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900-099-S17</w:t>
                  </w:r>
                </w:p>
              </w:tc>
              <w:tc>
                <w:tcPr>
                  <w:tcW w:w="69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r>
                    <w:rPr>
                      <w:rFonts w:hint="eastAsia" w:cs="Times New Roman" w:eastAsiaTheme="minorEastAsia"/>
                      <w:sz w:val="21"/>
                      <w:szCs w:val="21"/>
                      <w:lang w:val="en-US" w:eastAsia="zh-CN"/>
                    </w:rPr>
                    <w:t>1.456</w:t>
                  </w:r>
                </w:p>
              </w:tc>
              <w:tc>
                <w:tcPr>
                  <w:tcW w:w="14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回</w:t>
                  </w:r>
                  <w:r>
                    <w:rPr>
                      <w:rFonts w:hint="eastAsia" w:ascii="Times New Roman" w:hAnsi="Times New Roman" w:cs="Times New Roman" w:eastAsiaTheme="minorEastAsia"/>
                      <w:sz w:val="21"/>
                      <w:szCs w:val="21"/>
                      <w:lang w:val="en-US" w:eastAsia="zh-CN"/>
                    </w:rPr>
                    <w:t>收</w:t>
                  </w:r>
                  <w:r>
                    <w:rPr>
                      <w:rFonts w:hint="default" w:ascii="Times New Roman" w:hAnsi="Times New Roman" w:cs="Times New Roman" w:eastAsiaTheme="minorEastAsia"/>
                      <w:sz w:val="21"/>
                      <w:szCs w:val="21"/>
                      <w:lang w:val="en-US" w:eastAsia="zh-CN"/>
                    </w:rPr>
                    <w:t>作为原料用于生产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87"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检验废混凝土</w:t>
                  </w:r>
                </w:p>
              </w:tc>
              <w:tc>
                <w:tcPr>
                  <w:tcW w:w="543" w:type="pct"/>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一般固废</w:t>
                  </w:r>
                </w:p>
              </w:tc>
              <w:tc>
                <w:tcPr>
                  <w:tcW w:w="598" w:type="pct"/>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SW17</w:t>
                  </w:r>
                </w:p>
              </w:tc>
              <w:tc>
                <w:tcPr>
                  <w:tcW w:w="860" w:type="pct"/>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900-099-S17</w:t>
                  </w:r>
                </w:p>
              </w:tc>
              <w:tc>
                <w:tcPr>
                  <w:tcW w:w="69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0.5</w:t>
                  </w:r>
                </w:p>
              </w:tc>
              <w:tc>
                <w:tcPr>
                  <w:tcW w:w="14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按一般固废，定期由环卫部门拉运填埋处理。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8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生活垃圾</w:t>
                  </w:r>
                </w:p>
              </w:tc>
              <w:tc>
                <w:tcPr>
                  <w:tcW w:w="543"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生活垃圾</w:t>
                  </w:r>
                </w:p>
              </w:tc>
              <w:tc>
                <w:tcPr>
                  <w:tcW w:w="598"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SW61</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SW62</w:t>
                  </w:r>
                </w:p>
              </w:tc>
              <w:tc>
                <w:tcPr>
                  <w:tcW w:w="860"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900-001-S61</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900-001-S62</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900-002-S61</w:t>
                  </w:r>
                </w:p>
              </w:tc>
              <w:tc>
                <w:tcPr>
                  <w:tcW w:w="69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2.4</w:t>
                  </w:r>
                </w:p>
              </w:tc>
              <w:tc>
                <w:tcPr>
                  <w:tcW w:w="1415"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交环卫部门定时清运处理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8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废</w:t>
                  </w:r>
                  <w:r>
                    <w:rPr>
                      <w:rFonts w:hint="eastAsia" w:cs="Times New Roman" w:eastAsiaTheme="minorEastAsia"/>
                      <w:sz w:val="21"/>
                      <w:szCs w:val="21"/>
                      <w:lang w:val="en-US" w:eastAsia="zh-CN"/>
                    </w:rPr>
                    <w:t>机油</w:t>
                  </w:r>
                </w:p>
              </w:tc>
              <w:tc>
                <w:tcPr>
                  <w:tcW w:w="543"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危险废物</w:t>
                  </w:r>
                </w:p>
              </w:tc>
              <w:tc>
                <w:tcPr>
                  <w:tcW w:w="59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HW08</w:t>
                  </w:r>
                </w:p>
              </w:tc>
              <w:tc>
                <w:tcPr>
                  <w:tcW w:w="86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900-2</w:t>
                  </w:r>
                  <w:r>
                    <w:rPr>
                      <w:rFonts w:hint="eastAsia" w:ascii="Times New Roman" w:hAnsi="Times New Roman" w:cs="Times New Roman" w:eastAsiaTheme="minorEastAsia"/>
                      <w:sz w:val="21"/>
                      <w:szCs w:val="21"/>
                      <w:lang w:val="en-US" w:eastAsia="zh-CN"/>
                    </w:rPr>
                    <w:t>14</w:t>
                  </w:r>
                  <w:r>
                    <w:rPr>
                      <w:rFonts w:hint="default" w:ascii="Times New Roman" w:hAnsi="Times New Roman" w:cs="Times New Roman" w:eastAsiaTheme="minorEastAsia"/>
                      <w:sz w:val="21"/>
                      <w:szCs w:val="21"/>
                      <w:lang w:val="en-US" w:eastAsia="zh-CN"/>
                    </w:rPr>
                    <w:t>-08</w:t>
                  </w:r>
                </w:p>
              </w:tc>
              <w:tc>
                <w:tcPr>
                  <w:tcW w:w="69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0.05</w:t>
                  </w:r>
                </w:p>
              </w:tc>
              <w:tc>
                <w:tcPr>
                  <w:tcW w:w="1415"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highlight w:val="none"/>
                      <w:lang w:val="en-US" w:eastAsia="zh-CN"/>
                    </w:rPr>
                    <w:t>暂存于危废贮存点，定期交由有资质单位进行无害化处置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87"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废机油桶</w:t>
                  </w:r>
                </w:p>
              </w:tc>
              <w:tc>
                <w:tcPr>
                  <w:tcW w:w="54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598"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860"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900-249-08</w:t>
                  </w:r>
                </w:p>
              </w:tc>
              <w:tc>
                <w:tcPr>
                  <w:tcW w:w="694" w:type="pc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0.01</w:t>
                  </w:r>
                </w:p>
              </w:tc>
              <w:tc>
                <w:tcPr>
                  <w:tcW w:w="1415"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r>
          </w:tbl>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综上所述，本项目固体废物都得到有效的处置，对周围环境影响较小。</w:t>
            </w:r>
          </w:p>
          <w:p>
            <w:pPr>
              <w:keepNext w:val="0"/>
              <w:keepLines w:val="0"/>
              <w:pageBreakBefore w:val="0"/>
              <w:widowControl/>
              <w:kinsoku/>
              <w:wordWrap/>
              <w:overflowPunct/>
              <w:topLinePunct w:val="0"/>
              <w:autoSpaceDE/>
              <w:autoSpaceDN/>
              <w:bidi w:val="0"/>
              <w:adjustRightInd/>
              <w:snapToGrid/>
              <w:spacing w:line="520" w:lineRule="exact"/>
              <w:ind w:left="0" w:firstLine="482" w:firstLineChars="200"/>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4.2危险废物的环境管理要求及措施</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本项目设置</w:t>
            </w:r>
            <w:r>
              <w:rPr>
                <w:rFonts w:hint="eastAsia" w:eastAsia="宋体" w:cs="Times New Roman"/>
                <w:sz w:val="24"/>
                <w:szCs w:val="24"/>
                <w:lang w:val="en-US" w:eastAsia="zh-CN"/>
              </w:rPr>
              <w:t>20</w:t>
            </w:r>
            <w:r>
              <w:rPr>
                <w:rFonts w:hint="eastAsia" w:ascii="Times New Roman" w:hAnsi="Times New Roman" w:eastAsia="宋体" w:cs="Times New Roman"/>
                <w:sz w:val="24"/>
                <w:szCs w:val="24"/>
                <w:lang w:val="en-US" w:eastAsia="zh-CN"/>
              </w:rPr>
              <w:t>m</w:t>
            </w:r>
            <w:r>
              <w:rPr>
                <w:rFonts w:hint="eastAsia" w:ascii="Times New Roman" w:hAnsi="Times New Roman" w:eastAsia="宋体" w:cs="Times New Roman"/>
                <w:sz w:val="24"/>
                <w:szCs w:val="24"/>
                <w:vertAlign w:val="superscript"/>
                <w:lang w:val="en-US" w:eastAsia="zh-CN"/>
              </w:rPr>
              <w:t>2</w:t>
            </w:r>
            <w:r>
              <w:rPr>
                <w:rFonts w:hint="eastAsia" w:ascii="Times New Roman" w:hAnsi="Times New Roman" w:eastAsia="宋体" w:cs="Times New Roman"/>
                <w:sz w:val="24"/>
                <w:szCs w:val="24"/>
                <w:lang w:val="en-US" w:eastAsia="zh-CN"/>
              </w:rPr>
              <w:t>危废贮存点，危废贮存点需</w:t>
            </w:r>
            <w:r>
              <w:rPr>
                <w:rFonts w:hint="default" w:ascii="Times New Roman" w:hAnsi="Times New Roman" w:eastAsia="宋体" w:cs="Times New Roman"/>
                <w:sz w:val="24"/>
                <w:szCs w:val="24"/>
                <w:lang w:val="en-US" w:eastAsia="zh-CN"/>
              </w:rPr>
              <w:t>满足《危险废物贮存污染控制标准》（GB18597-2023）、《危险废物收集</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en-US" w:eastAsia="zh-CN"/>
              </w:rPr>
              <w:t>贮存 运输技术规范》（HJ2025-2012）中相关要求。</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（1）危险废物运行环境管理要求</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危险废物临时存放于指定的危废</w:t>
            </w:r>
            <w:r>
              <w:rPr>
                <w:rFonts w:hint="eastAsia" w:ascii="Times New Roman" w:hAnsi="Times New Roman" w:eastAsia="宋体" w:cs="Times New Roman"/>
                <w:sz w:val="24"/>
                <w:szCs w:val="24"/>
                <w:lang w:val="en-US" w:eastAsia="zh-CN"/>
              </w:rPr>
              <w:t>贮存点</w:t>
            </w:r>
            <w:r>
              <w:rPr>
                <w:rFonts w:hint="default" w:ascii="Times New Roman" w:hAnsi="Times New Roman" w:eastAsia="宋体" w:cs="Times New Roman"/>
                <w:sz w:val="24"/>
                <w:szCs w:val="24"/>
                <w:lang w:val="en-US" w:eastAsia="zh-CN"/>
              </w:rPr>
              <w:t>，不得露天堆放，危险废物</w:t>
            </w:r>
            <w:r>
              <w:rPr>
                <w:rFonts w:hint="eastAsia" w:cs="Times New Roman"/>
                <w:sz w:val="24"/>
                <w:szCs w:val="24"/>
                <w:lang w:val="en-US" w:eastAsia="zh-CN"/>
              </w:rPr>
              <w:t>贮存点</w:t>
            </w:r>
            <w:r>
              <w:rPr>
                <w:rFonts w:hint="default" w:ascii="Times New Roman" w:hAnsi="Times New Roman" w:eastAsia="宋体" w:cs="Times New Roman"/>
                <w:sz w:val="24"/>
                <w:szCs w:val="24"/>
                <w:lang w:val="en-US" w:eastAsia="zh-CN"/>
              </w:rPr>
              <w:t>地坪要符合防腐防渗要求，避免产生渗透、雨水淋溶</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大风吹扬等二次污染</w:t>
            </w:r>
            <w:r>
              <w:rPr>
                <w:rFonts w:hint="eastAsia" w:cs="Times New Roman"/>
                <w:sz w:val="24"/>
                <w:szCs w:val="24"/>
                <w:lang w:val="en-US" w:eastAsia="zh-CN"/>
              </w:rPr>
              <w:t>。</w:t>
            </w:r>
            <w:r>
              <w:rPr>
                <w:rFonts w:hint="default" w:ascii="Times New Roman" w:hAnsi="Times New Roman" w:eastAsia="宋体" w:cs="Times New Roman"/>
                <w:sz w:val="24"/>
                <w:szCs w:val="24"/>
                <w:lang w:val="en-US" w:eastAsia="zh-CN"/>
              </w:rPr>
              <w:t>危废</w:t>
            </w:r>
            <w:r>
              <w:rPr>
                <w:rFonts w:hint="eastAsia" w:ascii="Times New Roman" w:hAnsi="Times New Roman" w:eastAsia="宋体" w:cs="Times New Roman"/>
                <w:sz w:val="24"/>
                <w:szCs w:val="24"/>
                <w:lang w:val="en-US" w:eastAsia="zh-CN"/>
              </w:rPr>
              <w:t>贮存点</w:t>
            </w:r>
            <w:r>
              <w:rPr>
                <w:rFonts w:hint="default" w:ascii="Times New Roman" w:hAnsi="Times New Roman" w:eastAsia="宋体" w:cs="Times New Roman"/>
                <w:sz w:val="24"/>
                <w:szCs w:val="24"/>
                <w:lang w:val="en-US" w:eastAsia="zh-CN"/>
              </w:rPr>
              <w:t>的设置须满足《危险废物贮存污染控制标准》（GB18597-2023）、《危险废物收集</w:t>
            </w:r>
            <w:r>
              <w:rPr>
                <w:rFonts w:hint="eastAsia" w:cs="Times New Roman"/>
                <w:sz w:val="24"/>
                <w:szCs w:val="24"/>
                <w:lang w:val="en-US" w:eastAsia="zh-CN"/>
              </w:rPr>
              <w:t xml:space="preserve"> 贮存</w:t>
            </w:r>
            <w:r>
              <w:rPr>
                <w:rFonts w:hint="default" w:ascii="Times New Roman" w:hAnsi="Times New Roman" w:eastAsia="宋体" w:cs="Times New Roman"/>
                <w:sz w:val="24"/>
                <w:szCs w:val="24"/>
                <w:lang w:val="en-US" w:eastAsia="zh-CN"/>
              </w:rPr>
              <w:t xml:space="preserve"> 运输技术规范》（HJ2025-2012）中相关要求。</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①危险废物</w:t>
            </w:r>
            <w:r>
              <w:rPr>
                <w:rFonts w:hint="eastAsia" w:ascii="Times New Roman" w:hAnsi="Times New Roman" w:eastAsia="宋体" w:cs="Times New Roman"/>
                <w:sz w:val="24"/>
                <w:szCs w:val="24"/>
                <w:lang w:val="en-US" w:eastAsia="zh-CN"/>
              </w:rPr>
              <w:t>贮存点</w:t>
            </w:r>
            <w:r>
              <w:rPr>
                <w:rFonts w:hint="default" w:ascii="Times New Roman" w:hAnsi="Times New Roman" w:eastAsia="宋体" w:cs="Times New Roman"/>
                <w:sz w:val="24"/>
                <w:szCs w:val="24"/>
                <w:lang w:val="en-US" w:eastAsia="zh-CN"/>
              </w:rPr>
              <w:t>应按照《危险废物贮存污染控制标准》（GB18597-2023）的要求进行建设，贮存的危险废物直接接触地面的，还应进行基础防渗，防渗层为至少1m厚黏土层（渗透系数不大于10</w:t>
            </w:r>
            <w:r>
              <w:rPr>
                <w:rFonts w:hint="default" w:ascii="Times New Roman" w:hAnsi="Times New Roman" w:eastAsia="宋体" w:cs="Times New Roman"/>
                <w:sz w:val="24"/>
                <w:szCs w:val="24"/>
                <w:vertAlign w:val="superscript"/>
                <w:lang w:val="en-US" w:eastAsia="zh-CN"/>
              </w:rPr>
              <w:t>-7</w:t>
            </w:r>
            <w:r>
              <w:rPr>
                <w:rFonts w:hint="default" w:ascii="Times New Roman" w:hAnsi="Times New Roman" w:eastAsia="宋体" w:cs="Times New Roman"/>
                <w:sz w:val="24"/>
                <w:szCs w:val="24"/>
                <w:lang w:val="en-US" w:eastAsia="zh-CN"/>
              </w:rPr>
              <w:t>cm/s），或至少2mm厚高密度聚乙烯膜等人工防渗材料（渗透系数不大于10</w:t>
            </w:r>
            <w:r>
              <w:rPr>
                <w:rFonts w:hint="default" w:ascii="Times New Roman" w:hAnsi="Times New Roman" w:eastAsia="宋体" w:cs="Times New Roman"/>
                <w:sz w:val="24"/>
                <w:szCs w:val="24"/>
                <w:vertAlign w:val="superscript"/>
                <w:lang w:val="en-US" w:eastAsia="zh-CN"/>
              </w:rPr>
              <w:t>-10</w:t>
            </w:r>
            <w:r>
              <w:rPr>
                <w:rFonts w:hint="default" w:ascii="Times New Roman" w:hAnsi="Times New Roman" w:eastAsia="宋体" w:cs="Times New Roman"/>
                <w:sz w:val="24"/>
                <w:szCs w:val="24"/>
                <w:lang w:val="en-US" w:eastAsia="zh-CN"/>
              </w:rPr>
              <w:t>cm/s），或其他防渗性能等效的材料。</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②应定期检查危险废物的贮存状况，及时清理贮存设施地面，更换破损泄漏的危险废物贮存容器和包装物，保证堆存危险废物的防雨、防风、防扬尘等设施功能完好。</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③作业设备及车辆等结束作业离开贮存设施时，应对其残留的危险废物进行清理，清理的废物或清洗废水应收集处理。</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④贮存设施运行期间，应按国家有关标准和规定建立危险废物管理台账并保存。</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⑤贮存设施所有者或运营者应建立贮存设施环境管理制度、管理人员岗位职责制度、设施运行操作制度、人员岗位培训制度等。</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（2）危险废物转运要求</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根据《危险废物转移管理办法》（2021年11月30日生态环境部、公安部、交通运输部令第23号公布 自2022年1月1日起施行）可知，危险废物转移应当遵循就近原则，转移危险废物的，应当执行危险废物转移联单制度，并依照国家有关规定公开危险废物转移相关污染环境防治信息。运输危险废物的，应当遵守国家有关危险货物运输管理的规定。未经公安机关批准，危险废物运输车辆不得进入危险货物运输车辆限制通行的区域。</w:t>
            </w:r>
          </w:p>
          <w:p>
            <w:pPr>
              <w:pStyle w:val="71"/>
              <w:bidi w:val="0"/>
              <w:rPr>
                <w:rFonts w:hint="default"/>
                <w:lang w:val="en-US" w:eastAsia="zh-CN"/>
              </w:rPr>
            </w:pPr>
            <w:r>
              <w:rPr>
                <w:rFonts w:hint="default"/>
                <w:lang w:val="en-US" w:eastAsia="zh-CN"/>
              </w:rPr>
              <w:t>危险废物移出人、危险废物承运人、危险废物接受人（以下分别简称移出人、承运人和接受人）在危险废物转移过程中应当采取防扬散、防流失、防渗漏或者其他防止污染环境的措施，不得擅自倾倒、堆放、丢弃、遗撒危险废物，并对所造成的环境污染及生态破坏依法承担责任。</w:t>
            </w:r>
          </w:p>
          <w:p>
            <w:pPr>
              <w:pStyle w:val="71"/>
              <w:bidi w:val="0"/>
              <w:rPr>
                <w:rFonts w:hint="eastAsia" w:ascii="Times New Roman" w:hAnsi="Times New Roman" w:eastAsia="宋体" w:cs="Times New Roman"/>
                <w:sz w:val="24"/>
                <w:szCs w:val="24"/>
                <w:lang w:val="en-US" w:eastAsia="zh-CN"/>
              </w:rPr>
            </w:pPr>
            <w:r>
              <w:rPr>
                <w:rFonts w:hint="default"/>
                <w:lang w:val="en-US" w:eastAsia="zh-CN"/>
              </w:rPr>
              <w:t>移出人、承运人、</w:t>
            </w:r>
            <w:r>
              <w:rPr>
                <w:rFonts w:hint="eastAsia"/>
                <w:lang w:val="en-US" w:eastAsia="zh-CN"/>
              </w:rPr>
              <w:t>接收</w:t>
            </w:r>
            <w:r>
              <w:rPr>
                <w:rFonts w:hint="default"/>
                <w:lang w:val="en-US" w:eastAsia="zh-CN"/>
              </w:rPr>
              <w:t>人应当依法制定突发环境事件的防范措施和应急预案，并报有关部门备案；发生危险废物突发环境事件时，应当立即采取有效措施消除或者减轻对环境的污染危害，并按相关规定向事故发生地有关部门报告，接受调查处理。</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val="en-US" w:eastAsia="zh-CN"/>
              </w:rPr>
            </w:pPr>
            <w:r>
              <w:rPr>
                <w:rFonts w:hint="eastAsia" w:cs="Times New Roman"/>
                <w:b/>
                <w:bCs/>
                <w:sz w:val="24"/>
                <w:szCs w:val="24"/>
                <w:lang w:val="en-US" w:eastAsia="zh-CN"/>
              </w:rPr>
              <w:t>5、</w:t>
            </w:r>
            <w:r>
              <w:rPr>
                <w:rFonts w:hint="default" w:ascii="Times New Roman" w:hAnsi="Times New Roman" w:eastAsia="宋体" w:cs="Times New Roman"/>
                <w:b/>
                <w:bCs/>
                <w:sz w:val="24"/>
                <w:szCs w:val="24"/>
                <w:lang w:val="en-US" w:eastAsia="zh-CN"/>
              </w:rPr>
              <w:t>地下水、土壤环境影响分析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建设单位对沉淀池及危险废物</w:t>
            </w:r>
            <w:r>
              <w:rPr>
                <w:rFonts w:hint="eastAsia" w:cs="Times New Roman" w:eastAsiaTheme="minorEastAsia"/>
                <w:sz w:val="24"/>
                <w:szCs w:val="24"/>
                <w:highlight w:val="none"/>
                <w:lang w:val="en-US" w:eastAsia="zh-CN"/>
              </w:rPr>
              <w:t>贮存点</w:t>
            </w:r>
            <w:r>
              <w:rPr>
                <w:rFonts w:hint="default" w:ascii="Times New Roman" w:hAnsi="Times New Roman" w:cs="Times New Roman" w:eastAsiaTheme="minorEastAsia"/>
                <w:sz w:val="24"/>
                <w:szCs w:val="24"/>
                <w:highlight w:val="none"/>
                <w:lang w:val="en-US" w:eastAsia="zh-CN"/>
              </w:rPr>
              <w:t>均做防渗防漏处理后，其废污水、危险废物正常情况下不直接下渗入地面，可杜绝地下水、土壤的污染途径。</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cs="Times New Roman" w:eastAsiaTheme="minorEastAsia"/>
                <w:b/>
                <w:bCs/>
                <w:sz w:val="24"/>
                <w:szCs w:val="24"/>
                <w:highlight w:val="none"/>
                <w:lang w:val="en-US" w:eastAsia="zh-CN"/>
              </w:rPr>
            </w:pPr>
            <w:r>
              <w:rPr>
                <w:rFonts w:hint="eastAsia" w:cs="Times New Roman" w:eastAsiaTheme="minorEastAsia"/>
                <w:b/>
                <w:bCs/>
                <w:sz w:val="24"/>
                <w:szCs w:val="24"/>
                <w:highlight w:val="none"/>
                <w:lang w:val="en-US" w:eastAsia="zh-CN"/>
              </w:rPr>
              <w:t>5.1</w:t>
            </w:r>
            <w:r>
              <w:rPr>
                <w:rFonts w:hint="default" w:ascii="Times New Roman" w:hAnsi="Times New Roman" w:cs="Times New Roman" w:eastAsiaTheme="minorEastAsia"/>
                <w:b/>
                <w:bCs/>
                <w:sz w:val="24"/>
                <w:szCs w:val="24"/>
                <w:highlight w:val="none"/>
                <w:lang w:val="en-US" w:eastAsia="zh-CN"/>
              </w:rPr>
              <w:t>分区控制措施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根据厂址各生产、生活功能单元可能产生污染的</w:t>
            </w:r>
            <w:r>
              <w:rPr>
                <w:rFonts w:hint="eastAsia" w:cs="Times New Roman" w:eastAsiaTheme="minorEastAsia"/>
                <w:sz w:val="24"/>
                <w:szCs w:val="24"/>
                <w:highlight w:val="none"/>
                <w:lang w:val="en-US" w:eastAsia="zh-CN"/>
              </w:rPr>
              <w:t>区域</w:t>
            </w:r>
            <w:r>
              <w:rPr>
                <w:rFonts w:hint="default" w:ascii="Times New Roman" w:hAnsi="Times New Roman" w:cs="Times New Roman" w:eastAsiaTheme="minorEastAsia"/>
                <w:sz w:val="24"/>
                <w:szCs w:val="24"/>
                <w:highlight w:val="none"/>
                <w:lang w:val="en-US" w:eastAsia="zh-CN"/>
              </w:rPr>
              <w:t>，对厂区可能泄漏污染物的地面进行防渗处理，可有效防止污染物渗入地下，并</w:t>
            </w:r>
            <w:r>
              <w:rPr>
                <w:rFonts w:hint="eastAsia" w:cs="Times New Roman" w:eastAsiaTheme="minorEastAsia"/>
                <w:sz w:val="24"/>
                <w:szCs w:val="24"/>
                <w:highlight w:val="none"/>
                <w:lang w:val="en-US" w:eastAsia="zh-CN"/>
              </w:rPr>
              <w:t>及时</w:t>
            </w:r>
            <w:r>
              <w:rPr>
                <w:rFonts w:hint="default" w:ascii="Times New Roman" w:hAnsi="Times New Roman" w:cs="Times New Roman" w:eastAsiaTheme="minorEastAsia"/>
                <w:sz w:val="24"/>
                <w:szCs w:val="24"/>
                <w:highlight w:val="none"/>
                <w:lang w:val="en-US" w:eastAsia="zh-CN"/>
              </w:rPr>
              <w:t>将泄漏、渗漏的污染物</w:t>
            </w:r>
            <w:r>
              <w:rPr>
                <w:rFonts w:hint="eastAsia" w:cs="Times New Roman" w:eastAsiaTheme="minorEastAsia"/>
                <w:sz w:val="24"/>
                <w:szCs w:val="24"/>
                <w:highlight w:val="none"/>
                <w:lang w:val="en-US" w:eastAsia="zh-CN"/>
              </w:rPr>
              <w:t>收集</w:t>
            </w:r>
            <w:r>
              <w:rPr>
                <w:rFonts w:hint="default" w:ascii="Times New Roman" w:hAnsi="Times New Roman" w:cs="Times New Roman" w:eastAsiaTheme="minorEastAsia"/>
                <w:sz w:val="24"/>
                <w:szCs w:val="24"/>
                <w:highlight w:val="none"/>
                <w:lang w:val="en-US" w:eastAsia="zh-CN"/>
              </w:rPr>
              <w:t>集中处理。根据厂区各建筑物功能，将厂区划分为重点防渗区、一般防渗区和简单防渗区。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①重点防渗区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指对地下水有污染的物料或者污染物泄漏后，不能及时发现和处理的区域或者部位，主要包括危险废物</w:t>
            </w:r>
            <w:r>
              <w:rPr>
                <w:rFonts w:hint="eastAsia" w:cs="Times New Roman" w:eastAsiaTheme="minorEastAsia"/>
                <w:sz w:val="24"/>
                <w:szCs w:val="24"/>
                <w:highlight w:val="none"/>
                <w:lang w:val="en-US" w:eastAsia="zh-CN"/>
              </w:rPr>
              <w:t>贮存点</w:t>
            </w:r>
            <w:r>
              <w:rPr>
                <w:rFonts w:hint="default" w:ascii="Times New Roman" w:hAnsi="Times New Roman" w:cs="Times New Roman" w:eastAsiaTheme="minorEastAsia"/>
                <w:sz w:val="24"/>
                <w:szCs w:val="24"/>
                <w:highlight w:val="none"/>
                <w:lang w:val="en-US" w:eastAsia="zh-CN"/>
              </w:rPr>
              <w:t>。该区域防渗技术要求：防渗层为至少1m厚黏土层（渗透系数不大于10</w:t>
            </w:r>
            <w:r>
              <w:rPr>
                <w:rFonts w:hint="default" w:ascii="Times New Roman" w:hAnsi="Times New Roman" w:cs="Times New Roman" w:eastAsiaTheme="minorEastAsia"/>
                <w:sz w:val="24"/>
                <w:szCs w:val="24"/>
                <w:highlight w:val="none"/>
                <w:vertAlign w:val="superscript"/>
                <w:lang w:val="en-US" w:eastAsia="zh-CN"/>
              </w:rPr>
              <w:t>-7</w:t>
            </w:r>
            <w:r>
              <w:rPr>
                <w:rFonts w:hint="default" w:ascii="Times New Roman" w:hAnsi="Times New Roman" w:cs="Times New Roman" w:eastAsiaTheme="minorEastAsia"/>
                <w:sz w:val="24"/>
                <w:szCs w:val="24"/>
                <w:highlight w:val="none"/>
                <w:lang w:val="en-US" w:eastAsia="zh-CN"/>
              </w:rPr>
              <w:t>cm/s），或至少2mm厚高密度聚乙烯膜等人工防渗材料（渗透系数不大于10</w:t>
            </w:r>
            <w:r>
              <w:rPr>
                <w:rFonts w:hint="default" w:ascii="Times New Roman" w:hAnsi="Times New Roman" w:cs="Times New Roman" w:eastAsiaTheme="minorEastAsia"/>
                <w:sz w:val="24"/>
                <w:szCs w:val="24"/>
                <w:highlight w:val="none"/>
                <w:vertAlign w:val="superscript"/>
                <w:lang w:val="en-US" w:eastAsia="zh-CN"/>
              </w:rPr>
              <w:t>-10</w:t>
            </w:r>
            <w:r>
              <w:rPr>
                <w:rFonts w:hint="default" w:ascii="Times New Roman" w:hAnsi="Times New Roman" w:cs="Times New Roman" w:eastAsiaTheme="minorEastAsia"/>
                <w:sz w:val="24"/>
                <w:szCs w:val="24"/>
                <w:highlight w:val="none"/>
                <w:lang w:val="en-US" w:eastAsia="zh-CN"/>
              </w:rPr>
              <w:t>cm/s），或其他防渗性能等效的材料。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②一般防渗区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指对地下水环境有污染的物料或者污染物泄漏后，可及时发现和处理的区域或部位，主要为化粪池</w:t>
            </w:r>
            <w:r>
              <w:rPr>
                <w:rFonts w:hint="eastAsia" w:cs="Times New Roman" w:eastAsiaTheme="minorEastAsia"/>
                <w:sz w:val="24"/>
                <w:szCs w:val="24"/>
                <w:highlight w:val="none"/>
                <w:lang w:val="en-US" w:eastAsia="zh-CN"/>
              </w:rPr>
              <w:t>、沉淀池</w:t>
            </w:r>
            <w:r>
              <w:rPr>
                <w:rFonts w:hint="default" w:ascii="Times New Roman" w:hAnsi="Times New Roman" w:cs="Times New Roman" w:eastAsiaTheme="minorEastAsia"/>
                <w:sz w:val="24"/>
                <w:szCs w:val="24"/>
                <w:highlight w:val="none"/>
                <w:lang w:val="en-US" w:eastAsia="zh-CN"/>
              </w:rPr>
              <w:t>。该区域防渗技术要求：等效黏土防渗层Mb≥1.5m，K≤1×10</w:t>
            </w:r>
            <w:r>
              <w:rPr>
                <w:rFonts w:hint="default" w:ascii="Times New Roman" w:hAnsi="Times New Roman" w:cs="Times New Roman" w:eastAsiaTheme="minorEastAsia"/>
                <w:sz w:val="24"/>
                <w:szCs w:val="24"/>
                <w:highlight w:val="none"/>
                <w:vertAlign w:val="superscript"/>
                <w:lang w:val="en-US" w:eastAsia="zh-CN"/>
              </w:rPr>
              <w:t>-7</w:t>
            </w:r>
            <w:r>
              <w:rPr>
                <w:rFonts w:hint="default" w:ascii="Times New Roman" w:hAnsi="Times New Roman" w:cs="Times New Roman" w:eastAsiaTheme="minorEastAsia"/>
                <w:sz w:val="24"/>
                <w:szCs w:val="24"/>
                <w:highlight w:val="none"/>
                <w:lang w:val="en-US" w:eastAsia="zh-CN"/>
              </w:rPr>
              <w:t>cm/s或参照GB16889执行。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③简单防渗区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cs="Times New Roman" w:eastAsiaTheme="minorEastAsia"/>
                <w:sz w:val="24"/>
                <w:szCs w:val="24"/>
                <w:highlight w:val="none"/>
                <w:lang w:val="en-US" w:eastAsia="zh-CN"/>
              </w:rPr>
              <w:t>项目简单防渗区主要为堆场</w:t>
            </w:r>
            <w:r>
              <w:rPr>
                <w:rFonts w:hint="eastAsia" w:cs="Times New Roman" w:eastAsiaTheme="minorEastAsia"/>
                <w:sz w:val="24"/>
                <w:szCs w:val="24"/>
                <w:highlight w:val="none"/>
                <w:lang w:val="en-US" w:eastAsia="zh-CN"/>
              </w:rPr>
              <w:t>、办公室、生产车间等</w:t>
            </w:r>
            <w:r>
              <w:rPr>
                <w:rFonts w:hint="default" w:ascii="Times New Roman" w:hAnsi="Times New Roman" w:cs="Times New Roman" w:eastAsiaTheme="minorEastAsia"/>
                <w:sz w:val="24"/>
                <w:szCs w:val="24"/>
                <w:highlight w:val="none"/>
                <w:lang w:val="en-US" w:eastAsia="zh-CN"/>
              </w:rPr>
              <w:t>不会对地下水环境造成污染或可能产生轻微污染的，采取的防渗措施为地面混凝土浇筑底板，达到简单防渗要求。</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cs="Times New Roman" w:eastAsiaTheme="minorEastAsia"/>
                <w:b/>
                <w:bCs/>
                <w:sz w:val="24"/>
                <w:szCs w:val="24"/>
                <w:highlight w:val="none"/>
                <w:lang w:val="en-US" w:eastAsia="zh-CN"/>
              </w:rPr>
            </w:pPr>
            <w:r>
              <w:rPr>
                <w:rFonts w:hint="eastAsia" w:cs="Times New Roman" w:eastAsiaTheme="minorEastAsia"/>
                <w:b/>
                <w:bCs/>
                <w:sz w:val="24"/>
                <w:szCs w:val="24"/>
                <w:highlight w:val="none"/>
                <w:lang w:val="en-US" w:eastAsia="zh-CN"/>
              </w:rPr>
              <w:t>5.2</w:t>
            </w:r>
            <w:r>
              <w:rPr>
                <w:rFonts w:hint="default" w:ascii="Times New Roman" w:hAnsi="Times New Roman" w:cs="Times New Roman" w:eastAsiaTheme="minorEastAsia"/>
                <w:b/>
                <w:bCs/>
                <w:sz w:val="24"/>
                <w:szCs w:val="24"/>
                <w:highlight w:val="none"/>
                <w:lang w:val="en-US" w:eastAsia="zh-CN"/>
              </w:rPr>
              <w:t>跟踪监测要求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eastAsiaTheme="minorEastAsia"/>
                <w:sz w:val="24"/>
                <w:szCs w:val="24"/>
                <w:highlight w:val="none"/>
                <w:lang w:val="en-US" w:eastAsia="zh-CN"/>
              </w:rPr>
              <w:t>本项目在采取落实上述防控措施后，基本不会通过渗透的途径进入地下水、土壤环境。因此，本评价不提出地下水、土壤跟踪监测要求。</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val="en-US" w:eastAsia="zh-CN"/>
              </w:rPr>
            </w:pPr>
            <w:r>
              <w:rPr>
                <w:rFonts w:hint="eastAsia" w:cs="Times New Roman"/>
                <w:b/>
                <w:bCs/>
                <w:sz w:val="24"/>
                <w:szCs w:val="24"/>
                <w:lang w:val="en-US" w:eastAsia="zh-CN"/>
              </w:rPr>
              <w:t>6、</w:t>
            </w:r>
            <w:r>
              <w:rPr>
                <w:rFonts w:hint="default" w:ascii="Times New Roman" w:hAnsi="Times New Roman" w:eastAsia="宋体" w:cs="Times New Roman"/>
                <w:b/>
                <w:bCs/>
                <w:sz w:val="24"/>
                <w:szCs w:val="24"/>
                <w:lang w:val="en-US" w:eastAsia="zh-CN"/>
              </w:rPr>
              <w:t>环境风险分析</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cs="Times New Roman" w:eastAsiaTheme="minorEastAsia"/>
                <w:b/>
                <w:bCs/>
                <w:sz w:val="24"/>
                <w:szCs w:val="24"/>
                <w:highlight w:val="none"/>
                <w:lang w:val="en-US" w:eastAsia="zh-CN"/>
              </w:rPr>
            </w:pPr>
            <w:r>
              <w:rPr>
                <w:rFonts w:hint="eastAsia" w:cs="Times New Roman" w:eastAsiaTheme="minorEastAsia"/>
                <w:b/>
                <w:bCs/>
                <w:sz w:val="24"/>
                <w:szCs w:val="24"/>
                <w:highlight w:val="none"/>
                <w:lang w:val="en-US" w:eastAsia="zh-CN"/>
              </w:rPr>
              <w:t>6.1</w:t>
            </w:r>
            <w:r>
              <w:rPr>
                <w:rFonts w:hint="default" w:ascii="Times New Roman" w:hAnsi="Times New Roman" w:cs="Times New Roman" w:eastAsiaTheme="minorEastAsia"/>
                <w:b/>
                <w:bCs/>
                <w:sz w:val="24"/>
                <w:szCs w:val="24"/>
                <w:highlight w:val="none"/>
                <w:lang w:val="en-US" w:eastAsia="zh-CN"/>
              </w:rPr>
              <w:t>本项目风险物质识别范围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物质风险调查包括主要原材料及辅助材料、最终产品、</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三废</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污染物、火灾和爆炸等伴生/次生的危险物质。本项目涉及的风险物质主要为废</w:t>
            </w:r>
            <w:r>
              <w:rPr>
                <w:rFonts w:hint="eastAsia" w:eastAsia="宋体" w:cs="Times New Roman"/>
                <w:sz w:val="24"/>
                <w:szCs w:val="24"/>
                <w:lang w:val="en-US" w:eastAsia="zh-CN"/>
              </w:rPr>
              <w:t>机油</w:t>
            </w:r>
            <w:r>
              <w:rPr>
                <w:rFonts w:hint="default" w:ascii="Times New Roman" w:hAnsi="Times New Roman" w:eastAsia="宋体" w:cs="Times New Roman"/>
                <w:sz w:val="24"/>
                <w:szCs w:val="24"/>
                <w:lang w:val="en-US" w:eastAsia="zh-CN"/>
              </w:rPr>
              <w:t>，属于《建设项目环境风险评价技术导则》（HJ169-2018）中</w:t>
            </w:r>
            <w:r>
              <w:rPr>
                <w:rFonts w:hint="eastAsia" w:ascii="Times New Roman" w:hAnsi="Times New Roman" w:eastAsia="宋体" w:cs="Times New Roman"/>
                <w:sz w:val="24"/>
                <w:szCs w:val="24"/>
                <w:lang w:val="en-US" w:eastAsia="zh-CN"/>
              </w:rPr>
              <w:t>风险物质</w:t>
            </w:r>
            <w:r>
              <w:rPr>
                <w:rFonts w:hint="default" w:ascii="Times New Roman" w:hAnsi="Times New Roman" w:eastAsia="宋体" w:cs="Times New Roman"/>
                <w:sz w:val="24"/>
                <w:szCs w:val="24"/>
                <w:lang w:val="en-US" w:eastAsia="zh-CN"/>
              </w:rPr>
              <w:t>。危险化学品中重大危险源辨识调查结果见下表。</w:t>
            </w:r>
          </w:p>
          <w:p>
            <w:pPr>
              <w:pStyle w:val="5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default" w:ascii="Times New Roman" w:hAnsi="Times New Roman" w:eastAsia="宋体" w:cs="Times New Roman"/>
                <w:b/>
                <w:kern w:val="2"/>
                <w:sz w:val="24"/>
                <w:szCs w:val="24"/>
                <w:highlight w:val="none"/>
                <w:lang w:val="en-US" w:eastAsia="zh-CN"/>
              </w:rPr>
            </w:pPr>
            <w:r>
              <w:rPr>
                <w:rFonts w:hint="default" w:ascii="Times New Roman" w:hAnsi="Times New Roman" w:eastAsia="宋体" w:cs="Times New Roman"/>
                <w:b/>
                <w:kern w:val="2"/>
                <w:sz w:val="24"/>
                <w:szCs w:val="24"/>
                <w:highlight w:val="none"/>
                <w:lang w:val="en-US" w:eastAsia="zh-CN"/>
              </w:rPr>
              <w:t>表4-1</w:t>
            </w:r>
            <w:r>
              <w:rPr>
                <w:rFonts w:hint="eastAsia" w:ascii="Times New Roman" w:hAnsi="Times New Roman" w:eastAsia="宋体" w:cs="Times New Roman"/>
                <w:b/>
                <w:kern w:val="2"/>
                <w:sz w:val="24"/>
                <w:szCs w:val="24"/>
                <w:highlight w:val="none"/>
                <w:lang w:val="en-US" w:eastAsia="zh-CN"/>
              </w:rPr>
              <w:t>4</w:t>
            </w:r>
            <w:r>
              <w:rPr>
                <w:rFonts w:hint="default" w:ascii="Times New Roman" w:hAnsi="Times New Roman" w:eastAsia="宋体" w:cs="Times New Roman"/>
                <w:b/>
                <w:kern w:val="2"/>
                <w:sz w:val="24"/>
                <w:szCs w:val="24"/>
                <w:highlight w:val="none"/>
                <w:lang w:val="en-US" w:eastAsia="zh-CN"/>
              </w:rPr>
              <w:t xml:space="preserve">    风险源调查结果一览表</w:t>
            </w:r>
          </w:p>
          <w:tbl>
            <w:tblPr>
              <w:tblStyle w:val="23"/>
              <w:tblW w:w="49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995"/>
              <w:gridCol w:w="1127"/>
              <w:gridCol w:w="1253"/>
              <w:gridCol w:w="1027"/>
              <w:gridCol w:w="1278"/>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序号</w:t>
                  </w:r>
                </w:p>
              </w:tc>
              <w:tc>
                <w:tcPr>
                  <w:tcW w:w="99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名称</w:t>
                  </w:r>
                </w:p>
              </w:tc>
              <w:tc>
                <w:tcPr>
                  <w:tcW w:w="112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危险特性</w:t>
                  </w:r>
                </w:p>
              </w:tc>
              <w:tc>
                <w:tcPr>
                  <w:tcW w:w="12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储存能力（t/a）</w:t>
                  </w:r>
                </w:p>
              </w:tc>
              <w:tc>
                <w:tcPr>
                  <w:tcW w:w="102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临界量（t/a）</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Q值</w:t>
                  </w:r>
                </w:p>
              </w:tc>
              <w:tc>
                <w:tcPr>
                  <w:tcW w:w="12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w:t>
                  </w:r>
                </w:p>
              </w:tc>
              <w:tc>
                <w:tcPr>
                  <w:tcW w:w="99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废</w:t>
                  </w:r>
                  <w:r>
                    <w:rPr>
                      <w:rFonts w:hint="eastAsia" w:cs="Times New Roman" w:eastAsiaTheme="minorEastAsia"/>
                      <w:sz w:val="21"/>
                      <w:szCs w:val="21"/>
                      <w:lang w:val="en-US" w:eastAsia="zh-CN"/>
                    </w:rPr>
                    <w:t>机油</w:t>
                  </w:r>
                </w:p>
              </w:tc>
              <w:tc>
                <w:tcPr>
                  <w:tcW w:w="112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易燃</w:t>
                  </w:r>
                </w:p>
              </w:tc>
              <w:tc>
                <w:tcPr>
                  <w:tcW w:w="12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0.</w:t>
                  </w:r>
                  <w:r>
                    <w:rPr>
                      <w:rFonts w:hint="eastAsia" w:cs="Times New Roman" w:eastAsiaTheme="minorEastAsia"/>
                      <w:sz w:val="21"/>
                      <w:szCs w:val="21"/>
                      <w:lang w:val="en-US" w:eastAsia="zh-CN"/>
                    </w:rPr>
                    <w:t>05</w:t>
                  </w:r>
                </w:p>
              </w:tc>
              <w:tc>
                <w:tcPr>
                  <w:tcW w:w="102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2500</w:t>
                  </w:r>
                </w:p>
              </w:tc>
              <w:tc>
                <w:tcPr>
                  <w:tcW w:w="127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2</w:t>
                  </w:r>
                  <w:r>
                    <w:rPr>
                      <w:rFonts w:hint="eastAsia" w:ascii="Times New Roman" w:hAnsi="Times New Roman" w:cs="Times New Roman" w:eastAsiaTheme="minorEastAsia"/>
                      <w:sz w:val="21"/>
                      <w:szCs w:val="21"/>
                      <w:lang w:val="en-US" w:eastAsia="zh-CN"/>
                    </w:rPr>
                    <w:t>×10</w:t>
                  </w:r>
                  <w:r>
                    <w:rPr>
                      <w:rFonts w:hint="eastAsia" w:ascii="Times New Roman" w:hAnsi="Times New Roman" w:cs="Times New Roman" w:eastAsiaTheme="minorEastAsia"/>
                      <w:sz w:val="21"/>
                      <w:szCs w:val="21"/>
                      <w:vertAlign w:val="superscript"/>
                      <w:lang w:val="en-US" w:eastAsia="zh-CN"/>
                    </w:rPr>
                    <w:t>-5</w:t>
                  </w:r>
                </w:p>
              </w:tc>
              <w:tc>
                <w:tcPr>
                  <w:tcW w:w="1251"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危险废物贮存点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78" w:type="dxa"/>
                  <w:gridSpan w:val="5"/>
                  <w:noWrap w:val="0"/>
                  <w:vAlign w:val="center"/>
                </w:tcPr>
                <w:p>
                  <w:pPr>
                    <w:pStyle w:val="70"/>
                    <w:bidi w:val="0"/>
                    <w:rPr>
                      <w:rFonts w:hint="default"/>
                      <w:lang w:val="en-US" w:eastAsia="zh-CN"/>
                    </w:rPr>
                  </w:pPr>
                  <w:r>
                    <w:rPr>
                      <w:rFonts w:hint="eastAsia"/>
                      <w:lang w:val="en-US" w:eastAsia="zh-CN"/>
                    </w:rPr>
                    <w:t>Q值合计</w:t>
                  </w:r>
                </w:p>
              </w:tc>
              <w:tc>
                <w:tcPr>
                  <w:tcW w:w="2526" w:type="dxa"/>
                  <w:gridSpan w:val="2"/>
                  <w:noWrap w:val="0"/>
                  <w:vAlign w:val="center"/>
                </w:tcPr>
                <w:p>
                  <w:pPr>
                    <w:pStyle w:val="70"/>
                    <w:bidi w:val="0"/>
                    <w:rPr>
                      <w:rFonts w:hint="default"/>
                      <w:lang w:val="en-US" w:eastAsia="zh-CN"/>
                    </w:rPr>
                  </w:pPr>
                  <w:r>
                    <w:rPr>
                      <w:rFonts w:hint="eastAsia"/>
                      <w:lang w:val="en-US" w:eastAsia="zh-CN"/>
                    </w:rPr>
                    <w:t>2</w:t>
                  </w:r>
                  <w:r>
                    <w:rPr>
                      <w:rFonts w:hint="default"/>
                      <w:lang w:val="en-US" w:eastAsia="zh-CN"/>
                    </w:rPr>
                    <w:t>×10</w:t>
                  </w:r>
                  <w:r>
                    <w:rPr>
                      <w:rFonts w:hint="default"/>
                      <w:vertAlign w:val="superscript"/>
                      <w:lang w:val="en-US" w:eastAsia="zh-CN"/>
                    </w:rPr>
                    <w:t>-5</w:t>
                  </w:r>
                </w:p>
              </w:tc>
            </w:tr>
          </w:tbl>
          <w:p>
            <w:pPr>
              <w:pStyle w:val="12"/>
              <w:bidi w:val="0"/>
              <w:rPr>
                <w:rFonts w:hint="default"/>
                <w:lang w:val="en-US" w:eastAsia="zh-CN"/>
              </w:rPr>
            </w:pPr>
            <w:r>
              <w:rPr>
                <w:rFonts w:hint="default"/>
                <w:lang w:val="en-US" w:eastAsia="zh-CN"/>
              </w:rPr>
              <w:t>由上表可知，危险物质的数量与临界量比值Q＜1，环境风险潜势为I。</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cs="Times New Roman" w:eastAsiaTheme="minorEastAsia"/>
                <w:b/>
                <w:bCs/>
                <w:sz w:val="24"/>
                <w:szCs w:val="24"/>
                <w:highlight w:val="none"/>
                <w:lang w:val="en-US" w:eastAsia="zh-CN"/>
              </w:rPr>
            </w:pPr>
            <w:r>
              <w:rPr>
                <w:rFonts w:hint="eastAsia" w:cs="Times New Roman" w:eastAsiaTheme="minorEastAsia"/>
                <w:b/>
                <w:bCs/>
                <w:sz w:val="24"/>
                <w:szCs w:val="24"/>
                <w:highlight w:val="none"/>
                <w:lang w:val="en-US" w:eastAsia="zh-CN"/>
              </w:rPr>
              <w:t>6</w:t>
            </w:r>
            <w:r>
              <w:rPr>
                <w:rFonts w:hint="default" w:cs="Times New Roman" w:eastAsiaTheme="minorEastAsia"/>
                <w:b/>
                <w:bCs/>
                <w:sz w:val="24"/>
                <w:szCs w:val="24"/>
                <w:highlight w:val="none"/>
                <w:lang w:val="en-US" w:eastAsia="zh-CN"/>
              </w:rPr>
              <w:t>.2环境风险源影响途径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油品泄漏事故：项目生产过程中涉及的危险物质有废</w:t>
            </w:r>
            <w:r>
              <w:rPr>
                <w:rFonts w:hint="eastAsia" w:eastAsia="宋体" w:cs="Times New Roman"/>
                <w:sz w:val="24"/>
                <w:szCs w:val="24"/>
                <w:lang w:val="en-US" w:eastAsia="zh-CN"/>
              </w:rPr>
              <w:t>机油</w:t>
            </w:r>
            <w:r>
              <w:rPr>
                <w:rFonts w:hint="default" w:ascii="Times New Roman" w:hAnsi="Times New Roman" w:eastAsia="宋体" w:cs="Times New Roman"/>
                <w:sz w:val="24"/>
                <w:szCs w:val="24"/>
                <w:lang w:val="en-US" w:eastAsia="zh-CN"/>
              </w:rPr>
              <w:t>。当储存设施发生破损造成泄漏，可能会污染周围土壤和地下水，污染的土壤不仅会造成植物的死亡，而且土壤层吸附的油品还会随着下渗补充到地下水。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环保设施危险性：本项目配套废气系统出现故障而导致不能正常运作，导致</w:t>
            </w:r>
            <w:r>
              <w:rPr>
                <w:rFonts w:hint="eastAsia" w:ascii="Times New Roman" w:hAnsi="Times New Roman" w:eastAsia="宋体" w:cs="Times New Roman"/>
                <w:sz w:val="24"/>
                <w:szCs w:val="24"/>
                <w:lang w:val="en-US" w:eastAsia="zh-CN"/>
              </w:rPr>
              <w:t>颗粒物</w:t>
            </w:r>
            <w:r>
              <w:rPr>
                <w:rFonts w:hint="default" w:ascii="Times New Roman" w:hAnsi="Times New Roman" w:eastAsia="宋体" w:cs="Times New Roman"/>
                <w:sz w:val="24"/>
                <w:szCs w:val="24"/>
                <w:lang w:val="en-US" w:eastAsia="zh-CN"/>
              </w:rPr>
              <w:t>未经处理而直接向大气排放。</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危废贮存点管理风险：危险废物贮存点防渗层破损或破裂，且在收集和转运过程中若管理不当，容易导致危险废物渗漏和洒落至地面，并可能进入地表及地下水体，对土壤和水环境造成污染。</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火灾爆炸事故引发的伴生/次生污染：废</w:t>
            </w:r>
            <w:r>
              <w:rPr>
                <w:rFonts w:hint="eastAsia" w:eastAsia="宋体" w:cs="Times New Roman"/>
                <w:sz w:val="24"/>
                <w:szCs w:val="24"/>
                <w:lang w:val="en-US" w:eastAsia="zh-CN"/>
              </w:rPr>
              <w:t>机油</w:t>
            </w:r>
            <w:r>
              <w:rPr>
                <w:rFonts w:hint="default" w:ascii="Times New Roman" w:hAnsi="Times New Roman" w:eastAsia="宋体" w:cs="Times New Roman"/>
                <w:sz w:val="24"/>
                <w:szCs w:val="24"/>
                <w:lang w:val="en-US" w:eastAsia="zh-CN"/>
              </w:rPr>
              <w:t>具有易燃易爆的危险特性，发生火灾爆炸事故后随着燃烧氧化，会产生伴生/次生产物，主要为不完全燃烧产生的CO和烟尘等污染物会对大气造成较大影响，从而造成二次污染。</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val="en-US" w:eastAsia="zh-CN"/>
              </w:rPr>
            </w:pPr>
            <w:r>
              <w:rPr>
                <w:rFonts w:hint="eastAsia" w:eastAsia="宋体" w:cs="Times New Roman"/>
                <w:b/>
                <w:bCs/>
                <w:sz w:val="24"/>
                <w:szCs w:val="24"/>
                <w:lang w:val="en-US" w:eastAsia="zh-CN"/>
              </w:rPr>
              <w:t>6.</w:t>
            </w:r>
            <w:r>
              <w:rPr>
                <w:rFonts w:hint="default" w:ascii="Times New Roman" w:hAnsi="Times New Roman" w:eastAsia="宋体" w:cs="Times New Roman"/>
                <w:b/>
                <w:bCs/>
                <w:sz w:val="24"/>
                <w:szCs w:val="24"/>
                <w:lang w:val="en-US" w:eastAsia="zh-CN"/>
              </w:rPr>
              <w:t>3环境风险防范措施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为减少油类物质泄漏等引起的火灾事故，提出以下环境风险防范措施及应急要求：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①成立专门的责任机构，保证事故发生时组织相关力量及时控制事故的危害，在第一时间，有序有效地控制事故污染，把事故危害</w:t>
            </w:r>
            <w:r>
              <w:rPr>
                <w:rFonts w:hint="eastAsia" w:ascii="Times New Roman" w:hAnsi="Times New Roman" w:eastAsia="宋体" w:cs="Times New Roman"/>
                <w:sz w:val="24"/>
                <w:szCs w:val="24"/>
                <w:lang w:val="en-US" w:eastAsia="zh-CN"/>
              </w:rPr>
              <w:t>减少</w:t>
            </w:r>
            <w:r>
              <w:rPr>
                <w:rFonts w:hint="default" w:ascii="Times New Roman" w:hAnsi="Times New Roman" w:eastAsia="宋体" w:cs="Times New Roman"/>
                <w:sz w:val="24"/>
                <w:szCs w:val="24"/>
                <w:lang w:val="en-US" w:eastAsia="zh-CN"/>
              </w:rPr>
              <w:t>到最小。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②健全各项制度，强化安全管理意识，加强用电设备及线路的检修和管理。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③严格按照消防安全部门要求，配置消防设施。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④油类物质等易燃易爆物品存储远离火源。在采取以上措施后，可有效降低风险发生的概率。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为减少项目废气处理设施非正常工况导致颗粒物超标排放对周边环境的影响，提出以下环境风险防范措施及应急要求：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（1）制定环保设备运行维护制度，并派专人进行管理，定期对环保设备进行点检维护。</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（2）定期对风机的运行情况进行检查记录，一旦发现运行异常，立即对相应的生产设备进行停产，并对风机设备进行维修。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（3）对</w:t>
            </w:r>
            <w:r>
              <w:rPr>
                <w:rFonts w:hint="eastAsia" w:ascii="Times New Roman" w:hAnsi="Times New Roman" w:eastAsia="宋体" w:cs="Times New Roman"/>
                <w:sz w:val="24"/>
                <w:szCs w:val="24"/>
                <w:lang w:val="en-US" w:eastAsia="zh-CN"/>
              </w:rPr>
              <w:t>布袋除尘器</w:t>
            </w:r>
            <w:r>
              <w:rPr>
                <w:rFonts w:hint="default" w:ascii="Times New Roman" w:hAnsi="Times New Roman" w:eastAsia="宋体" w:cs="Times New Roman"/>
                <w:sz w:val="24"/>
                <w:szCs w:val="24"/>
                <w:lang w:val="en-US" w:eastAsia="zh-CN"/>
              </w:rPr>
              <w:t>定期检查，确保废气处理效率，若发现异常应立即停产进行维修。</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cs="Times New Roman"/>
                <w:b/>
                <w:bCs/>
                <w:sz w:val="24"/>
                <w:szCs w:val="24"/>
                <w:lang w:val="en-US" w:eastAsia="zh-CN"/>
              </w:rPr>
            </w:pPr>
            <w:r>
              <w:rPr>
                <w:rFonts w:hint="eastAsia" w:cs="Times New Roman"/>
                <w:b/>
                <w:bCs/>
                <w:sz w:val="24"/>
                <w:szCs w:val="24"/>
                <w:lang w:val="en-US" w:eastAsia="zh-CN"/>
              </w:rPr>
              <w:t>7、项目环保投资估算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本项目总投资</w:t>
            </w:r>
            <w:r>
              <w:rPr>
                <w:rFonts w:hint="eastAsia" w:cs="Times New Roman"/>
                <w:sz w:val="24"/>
                <w:szCs w:val="24"/>
                <w:lang w:val="en-US" w:eastAsia="zh-CN"/>
              </w:rPr>
              <w:t>1202.01</w:t>
            </w:r>
            <w:r>
              <w:rPr>
                <w:rFonts w:hint="eastAsia" w:ascii="Times New Roman" w:hAnsi="Times New Roman" w:eastAsia="宋体" w:cs="Times New Roman"/>
                <w:sz w:val="24"/>
                <w:szCs w:val="24"/>
                <w:lang w:val="en-US" w:eastAsia="zh-CN"/>
              </w:rPr>
              <w:t>万元，其中环保投资33万元，占投资的2.</w:t>
            </w:r>
            <w:r>
              <w:rPr>
                <w:rFonts w:hint="eastAsia" w:cs="Times New Roman"/>
                <w:sz w:val="24"/>
                <w:szCs w:val="24"/>
                <w:lang w:val="en-US" w:eastAsia="zh-CN"/>
              </w:rPr>
              <w:t>745</w:t>
            </w:r>
            <w:r>
              <w:rPr>
                <w:rFonts w:hint="eastAsia" w:ascii="Times New Roman" w:hAnsi="Times New Roman" w:eastAsia="宋体" w:cs="Times New Roman"/>
                <w:sz w:val="24"/>
                <w:szCs w:val="24"/>
                <w:lang w:val="en-US" w:eastAsia="zh-CN"/>
              </w:rPr>
              <w:t>%，具体情况见表4-15。</w:t>
            </w:r>
          </w:p>
          <w:p>
            <w:pPr>
              <w:pStyle w:val="53"/>
              <w:keepNext w:val="0"/>
              <w:keepLines w:val="0"/>
              <w:pageBreakBefore w:val="0"/>
              <w:widowControl w:val="0"/>
              <w:kinsoku/>
              <w:wordWrap/>
              <w:overflowPunct/>
              <w:topLinePunct w:val="0"/>
              <w:autoSpaceDE/>
              <w:autoSpaceDN/>
              <w:bidi w:val="0"/>
              <w:adjustRightInd/>
              <w:snapToGrid/>
              <w:spacing w:line="300" w:lineRule="exact"/>
              <w:ind w:left="0" w:firstLine="0" w:firstLineChars="0"/>
              <w:jc w:val="center"/>
              <w:textAlignment w:val="auto"/>
              <w:rPr>
                <w:rFonts w:hint="eastAsia" w:ascii="Times New Roman" w:hAnsi="Times New Roman" w:cs="Times New Roman"/>
                <w:b/>
                <w:kern w:val="2"/>
                <w:sz w:val="24"/>
                <w:szCs w:val="24"/>
                <w:highlight w:val="none"/>
                <w:lang w:val="en-US" w:eastAsia="zh-CN"/>
              </w:rPr>
            </w:pPr>
            <w:r>
              <w:rPr>
                <w:rFonts w:hint="eastAsia" w:ascii="Times New Roman" w:hAnsi="Times New Roman" w:cs="Times New Roman"/>
                <w:b/>
                <w:kern w:val="2"/>
                <w:sz w:val="24"/>
                <w:szCs w:val="24"/>
                <w:highlight w:val="none"/>
                <w:lang w:val="en-US" w:eastAsia="zh-CN"/>
              </w:rPr>
              <w:t>表4-15  环保设施（措施）及投资估算一览表</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45"/>
              <w:gridCol w:w="573"/>
              <w:gridCol w:w="1255"/>
              <w:gridCol w:w="4350"/>
              <w:gridCol w:w="97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45"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时段</w:t>
                  </w:r>
                </w:p>
              </w:tc>
              <w:tc>
                <w:tcPr>
                  <w:tcW w:w="182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项目</w:t>
                  </w:r>
                </w:p>
              </w:tc>
              <w:tc>
                <w:tcPr>
                  <w:tcW w:w="43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环保措施</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投资（万元）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1" w:hRule="atLeast"/>
                <w:jc w:val="center"/>
              </w:trPr>
              <w:tc>
                <w:tcPr>
                  <w:tcW w:w="64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施工期</w:t>
                  </w:r>
                </w:p>
              </w:tc>
              <w:tc>
                <w:tcPr>
                  <w:tcW w:w="182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扬尘治理</w:t>
                  </w:r>
                </w:p>
              </w:tc>
              <w:tc>
                <w:tcPr>
                  <w:tcW w:w="43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lang w:val="en-US" w:eastAsia="zh-CN"/>
                    </w:rPr>
                    <w:t>定期对路面和施工场区洒水、材料运输中要采取遮盖措施</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1"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182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废水</w:t>
                  </w:r>
                </w:p>
              </w:tc>
              <w:tc>
                <w:tcPr>
                  <w:tcW w:w="43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lang w:val="en-US" w:eastAsia="zh-CN"/>
                    </w:rPr>
                    <w:t>设置临时沉淀池，经过沉淀池沉淀后，用于洒水抑尘</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0.5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1"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182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噪声治理</w:t>
                  </w:r>
                </w:p>
              </w:tc>
              <w:tc>
                <w:tcPr>
                  <w:tcW w:w="43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围墙遮挡，施工设备降噪</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1.5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1"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182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固废</w:t>
                  </w:r>
                </w:p>
              </w:tc>
              <w:tc>
                <w:tcPr>
                  <w:tcW w:w="43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szCs w:val="21"/>
                      <w:highlight w:val="none"/>
                      <w:lang w:val="en-US" w:eastAsia="zh-CN"/>
                    </w:rPr>
                    <w:t>建筑垃圾及时清运</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cs="Times New Roman" w:eastAsiaTheme="minorEastAsia"/>
                      <w:sz w:val="21"/>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0" w:hRule="atLeast"/>
                <w:jc w:val="center"/>
              </w:trPr>
              <w:tc>
                <w:tcPr>
                  <w:tcW w:w="645"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运营期</w:t>
                  </w:r>
                </w:p>
              </w:tc>
              <w:tc>
                <w:tcPr>
                  <w:tcW w:w="573"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废气治理</w:t>
                  </w:r>
                </w:p>
              </w:tc>
              <w:tc>
                <w:tcPr>
                  <w:tcW w:w="125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堆场扬尘</w:t>
                  </w:r>
                </w:p>
              </w:tc>
              <w:tc>
                <w:tcPr>
                  <w:tcW w:w="43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原料堆场采用密闭式结构，堆场内进行洒水抑尘；合理调度生产，即产即销，最大限度降低堆场物料堆放量</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5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125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装卸粉尘</w:t>
                  </w:r>
                </w:p>
              </w:tc>
              <w:tc>
                <w:tcPr>
                  <w:tcW w:w="43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原料及成品做到规范堆放，文明装卸；原料及成品装卸前后进行洒水抑尘；尽量降低物料落差，装车完毕后及时用篷布遮盖</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5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125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粉料筒仓</w:t>
                  </w:r>
                </w:p>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进料粉尘</w:t>
                  </w:r>
                </w:p>
              </w:tc>
              <w:tc>
                <w:tcPr>
                  <w:tcW w:w="43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封闭式筒仓，设置5套</w:t>
                  </w:r>
                  <w:r>
                    <w:rPr>
                      <w:rFonts w:hint="default" w:ascii="Times New Roman" w:hAnsi="Times New Roman" w:cs="Times New Roman" w:eastAsiaTheme="minorEastAsia"/>
                      <w:sz w:val="21"/>
                      <w:szCs w:val="21"/>
                      <w:lang w:val="en-US" w:eastAsia="zh-CN"/>
                    </w:rPr>
                    <w:t>脉冲布袋式</w:t>
                  </w:r>
                  <w:r>
                    <w:rPr>
                      <w:rFonts w:hint="eastAsia" w:ascii="Times New Roman" w:hAnsi="Times New Roman" w:cs="Times New Roman" w:eastAsiaTheme="minorEastAsia"/>
                      <w:sz w:val="21"/>
                      <w:szCs w:val="21"/>
                      <w:lang w:val="en-US" w:eastAsia="zh-CN"/>
                    </w:rPr>
                    <w:t>除</w:t>
                  </w:r>
                  <w:r>
                    <w:rPr>
                      <w:rFonts w:hint="default" w:ascii="Times New Roman" w:hAnsi="Times New Roman" w:cs="Times New Roman" w:eastAsiaTheme="minorEastAsia"/>
                      <w:sz w:val="21"/>
                      <w:szCs w:val="21"/>
                      <w:lang w:val="en-US" w:eastAsia="zh-CN"/>
                    </w:rPr>
                    <w:t>尘器</w:t>
                  </w:r>
                  <w:r>
                    <w:rPr>
                      <w:rFonts w:hint="eastAsia" w:ascii="Times New Roman" w:hAnsi="Times New Roman" w:cs="Times New Roman" w:eastAsiaTheme="minorEastAsia"/>
                      <w:sz w:val="21"/>
                      <w:szCs w:val="21"/>
                      <w:lang w:val="en-US" w:eastAsia="zh-CN"/>
                    </w:rPr>
                    <w:t>，处理达标后经过仓顶排放口排放</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5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p>
              </w:tc>
              <w:tc>
                <w:tcPr>
                  <w:tcW w:w="125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搅拌机粉尘</w:t>
                  </w:r>
                </w:p>
              </w:tc>
              <w:tc>
                <w:tcPr>
                  <w:tcW w:w="43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采用封闭式搅拌楼，配置一套反吹风袋式</w:t>
                  </w:r>
                  <w:r>
                    <w:rPr>
                      <w:rFonts w:hint="default" w:ascii="Times New Roman" w:hAnsi="Times New Roman" w:cs="Times New Roman" w:eastAsiaTheme="minorEastAsia"/>
                      <w:sz w:val="21"/>
                      <w:szCs w:val="21"/>
                      <w:lang w:val="en-US" w:eastAsia="zh-CN"/>
                    </w:rPr>
                    <w:t>除尘器</w:t>
                  </w:r>
                  <w:r>
                    <w:rPr>
                      <w:rFonts w:hint="eastAsia" w:ascii="Times New Roman" w:hAnsi="Times New Roman" w:cs="Times New Roman" w:eastAsiaTheme="minorEastAsia"/>
                      <w:sz w:val="21"/>
                      <w:szCs w:val="21"/>
                      <w:lang w:val="en-US" w:eastAsia="zh-CN"/>
                    </w:rPr>
                    <w:t>，运行过程中密闭，收集的粉尘回到搅拌机中，利用系统内的循环烟气反吹清灰，不设排气筒</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0"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5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噪声治理</w:t>
                  </w:r>
                </w:p>
              </w:tc>
              <w:tc>
                <w:tcPr>
                  <w:tcW w:w="125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设备噪声</w:t>
                  </w:r>
                </w:p>
              </w:tc>
              <w:tc>
                <w:tcPr>
                  <w:tcW w:w="43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合理布置产噪设备，优化设备选型，设置基础减振，加强设备的检修和维护，</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57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废水治理</w:t>
                  </w:r>
                </w:p>
              </w:tc>
              <w:tc>
                <w:tcPr>
                  <w:tcW w:w="125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生活污水</w:t>
                  </w:r>
                </w:p>
              </w:tc>
              <w:tc>
                <w:tcPr>
                  <w:tcW w:w="43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食堂污水经油水分离器处理后排入化粪池，其余生活污水直接排入化粪池，经化粪池收集后定期拉运至库尔勒南市区污水处理厂</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57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125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生产废水</w:t>
                  </w:r>
                </w:p>
              </w:tc>
              <w:tc>
                <w:tcPr>
                  <w:tcW w:w="43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搅拌机、罐车清洗废水排入三级沉淀池，</w:t>
                  </w:r>
                  <w:r>
                    <w:rPr>
                      <w:rFonts w:hint="default" w:ascii="Times New Roman" w:hAnsi="Times New Roman" w:cs="Times New Roman" w:eastAsiaTheme="minorEastAsia"/>
                      <w:sz w:val="21"/>
                      <w:szCs w:val="21"/>
                      <w:lang w:val="en-US" w:eastAsia="zh-CN"/>
                    </w:rPr>
                    <w:t>经沉淀池沉淀后</w:t>
                  </w:r>
                  <w:r>
                    <w:rPr>
                      <w:rFonts w:hint="eastAsia" w:ascii="Times New Roman" w:hAnsi="Times New Roman" w:cs="Times New Roman" w:eastAsiaTheme="minorEastAsia"/>
                      <w:sz w:val="21"/>
                      <w:szCs w:val="21"/>
                      <w:lang w:val="en-US" w:eastAsia="zh-CN"/>
                    </w:rPr>
                    <w:t>回</w:t>
                  </w:r>
                  <w:r>
                    <w:rPr>
                      <w:rFonts w:hint="default" w:ascii="Times New Roman" w:hAnsi="Times New Roman" w:cs="Times New Roman" w:eastAsiaTheme="minorEastAsia"/>
                      <w:sz w:val="21"/>
                      <w:szCs w:val="21"/>
                      <w:lang w:val="en-US" w:eastAsia="zh-CN"/>
                    </w:rPr>
                    <w:t>用于生产，不外排；</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57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固废治理</w:t>
                  </w:r>
                </w:p>
              </w:tc>
              <w:tc>
                <w:tcPr>
                  <w:tcW w:w="125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生活垃圾</w:t>
                  </w:r>
                  <w:r>
                    <w:rPr>
                      <w:rFonts w:hint="eastAsia" w:ascii="Times New Roman" w:hAnsi="Times New Roman" w:cs="Times New Roman" w:eastAsiaTheme="minorEastAsia"/>
                      <w:sz w:val="21"/>
                      <w:szCs w:val="21"/>
                      <w:lang w:val="en-US" w:eastAsia="zh-CN"/>
                    </w:rPr>
                    <w:t>、一般固废、危险废物</w:t>
                  </w:r>
                </w:p>
              </w:tc>
              <w:tc>
                <w:tcPr>
                  <w:tcW w:w="435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eastAsia"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垃圾</w:t>
                  </w:r>
                  <w:r>
                    <w:rPr>
                      <w:rFonts w:hint="eastAsia" w:ascii="Times New Roman" w:hAnsi="Times New Roman" w:cs="Times New Roman" w:eastAsiaTheme="minorEastAsia"/>
                      <w:sz w:val="21"/>
                      <w:szCs w:val="21"/>
                      <w:lang w:val="en-US" w:eastAsia="zh-CN"/>
                    </w:rPr>
                    <w:t>箱、生活垃圾</w:t>
                  </w:r>
                  <w:r>
                    <w:rPr>
                      <w:rFonts w:hint="default" w:ascii="Times New Roman" w:hAnsi="Times New Roman" w:cs="Times New Roman" w:eastAsiaTheme="minorEastAsia"/>
                      <w:sz w:val="21"/>
                      <w:szCs w:val="21"/>
                      <w:lang w:val="en-US" w:eastAsia="zh-CN"/>
                    </w:rPr>
                    <w:t>收集装置</w:t>
                  </w:r>
                  <w:r>
                    <w:rPr>
                      <w:rFonts w:hint="eastAsia" w:ascii="Times New Roman" w:hAnsi="Times New Roman" w:cs="Times New Roman" w:eastAsiaTheme="minorEastAsia"/>
                      <w:sz w:val="21"/>
                      <w:szCs w:val="21"/>
                      <w:lang w:val="en-US" w:eastAsia="zh-CN"/>
                    </w:rPr>
                    <w:t>、危险废物</w:t>
                  </w:r>
                  <w:r>
                    <w:rPr>
                      <w:rFonts w:hint="eastAsia" w:cs="Times New Roman" w:eastAsiaTheme="minorEastAsia"/>
                      <w:sz w:val="21"/>
                      <w:szCs w:val="21"/>
                      <w:lang w:val="en-US" w:eastAsia="zh-CN"/>
                    </w:rPr>
                    <w:t>贮存点</w:t>
                  </w:r>
                  <w:r>
                    <w:rPr>
                      <w:rFonts w:hint="eastAsia" w:ascii="Times New Roman" w:hAnsi="Times New Roman" w:cs="Times New Roman" w:eastAsiaTheme="minorEastAsia"/>
                      <w:sz w:val="21"/>
                      <w:szCs w:val="21"/>
                      <w:lang w:val="en-US" w:eastAsia="zh-CN"/>
                    </w:rPr>
                    <w:t>（20m</w:t>
                  </w:r>
                  <w:r>
                    <w:rPr>
                      <w:rFonts w:hint="eastAsia" w:ascii="Times New Roman" w:hAnsi="Times New Roman" w:cs="Times New Roman" w:eastAsiaTheme="minorEastAsia"/>
                      <w:sz w:val="21"/>
                      <w:szCs w:val="21"/>
                      <w:vertAlign w:val="superscript"/>
                      <w:lang w:val="en-US" w:eastAsia="zh-CN"/>
                    </w:rPr>
                    <w:t>2</w:t>
                  </w:r>
                  <w:r>
                    <w:rPr>
                      <w:rFonts w:hint="eastAsia" w:ascii="Times New Roman" w:hAnsi="Times New Roman" w:cs="Times New Roman" w:eastAsiaTheme="minorEastAsia"/>
                      <w:sz w:val="21"/>
                      <w:szCs w:val="21"/>
                      <w:lang w:val="en-US" w:eastAsia="zh-CN"/>
                    </w:rPr>
                    <w:t>）</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6178" w:type="dxa"/>
                  <w:gridSpan w:val="3"/>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环保措施运维费用</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 w:hRule="atLeast"/>
                <w:jc w:val="center"/>
              </w:trPr>
              <w:tc>
                <w:tcPr>
                  <w:tcW w:w="64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p>
              </w:tc>
              <w:tc>
                <w:tcPr>
                  <w:tcW w:w="6178" w:type="dxa"/>
                  <w:gridSpan w:val="3"/>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项目监测费用</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3" w:hRule="atLeast"/>
                <w:jc w:val="center"/>
              </w:trPr>
              <w:tc>
                <w:tcPr>
                  <w:tcW w:w="6823" w:type="dxa"/>
                  <w:gridSpan w:val="4"/>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合计</w:t>
                  </w:r>
                </w:p>
              </w:tc>
              <w:tc>
                <w:tcPr>
                  <w:tcW w:w="979"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33</w:t>
                  </w:r>
                </w:p>
              </w:tc>
            </w:tr>
          </w:tbl>
          <w:p/>
          <w:p>
            <w:pPr>
              <w:rPr>
                <w:rFonts w:hint="eastAsia"/>
                <w:vertAlign w:val="baseline"/>
              </w:rPr>
            </w:pPr>
          </w:p>
        </w:tc>
      </w:tr>
    </w:tbl>
    <w:p>
      <w:pPr>
        <w:rPr>
          <w:rFonts w:hint="eastAsia"/>
        </w:rPr>
        <w:sectPr>
          <w:pgSz w:w="11907" w:h="16840"/>
          <w:pgMar w:top="1701" w:right="1531" w:bottom="2127" w:left="1531" w:header="851" w:footer="851" w:gutter="0"/>
          <w:cols w:space="720" w:num="1"/>
          <w:docGrid w:linePitch="312" w:charSpace="0"/>
        </w:sectPr>
      </w:pPr>
    </w:p>
    <w:p>
      <w:pPr>
        <w:pStyle w:val="21"/>
        <w:jc w:val="center"/>
        <w:outlineLvl w:val="0"/>
        <w:rPr>
          <w:rFonts w:ascii="黑体" w:hAnsi="黑体" w:eastAsia="黑体"/>
          <w:snapToGrid w:val="0"/>
          <w:sz w:val="30"/>
          <w:szCs w:val="30"/>
        </w:rPr>
      </w:pPr>
      <w:r>
        <w:rPr>
          <w:rFonts w:hint="eastAsia" w:ascii="黑体" w:hAnsi="黑体" w:eastAsia="黑体"/>
          <w:snapToGrid w:val="0"/>
          <w:sz w:val="30"/>
          <w:szCs w:val="30"/>
        </w:rPr>
        <w:t>五、</w:t>
      </w:r>
      <w:bookmarkStart w:id="7" w:name="_Hlk54167917"/>
      <w:r>
        <w:rPr>
          <w:rFonts w:hint="eastAsia" w:ascii="黑体" w:hAnsi="黑体" w:eastAsia="黑体"/>
          <w:snapToGrid w:val="0"/>
          <w:sz w:val="30"/>
          <w:szCs w:val="30"/>
        </w:rPr>
        <w:t>环境保护措施监督检查清单</w:t>
      </w:r>
      <w:bookmarkEnd w:id="7"/>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72"/>
        <w:gridCol w:w="1474"/>
        <w:gridCol w:w="2276"/>
        <w:gridCol w:w="19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tcBorders>
              <w:tl2br w:val="single" w:color="auto" w:sz="4" w:space="0"/>
            </w:tcBorders>
            <w:noWrap w:val="0"/>
            <w:vAlign w:val="top"/>
          </w:tcPr>
          <w:p>
            <w:pPr>
              <w:adjustRightInd w:val="0"/>
              <w:snapToGrid w:val="0"/>
              <w:ind w:firstLine="840"/>
              <w:rPr>
                <w:rFonts w:hint="eastAsia" w:ascii="宋体" w:hAnsi="宋体" w:cs="宋体"/>
                <w:szCs w:val="21"/>
              </w:rPr>
            </w:pPr>
            <w:r>
              <w:rPr>
                <w:rFonts w:hint="eastAsia" w:ascii="宋体" w:hAnsi="宋体" w:cs="宋体"/>
                <w:szCs w:val="21"/>
              </w:rPr>
              <w:t>内容</w:t>
            </w:r>
          </w:p>
          <w:p>
            <w:pPr>
              <w:adjustRightInd w:val="0"/>
              <w:snapToGrid w:val="0"/>
              <w:rPr>
                <w:rFonts w:hint="eastAsia" w:ascii="宋体" w:hAnsi="宋体" w:cs="宋体"/>
                <w:szCs w:val="21"/>
              </w:rPr>
            </w:pPr>
            <w:r>
              <w:rPr>
                <w:rFonts w:hint="eastAsia" w:ascii="宋体" w:hAnsi="宋体" w:cs="宋体"/>
                <w:szCs w:val="21"/>
              </w:rPr>
              <w:t>要素</w:t>
            </w:r>
          </w:p>
        </w:tc>
        <w:tc>
          <w:tcPr>
            <w:tcW w:w="1572"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排放口</w:t>
            </w:r>
            <w:r>
              <w:rPr>
                <w:rFonts w:hint="eastAsia" w:ascii="宋体" w:hAnsi="宋体" w:cs="宋体"/>
                <w:szCs w:val="21"/>
                <w:lang w:eastAsia="zh-CN"/>
              </w:rPr>
              <w:t>（</w:t>
            </w:r>
            <w:r>
              <w:rPr>
                <w:rFonts w:hint="eastAsia" w:ascii="宋体" w:hAnsi="宋体" w:cs="宋体"/>
                <w:szCs w:val="21"/>
              </w:rPr>
              <w:t>编号、</w:t>
            </w:r>
          </w:p>
          <w:p>
            <w:pPr>
              <w:adjustRightInd w:val="0"/>
              <w:snapToGrid w:val="0"/>
              <w:jc w:val="center"/>
              <w:rPr>
                <w:rFonts w:hint="eastAsia" w:ascii="宋体" w:hAnsi="宋体" w:cs="宋体"/>
                <w:szCs w:val="21"/>
              </w:rPr>
            </w:pPr>
            <w:r>
              <w:rPr>
                <w:rFonts w:hint="eastAsia" w:ascii="宋体" w:hAnsi="宋体" w:cs="宋体"/>
                <w:szCs w:val="21"/>
              </w:rPr>
              <w:t>名称</w:t>
            </w:r>
            <w:r>
              <w:rPr>
                <w:rFonts w:hint="eastAsia" w:ascii="宋体" w:hAnsi="宋体" w:cs="宋体"/>
                <w:szCs w:val="21"/>
                <w:lang w:eastAsia="zh-CN"/>
              </w:rPr>
              <w:t>）</w:t>
            </w:r>
            <w:r>
              <w:rPr>
                <w:rFonts w:hint="eastAsia" w:ascii="宋体" w:hAnsi="宋体" w:cs="宋体"/>
                <w:szCs w:val="21"/>
              </w:rPr>
              <w:t>/污染源</w:t>
            </w:r>
          </w:p>
        </w:tc>
        <w:tc>
          <w:tcPr>
            <w:tcW w:w="1474"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污染物项目</w:t>
            </w:r>
          </w:p>
        </w:tc>
        <w:tc>
          <w:tcPr>
            <w:tcW w:w="2276"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环境保护措施</w:t>
            </w:r>
          </w:p>
        </w:tc>
        <w:tc>
          <w:tcPr>
            <w:tcW w:w="1936"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vMerge w:val="restart"/>
            <w:noWrap w:val="0"/>
            <w:vAlign w:val="center"/>
          </w:tcPr>
          <w:p>
            <w:pPr>
              <w:adjustRightInd w:val="0"/>
              <w:snapToGrid w:val="0"/>
              <w:jc w:val="center"/>
              <w:rPr>
                <w:rFonts w:hint="eastAsia" w:ascii="宋体" w:hAnsi="宋体" w:cs="宋体"/>
                <w:szCs w:val="21"/>
              </w:rPr>
            </w:pPr>
            <w:r>
              <w:rPr>
                <w:rFonts w:hint="eastAsia" w:ascii="宋体" w:hAnsi="宋体" w:cs="宋体"/>
                <w:szCs w:val="21"/>
              </w:rPr>
              <w:t>大气环境</w:t>
            </w:r>
          </w:p>
        </w:tc>
        <w:tc>
          <w:tcPr>
            <w:tcW w:w="1572" w:type="dxa"/>
            <w:noWrap w:val="0"/>
            <w:vAlign w:val="center"/>
          </w:tcPr>
          <w:p>
            <w:pPr>
              <w:jc w:val="center"/>
              <w:rPr>
                <w:rFonts w:hint="eastAsia" w:ascii="宋体" w:hAnsi="宋体" w:cs="宋体"/>
                <w:szCs w:val="21"/>
              </w:rPr>
            </w:pPr>
            <w:r>
              <w:rPr>
                <w:rFonts w:hint="eastAsia"/>
                <w:lang w:val="en-US" w:eastAsia="zh-CN"/>
              </w:rPr>
              <w:t>水泥筒仓</w:t>
            </w:r>
            <w:r>
              <w:rPr>
                <w:rFonts w:hint="eastAsia"/>
              </w:rPr>
              <w:t>进仓粉尘</w:t>
            </w:r>
            <w:r>
              <w:rPr>
                <w:rFonts w:hint="eastAsia"/>
                <w:lang w:val="en-US" w:eastAsia="zh-CN"/>
              </w:rPr>
              <w:t>1#</w:t>
            </w:r>
            <w:r>
              <w:rPr>
                <w:rFonts w:hint="eastAsia"/>
                <w:bCs/>
                <w:color w:val="auto"/>
                <w:szCs w:val="21"/>
                <w:lang w:val="en-US" w:eastAsia="zh-CN"/>
              </w:rPr>
              <w:t>1</w:t>
            </w:r>
          </w:p>
        </w:tc>
        <w:tc>
          <w:tcPr>
            <w:tcW w:w="1474" w:type="dxa"/>
            <w:vMerge w:val="restart"/>
            <w:noWrap w:val="0"/>
            <w:vAlign w:val="center"/>
          </w:tcPr>
          <w:p>
            <w:pPr>
              <w:pStyle w:val="60"/>
              <w:ind w:left="0" w:leftChars="0" w:firstLine="0" w:firstLineChars="0"/>
              <w:rPr>
                <w:rFonts w:hint="eastAsia" w:ascii="宋体" w:hAnsi="宋体" w:cs="宋体"/>
                <w:szCs w:val="21"/>
              </w:rPr>
            </w:pPr>
            <w:r>
              <w:rPr>
                <w:rFonts w:hint="eastAsia"/>
                <w:szCs w:val="21"/>
              </w:rPr>
              <w:t>颗粒物</w:t>
            </w:r>
          </w:p>
        </w:tc>
        <w:tc>
          <w:tcPr>
            <w:tcW w:w="2276" w:type="dxa"/>
            <w:vMerge w:val="restart"/>
            <w:noWrap w:val="0"/>
            <w:vAlign w:val="center"/>
          </w:tcPr>
          <w:p>
            <w:pPr>
              <w:pStyle w:val="60"/>
              <w:ind w:left="0" w:leftChars="0" w:firstLine="0" w:firstLineChars="0"/>
              <w:rPr>
                <w:rFonts w:hint="eastAsia" w:ascii="宋体" w:hAnsi="宋体" w:eastAsia="宋体" w:cs="宋体"/>
                <w:szCs w:val="21"/>
                <w:lang w:eastAsia="zh-CN"/>
              </w:rPr>
            </w:pPr>
            <w:r>
              <w:rPr>
                <w:rFonts w:hint="eastAsia"/>
                <w:highlight w:val="none"/>
              </w:rPr>
              <w:t>每座筒仓顶部设置脉冲式布袋除尘器，经处理后由</w:t>
            </w:r>
            <w:r>
              <w:rPr>
                <w:rFonts w:hint="eastAsia"/>
                <w:highlight w:val="none"/>
                <w:lang w:val="en-US" w:eastAsia="zh-CN"/>
              </w:rPr>
              <w:t>排气口无组织</w:t>
            </w:r>
            <w:r>
              <w:rPr>
                <w:rFonts w:hint="eastAsia"/>
                <w:highlight w:val="none"/>
              </w:rPr>
              <w:t>排放，共计</w:t>
            </w:r>
            <w:r>
              <w:rPr>
                <w:rFonts w:hint="eastAsia"/>
                <w:highlight w:val="none"/>
                <w:lang w:val="en-US" w:eastAsia="zh-CN"/>
              </w:rPr>
              <w:t>5</w:t>
            </w:r>
            <w:r>
              <w:rPr>
                <w:rFonts w:hint="eastAsia"/>
                <w:highlight w:val="none"/>
              </w:rPr>
              <w:t>套</w:t>
            </w:r>
            <w:r>
              <w:rPr>
                <w:rFonts w:hint="eastAsia"/>
                <w:highlight w:val="none"/>
                <w:lang w:eastAsia="zh-CN"/>
              </w:rPr>
              <w:t>。</w:t>
            </w:r>
          </w:p>
        </w:tc>
        <w:tc>
          <w:tcPr>
            <w:tcW w:w="1936" w:type="dxa"/>
            <w:vMerge w:val="restart"/>
            <w:noWrap w:val="0"/>
            <w:vAlign w:val="center"/>
          </w:tcPr>
          <w:p>
            <w:pPr>
              <w:pStyle w:val="60"/>
              <w:ind w:left="0" w:leftChars="0" w:firstLine="0" w:firstLineChars="0"/>
              <w:rPr>
                <w:rFonts w:hint="eastAsia" w:ascii="宋体" w:hAnsi="宋体" w:cs="宋体"/>
                <w:szCs w:val="21"/>
              </w:rPr>
            </w:pPr>
            <w:r>
              <w:rPr>
                <w:rFonts w:hint="eastAsia" w:ascii="Times New Roman" w:hAnsi="Times New Roman" w:cs="Times New Roman" w:eastAsiaTheme="minorEastAsia"/>
                <w:sz w:val="21"/>
                <w:szCs w:val="21"/>
                <w:lang w:val="en-US" w:eastAsia="zh-CN"/>
              </w:rPr>
              <w:t>《水泥工业大气污染物排放标准》</w:t>
            </w:r>
            <w:r>
              <w:rPr>
                <w:rFonts w:hint="eastAsia"/>
                <w:highlight w:val="none"/>
                <w:lang w:val="en-US" w:eastAsia="zh-CN"/>
              </w:rPr>
              <w:t>（含2025年修改单）（GB4915-2013）无组织排放限值要求。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vMerge w:val="continue"/>
            <w:noWrap w:val="0"/>
            <w:vAlign w:val="center"/>
          </w:tcPr>
          <w:p>
            <w:pPr>
              <w:adjustRightInd w:val="0"/>
              <w:snapToGrid w:val="0"/>
              <w:jc w:val="center"/>
              <w:rPr>
                <w:rFonts w:hint="eastAsia" w:ascii="宋体" w:hAnsi="宋体" w:cs="宋体"/>
                <w:szCs w:val="21"/>
              </w:rPr>
            </w:pPr>
          </w:p>
        </w:tc>
        <w:tc>
          <w:tcPr>
            <w:tcW w:w="1572" w:type="dxa"/>
            <w:noWrap w:val="0"/>
            <w:vAlign w:val="center"/>
          </w:tcPr>
          <w:p>
            <w:pPr>
              <w:jc w:val="center"/>
              <w:rPr>
                <w:rFonts w:hint="eastAsia"/>
                <w:szCs w:val="21"/>
              </w:rPr>
            </w:pPr>
            <w:r>
              <w:rPr>
                <w:rFonts w:hint="eastAsia"/>
                <w:lang w:val="en-US" w:eastAsia="zh-CN"/>
              </w:rPr>
              <w:t>水泥筒仓</w:t>
            </w:r>
            <w:r>
              <w:rPr>
                <w:rFonts w:hint="eastAsia"/>
              </w:rPr>
              <w:t>进仓粉尘</w:t>
            </w:r>
            <w:r>
              <w:rPr>
                <w:rFonts w:hint="eastAsia"/>
                <w:lang w:val="en-US" w:eastAsia="zh-CN"/>
              </w:rPr>
              <w:t>2#</w:t>
            </w:r>
          </w:p>
        </w:tc>
        <w:tc>
          <w:tcPr>
            <w:tcW w:w="1474" w:type="dxa"/>
            <w:vMerge w:val="continue"/>
            <w:noWrap w:val="0"/>
            <w:vAlign w:val="center"/>
          </w:tcPr>
          <w:p>
            <w:pPr>
              <w:pStyle w:val="60"/>
              <w:ind w:left="0" w:leftChars="0" w:firstLine="0" w:firstLineChars="0"/>
              <w:rPr>
                <w:rFonts w:hint="eastAsia"/>
                <w:szCs w:val="21"/>
              </w:rPr>
            </w:pPr>
          </w:p>
        </w:tc>
        <w:tc>
          <w:tcPr>
            <w:tcW w:w="2276" w:type="dxa"/>
            <w:vMerge w:val="continue"/>
            <w:noWrap w:val="0"/>
            <w:vAlign w:val="center"/>
          </w:tcPr>
          <w:p>
            <w:pPr>
              <w:pStyle w:val="60"/>
              <w:ind w:left="0" w:leftChars="0" w:firstLine="0" w:firstLineChars="0"/>
              <w:rPr>
                <w:rFonts w:hint="eastAsia"/>
              </w:rPr>
            </w:pPr>
          </w:p>
        </w:tc>
        <w:tc>
          <w:tcPr>
            <w:tcW w:w="1936" w:type="dxa"/>
            <w:vMerge w:val="continue"/>
            <w:noWrap w:val="0"/>
            <w:vAlign w:val="center"/>
          </w:tcPr>
          <w:p>
            <w:pPr>
              <w:pStyle w:val="60"/>
              <w:ind w:left="0" w:leftChars="0" w:firstLine="0" w:firstLineChars="0"/>
              <w:rPr>
                <w:rFonts w:hint="eastAsi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vMerge w:val="continue"/>
            <w:noWrap w:val="0"/>
            <w:vAlign w:val="center"/>
          </w:tcPr>
          <w:p>
            <w:pPr>
              <w:adjustRightInd w:val="0"/>
              <w:snapToGrid w:val="0"/>
              <w:jc w:val="center"/>
              <w:rPr>
                <w:rFonts w:hint="eastAsia" w:ascii="宋体" w:hAnsi="宋体" w:cs="宋体"/>
                <w:szCs w:val="21"/>
              </w:rPr>
            </w:pPr>
          </w:p>
        </w:tc>
        <w:tc>
          <w:tcPr>
            <w:tcW w:w="1572" w:type="dxa"/>
            <w:noWrap w:val="0"/>
            <w:vAlign w:val="center"/>
          </w:tcPr>
          <w:p>
            <w:pPr>
              <w:jc w:val="center"/>
              <w:rPr>
                <w:rFonts w:hint="eastAsia"/>
                <w:szCs w:val="21"/>
              </w:rPr>
            </w:pPr>
            <w:r>
              <w:rPr>
                <w:rFonts w:hint="eastAsia"/>
                <w:lang w:val="en-US" w:eastAsia="zh-CN"/>
              </w:rPr>
              <w:t>水泥筒仓</w:t>
            </w:r>
            <w:r>
              <w:rPr>
                <w:rFonts w:hint="eastAsia"/>
              </w:rPr>
              <w:t>进仓粉尘</w:t>
            </w:r>
            <w:r>
              <w:rPr>
                <w:rFonts w:hint="eastAsia"/>
                <w:lang w:val="en-US" w:eastAsia="zh-CN"/>
              </w:rPr>
              <w:t>3#</w:t>
            </w:r>
          </w:p>
        </w:tc>
        <w:tc>
          <w:tcPr>
            <w:tcW w:w="1474" w:type="dxa"/>
            <w:vMerge w:val="continue"/>
            <w:noWrap w:val="0"/>
            <w:vAlign w:val="center"/>
          </w:tcPr>
          <w:p>
            <w:pPr>
              <w:pStyle w:val="60"/>
              <w:ind w:left="0" w:leftChars="0" w:firstLine="0" w:firstLineChars="0"/>
              <w:rPr>
                <w:rFonts w:hint="eastAsia"/>
                <w:szCs w:val="21"/>
              </w:rPr>
            </w:pPr>
          </w:p>
        </w:tc>
        <w:tc>
          <w:tcPr>
            <w:tcW w:w="2276" w:type="dxa"/>
            <w:vMerge w:val="continue"/>
            <w:noWrap w:val="0"/>
            <w:vAlign w:val="center"/>
          </w:tcPr>
          <w:p>
            <w:pPr>
              <w:pStyle w:val="60"/>
              <w:ind w:left="0" w:leftChars="0" w:firstLine="0" w:firstLineChars="0"/>
              <w:rPr>
                <w:rFonts w:hint="eastAsia"/>
              </w:rPr>
            </w:pPr>
          </w:p>
        </w:tc>
        <w:tc>
          <w:tcPr>
            <w:tcW w:w="1936" w:type="dxa"/>
            <w:vMerge w:val="continue"/>
            <w:noWrap w:val="0"/>
            <w:vAlign w:val="center"/>
          </w:tcPr>
          <w:p>
            <w:pPr>
              <w:pStyle w:val="60"/>
              <w:ind w:left="0" w:leftChars="0" w:firstLine="0" w:firstLineChars="0"/>
              <w:rPr>
                <w:rFonts w:hint="eastAsi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vMerge w:val="continue"/>
            <w:noWrap w:val="0"/>
            <w:vAlign w:val="center"/>
          </w:tcPr>
          <w:p>
            <w:pPr>
              <w:adjustRightInd w:val="0"/>
              <w:snapToGrid w:val="0"/>
              <w:jc w:val="center"/>
              <w:rPr>
                <w:rFonts w:hint="eastAsia" w:ascii="宋体" w:hAnsi="宋体" w:cs="宋体"/>
                <w:szCs w:val="21"/>
              </w:rPr>
            </w:pPr>
          </w:p>
        </w:tc>
        <w:tc>
          <w:tcPr>
            <w:tcW w:w="1572" w:type="dxa"/>
            <w:noWrap w:val="0"/>
            <w:vAlign w:val="center"/>
          </w:tcPr>
          <w:p>
            <w:pPr>
              <w:jc w:val="center"/>
              <w:rPr>
                <w:rFonts w:hint="eastAsia"/>
                <w:szCs w:val="21"/>
              </w:rPr>
            </w:pPr>
            <w:r>
              <w:rPr>
                <w:rFonts w:hint="eastAsia"/>
                <w:lang w:val="en-US" w:eastAsia="zh-CN"/>
              </w:rPr>
              <w:t>粉煤灰筒仓</w:t>
            </w:r>
            <w:r>
              <w:rPr>
                <w:rFonts w:hint="eastAsia"/>
              </w:rPr>
              <w:t>进仓粉尘</w:t>
            </w:r>
            <w:r>
              <w:rPr>
                <w:rFonts w:hint="eastAsia"/>
                <w:lang w:val="en-US" w:eastAsia="zh-CN"/>
              </w:rPr>
              <w:t>4#</w:t>
            </w:r>
          </w:p>
        </w:tc>
        <w:tc>
          <w:tcPr>
            <w:tcW w:w="1474" w:type="dxa"/>
            <w:vMerge w:val="continue"/>
            <w:noWrap w:val="0"/>
            <w:vAlign w:val="center"/>
          </w:tcPr>
          <w:p>
            <w:pPr>
              <w:pStyle w:val="60"/>
              <w:ind w:left="0" w:leftChars="0" w:firstLine="0" w:firstLineChars="0"/>
              <w:rPr>
                <w:rFonts w:hint="eastAsia"/>
                <w:szCs w:val="21"/>
              </w:rPr>
            </w:pPr>
          </w:p>
        </w:tc>
        <w:tc>
          <w:tcPr>
            <w:tcW w:w="2276" w:type="dxa"/>
            <w:vMerge w:val="continue"/>
            <w:noWrap w:val="0"/>
            <w:vAlign w:val="center"/>
          </w:tcPr>
          <w:p>
            <w:pPr>
              <w:pStyle w:val="60"/>
              <w:ind w:left="0" w:leftChars="0" w:firstLine="0" w:firstLineChars="0"/>
              <w:rPr>
                <w:rFonts w:hint="eastAsia"/>
              </w:rPr>
            </w:pPr>
          </w:p>
        </w:tc>
        <w:tc>
          <w:tcPr>
            <w:tcW w:w="1936" w:type="dxa"/>
            <w:vMerge w:val="continue"/>
            <w:noWrap w:val="0"/>
            <w:vAlign w:val="center"/>
          </w:tcPr>
          <w:p>
            <w:pPr>
              <w:pStyle w:val="60"/>
              <w:ind w:left="0" w:leftChars="0" w:firstLine="0" w:firstLineChars="0"/>
              <w:rPr>
                <w:rFonts w:hint="eastAsi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vMerge w:val="continue"/>
            <w:noWrap w:val="0"/>
            <w:vAlign w:val="center"/>
          </w:tcPr>
          <w:p>
            <w:pPr>
              <w:adjustRightInd w:val="0"/>
              <w:snapToGrid w:val="0"/>
              <w:jc w:val="center"/>
              <w:rPr>
                <w:rFonts w:hint="eastAsia" w:ascii="宋体" w:hAnsi="宋体" w:cs="宋体"/>
                <w:szCs w:val="21"/>
              </w:rPr>
            </w:pPr>
          </w:p>
        </w:tc>
        <w:tc>
          <w:tcPr>
            <w:tcW w:w="1572" w:type="dxa"/>
            <w:noWrap w:val="0"/>
            <w:vAlign w:val="center"/>
          </w:tcPr>
          <w:p>
            <w:pPr>
              <w:jc w:val="center"/>
              <w:rPr>
                <w:rFonts w:hint="default"/>
                <w:szCs w:val="21"/>
                <w:lang w:val="en-US"/>
              </w:rPr>
            </w:pPr>
            <w:r>
              <w:rPr>
                <w:rFonts w:hint="eastAsia"/>
                <w:lang w:val="en-US" w:eastAsia="zh-CN"/>
              </w:rPr>
              <w:t>矿粉筒仓</w:t>
            </w:r>
            <w:r>
              <w:rPr>
                <w:rFonts w:hint="eastAsia"/>
              </w:rPr>
              <w:t>进仓粉尘</w:t>
            </w:r>
            <w:r>
              <w:rPr>
                <w:rFonts w:hint="eastAsia"/>
                <w:lang w:val="en-US" w:eastAsia="zh-CN"/>
              </w:rPr>
              <w:t>5#</w:t>
            </w:r>
          </w:p>
        </w:tc>
        <w:tc>
          <w:tcPr>
            <w:tcW w:w="1474" w:type="dxa"/>
            <w:vMerge w:val="continue"/>
            <w:noWrap w:val="0"/>
            <w:vAlign w:val="center"/>
          </w:tcPr>
          <w:p>
            <w:pPr>
              <w:pStyle w:val="60"/>
              <w:ind w:left="0" w:leftChars="0" w:firstLine="0" w:firstLineChars="0"/>
              <w:rPr>
                <w:rFonts w:hint="eastAsia"/>
                <w:szCs w:val="21"/>
              </w:rPr>
            </w:pPr>
          </w:p>
        </w:tc>
        <w:tc>
          <w:tcPr>
            <w:tcW w:w="2276" w:type="dxa"/>
            <w:vMerge w:val="continue"/>
            <w:noWrap w:val="0"/>
            <w:vAlign w:val="center"/>
          </w:tcPr>
          <w:p>
            <w:pPr>
              <w:pStyle w:val="60"/>
              <w:ind w:left="0" w:leftChars="0" w:firstLine="0" w:firstLineChars="0"/>
              <w:rPr>
                <w:rFonts w:hint="eastAsia"/>
              </w:rPr>
            </w:pPr>
          </w:p>
        </w:tc>
        <w:tc>
          <w:tcPr>
            <w:tcW w:w="1936" w:type="dxa"/>
            <w:vMerge w:val="continue"/>
            <w:noWrap w:val="0"/>
            <w:vAlign w:val="center"/>
          </w:tcPr>
          <w:p>
            <w:pPr>
              <w:pStyle w:val="60"/>
              <w:ind w:left="0" w:leftChars="0" w:firstLine="0" w:firstLineChars="0"/>
              <w:rPr>
                <w:rFonts w:hint="eastAsi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vMerge w:val="continue"/>
            <w:noWrap w:val="0"/>
            <w:vAlign w:val="center"/>
          </w:tcPr>
          <w:p>
            <w:pPr>
              <w:adjustRightInd w:val="0"/>
              <w:snapToGrid w:val="0"/>
              <w:jc w:val="center"/>
              <w:rPr>
                <w:rFonts w:hint="eastAsia" w:ascii="宋体" w:hAnsi="宋体" w:cs="宋体"/>
                <w:szCs w:val="21"/>
              </w:rPr>
            </w:pPr>
          </w:p>
        </w:tc>
        <w:tc>
          <w:tcPr>
            <w:tcW w:w="1572" w:type="dxa"/>
            <w:noWrap w:val="0"/>
            <w:vAlign w:val="center"/>
          </w:tcPr>
          <w:p>
            <w:pPr>
              <w:jc w:val="center"/>
              <w:rPr>
                <w:rFonts w:hint="eastAsia"/>
                <w:bCs/>
                <w:color w:val="auto"/>
                <w:szCs w:val="21"/>
                <w:lang w:val="en-US" w:eastAsia="zh-CN"/>
              </w:rPr>
            </w:pPr>
            <w:r>
              <w:rPr>
                <w:rFonts w:hint="eastAsia"/>
                <w:bCs/>
                <w:color w:val="auto"/>
                <w:szCs w:val="21"/>
              </w:rPr>
              <w:t>食堂油烟</w:t>
            </w:r>
            <w:r>
              <w:rPr>
                <w:rFonts w:hint="eastAsia"/>
                <w:bCs/>
                <w:color w:val="auto"/>
                <w:szCs w:val="21"/>
                <w:lang w:val="en-US" w:eastAsia="zh-CN"/>
              </w:rPr>
              <w:t>DA001</w:t>
            </w:r>
          </w:p>
        </w:tc>
        <w:tc>
          <w:tcPr>
            <w:tcW w:w="1474" w:type="dxa"/>
            <w:noWrap w:val="0"/>
            <w:vAlign w:val="center"/>
          </w:tcPr>
          <w:p>
            <w:pPr>
              <w:pStyle w:val="60"/>
              <w:ind w:left="0" w:leftChars="0" w:firstLine="0" w:firstLineChars="0"/>
              <w:rPr>
                <w:rFonts w:hint="eastAsia" w:eastAsia="宋体"/>
                <w:szCs w:val="21"/>
                <w:lang w:val="en-US" w:eastAsia="zh-CN"/>
              </w:rPr>
            </w:pPr>
            <w:r>
              <w:rPr>
                <w:rFonts w:hint="eastAsia"/>
                <w:szCs w:val="21"/>
                <w:lang w:val="en-US" w:eastAsia="zh-CN"/>
              </w:rPr>
              <w:t>油烟</w:t>
            </w:r>
          </w:p>
        </w:tc>
        <w:tc>
          <w:tcPr>
            <w:tcW w:w="2276" w:type="dxa"/>
            <w:noWrap w:val="0"/>
            <w:vAlign w:val="center"/>
          </w:tcPr>
          <w:p>
            <w:pPr>
              <w:pStyle w:val="60"/>
              <w:ind w:left="0" w:leftChars="0" w:firstLine="0" w:firstLineChars="0"/>
              <w:rPr>
                <w:rFonts w:hint="eastAsia" w:eastAsia="宋体"/>
                <w:lang w:val="en-US" w:eastAsia="zh-CN"/>
              </w:rPr>
            </w:pPr>
            <w:r>
              <w:rPr>
                <w:rFonts w:hint="eastAsia"/>
                <w:lang w:val="en-US" w:eastAsia="zh-CN"/>
              </w:rPr>
              <w:t>油烟净化设施</w:t>
            </w:r>
          </w:p>
        </w:tc>
        <w:tc>
          <w:tcPr>
            <w:tcW w:w="1936" w:type="dxa"/>
            <w:noWrap w:val="0"/>
            <w:vAlign w:val="center"/>
          </w:tcPr>
          <w:p>
            <w:pPr>
              <w:pStyle w:val="60"/>
              <w:ind w:left="0" w:leftChars="0" w:firstLine="0" w:firstLineChars="0"/>
              <w:rPr>
                <w:rFonts w:hint="eastAsia" w:eastAsia="宋体"/>
                <w:lang w:eastAsia="zh-CN"/>
              </w:rPr>
            </w:pPr>
            <w:r>
              <w:rPr>
                <w:rFonts w:hint="eastAsia" w:ascii="Times New Roman" w:hAnsi="Times New Roman" w:eastAsia="宋体" w:cs="Times New Roman"/>
                <w:szCs w:val="21"/>
              </w:rPr>
              <w:t>《饮食业油烟排放标准》（GB18483-2001）中的</w:t>
            </w:r>
            <w:r>
              <w:rPr>
                <w:rFonts w:hint="eastAsia" w:ascii="Times New Roman" w:hAnsi="Times New Roman" w:eastAsia="宋体" w:cs="Times New Roman"/>
                <w:szCs w:val="21"/>
                <w:lang w:val="en-US" w:eastAsia="zh-CN"/>
              </w:rPr>
              <w:t>2</w:t>
            </w:r>
            <w:r>
              <w:rPr>
                <w:rFonts w:hint="eastAsia" w:ascii="Times New Roman" w:hAnsi="Times New Roman" w:eastAsia="宋体" w:cs="Times New Roman"/>
                <w:szCs w:val="21"/>
              </w:rPr>
              <w:t>mg/m</w:t>
            </w:r>
            <w:r>
              <w:rPr>
                <w:rFonts w:hint="eastAsia" w:ascii="Times New Roman" w:hAnsi="Times New Roman" w:eastAsia="宋体" w:cs="Times New Roman"/>
                <w:szCs w:val="21"/>
                <w:vertAlign w:val="superscript"/>
              </w:rPr>
              <w:t>3</w:t>
            </w:r>
            <w:r>
              <w:rPr>
                <w:rFonts w:hint="eastAsia" w:ascii="Times New Roman" w:hAnsi="Times New Roman" w:eastAsia="宋体" w:cs="Times New Roman"/>
                <w:szCs w:val="21"/>
                <w:lang w:val="en-US" w:eastAsia="zh-CN"/>
              </w:rPr>
              <w:t>排放</w:t>
            </w:r>
            <w:r>
              <w:rPr>
                <w:rFonts w:hint="eastAsia" w:ascii="Times New Roman" w:hAnsi="Times New Roman" w:eastAsia="宋体" w:cs="Times New Roman"/>
                <w:szCs w:val="21"/>
              </w:rPr>
              <w:t>要求</w:t>
            </w:r>
            <w:r>
              <w:rPr>
                <w:rFonts w:hint="eastAsia" w:cs="Times New Roman"/>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vMerge w:val="continue"/>
            <w:noWrap w:val="0"/>
            <w:vAlign w:val="center"/>
          </w:tcPr>
          <w:p>
            <w:pPr>
              <w:adjustRightInd w:val="0"/>
              <w:snapToGrid w:val="0"/>
              <w:jc w:val="center"/>
              <w:rPr>
                <w:rFonts w:hint="eastAsia" w:ascii="宋体" w:hAnsi="宋体" w:cs="宋体"/>
                <w:szCs w:val="21"/>
              </w:rPr>
            </w:pPr>
          </w:p>
        </w:tc>
        <w:tc>
          <w:tcPr>
            <w:tcW w:w="1572" w:type="dxa"/>
            <w:noWrap w:val="0"/>
            <w:vAlign w:val="center"/>
          </w:tcPr>
          <w:p>
            <w:pPr>
              <w:pStyle w:val="60"/>
              <w:ind w:left="0" w:leftChars="0" w:firstLine="0" w:firstLineChars="0"/>
              <w:rPr>
                <w:rFonts w:hint="eastAsia" w:ascii="宋体" w:hAnsi="宋体" w:cs="宋体"/>
                <w:szCs w:val="21"/>
              </w:rPr>
            </w:pPr>
            <w:r>
              <w:rPr>
                <w:rFonts w:hint="eastAsia"/>
                <w:szCs w:val="21"/>
              </w:rPr>
              <w:t>搅拌工序粉尘</w:t>
            </w:r>
          </w:p>
        </w:tc>
        <w:tc>
          <w:tcPr>
            <w:tcW w:w="1474" w:type="dxa"/>
            <w:noWrap w:val="0"/>
            <w:vAlign w:val="center"/>
          </w:tcPr>
          <w:p>
            <w:pPr>
              <w:pStyle w:val="60"/>
              <w:ind w:left="0" w:leftChars="0" w:firstLine="0" w:firstLineChars="0"/>
              <w:rPr>
                <w:rFonts w:hint="eastAsia" w:ascii="宋体" w:hAnsi="宋体" w:cs="宋体"/>
                <w:szCs w:val="21"/>
              </w:rPr>
            </w:pPr>
            <w:r>
              <w:rPr>
                <w:rFonts w:hint="eastAsia"/>
                <w:szCs w:val="21"/>
              </w:rPr>
              <w:t>颗粒物</w:t>
            </w:r>
          </w:p>
        </w:tc>
        <w:tc>
          <w:tcPr>
            <w:tcW w:w="2276" w:type="dxa"/>
            <w:noWrap w:val="0"/>
            <w:vAlign w:val="center"/>
          </w:tcPr>
          <w:p>
            <w:pPr>
              <w:pStyle w:val="60"/>
              <w:ind w:left="0" w:leftChars="0" w:firstLine="0" w:firstLineChars="0"/>
              <w:rPr>
                <w:rFonts w:hint="eastAsia" w:ascii="宋体" w:hAnsi="宋体" w:cs="宋体"/>
                <w:szCs w:val="21"/>
              </w:rPr>
            </w:pPr>
            <w:r>
              <w:rPr>
                <w:rFonts w:hint="eastAsia"/>
              </w:rPr>
              <w:t>安装一套</w:t>
            </w:r>
            <w:r>
              <w:rPr>
                <w:rFonts w:hint="eastAsia" w:ascii="Times New Roman" w:hAnsi="Times New Roman" w:eastAsia="宋体" w:cs="Times New Roman"/>
                <w:lang w:val="en-US" w:eastAsia="zh-CN"/>
              </w:rPr>
              <w:t>反吹风袋式</w:t>
            </w:r>
            <w:r>
              <w:rPr>
                <w:rFonts w:hint="default" w:ascii="Times New Roman" w:hAnsi="Times New Roman" w:eastAsia="宋体" w:cs="Times New Roman"/>
                <w:lang w:val="en-US" w:eastAsia="zh-CN"/>
              </w:rPr>
              <w:t>除尘器</w:t>
            </w:r>
            <w:r>
              <w:rPr>
                <w:rFonts w:hint="eastAsia" w:ascii="Times New Roman" w:hAnsi="Times New Roman" w:eastAsia="宋体" w:cs="Times New Roman"/>
              </w:rPr>
              <w:t>，</w:t>
            </w:r>
            <w:r>
              <w:rPr>
                <w:rFonts w:hint="eastAsia"/>
              </w:rPr>
              <w:t>运行过程中密闭，</w:t>
            </w:r>
            <w:r>
              <w:rPr>
                <w:rFonts w:hint="eastAsia" w:ascii="Times New Roman" w:hAnsi="Times New Roman" w:eastAsia="宋体" w:cs="Times New Roman"/>
                <w:lang w:val="en-US" w:eastAsia="zh-CN"/>
              </w:rPr>
              <w:t>收集的粉尘回到搅拌机中，利用系统内的循环烟气反吹清灰，不设排气筒</w:t>
            </w:r>
            <w:r>
              <w:rPr>
                <w:rFonts w:hint="eastAsia" w:ascii="Times New Roman" w:hAnsi="Times New Roman" w:eastAsia="宋体" w:cs="Times New Roman"/>
              </w:rPr>
              <w:t>。</w:t>
            </w:r>
          </w:p>
        </w:tc>
        <w:tc>
          <w:tcPr>
            <w:tcW w:w="1936" w:type="dxa"/>
            <w:noWrap w:val="0"/>
            <w:vAlign w:val="center"/>
          </w:tcPr>
          <w:p>
            <w:pPr>
              <w:adjustRightInd w:val="0"/>
              <w:snapToGrid w:val="0"/>
              <w:jc w:val="center"/>
              <w:rPr>
                <w:rFonts w:hint="eastAsia" w:ascii="宋体" w:hAnsi="宋体" w:eastAsia="宋体" w:cs="宋体"/>
                <w:szCs w:val="21"/>
                <w:lang w:eastAsia="zh-CN"/>
              </w:rPr>
            </w:pPr>
            <w:r>
              <w:rPr>
                <w:rFonts w:hint="eastAsia"/>
              </w:rPr>
              <w:t>颗粒物浓度达到</w:t>
            </w:r>
            <w:r>
              <w:rPr>
                <w:rFonts w:hint="eastAsia" w:ascii="Times New Roman" w:hAnsi="Times New Roman" w:eastAsia="宋体" w:cs="Times New Roman"/>
                <w:kern w:val="2"/>
                <w:sz w:val="21"/>
                <w:szCs w:val="24"/>
                <w:lang w:val="en-US" w:eastAsia="zh-CN" w:bidi="ar-SA"/>
              </w:rPr>
              <w:t>《水泥工业大气污染物排放标准》（含2025年修改单）</w:t>
            </w:r>
            <w:r>
              <w:rPr>
                <w:rFonts w:hint="eastAsia"/>
              </w:rPr>
              <w:t>（</w:t>
            </w:r>
            <w:r>
              <w:rPr>
                <w:rFonts w:hint="eastAsia"/>
                <w:highlight w:val="none"/>
              </w:rPr>
              <w:t>GB4915-2013）</w:t>
            </w:r>
            <w:r>
              <w:rPr>
                <w:rFonts w:hint="eastAsia"/>
                <w:highlight w:val="none"/>
                <w:lang w:val="en-US" w:eastAsia="zh-CN"/>
              </w:rPr>
              <w:t>无组织排放限值要求</w:t>
            </w:r>
            <w:r>
              <w:rPr>
                <w:rFonts w:hint="eastAsia" w:cs="Times New Roman"/>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vMerge w:val="continue"/>
            <w:noWrap w:val="0"/>
            <w:vAlign w:val="center"/>
          </w:tcPr>
          <w:p>
            <w:pPr>
              <w:adjustRightInd w:val="0"/>
              <w:snapToGrid w:val="0"/>
              <w:jc w:val="center"/>
              <w:rPr>
                <w:rFonts w:hint="eastAsia" w:ascii="宋体" w:hAnsi="宋体" w:cs="宋体"/>
                <w:szCs w:val="21"/>
              </w:rPr>
            </w:pPr>
          </w:p>
        </w:tc>
        <w:tc>
          <w:tcPr>
            <w:tcW w:w="1572" w:type="dxa"/>
            <w:noWrap w:val="0"/>
            <w:vAlign w:val="center"/>
          </w:tcPr>
          <w:p>
            <w:pPr>
              <w:pStyle w:val="60"/>
              <w:ind w:left="0" w:leftChars="0" w:firstLine="0" w:firstLineChars="0"/>
              <w:rPr>
                <w:rFonts w:hint="eastAsia" w:ascii="宋体" w:hAnsi="宋体" w:cs="宋体"/>
                <w:szCs w:val="21"/>
              </w:rPr>
            </w:pPr>
            <w:r>
              <w:rPr>
                <w:rFonts w:hint="eastAsia"/>
                <w:szCs w:val="21"/>
              </w:rPr>
              <w:t>堆场扬尘</w:t>
            </w:r>
          </w:p>
        </w:tc>
        <w:tc>
          <w:tcPr>
            <w:tcW w:w="1474" w:type="dxa"/>
            <w:noWrap w:val="0"/>
            <w:vAlign w:val="center"/>
          </w:tcPr>
          <w:p>
            <w:pPr>
              <w:pStyle w:val="60"/>
              <w:ind w:left="0" w:leftChars="0" w:firstLine="0" w:firstLineChars="0"/>
              <w:rPr>
                <w:rFonts w:hint="eastAsia" w:ascii="宋体" w:hAnsi="宋体" w:cs="宋体"/>
                <w:szCs w:val="21"/>
              </w:rPr>
            </w:pPr>
            <w:r>
              <w:rPr>
                <w:rFonts w:hint="eastAsia"/>
                <w:szCs w:val="21"/>
              </w:rPr>
              <w:t>颗粒物</w:t>
            </w:r>
          </w:p>
        </w:tc>
        <w:tc>
          <w:tcPr>
            <w:tcW w:w="2276" w:type="dxa"/>
            <w:noWrap w:val="0"/>
            <w:vAlign w:val="center"/>
          </w:tcPr>
          <w:p>
            <w:pPr>
              <w:pStyle w:val="60"/>
              <w:ind w:left="0" w:leftChars="0" w:firstLine="0" w:firstLineChars="0"/>
              <w:rPr>
                <w:rFonts w:hint="eastAsia" w:ascii="宋体" w:hAnsi="宋体" w:eastAsia="宋体" w:cs="宋体"/>
                <w:szCs w:val="21"/>
                <w:lang w:eastAsia="zh-CN"/>
              </w:rPr>
            </w:pPr>
            <w:r>
              <w:rPr>
                <w:rFonts w:hint="eastAsia"/>
              </w:rPr>
              <w:t>原料堆场采用全封闭式结构，堆场内设置喷淋、喷雾装置进行抑尘</w:t>
            </w:r>
            <w:r>
              <w:rPr>
                <w:rFonts w:hint="eastAsia"/>
                <w:lang w:eastAsia="zh-CN"/>
              </w:rPr>
              <w:t>。</w:t>
            </w:r>
          </w:p>
        </w:tc>
        <w:tc>
          <w:tcPr>
            <w:tcW w:w="1936" w:type="dxa"/>
            <w:vMerge w:val="restart"/>
            <w:noWrap w:val="0"/>
            <w:vAlign w:val="center"/>
          </w:tcPr>
          <w:p>
            <w:pPr>
              <w:pStyle w:val="60"/>
              <w:ind w:left="0" w:leftChars="0" w:firstLine="0" w:firstLineChars="0"/>
              <w:rPr>
                <w:rFonts w:hint="eastAsia" w:ascii="宋体" w:hAnsi="宋体" w:eastAsia="宋体" w:cs="宋体"/>
                <w:szCs w:val="21"/>
                <w:lang w:eastAsia="zh-CN"/>
              </w:rPr>
            </w:pPr>
            <w:r>
              <w:rPr>
                <w:rFonts w:hint="eastAsia"/>
              </w:rPr>
              <w:t>厂界颗粒物浓度达到《水泥工业大气污染物排放标准》（GB4915-2013）</w:t>
            </w:r>
            <w:r>
              <w:rPr>
                <w:rFonts w:hint="eastAsia" w:ascii="Times New Roman" w:hAnsi="Times New Roman" w:eastAsia="宋体" w:cs="Times New Roman"/>
                <w:kern w:val="2"/>
                <w:sz w:val="21"/>
                <w:szCs w:val="24"/>
                <w:lang w:val="en-US" w:eastAsia="zh-CN" w:bidi="ar-SA"/>
              </w:rPr>
              <w:t>（含2025年修改单）</w:t>
            </w:r>
            <w:r>
              <w:rPr>
                <w:rFonts w:hint="eastAsia"/>
              </w:rPr>
              <w:t>无组织排放限值要求</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vMerge w:val="continue"/>
            <w:noWrap w:val="0"/>
            <w:vAlign w:val="center"/>
          </w:tcPr>
          <w:p>
            <w:pPr>
              <w:adjustRightInd w:val="0"/>
              <w:snapToGrid w:val="0"/>
              <w:jc w:val="center"/>
              <w:rPr>
                <w:rFonts w:hint="eastAsia" w:ascii="宋体" w:hAnsi="宋体" w:cs="宋体"/>
                <w:szCs w:val="21"/>
              </w:rPr>
            </w:pPr>
          </w:p>
        </w:tc>
        <w:tc>
          <w:tcPr>
            <w:tcW w:w="1572" w:type="dxa"/>
            <w:noWrap w:val="0"/>
            <w:vAlign w:val="center"/>
          </w:tcPr>
          <w:p>
            <w:pPr>
              <w:pStyle w:val="60"/>
              <w:ind w:left="0" w:leftChars="0" w:firstLine="0" w:firstLineChars="0"/>
              <w:rPr>
                <w:rFonts w:hint="eastAsia" w:ascii="宋体" w:hAnsi="宋体" w:cs="宋体"/>
                <w:szCs w:val="21"/>
              </w:rPr>
            </w:pPr>
            <w:r>
              <w:rPr>
                <w:rFonts w:hint="eastAsia"/>
                <w:szCs w:val="21"/>
              </w:rPr>
              <w:t>装卸扬尘</w:t>
            </w:r>
          </w:p>
        </w:tc>
        <w:tc>
          <w:tcPr>
            <w:tcW w:w="1474" w:type="dxa"/>
            <w:noWrap w:val="0"/>
            <w:vAlign w:val="center"/>
          </w:tcPr>
          <w:p>
            <w:pPr>
              <w:pStyle w:val="60"/>
              <w:ind w:left="0" w:leftChars="0" w:firstLine="0" w:firstLineChars="0"/>
              <w:rPr>
                <w:rFonts w:hint="eastAsia" w:ascii="宋体" w:hAnsi="宋体" w:cs="宋体"/>
                <w:szCs w:val="21"/>
              </w:rPr>
            </w:pPr>
            <w:r>
              <w:rPr>
                <w:rFonts w:hint="eastAsia"/>
                <w:szCs w:val="21"/>
              </w:rPr>
              <w:t>颗粒物</w:t>
            </w:r>
          </w:p>
        </w:tc>
        <w:tc>
          <w:tcPr>
            <w:tcW w:w="2276" w:type="dxa"/>
            <w:noWrap w:val="0"/>
            <w:vAlign w:val="center"/>
          </w:tcPr>
          <w:p>
            <w:pPr>
              <w:pStyle w:val="60"/>
              <w:ind w:left="0" w:leftChars="0" w:firstLine="0" w:firstLineChars="0"/>
              <w:rPr>
                <w:rFonts w:hint="eastAsia" w:ascii="宋体" w:hAnsi="宋体" w:eastAsia="宋体" w:cs="宋体"/>
                <w:szCs w:val="21"/>
                <w:lang w:eastAsia="zh-CN"/>
              </w:rPr>
            </w:pPr>
            <w:r>
              <w:rPr>
                <w:rFonts w:hint="eastAsia"/>
              </w:rPr>
              <w:t>原料及成品做到规范堆放，文明装卸；原料及成品装卸前后进行洒水抑尘；尽量降低物料落差，装车完毕后及时用篷布遮盖</w:t>
            </w:r>
            <w:r>
              <w:rPr>
                <w:rFonts w:hint="eastAsia"/>
                <w:lang w:eastAsia="zh-CN"/>
              </w:rPr>
              <w:t>。</w:t>
            </w:r>
          </w:p>
        </w:tc>
        <w:tc>
          <w:tcPr>
            <w:tcW w:w="1936" w:type="dxa"/>
            <w:vMerge w:val="continue"/>
            <w:noWrap w:val="0"/>
            <w:vAlign w:val="center"/>
          </w:tcPr>
          <w:p>
            <w:pPr>
              <w:adjustRightInd w:val="0"/>
              <w:snapToGrid w:val="0"/>
              <w:jc w:val="center"/>
              <w:rPr>
                <w:rFonts w:hint="eastAsia"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vMerge w:val="restart"/>
            <w:noWrap w:val="0"/>
            <w:vAlign w:val="center"/>
          </w:tcPr>
          <w:p>
            <w:pPr>
              <w:adjustRightInd w:val="0"/>
              <w:snapToGrid w:val="0"/>
              <w:jc w:val="center"/>
              <w:rPr>
                <w:rFonts w:hint="eastAsia" w:ascii="宋体" w:hAnsi="宋体" w:cs="宋体"/>
                <w:szCs w:val="21"/>
              </w:rPr>
            </w:pPr>
            <w:r>
              <w:rPr>
                <w:rFonts w:hint="eastAsia" w:ascii="宋体" w:hAnsi="宋体" w:cs="宋体"/>
                <w:szCs w:val="21"/>
              </w:rPr>
              <w:t>地表水环境</w:t>
            </w:r>
          </w:p>
        </w:tc>
        <w:tc>
          <w:tcPr>
            <w:tcW w:w="1572" w:type="dxa"/>
            <w:noWrap w:val="0"/>
            <w:vAlign w:val="center"/>
          </w:tcPr>
          <w:p>
            <w:pPr>
              <w:adjustRightInd w:val="0"/>
              <w:snapToGrid w:val="0"/>
              <w:spacing w:line="240" w:lineRule="auto"/>
              <w:ind w:firstLine="0" w:firstLineChars="0"/>
              <w:jc w:val="center"/>
              <w:textAlignment w:val="auto"/>
              <w:rPr>
                <w:rFonts w:hint="eastAsia" w:ascii="宋体" w:hAnsi="宋体" w:cs="宋体"/>
                <w:szCs w:val="21"/>
                <w:highlight w:val="none"/>
              </w:rPr>
            </w:pPr>
            <w:r>
              <w:rPr>
                <w:rFonts w:hint="eastAsia" w:cs="Times New Roman"/>
                <w:sz w:val="21"/>
                <w:szCs w:val="21"/>
                <w:highlight w:val="none"/>
              </w:rPr>
              <w:t>生活污水</w:t>
            </w:r>
          </w:p>
        </w:tc>
        <w:tc>
          <w:tcPr>
            <w:tcW w:w="1474" w:type="dxa"/>
            <w:noWrap w:val="0"/>
            <w:vAlign w:val="center"/>
          </w:tcPr>
          <w:p>
            <w:pPr>
              <w:pStyle w:val="60"/>
              <w:ind w:left="0" w:leftChars="0" w:firstLine="0" w:firstLineChars="0"/>
              <w:rPr>
                <w:rFonts w:hint="default" w:ascii="宋体" w:hAnsi="宋体" w:eastAsia="宋体" w:cs="宋体"/>
                <w:szCs w:val="21"/>
                <w:highlight w:val="none"/>
                <w:lang w:val="en-US" w:eastAsia="zh-CN"/>
              </w:rPr>
            </w:pPr>
            <w:r>
              <w:rPr>
                <w:highlight w:val="none"/>
              </w:rPr>
              <w:t>COD、BOD</w:t>
            </w:r>
            <w:r>
              <w:rPr>
                <w:highlight w:val="none"/>
                <w:vertAlign w:val="subscript"/>
              </w:rPr>
              <w:t>5</w:t>
            </w:r>
            <w:r>
              <w:rPr>
                <w:highlight w:val="none"/>
              </w:rPr>
              <w:t>、SS、NH</w:t>
            </w:r>
            <w:r>
              <w:rPr>
                <w:highlight w:val="none"/>
                <w:vertAlign w:val="subscript"/>
              </w:rPr>
              <w:t>3</w:t>
            </w:r>
            <w:r>
              <w:rPr>
                <w:highlight w:val="none"/>
              </w:rPr>
              <w:t>-N</w:t>
            </w:r>
            <w:r>
              <w:rPr>
                <w:rFonts w:hint="eastAsia"/>
                <w:highlight w:val="none"/>
                <w:lang w:eastAsia="zh-CN"/>
              </w:rPr>
              <w:t>、</w:t>
            </w:r>
            <w:r>
              <w:rPr>
                <w:rFonts w:hint="eastAsia"/>
                <w:highlight w:val="none"/>
                <w:lang w:val="en-US" w:eastAsia="zh-CN"/>
              </w:rPr>
              <w:t>动植物油</w:t>
            </w:r>
          </w:p>
        </w:tc>
        <w:tc>
          <w:tcPr>
            <w:tcW w:w="2276" w:type="dxa"/>
            <w:noWrap w:val="0"/>
            <w:vAlign w:val="center"/>
          </w:tcPr>
          <w:p>
            <w:pPr>
              <w:pStyle w:val="60"/>
              <w:ind w:left="0" w:leftChars="0" w:firstLine="0" w:firstLineChars="0"/>
              <w:rPr>
                <w:rFonts w:hint="eastAsia" w:ascii="宋体" w:hAnsi="宋体" w:eastAsia="宋体" w:cs="宋体"/>
                <w:szCs w:val="21"/>
                <w:highlight w:val="none"/>
                <w:lang w:eastAsia="zh-CN"/>
              </w:rPr>
            </w:pPr>
            <w:r>
              <w:rPr>
                <w:rFonts w:hint="eastAsia"/>
                <w:highlight w:val="none"/>
                <w:lang w:val="en-US" w:eastAsia="zh-CN"/>
              </w:rPr>
              <w:t>食堂污水经油水分离器分离后排入化粪池，其余生活污水直接排入化粪池。</w:t>
            </w:r>
            <w:r>
              <w:rPr>
                <w:rFonts w:hint="eastAsia"/>
                <w:highlight w:val="none"/>
              </w:rPr>
              <w:t>经</w:t>
            </w:r>
            <w:r>
              <w:rPr>
                <w:rFonts w:hint="eastAsia"/>
                <w:highlight w:val="none"/>
                <w:lang w:val="en-US" w:eastAsia="zh-CN"/>
              </w:rPr>
              <w:t>化粪池</w:t>
            </w:r>
            <w:r>
              <w:rPr>
                <w:rFonts w:hint="eastAsia"/>
                <w:highlight w:val="none"/>
              </w:rPr>
              <w:t>收集后定期拉运至库尔勒南市区污水处理厂</w:t>
            </w:r>
            <w:r>
              <w:rPr>
                <w:rFonts w:hint="eastAsia"/>
                <w:highlight w:val="none"/>
                <w:lang w:eastAsia="zh-CN"/>
              </w:rPr>
              <w:t>。</w:t>
            </w:r>
          </w:p>
        </w:tc>
        <w:tc>
          <w:tcPr>
            <w:tcW w:w="1936" w:type="dxa"/>
            <w:noWrap w:val="0"/>
            <w:vAlign w:val="center"/>
          </w:tcPr>
          <w:p>
            <w:pPr>
              <w:pStyle w:val="60"/>
              <w:ind w:left="0" w:leftChars="0" w:firstLine="0" w:firstLineChars="0"/>
              <w:rPr>
                <w:rFonts w:hint="eastAsia" w:ascii="宋体" w:hAnsi="宋体" w:eastAsia="宋体" w:cs="宋体"/>
                <w:szCs w:val="21"/>
                <w:lang w:eastAsia="zh-CN"/>
              </w:rPr>
            </w:pPr>
            <w:r>
              <w:rPr>
                <w:rFonts w:hint="eastAsia"/>
              </w:rPr>
              <w:t>《污水综合排放标准》</w:t>
            </w:r>
            <w:r>
              <w:rPr>
                <w:rFonts w:hint="eastAsia"/>
                <w:lang w:eastAsia="zh-CN"/>
              </w:rPr>
              <w:t>（</w:t>
            </w:r>
            <w:r>
              <w:rPr>
                <w:rFonts w:hint="eastAsia"/>
              </w:rPr>
              <w:t>GB8978-1996</w:t>
            </w:r>
            <w:r>
              <w:rPr>
                <w:rFonts w:hint="eastAsia"/>
                <w:lang w:eastAsia="zh-CN"/>
              </w:rPr>
              <w:t>）</w:t>
            </w:r>
            <w:r>
              <w:rPr>
                <w:rFonts w:hint="eastAsia"/>
              </w:rPr>
              <w:t>表4中三级标准</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vMerge w:val="continue"/>
            <w:noWrap w:val="0"/>
            <w:vAlign w:val="center"/>
          </w:tcPr>
          <w:p>
            <w:pPr>
              <w:adjustRightInd w:val="0"/>
              <w:snapToGrid w:val="0"/>
              <w:jc w:val="center"/>
              <w:rPr>
                <w:rFonts w:hint="eastAsia" w:ascii="宋体" w:hAnsi="宋体" w:cs="宋体"/>
                <w:szCs w:val="21"/>
              </w:rPr>
            </w:pPr>
          </w:p>
        </w:tc>
        <w:tc>
          <w:tcPr>
            <w:tcW w:w="1572" w:type="dxa"/>
            <w:noWrap w:val="0"/>
            <w:vAlign w:val="center"/>
          </w:tcPr>
          <w:p>
            <w:pPr>
              <w:adjustRightInd w:val="0"/>
              <w:snapToGrid w:val="0"/>
              <w:spacing w:line="240" w:lineRule="auto"/>
              <w:ind w:firstLine="0" w:firstLineChars="0"/>
              <w:jc w:val="center"/>
              <w:textAlignment w:val="auto"/>
              <w:rPr>
                <w:rFonts w:hint="eastAsia" w:ascii="宋体" w:hAnsi="宋体" w:cs="宋体"/>
                <w:szCs w:val="21"/>
              </w:rPr>
            </w:pPr>
            <w:r>
              <w:rPr>
                <w:rFonts w:hint="eastAsia" w:cs="Times New Roman"/>
                <w:sz w:val="21"/>
                <w:szCs w:val="21"/>
              </w:rPr>
              <w:t>清洗废水</w:t>
            </w:r>
          </w:p>
        </w:tc>
        <w:tc>
          <w:tcPr>
            <w:tcW w:w="1474" w:type="dxa"/>
            <w:noWrap w:val="0"/>
            <w:vAlign w:val="center"/>
          </w:tcPr>
          <w:p>
            <w:pPr>
              <w:adjustRightInd w:val="0"/>
              <w:snapToGrid w:val="0"/>
              <w:spacing w:line="240" w:lineRule="auto"/>
              <w:ind w:firstLine="0" w:firstLineChars="0"/>
              <w:jc w:val="center"/>
              <w:textAlignment w:val="auto"/>
              <w:rPr>
                <w:rFonts w:hint="eastAsia" w:ascii="宋体" w:hAnsi="宋体" w:cs="宋体"/>
                <w:szCs w:val="21"/>
              </w:rPr>
            </w:pPr>
            <w:r>
              <w:rPr>
                <w:rFonts w:hint="eastAsia" w:cs="Times New Roman"/>
                <w:sz w:val="21"/>
                <w:szCs w:val="21"/>
              </w:rPr>
              <w:t>S</w:t>
            </w:r>
            <w:r>
              <w:rPr>
                <w:rFonts w:cs="Times New Roman"/>
                <w:sz w:val="21"/>
                <w:szCs w:val="21"/>
              </w:rPr>
              <w:t>S</w:t>
            </w:r>
          </w:p>
        </w:tc>
        <w:tc>
          <w:tcPr>
            <w:tcW w:w="2276" w:type="dxa"/>
            <w:noWrap w:val="0"/>
            <w:vAlign w:val="center"/>
          </w:tcPr>
          <w:p>
            <w:pPr>
              <w:pStyle w:val="60"/>
              <w:ind w:left="0" w:leftChars="0" w:firstLine="0" w:firstLineChars="0"/>
              <w:rPr>
                <w:rFonts w:hint="eastAsia" w:ascii="宋体" w:hAnsi="宋体" w:eastAsia="宋体" w:cs="宋体"/>
                <w:szCs w:val="21"/>
                <w:lang w:eastAsia="zh-CN"/>
              </w:rPr>
            </w:pPr>
            <w:r>
              <w:rPr>
                <w:rFonts w:hint="eastAsia"/>
              </w:rPr>
              <w:t>罐车、搅拌机清洗废水排入三级沉淀池（</w:t>
            </w:r>
            <w:r>
              <w:rPr>
                <w:rFonts w:hint="eastAsia"/>
                <w:lang w:val="en-US" w:eastAsia="zh-CN"/>
              </w:rPr>
              <w:t>76</w:t>
            </w:r>
            <w:r>
              <w:rPr>
                <w:rFonts w:hint="eastAsia"/>
              </w:rPr>
              <w:t>m</w:t>
            </w:r>
            <w:r>
              <w:rPr>
                <w:vertAlign w:val="superscript"/>
              </w:rPr>
              <w:t>3</w:t>
            </w:r>
            <w:r>
              <w:rPr>
                <w:rFonts w:hint="eastAsia"/>
              </w:rPr>
              <w:t>），回用于洒水抑尘</w:t>
            </w:r>
            <w:r>
              <w:rPr>
                <w:rFonts w:hint="eastAsia"/>
                <w:lang w:eastAsia="zh-CN"/>
              </w:rPr>
              <w:t>。</w:t>
            </w:r>
          </w:p>
        </w:tc>
        <w:tc>
          <w:tcPr>
            <w:tcW w:w="1936" w:type="dxa"/>
            <w:noWrap w:val="0"/>
            <w:vAlign w:val="center"/>
          </w:tcPr>
          <w:p>
            <w:pPr>
              <w:pStyle w:val="60"/>
              <w:ind w:left="0" w:leftChars="0" w:firstLine="0" w:firstLineChars="0"/>
              <w:rPr>
                <w:rFonts w:hint="eastAsia" w:ascii="宋体" w:hAnsi="宋体" w:eastAsia="宋体" w:cs="宋体"/>
                <w:szCs w:val="21"/>
                <w:lang w:eastAsia="zh-CN"/>
              </w:rPr>
            </w:pPr>
            <w:r>
              <w:rPr>
                <w:rFonts w:hint="eastAsia"/>
                <w:lang w:val="en-US" w:eastAsia="zh-CN"/>
              </w:rPr>
              <w:t>回用</w:t>
            </w:r>
            <w:r>
              <w:rPr>
                <w:rFonts w:hint="eastAsia"/>
              </w:rPr>
              <w:t>不外排</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声环境</w:t>
            </w:r>
          </w:p>
        </w:tc>
        <w:tc>
          <w:tcPr>
            <w:tcW w:w="1572" w:type="dxa"/>
            <w:noWrap w:val="0"/>
            <w:vAlign w:val="center"/>
          </w:tcPr>
          <w:p>
            <w:pPr>
              <w:adjustRightInd w:val="0"/>
              <w:snapToGrid w:val="0"/>
              <w:spacing w:line="240" w:lineRule="auto"/>
              <w:ind w:firstLine="0" w:firstLineChars="0"/>
              <w:jc w:val="center"/>
              <w:textAlignment w:val="auto"/>
              <w:rPr>
                <w:rFonts w:hint="eastAsia" w:ascii="宋体" w:hAnsi="宋体" w:cs="宋体"/>
                <w:szCs w:val="21"/>
              </w:rPr>
            </w:pPr>
            <w:r>
              <w:rPr>
                <w:rFonts w:hint="eastAsia" w:cs="Times New Roman"/>
                <w:sz w:val="21"/>
                <w:szCs w:val="21"/>
              </w:rPr>
              <w:t>设备噪声</w:t>
            </w:r>
          </w:p>
        </w:tc>
        <w:tc>
          <w:tcPr>
            <w:tcW w:w="1474" w:type="dxa"/>
            <w:noWrap w:val="0"/>
            <w:vAlign w:val="center"/>
          </w:tcPr>
          <w:p>
            <w:pPr>
              <w:adjustRightInd w:val="0"/>
              <w:snapToGrid w:val="0"/>
              <w:spacing w:line="240" w:lineRule="auto"/>
              <w:ind w:firstLine="0" w:firstLineChars="0"/>
              <w:jc w:val="center"/>
              <w:textAlignment w:val="auto"/>
              <w:rPr>
                <w:rFonts w:hint="eastAsia" w:ascii="宋体" w:hAnsi="宋体" w:cs="宋体"/>
                <w:szCs w:val="21"/>
              </w:rPr>
            </w:pPr>
            <w:r>
              <w:rPr>
                <w:rFonts w:hint="eastAsia" w:cs="Times New Roman"/>
                <w:sz w:val="21"/>
                <w:szCs w:val="21"/>
              </w:rPr>
              <w:t>噪声</w:t>
            </w:r>
          </w:p>
        </w:tc>
        <w:tc>
          <w:tcPr>
            <w:tcW w:w="2276" w:type="dxa"/>
            <w:noWrap w:val="0"/>
            <w:vAlign w:val="center"/>
          </w:tcPr>
          <w:p>
            <w:pPr>
              <w:pStyle w:val="60"/>
              <w:ind w:left="0" w:leftChars="0" w:firstLine="0" w:firstLineChars="0"/>
              <w:rPr>
                <w:rFonts w:hint="eastAsia" w:ascii="宋体" w:hAnsi="宋体" w:eastAsia="宋体" w:cs="宋体"/>
                <w:szCs w:val="21"/>
                <w:lang w:eastAsia="zh-CN"/>
              </w:rPr>
            </w:pPr>
            <w:r>
              <w:rPr>
                <w:rFonts w:hint="eastAsia"/>
              </w:rPr>
              <w:t>合理布置产噪设备，优化设备选型，设置基础减振，加强设备的检修和维护</w:t>
            </w:r>
            <w:r>
              <w:rPr>
                <w:rFonts w:hint="eastAsia"/>
                <w:lang w:eastAsia="zh-CN"/>
              </w:rPr>
              <w:t>。</w:t>
            </w:r>
          </w:p>
        </w:tc>
        <w:tc>
          <w:tcPr>
            <w:tcW w:w="1936" w:type="dxa"/>
            <w:noWrap w:val="0"/>
            <w:vAlign w:val="center"/>
          </w:tcPr>
          <w:p>
            <w:pPr>
              <w:adjustRightInd w:val="0"/>
              <w:snapToGrid w:val="0"/>
              <w:spacing w:line="240" w:lineRule="auto"/>
              <w:ind w:firstLine="0" w:firstLineChars="0"/>
              <w:jc w:val="center"/>
              <w:textAlignment w:val="auto"/>
              <w:rPr>
                <w:rFonts w:hint="eastAsia" w:ascii="宋体" w:hAnsi="宋体" w:eastAsia="宋体" w:cs="宋体"/>
                <w:szCs w:val="21"/>
                <w:lang w:eastAsia="zh-CN"/>
              </w:rPr>
            </w:pPr>
            <w:r>
              <w:rPr>
                <w:rFonts w:hint="eastAsia" w:cs="Times New Roman"/>
                <w:sz w:val="21"/>
                <w:szCs w:val="21"/>
              </w:rPr>
              <w:t>《工业企业厂界环境噪声排放标准》（</w:t>
            </w:r>
            <w:r>
              <w:rPr>
                <w:rFonts w:cs="Times New Roman"/>
                <w:sz w:val="21"/>
                <w:szCs w:val="21"/>
              </w:rPr>
              <w:t>GB12348—2008</w:t>
            </w:r>
            <w:r>
              <w:rPr>
                <w:rFonts w:hint="eastAsia" w:cs="Times New Roman"/>
                <w:sz w:val="21"/>
                <w:szCs w:val="21"/>
              </w:rPr>
              <w:t>）</w:t>
            </w:r>
            <w:r>
              <w:rPr>
                <w:rFonts w:hint="eastAsia" w:cs="Times New Roman"/>
                <w:sz w:val="21"/>
                <w:szCs w:val="21"/>
                <w:lang w:val="en-US" w:eastAsia="zh-CN"/>
              </w:rPr>
              <w:t>3</w:t>
            </w:r>
            <w:r>
              <w:rPr>
                <w:rFonts w:hint="eastAsia" w:cs="Times New Roman"/>
                <w:sz w:val="21"/>
                <w:szCs w:val="21"/>
              </w:rPr>
              <w:t>类标准</w:t>
            </w:r>
            <w:r>
              <w:rPr>
                <w:rFonts w:hint="eastAsia" w:cs="Times New Roman"/>
                <w:sz w:val="21"/>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2"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电磁辐射</w:t>
            </w:r>
          </w:p>
        </w:tc>
        <w:tc>
          <w:tcPr>
            <w:tcW w:w="1572" w:type="dxa"/>
            <w:noWrap w:val="0"/>
            <w:vAlign w:val="center"/>
          </w:tcPr>
          <w:p>
            <w:pPr>
              <w:adjustRightInd w:val="0"/>
              <w:snapToGrid w:val="0"/>
              <w:spacing w:line="240" w:lineRule="auto"/>
              <w:ind w:firstLine="0" w:firstLineChars="0"/>
              <w:jc w:val="center"/>
              <w:textAlignment w:val="auto"/>
              <w:rPr>
                <w:rFonts w:hint="eastAsia" w:ascii="宋体" w:hAnsi="宋体" w:cs="宋体"/>
                <w:szCs w:val="21"/>
              </w:rPr>
            </w:pPr>
            <w:r>
              <w:rPr>
                <w:rFonts w:hint="eastAsia" w:cs="Times New Roman"/>
                <w:sz w:val="21"/>
                <w:szCs w:val="21"/>
              </w:rPr>
              <w:t>/</w:t>
            </w:r>
          </w:p>
        </w:tc>
        <w:tc>
          <w:tcPr>
            <w:tcW w:w="1474" w:type="dxa"/>
            <w:noWrap w:val="0"/>
            <w:vAlign w:val="center"/>
          </w:tcPr>
          <w:p>
            <w:pPr>
              <w:adjustRightInd w:val="0"/>
              <w:snapToGrid w:val="0"/>
              <w:spacing w:line="240" w:lineRule="auto"/>
              <w:ind w:firstLine="0" w:firstLineChars="0"/>
              <w:jc w:val="center"/>
              <w:textAlignment w:val="auto"/>
              <w:rPr>
                <w:rFonts w:hint="eastAsia" w:ascii="宋体" w:hAnsi="宋体" w:cs="宋体"/>
                <w:szCs w:val="21"/>
              </w:rPr>
            </w:pPr>
            <w:r>
              <w:rPr>
                <w:rFonts w:hint="eastAsia" w:cs="Times New Roman"/>
                <w:sz w:val="21"/>
                <w:szCs w:val="21"/>
              </w:rPr>
              <w:t>/</w:t>
            </w:r>
          </w:p>
        </w:tc>
        <w:tc>
          <w:tcPr>
            <w:tcW w:w="2276" w:type="dxa"/>
            <w:noWrap w:val="0"/>
            <w:vAlign w:val="center"/>
          </w:tcPr>
          <w:p>
            <w:pPr>
              <w:adjustRightInd w:val="0"/>
              <w:snapToGrid w:val="0"/>
              <w:spacing w:line="240" w:lineRule="auto"/>
              <w:ind w:firstLine="0" w:firstLineChars="0"/>
              <w:jc w:val="center"/>
              <w:textAlignment w:val="auto"/>
              <w:rPr>
                <w:rFonts w:hint="eastAsia" w:ascii="宋体" w:hAnsi="宋体" w:cs="宋体"/>
                <w:szCs w:val="21"/>
              </w:rPr>
            </w:pPr>
            <w:r>
              <w:rPr>
                <w:rFonts w:hint="eastAsia" w:cs="Times New Roman"/>
                <w:sz w:val="21"/>
                <w:szCs w:val="21"/>
              </w:rPr>
              <w:t>/</w:t>
            </w:r>
          </w:p>
        </w:tc>
        <w:tc>
          <w:tcPr>
            <w:tcW w:w="1936" w:type="dxa"/>
            <w:noWrap w:val="0"/>
            <w:vAlign w:val="center"/>
          </w:tcPr>
          <w:p>
            <w:pPr>
              <w:adjustRightInd w:val="0"/>
              <w:snapToGrid w:val="0"/>
              <w:spacing w:line="240" w:lineRule="auto"/>
              <w:ind w:firstLine="0" w:firstLineChars="0"/>
              <w:jc w:val="center"/>
              <w:textAlignment w:val="auto"/>
              <w:rPr>
                <w:rFonts w:hint="eastAsia" w:ascii="宋体" w:hAnsi="宋体" w:cs="宋体"/>
                <w:szCs w:val="21"/>
              </w:rPr>
            </w:pPr>
            <w:r>
              <w:rPr>
                <w:rFonts w:hint="eastAsia" w:cs="Times New Roman"/>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42"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固体废物</w:t>
            </w:r>
          </w:p>
        </w:tc>
        <w:tc>
          <w:tcPr>
            <w:tcW w:w="7258" w:type="dxa"/>
            <w:gridSpan w:val="4"/>
            <w:noWrap w:val="0"/>
            <w:vAlign w:val="center"/>
          </w:tcPr>
          <w:p>
            <w:pPr>
              <w:adjustRightInd w:val="0"/>
              <w:snapToGrid w:val="0"/>
              <w:spacing w:line="240" w:lineRule="auto"/>
              <w:ind w:firstLine="420" w:firstLineChars="200"/>
              <w:textAlignment w:val="auto"/>
              <w:rPr>
                <w:rFonts w:hint="default" w:ascii="宋体" w:hAnsi="宋体" w:eastAsia="宋体" w:cs="宋体"/>
                <w:szCs w:val="21"/>
                <w:lang w:val="en-US" w:eastAsia="zh-CN"/>
              </w:rPr>
            </w:pPr>
            <w:r>
              <w:rPr>
                <w:rFonts w:hint="eastAsia" w:cs="Times New Roman"/>
                <w:sz w:val="21"/>
                <w:szCs w:val="21"/>
              </w:rPr>
              <w:t>除尘器收尘灰收集后作为回用于生产，</w:t>
            </w:r>
            <w:r>
              <w:rPr>
                <w:rFonts w:hint="eastAsia"/>
              </w:rPr>
              <w:t>废旧滤袋厂家回收</w:t>
            </w:r>
            <w:r>
              <w:rPr>
                <w:rFonts w:hint="eastAsia" w:cs="Times New Roman"/>
                <w:sz w:val="21"/>
                <w:szCs w:val="21"/>
              </w:rPr>
              <w:t>。罐车、搅拌机废料</w:t>
            </w:r>
            <w:r>
              <w:rPr>
                <w:rFonts w:hint="eastAsia" w:cs="Times New Roman"/>
                <w:sz w:val="21"/>
                <w:szCs w:val="21"/>
                <w:lang w:eastAsia="zh-CN"/>
              </w:rPr>
              <w:t>及</w:t>
            </w:r>
            <w:r>
              <w:rPr>
                <w:rFonts w:hint="eastAsia" w:cs="Times New Roman"/>
                <w:sz w:val="21"/>
                <w:szCs w:val="21"/>
              </w:rPr>
              <w:t>沉淀池沉渣经收集后外运至砂石料场综合利用，</w:t>
            </w:r>
            <w:r>
              <w:rPr>
                <w:rFonts w:hint="eastAsia" w:cs="Times New Roman"/>
                <w:sz w:val="21"/>
                <w:szCs w:val="21"/>
                <w:highlight w:val="none"/>
                <w:lang w:val="en-US" w:eastAsia="zh-CN"/>
              </w:rPr>
              <w:t>实验室固废以及</w:t>
            </w:r>
            <w:r>
              <w:rPr>
                <w:rFonts w:hint="eastAsia" w:cs="Times New Roman"/>
                <w:sz w:val="21"/>
                <w:szCs w:val="21"/>
                <w:highlight w:val="none"/>
              </w:rPr>
              <w:t>生活垃圾集中收集由环卫部门定期清运</w:t>
            </w:r>
            <w:r>
              <w:rPr>
                <w:rFonts w:hint="eastAsia" w:cs="Times New Roman"/>
                <w:sz w:val="21"/>
                <w:szCs w:val="21"/>
                <w:highlight w:val="none"/>
                <w:lang w:eastAsia="zh-CN"/>
              </w:rPr>
              <w:t>，</w:t>
            </w:r>
            <w:r>
              <w:rPr>
                <w:rFonts w:hint="eastAsia" w:cs="Times New Roman"/>
                <w:sz w:val="21"/>
                <w:szCs w:val="21"/>
                <w:highlight w:val="none"/>
                <w:lang w:val="en-US" w:eastAsia="zh-CN"/>
              </w:rPr>
              <w:t>废机油属于危险废物，交由有处理资质的单位定期拉运处理。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42"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土壤及地下水</w:t>
            </w:r>
          </w:p>
          <w:p>
            <w:pPr>
              <w:adjustRightInd w:val="0"/>
              <w:snapToGrid w:val="0"/>
              <w:jc w:val="center"/>
              <w:rPr>
                <w:rFonts w:hint="eastAsia" w:ascii="宋体" w:hAnsi="宋体" w:cs="宋体"/>
                <w:szCs w:val="21"/>
              </w:rPr>
            </w:pPr>
            <w:r>
              <w:rPr>
                <w:rFonts w:hint="eastAsia" w:ascii="宋体" w:hAnsi="宋体" w:cs="宋体"/>
                <w:szCs w:val="21"/>
              </w:rPr>
              <w:t>污染防治措施</w:t>
            </w:r>
          </w:p>
        </w:tc>
        <w:tc>
          <w:tcPr>
            <w:tcW w:w="7258" w:type="dxa"/>
            <w:gridSpan w:val="4"/>
            <w:noWrap w:val="0"/>
            <w:vAlign w:val="center"/>
          </w:tcPr>
          <w:p>
            <w:pPr>
              <w:pStyle w:val="11"/>
              <w:ind w:firstLine="420" w:firstLineChars="200"/>
              <w:rPr>
                <w:rFonts w:hint="eastAsia" w:ascii="宋体" w:hAnsi="宋体" w:cs="宋体"/>
                <w:szCs w:val="21"/>
              </w:rPr>
            </w:pPr>
            <w:r>
              <w:rPr>
                <w:rFonts w:hint="eastAsia" w:ascii="Times New Roman" w:hAnsi="Times New Roman" w:eastAsia="宋体" w:cs="Times New Roman"/>
                <w:kern w:val="2"/>
                <w:sz w:val="21"/>
                <w:szCs w:val="21"/>
                <w:lang w:val="en-US" w:eastAsia="zh-CN" w:bidi="ar-SA"/>
              </w:rPr>
              <w:t>划分一般防渗区、重点防渗区、简单防渗区，防渗区则应按照不同分区要求，采取不同等级的防渗措施，并确保其可靠性和有效性</w:t>
            </w:r>
            <w:r>
              <w:rPr>
                <w:rFonts w:hint="eastAsia" w:cs="Times New Roman"/>
                <w:kern w:val="2"/>
                <w:sz w:val="21"/>
                <w:szCs w:val="21"/>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42" w:type="dxa"/>
            <w:noWrap w:val="0"/>
            <w:vAlign w:val="center"/>
          </w:tcPr>
          <w:p>
            <w:pPr>
              <w:adjustRightInd w:val="0"/>
              <w:snapToGrid w:val="0"/>
              <w:jc w:val="center"/>
              <w:rPr>
                <w:rFonts w:hint="eastAsia" w:ascii="宋体" w:hAnsi="宋体" w:cs="宋体"/>
                <w:szCs w:val="21"/>
              </w:rPr>
            </w:pPr>
            <w:r>
              <w:rPr>
                <w:rFonts w:hint="eastAsia" w:ascii="宋体" w:hAnsi="宋体" w:cs="宋体"/>
                <w:szCs w:val="21"/>
              </w:rPr>
              <w:t>生态保护措施</w:t>
            </w:r>
          </w:p>
        </w:tc>
        <w:tc>
          <w:tcPr>
            <w:tcW w:w="7258" w:type="dxa"/>
            <w:gridSpan w:val="4"/>
            <w:noWrap w:val="0"/>
            <w:vAlign w:val="center"/>
          </w:tcPr>
          <w:p>
            <w:pPr>
              <w:adjustRightInd w:val="0"/>
              <w:snapToGrid w:val="0"/>
              <w:spacing w:line="240" w:lineRule="auto"/>
              <w:ind w:firstLine="0" w:firstLineChars="0"/>
              <w:jc w:val="center"/>
              <w:textAlignment w:val="auto"/>
              <w:rPr>
                <w:rFonts w:hint="eastAsia" w:ascii="宋体" w:hAnsi="宋体" w:cs="宋体"/>
                <w:szCs w:val="21"/>
              </w:rPr>
            </w:pPr>
            <w:r>
              <w:rPr>
                <w:rFonts w:hint="eastAsia" w:ascii="宋体" w:hAnsi="宋体" w:cs="宋体"/>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42" w:type="dxa"/>
            <w:noWrap w:val="0"/>
            <w:vAlign w:val="center"/>
          </w:tcPr>
          <w:p>
            <w:pPr>
              <w:adjustRightInd w:val="0"/>
              <w:snapToGrid w:val="0"/>
              <w:jc w:val="center"/>
              <w:rPr>
                <w:rFonts w:ascii="宋体" w:hAnsi="宋体" w:cs="宋体"/>
                <w:spacing w:val="-8"/>
                <w:szCs w:val="21"/>
              </w:rPr>
            </w:pPr>
            <w:r>
              <w:rPr>
                <w:rFonts w:hint="eastAsia" w:ascii="宋体" w:hAnsi="宋体" w:cs="宋体"/>
                <w:spacing w:val="-8"/>
                <w:szCs w:val="21"/>
              </w:rPr>
              <w:t>环境风险</w:t>
            </w:r>
          </w:p>
          <w:p>
            <w:pPr>
              <w:adjustRightInd w:val="0"/>
              <w:snapToGrid w:val="0"/>
              <w:jc w:val="center"/>
              <w:rPr>
                <w:rFonts w:hint="eastAsia" w:ascii="宋体" w:hAnsi="宋体" w:cs="宋体"/>
                <w:spacing w:val="-8"/>
                <w:szCs w:val="21"/>
              </w:rPr>
            </w:pPr>
            <w:r>
              <w:rPr>
                <w:rFonts w:hint="eastAsia" w:ascii="宋体" w:hAnsi="宋体" w:cs="宋体"/>
                <w:spacing w:val="-8"/>
                <w:szCs w:val="21"/>
              </w:rPr>
              <w:t>防范措施</w:t>
            </w:r>
          </w:p>
        </w:tc>
        <w:tc>
          <w:tcPr>
            <w:tcW w:w="725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szCs w:val="21"/>
              </w:rPr>
            </w:pPr>
            <w:r>
              <w:rPr>
                <w:rFonts w:hint="default" w:ascii="Times New Roman" w:hAnsi="Times New Roman" w:cs="Times New Roman"/>
                <w:szCs w:val="21"/>
              </w:rPr>
              <w:t>项目总图布置符合《工业企业总平面设计规范》</w:t>
            </w:r>
            <w:r>
              <w:rPr>
                <w:rFonts w:hint="eastAsia" w:cs="Times New Roman"/>
                <w:szCs w:val="21"/>
                <w:lang w:eastAsia="zh-CN"/>
              </w:rPr>
              <w:t>（</w:t>
            </w:r>
            <w:r>
              <w:rPr>
                <w:rFonts w:hint="default" w:ascii="Times New Roman" w:hAnsi="Times New Roman" w:cs="Times New Roman"/>
                <w:szCs w:val="21"/>
              </w:rPr>
              <w:t>GB50178-93</w:t>
            </w:r>
            <w:r>
              <w:rPr>
                <w:rFonts w:hint="eastAsia" w:cs="Times New Roman"/>
                <w:szCs w:val="21"/>
                <w:lang w:eastAsia="zh-CN"/>
              </w:rPr>
              <w:t>）</w:t>
            </w:r>
            <w:r>
              <w:rPr>
                <w:rFonts w:hint="default" w:ascii="Times New Roman" w:hAnsi="Times New Roman" w:cs="Times New Roman"/>
                <w:szCs w:val="21"/>
              </w:rPr>
              <w:t>、《建筑设计防火规范》</w:t>
            </w:r>
            <w:r>
              <w:rPr>
                <w:rFonts w:hint="eastAsia" w:cs="Times New Roman"/>
                <w:szCs w:val="21"/>
                <w:lang w:eastAsia="zh-CN"/>
              </w:rPr>
              <w:t>（</w:t>
            </w:r>
            <w:r>
              <w:rPr>
                <w:rFonts w:hint="default" w:ascii="Times New Roman" w:hAnsi="Times New Roman" w:cs="Times New Roman"/>
                <w:szCs w:val="21"/>
              </w:rPr>
              <w:t>GB50016-2006</w:t>
            </w:r>
            <w:r>
              <w:rPr>
                <w:rFonts w:hint="eastAsia" w:cs="Times New Roman"/>
                <w:szCs w:val="21"/>
                <w:lang w:eastAsia="zh-CN"/>
              </w:rPr>
              <w:t>）</w:t>
            </w:r>
            <w:r>
              <w:rPr>
                <w:rFonts w:hint="default" w:ascii="Times New Roman" w:hAnsi="Times New Roman" w:cs="Times New Roman"/>
                <w:szCs w:val="21"/>
              </w:rPr>
              <w:t>等有关规定，满足生产工艺要求，同时满足安全、消防等有关标准规范的要求；</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szCs w:val="21"/>
              </w:rPr>
            </w:pPr>
            <w:r>
              <w:rPr>
                <w:rFonts w:hint="default" w:ascii="Times New Roman" w:hAnsi="Times New Roman" w:cs="Times New Roman"/>
                <w:szCs w:val="21"/>
              </w:rPr>
              <w:t>生产区域应进行一般防渗处理，杜绝因出现“跑、冒、滴、漏”等问题造成土壤和地下水污染；危险废物贮存满足《危险废物贮存污染控制标准》</w:t>
            </w:r>
            <w:r>
              <w:rPr>
                <w:rFonts w:hint="default" w:ascii="Times New Roman" w:hAnsi="Times New Roman" w:cs="Times New Roman"/>
                <w:szCs w:val="21"/>
                <w:lang w:eastAsia="zh-CN"/>
              </w:rPr>
              <w:t>（</w:t>
            </w:r>
            <w:r>
              <w:rPr>
                <w:rFonts w:hint="default" w:ascii="Times New Roman" w:hAnsi="Times New Roman" w:cs="Times New Roman"/>
                <w:szCs w:val="21"/>
              </w:rPr>
              <w:t>GB18597-20</w:t>
            </w:r>
            <w:r>
              <w:rPr>
                <w:rFonts w:hint="eastAsia" w:ascii="Times New Roman" w:hAnsi="Times New Roman" w:cs="Times New Roman"/>
                <w:szCs w:val="21"/>
                <w:lang w:val="en-US" w:eastAsia="zh-CN"/>
              </w:rPr>
              <w:t>23</w:t>
            </w:r>
            <w:r>
              <w:rPr>
                <w:rFonts w:hint="default" w:ascii="Times New Roman" w:hAnsi="Times New Roman" w:cs="Times New Roman"/>
                <w:szCs w:val="21"/>
                <w:lang w:eastAsia="zh-CN"/>
              </w:rPr>
              <w:t>）</w:t>
            </w:r>
            <w:r>
              <w:rPr>
                <w:rFonts w:hint="default" w:ascii="Times New Roman" w:hAnsi="Times New Roman" w:cs="Times New Roman"/>
                <w:szCs w:val="21"/>
              </w:rPr>
              <w:t>；</w:t>
            </w:r>
          </w:p>
          <w:p>
            <w:pPr>
              <w:adjustRightInd w:val="0"/>
              <w:snapToGrid w:val="0"/>
              <w:spacing w:line="240" w:lineRule="auto"/>
              <w:ind w:firstLine="420" w:firstLineChars="200"/>
              <w:jc w:val="both"/>
              <w:textAlignment w:val="auto"/>
              <w:rPr>
                <w:rFonts w:hint="eastAsia" w:ascii="宋体" w:hAnsi="宋体" w:cs="宋体"/>
                <w:szCs w:val="21"/>
              </w:rPr>
            </w:pPr>
            <w:r>
              <w:rPr>
                <w:rFonts w:hint="default" w:ascii="Times New Roman" w:hAnsi="Times New Roman" w:cs="Times New Roman"/>
                <w:szCs w:val="21"/>
              </w:rPr>
              <w:t>规范操作流程，加强环境管理，加强员工的责任心和</w:t>
            </w:r>
            <w:r>
              <w:rPr>
                <w:rFonts w:hint="eastAsia" w:cs="Times New Roman"/>
                <w:szCs w:val="21"/>
                <w:lang w:eastAsia="zh-CN"/>
              </w:rPr>
              <w:t>主观能动性</w:t>
            </w:r>
            <w:r>
              <w:rPr>
                <w:rFonts w:hint="default" w:ascii="Times New Roman" w:hAnsi="Times New Roman" w:cs="Times New Roman"/>
                <w:szCs w:val="21"/>
              </w:rPr>
              <w:t>；建立一套完善的安全管理制度，执行工业安全卫生、劳动保护、环保、消防等相关规定</w:t>
            </w:r>
            <w:r>
              <w:rPr>
                <w:rFonts w:hint="eastAsia" w:cs="Times New Roman"/>
                <w:sz w:val="21"/>
                <w:szCs w:val="21"/>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542" w:type="dxa"/>
            <w:noWrap w:val="0"/>
            <w:vAlign w:val="center"/>
          </w:tcPr>
          <w:p>
            <w:pPr>
              <w:adjustRightInd w:val="0"/>
              <w:snapToGrid w:val="0"/>
              <w:jc w:val="center"/>
              <w:rPr>
                <w:rFonts w:ascii="宋体" w:hAnsi="宋体" w:cs="宋体"/>
                <w:spacing w:val="-8"/>
                <w:szCs w:val="21"/>
                <w:highlight w:val="none"/>
              </w:rPr>
            </w:pPr>
            <w:r>
              <w:rPr>
                <w:rFonts w:hint="eastAsia" w:ascii="宋体" w:hAnsi="宋体" w:cs="宋体"/>
                <w:spacing w:val="-8"/>
                <w:szCs w:val="21"/>
                <w:highlight w:val="none"/>
              </w:rPr>
              <w:t>其他环境</w:t>
            </w:r>
          </w:p>
          <w:p>
            <w:pPr>
              <w:adjustRightInd w:val="0"/>
              <w:snapToGrid w:val="0"/>
              <w:jc w:val="center"/>
              <w:rPr>
                <w:rFonts w:hint="eastAsia" w:ascii="宋体" w:hAnsi="宋体" w:cs="宋体"/>
                <w:spacing w:val="-8"/>
                <w:szCs w:val="21"/>
                <w:highlight w:val="green"/>
              </w:rPr>
            </w:pPr>
            <w:r>
              <w:rPr>
                <w:rFonts w:hint="eastAsia" w:ascii="宋体" w:hAnsi="宋体" w:cs="宋体"/>
                <w:spacing w:val="-8"/>
                <w:szCs w:val="21"/>
                <w:highlight w:val="none"/>
              </w:rPr>
              <w:t>管理要求</w:t>
            </w:r>
          </w:p>
        </w:tc>
        <w:tc>
          <w:tcPr>
            <w:tcW w:w="725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ind w:firstLine="422" w:firstLineChars="200"/>
              <w:jc w:val="left"/>
              <w:textAlignment w:val="auto"/>
              <w:rPr>
                <w:rFonts w:hint="eastAsia" w:ascii="Times New Roman" w:hAnsi="Times New Roman" w:eastAsia="宋体" w:cs="Times New Roman"/>
                <w:b/>
                <w:bCs/>
                <w:szCs w:val="21"/>
              </w:rPr>
            </w:pPr>
            <w:r>
              <w:rPr>
                <w:rFonts w:hint="eastAsia" w:ascii="Times New Roman" w:hAnsi="Times New Roman" w:eastAsia="宋体" w:cs="Times New Roman"/>
                <w:b/>
                <w:bCs/>
                <w:szCs w:val="21"/>
              </w:rPr>
              <w:t>1</w:t>
            </w:r>
            <w:r>
              <w:rPr>
                <w:rFonts w:hint="eastAsia" w:ascii="Times New Roman" w:hAnsi="Times New Roman" w:eastAsia="宋体" w:cs="Times New Roman"/>
                <w:b/>
                <w:bCs/>
                <w:szCs w:val="21"/>
                <w:lang w:val="en-US" w:eastAsia="zh-CN"/>
              </w:rPr>
              <w:t>.</w:t>
            </w:r>
            <w:r>
              <w:rPr>
                <w:rFonts w:hint="eastAsia" w:ascii="Times New Roman" w:hAnsi="Times New Roman" w:eastAsia="宋体" w:cs="Times New Roman"/>
                <w:b/>
                <w:bCs/>
                <w:szCs w:val="21"/>
              </w:rPr>
              <w:t>管理制度</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eastAsia" w:ascii="Times New Roman" w:hAnsi="Times New Roman" w:eastAsia="宋体" w:cs="Times New Roman"/>
                <w:szCs w:val="21"/>
              </w:rPr>
            </w:pPr>
            <w:r>
              <w:rPr>
                <w:rFonts w:hint="eastAsia" w:ascii="Times New Roman" w:hAnsi="Times New Roman" w:eastAsia="宋体" w:cs="Times New Roman"/>
                <w:szCs w:val="21"/>
              </w:rPr>
              <w:t>为了缓解建设项目生产运行期对环境构成的不良影响，在采取</w:t>
            </w:r>
            <w:r>
              <w:rPr>
                <w:rFonts w:hint="eastAsia" w:ascii="Times New Roman" w:hAnsi="Times New Roman" w:eastAsia="宋体" w:cs="Times New Roman"/>
                <w:szCs w:val="21"/>
                <w:lang w:eastAsia="zh-CN"/>
              </w:rPr>
              <w:t>环境治理</w:t>
            </w:r>
            <w:r>
              <w:rPr>
                <w:rFonts w:hint="eastAsia" w:ascii="Times New Roman" w:hAnsi="Times New Roman" w:eastAsia="宋体" w:cs="Times New Roman"/>
                <w:szCs w:val="21"/>
              </w:rPr>
              <w:t>工程措施解决建设项目环境影响的同时，必须制定全面的企业环境管理计划，配备专职环保人员1-2名，负责环境监督管理工作，同时要加强对管理人员的环保培训，不断提高管理水平</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企业排污发生重大变化、污染治理设施改变或生产运行计划改变等都必须向当地</w:t>
            </w:r>
            <w:r>
              <w:rPr>
                <w:rFonts w:hint="eastAsia" w:ascii="Times New Roman" w:hAnsi="Times New Roman" w:eastAsia="宋体" w:cs="Times New Roman"/>
                <w:szCs w:val="21"/>
                <w:lang w:val="en-US" w:eastAsia="zh-CN"/>
              </w:rPr>
              <w:t>生态环境主管部门</w:t>
            </w:r>
            <w:r>
              <w:rPr>
                <w:rFonts w:hint="eastAsia" w:ascii="Times New Roman" w:hAnsi="Times New Roman" w:eastAsia="宋体" w:cs="Times New Roman"/>
                <w:szCs w:val="21"/>
              </w:rPr>
              <w:t>申报，经审批同意后方可实施。对污染治理设施和管理必须与生产经营活动一起纳入企业的日常管理中，要建立岗位责任制，制定操作规程，建立</w:t>
            </w:r>
            <w:r>
              <w:rPr>
                <w:rFonts w:hint="eastAsia" w:ascii="Times New Roman" w:hAnsi="Times New Roman" w:eastAsia="宋体" w:cs="Times New Roman"/>
                <w:szCs w:val="21"/>
                <w:lang w:eastAsia="zh-CN"/>
              </w:rPr>
              <w:t>管理台账</w:t>
            </w:r>
            <w:r>
              <w:rPr>
                <w:rFonts w:hint="eastAsia" w:ascii="Times New Roman" w:hAnsi="Times New Roman" w:eastAsia="宋体" w:cs="Times New Roman"/>
                <w:szCs w:val="21"/>
              </w:rPr>
              <w:t>。</w:t>
            </w:r>
          </w:p>
          <w:p>
            <w:pPr>
              <w:keepNext w:val="0"/>
              <w:keepLines w:val="0"/>
              <w:pageBreakBefore w:val="0"/>
              <w:widowControl w:val="0"/>
              <w:kinsoku/>
              <w:wordWrap/>
              <w:overflowPunct/>
              <w:topLinePunct w:val="0"/>
              <w:autoSpaceDE/>
              <w:autoSpaceDN/>
              <w:bidi w:val="0"/>
              <w:adjustRightInd w:val="0"/>
              <w:snapToGrid w:val="0"/>
              <w:ind w:firstLine="422" w:firstLineChars="200"/>
              <w:jc w:val="left"/>
              <w:textAlignment w:val="auto"/>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2.</w:t>
            </w:r>
            <w:r>
              <w:rPr>
                <w:rFonts w:hint="eastAsia" w:ascii="Times New Roman" w:hAnsi="Times New Roman" w:eastAsia="宋体" w:cs="Times New Roman"/>
                <w:b/>
                <w:bCs/>
                <w:szCs w:val="21"/>
              </w:rPr>
              <w:t>排放口信息化、规范化</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eastAsia" w:ascii="Times New Roman" w:hAnsi="Times New Roman" w:eastAsia="宋体" w:cs="Times New Roman"/>
                <w:szCs w:val="21"/>
              </w:rPr>
            </w:pPr>
            <w:r>
              <w:rPr>
                <w:rFonts w:hint="eastAsia" w:ascii="Times New Roman" w:hAnsi="Times New Roman" w:eastAsia="宋体" w:cs="Times New Roman"/>
                <w:szCs w:val="21"/>
              </w:rPr>
              <w:t>建设项目排气筒采样平台、采样口等内容须按照《排污单位污染物排放口监测点位设置技术规范》（HJ1405-2024）要求设置。</w:t>
            </w:r>
          </w:p>
          <w:p>
            <w:pPr>
              <w:keepNext w:val="0"/>
              <w:keepLines w:val="0"/>
              <w:pageBreakBefore w:val="0"/>
              <w:widowControl w:val="0"/>
              <w:kinsoku/>
              <w:wordWrap/>
              <w:overflowPunct/>
              <w:topLinePunct w:val="0"/>
              <w:autoSpaceDE/>
              <w:autoSpaceDN/>
              <w:bidi w:val="0"/>
              <w:adjustRightInd w:val="0"/>
              <w:snapToGrid w:val="0"/>
              <w:ind w:firstLine="422" w:firstLineChars="200"/>
              <w:jc w:val="left"/>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3.排污申报</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对照《固定污染源排污许可分类管理名录（2019年版）》，本项目属于“二十五、非金属矿物制品业-63石膏、水泥制品及类似制品制造-水泥制品制造3021”，实施登记管理，应当在全国排污许可证管理信息平台填报排污登记表，登记基本信息、污染物排放去向、执行的污染物排放标准以及采取的污染防治措施等信息。</w:t>
            </w:r>
          </w:p>
          <w:p>
            <w:pPr>
              <w:keepNext w:val="0"/>
              <w:keepLines w:val="0"/>
              <w:pageBreakBefore w:val="0"/>
              <w:widowControl w:val="0"/>
              <w:kinsoku/>
              <w:wordWrap/>
              <w:overflowPunct/>
              <w:topLinePunct w:val="0"/>
              <w:autoSpaceDE/>
              <w:autoSpaceDN/>
              <w:bidi w:val="0"/>
              <w:adjustRightInd w:val="0"/>
              <w:snapToGrid w:val="0"/>
              <w:ind w:firstLine="422" w:firstLineChars="200"/>
              <w:jc w:val="left"/>
              <w:textAlignment w:val="auto"/>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4.环境管理台账</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企业应按照行业排污许可管理要求制定管理台账，落实环境管理台账记录的责任部门和责任人，明确工作职责，包括台账的记录、整理、维护和管理等，并对台账记录结果的真实性、完整性和规范性负责，台账保存期限不得少于5年。</w:t>
            </w:r>
          </w:p>
          <w:p>
            <w:pPr>
              <w:keepNext w:val="0"/>
              <w:keepLines w:val="0"/>
              <w:pageBreakBefore w:val="0"/>
              <w:widowControl w:val="0"/>
              <w:kinsoku/>
              <w:wordWrap/>
              <w:overflowPunct/>
              <w:topLinePunct w:val="0"/>
              <w:autoSpaceDE/>
              <w:autoSpaceDN/>
              <w:bidi w:val="0"/>
              <w:adjustRightInd w:val="0"/>
              <w:snapToGrid w:val="0"/>
              <w:ind w:firstLine="422" w:firstLineChars="200"/>
              <w:jc w:val="left"/>
              <w:textAlignment w:val="auto"/>
              <w:rPr>
                <w:rFonts w:hint="eastAsia" w:ascii="Times New Roman" w:hAnsi="Times New Roman" w:eastAsia="宋体" w:cs="Times New Roman"/>
                <w:b/>
                <w:bCs/>
                <w:szCs w:val="21"/>
                <w:lang w:val="en-US" w:eastAsia="zh-CN"/>
              </w:rPr>
            </w:pPr>
            <w:r>
              <w:rPr>
                <w:rFonts w:hint="eastAsia" w:ascii="Times New Roman" w:hAnsi="Times New Roman" w:eastAsia="宋体" w:cs="Times New Roman"/>
                <w:b/>
                <w:bCs/>
                <w:szCs w:val="21"/>
                <w:lang w:val="en-US" w:eastAsia="zh-CN"/>
              </w:rPr>
              <w:t>5.环保信息公开</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eastAsia" w:ascii="Times New Roman" w:hAnsi="Times New Roman" w:eastAsia="宋体" w:cs="Times New Roman"/>
                <w:szCs w:val="21"/>
              </w:rPr>
            </w:pPr>
            <w:r>
              <w:rPr>
                <w:rFonts w:hint="eastAsia" w:ascii="Times New Roman" w:hAnsi="Times New Roman" w:eastAsia="宋体" w:cs="Times New Roman"/>
                <w:szCs w:val="21"/>
              </w:rPr>
              <w:t>要求根据《企业事业单位环境信息公开办法》</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环境保护部令第31号</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企业事业单位应当按照强制公开和自愿公开相结合的原则，及时、如实地公开其环境信息。企业事业单位应当建立健全本单位环境信息公开制度，指定机构负责本单位环境信息公开日常工作，排污单位应当公开以下信息：</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1</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基础信息，包括单位名称、组织机构代码、法定代表人、生产地址、联系方式以及生产经营和管理服务的主要内容、产品及规模</w:t>
            </w:r>
            <w:r>
              <w:rPr>
                <w:rFonts w:hint="eastAsia" w:ascii="Times New Roman" w:hAnsi="Times New Roman" w:eastAsia="宋体" w:cs="Times New Roman"/>
                <w:szCs w:val="21"/>
                <w:lang w:eastAsia="zh-CN"/>
              </w:rPr>
              <w:t>。</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2</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排污信息，包括主要污染物及其他污染物的名称、排放方式、排放口数量和分布情况、排放浓度和总量、超标情况以及执行的污染物排放标准、核定的排放总量</w:t>
            </w:r>
            <w:r>
              <w:rPr>
                <w:rFonts w:hint="eastAsia" w:ascii="Times New Roman" w:hAnsi="Times New Roman" w:eastAsia="宋体" w:cs="Times New Roman"/>
                <w:szCs w:val="21"/>
                <w:lang w:eastAsia="zh-CN"/>
              </w:rPr>
              <w:t>。</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3</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防治污染设施的建设和运行情况</w:t>
            </w:r>
            <w:r>
              <w:rPr>
                <w:rFonts w:hint="eastAsia" w:ascii="Times New Roman" w:hAnsi="Times New Roman" w:eastAsia="宋体" w:cs="Times New Roman"/>
                <w:szCs w:val="21"/>
                <w:lang w:eastAsia="zh-CN"/>
              </w:rPr>
              <w:t>。</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4</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建设项目环境影响评价及其他环境保护行政许可情况</w:t>
            </w:r>
            <w:r>
              <w:rPr>
                <w:rFonts w:hint="eastAsia" w:ascii="Times New Roman" w:hAnsi="Times New Roman" w:eastAsia="宋体" w:cs="Times New Roman"/>
                <w:szCs w:val="21"/>
                <w:lang w:eastAsia="zh-CN"/>
              </w:rPr>
              <w:t>。</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其他应当公开的环境信息</w:t>
            </w:r>
            <w:r>
              <w:rPr>
                <w:rFonts w:hint="eastAsia" w:ascii="Times New Roman" w:hAnsi="Times New Roman" w:eastAsia="宋体" w:cs="Times New Roman"/>
                <w:szCs w:val="21"/>
                <w:lang w:eastAsia="zh-CN"/>
              </w:rPr>
              <w:t>。</w:t>
            </w:r>
          </w:p>
          <w:p>
            <w:pPr>
              <w:keepNext w:val="0"/>
              <w:keepLines w:val="0"/>
              <w:pageBreakBefore w:val="0"/>
              <w:widowControl w:val="0"/>
              <w:kinsoku/>
              <w:wordWrap/>
              <w:overflowPunct/>
              <w:topLinePunct w:val="0"/>
              <w:autoSpaceDE/>
              <w:autoSpaceDN/>
              <w:bidi w:val="0"/>
              <w:adjustRightInd w:val="0"/>
              <w:snapToGrid w:val="0"/>
              <w:ind w:firstLine="422" w:firstLineChars="200"/>
              <w:jc w:val="left"/>
              <w:textAlignment w:val="auto"/>
              <w:rPr>
                <w:rFonts w:hint="eastAsia" w:ascii="Times New Roman" w:hAnsi="Times New Roman" w:eastAsia="宋体" w:cs="Times New Roman"/>
                <w:b/>
                <w:bCs/>
                <w:szCs w:val="21"/>
              </w:rPr>
            </w:pPr>
            <w:r>
              <w:rPr>
                <w:rFonts w:hint="eastAsia" w:ascii="Times New Roman" w:hAnsi="Times New Roman" w:eastAsia="宋体" w:cs="Times New Roman"/>
                <w:b/>
                <w:bCs/>
                <w:szCs w:val="21"/>
                <w:lang w:val="en-US" w:eastAsia="zh-CN"/>
              </w:rPr>
              <w:t>6.竣工环境保护验收要求</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eastAsia"/>
              </w:rPr>
            </w:pPr>
            <w:r>
              <w:rPr>
                <w:rFonts w:hint="eastAsia" w:ascii="Times New Roman" w:hAnsi="Times New Roman" w:eastAsia="宋体" w:cs="Times New Roman"/>
                <w:szCs w:val="21"/>
                <w:lang w:val="en-US" w:eastAsia="zh-CN"/>
              </w:rPr>
              <w:t>根据《建设项目竣工环境保护验收暂行办法》，本项目竣工后，建设单位应及时组织竣工环境保护验收，经验收合格后，本项目方可投入正式运行。</w:t>
            </w:r>
          </w:p>
        </w:tc>
      </w:tr>
    </w:tbl>
    <w:p>
      <w:pPr>
        <w:pStyle w:val="21"/>
        <w:jc w:val="center"/>
        <w:outlineLvl w:val="0"/>
        <w:rPr>
          <w:rFonts w:ascii="黑体" w:hAnsi="黑体" w:eastAsia="黑体"/>
          <w:snapToGrid w:val="0"/>
          <w:sz w:val="30"/>
          <w:szCs w:val="30"/>
        </w:rPr>
      </w:pPr>
      <w:r>
        <w:rPr>
          <w:snapToGrid w:val="0"/>
        </w:rPr>
        <w:br w:type="page"/>
      </w:r>
      <w:r>
        <w:rPr>
          <w:rFonts w:hint="eastAsia" w:ascii="黑体" w:hAnsi="黑体" w:eastAsia="黑体"/>
          <w:snapToGrid w:val="0"/>
          <w:sz w:val="30"/>
          <w:szCs w:val="30"/>
        </w:rPr>
        <w:t>六、结论</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ascii="宋体" w:cs="宋体"/>
                <w:sz w:val="24"/>
              </w:rPr>
            </w:pPr>
            <w:r>
              <w:rPr>
                <w:rFonts w:hint="eastAsia" w:ascii="Times New Roman" w:hAnsi="Times New Roman" w:eastAsia="宋体" w:cs="Times New Roman"/>
                <w:sz w:val="24"/>
                <w:lang w:eastAsia="zh-CN"/>
              </w:rPr>
              <w:t>项目生产运营会产生噪声、废水、废气及固体废物，经评价分析，在全面落实本报告提出的各项环保措施和建议的基础上，落实本项目的污染防治对策，加强环保管理，确保环保设施的正常高效运行，则环境污染可基本得到控制，做到污染物达标排放，对周围环境影响不大。因此，从环保角度而言本项目的建设是可行的。</w:t>
            </w:r>
          </w:p>
        </w:tc>
      </w:tr>
    </w:tbl>
    <w:p>
      <w:pPr>
        <w:rPr>
          <w:rFonts w:ascii="宋体"/>
        </w:rPr>
        <w:sectPr>
          <w:pgSz w:w="11906" w:h="16838"/>
          <w:pgMar w:top="1701" w:right="1531" w:bottom="1701" w:left="1531" w:header="851" w:footer="851" w:gutter="0"/>
          <w:cols w:space="720" w:num="1"/>
          <w:docGrid w:linePitch="312" w:charSpace="0"/>
        </w:sectPr>
      </w:pPr>
    </w:p>
    <w:p>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outlineLvl w:val="0"/>
        <w:rPr>
          <w:rFonts w:ascii="黑体" w:hAnsi="黑体" w:eastAsia="黑体"/>
          <w:snapToGrid w:val="0"/>
          <w:sz w:val="32"/>
          <w:szCs w:val="32"/>
        </w:rPr>
      </w:pPr>
      <w:r>
        <w:rPr>
          <w:rFonts w:hint="eastAsia" w:ascii="黑体" w:hAnsi="黑体" w:eastAsia="黑体"/>
          <w:snapToGrid w:val="0"/>
          <w:sz w:val="32"/>
          <w:szCs w:val="32"/>
        </w:rPr>
        <w:t>附表</w:t>
      </w:r>
    </w:p>
    <w:p>
      <w:pPr>
        <w:pStyle w:val="21"/>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eastAsia" w:ascii="方正小标宋_GBK" w:hAnsi="黑体" w:eastAsia="方正小标宋_GBK"/>
          <w:snapToGrid w:val="0"/>
          <w:sz w:val="38"/>
          <w:szCs w:val="38"/>
        </w:rPr>
      </w:pPr>
      <w:r>
        <w:rPr>
          <w:rFonts w:hint="eastAsia" w:ascii="方正小标宋_GBK" w:hAnsi="黑体" w:eastAsia="方正小标宋_GBK"/>
          <w:snapToGrid w:val="0"/>
          <w:sz w:val="38"/>
          <w:szCs w:val="38"/>
        </w:rPr>
        <w:t>建设项目污染物排放量汇总表</w:t>
      </w:r>
    </w:p>
    <w:tbl>
      <w:tblPr>
        <w:tblStyle w:val="2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959"/>
        <w:gridCol w:w="8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pPr>
              <w:pStyle w:val="40"/>
              <w:spacing w:beforeLines="0" w:afterLines="0" w:line="240" w:lineRule="auto"/>
              <w:jc w:val="right"/>
              <w:rPr>
                <w:rFonts w:hint="eastAsia" w:ascii="黑体" w:hAnsi="黑体" w:eastAsia="黑体" w:cs="宋体"/>
                <w:snapToGrid w:val="0"/>
                <w:color w:val="000000"/>
                <w:spacing w:val="-6"/>
                <w:kern w:val="21"/>
                <w:szCs w:val="21"/>
              </w:rPr>
            </w:pPr>
            <w:r>
              <w:rPr>
                <w:rFonts w:hint="eastAsia" w:ascii="黑体" w:hAnsi="黑体" w:eastAsia="黑体" w:cs="宋体"/>
                <w:snapToGrid w:val="0"/>
                <w:color w:val="000000"/>
                <w:spacing w:val="-6"/>
                <w:kern w:val="21"/>
                <w:szCs w:val="21"/>
              </w:rPr>
              <w:t>项目</w:t>
            </w:r>
          </w:p>
          <w:p>
            <w:pPr>
              <w:pStyle w:val="40"/>
              <w:spacing w:beforeLines="0" w:afterLines="0" w:line="240" w:lineRule="auto"/>
              <w:jc w:val="left"/>
              <w:rPr>
                <w:rFonts w:hint="eastAsia" w:ascii="黑体" w:hAnsi="黑体" w:eastAsia="黑体" w:cs="宋体"/>
                <w:snapToGrid w:val="0"/>
                <w:color w:val="000000"/>
                <w:spacing w:val="-6"/>
                <w:kern w:val="21"/>
                <w:szCs w:val="21"/>
              </w:rPr>
            </w:pPr>
            <w:r>
              <w:rPr>
                <w:rFonts w:hint="eastAsia" w:ascii="黑体" w:hAnsi="黑体" w:eastAsia="黑体" w:cs="宋体"/>
                <w:snapToGrid w:val="0"/>
                <w:color w:val="000000"/>
                <w:spacing w:val="-6"/>
                <w:kern w:val="21"/>
                <w:szCs w:val="21"/>
              </w:rPr>
              <w:t>分类</w:t>
            </w:r>
          </w:p>
        </w:tc>
        <w:tc>
          <w:tcPr>
            <w:tcW w:w="1417" w:type="dxa"/>
            <w:noWrap w:val="0"/>
            <w:tcMar>
              <w:left w:w="28" w:type="dxa"/>
              <w:right w:w="28" w:type="dxa"/>
            </w:tcMar>
            <w:vAlign w:val="center"/>
          </w:tcPr>
          <w:p>
            <w:pPr>
              <w:pStyle w:val="40"/>
              <w:spacing w:beforeLines="0" w:afterLines="0" w:line="240" w:lineRule="auto"/>
              <w:rPr>
                <w:rFonts w:hint="eastAsia" w:ascii="黑体" w:hAnsi="黑体" w:eastAsia="黑体" w:cs="宋体"/>
                <w:snapToGrid w:val="0"/>
                <w:color w:val="000000"/>
                <w:spacing w:val="-6"/>
                <w:kern w:val="21"/>
                <w:szCs w:val="21"/>
              </w:rPr>
            </w:pPr>
            <w:r>
              <w:rPr>
                <w:rFonts w:hint="eastAsia" w:ascii="黑体" w:hAnsi="黑体" w:eastAsia="黑体" w:cs="宋体"/>
                <w:snapToGrid w:val="0"/>
                <w:color w:val="000000"/>
                <w:spacing w:val="-6"/>
                <w:kern w:val="21"/>
                <w:szCs w:val="21"/>
              </w:rPr>
              <w:t>污染物名称</w:t>
            </w:r>
          </w:p>
        </w:tc>
        <w:tc>
          <w:tcPr>
            <w:tcW w:w="1701" w:type="dxa"/>
            <w:noWrap w:val="0"/>
            <w:tcMar>
              <w:left w:w="28" w:type="dxa"/>
              <w:right w:w="28" w:type="dxa"/>
            </w:tcMar>
            <w:vAlign w:val="center"/>
          </w:tcPr>
          <w:p>
            <w:pPr>
              <w:pStyle w:val="40"/>
              <w:spacing w:beforeLines="0" w:afterLines="0" w:line="240" w:lineRule="auto"/>
              <w:rPr>
                <w:rFonts w:hint="eastAsia" w:ascii="黑体" w:hAnsi="黑体" w:eastAsia="黑体"/>
                <w:snapToGrid w:val="0"/>
                <w:color w:val="000000"/>
                <w:spacing w:val="-6"/>
                <w:kern w:val="21"/>
                <w:szCs w:val="21"/>
              </w:rPr>
            </w:pPr>
            <w:r>
              <w:rPr>
                <w:rFonts w:ascii="黑体" w:hAnsi="黑体" w:eastAsia="黑体"/>
                <w:snapToGrid w:val="0"/>
                <w:color w:val="000000"/>
                <w:spacing w:val="-6"/>
                <w:kern w:val="21"/>
                <w:szCs w:val="21"/>
              </w:rPr>
              <w:t>现有工程</w:t>
            </w:r>
          </w:p>
          <w:p>
            <w:pPr>
              <w:pStyle w:val="40"/>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排放量（固</w:t>
            </w:r>
            <w:r>
              <w:rPr>
                <w:rFonts w:hint="eastAsia" w:ascii="黑体" w:hAnsi="黑体" w:eastAsia="黑体"/>
                <w:snapToGrid w:val="0"/>
                <w:color w:val="000000"/>
                <w:spacing w:val="-6"/>
                <w:kern w:val="21"/>
                <w:szCs w:val="21"/>
              </w:rPr>
              <w:t>体</w:t>
            </w:r>
            <w:r>
              <w:rPr>
                <w:rFonts w:ascii="黑体" w:hAnsi="黑体" w:eastAsia="黑体"/>
                <w:snapToGrid w:val="0"/>
                <w:color w:val="000000"/>
                <w:spacing w:val="-6"/>
                <w:kern w:val="21"/>
                <w:szCs w:val="21"/>
              </w:rPr>
              <w:t>废</w:t>
            </w:r>
            <w:r>
              <w:rPr>
                <w:rFonts w:hint="eastAsia" w:ascii="黑体" w:hAnsi="黑体" w:eastAsia="黑体"/>
                <w:snapToGrid w:val="0"/>
                <w:color w:val="000000"/>
                <w:spacing w:val="-6"/>
                <w:kern w:val="21"/>
                <w:szCs w:val="21"/>
              </w:rPr>
              <w:t>物</w:t>
            </w:r>
            <w:r>
              <w:rPr>
                <w:rFonts w:ascii="黑体" w:hAnsi="黑体" w:eastAsia="黑体"/>
                <w:snapToGrid w:val="0"/>
                <w:color w:val="000000"/>
                <w:spacing w:val="-6"/>
                <w:kern w:val="21"/>
                <w:szCs w:val="21"/>
              </w:rPr>
              <w:t>产生量）</w:t>
            </w: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1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①</w:t>
            </w:r>
            <w:r>
              <w:rPr>
                <w:rFonts w:ascii="黑体" w:hAnsi="黑体" w:eastAsia="黑体"/>
                <w:snapToGrid w:val="0"/>
                <w:color w:val="000000"/>
                <w:spacing w:val="-6"/>
                <w:kern w:val="21"/>
                <w:szCs w:val="21"/>
              </w:rPr>
              <w:fldChar w:fldCharType="end"/>
            </w:r>
          </w:p>
        </w:tc>
        <w:tc>
          <w:tcPr>
            <w:tcW w:w="1276" w:type="dxa"/>
            <w:noWrap w:val="0"/>
            <w:tcMar>
              <w:left w:w="28" w:type="dxa"/>
              <w:right w:w="28" w:type="dxa"/>
            </w:tcMar>
            <w:vAlign w:val="center"/>
          </w:tcPr>
          <w:p>
            <w:pPr>
              <w:pStyle w:val="40"/>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现有工程</w:t>
            </w:r>
          </w:p>
          <w:p>
            <w:pPr>
              <w:pStyle w:val="40"/>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许可排放量</w:t>
            </w:r>
          </w:p>
          <w:p>
            <w:pPr>
              <w:pStyle w:val="40"/>
              <w:spacing w:beforeLines="0" w:afterLines="0"/>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2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snapToGrid w:val="0"/>
                <w:color w:val="000000"/>
                <w:spacing w:val="-6"/>
                <w:kern w:val="21"/>
                <w:szCs w:val="21"/>
              </w:rPr>
              <w:t>②</w:t>
            </w:r>
            <w:r>
              <w:rPr>
                <w:rFonts w:ascii="黑体" w:hAnsi="黑体" w:eastAsia="黑体"/>
                <w:snapToGrid w:val="0"/>
                <w:color w:val="000000"/>
                <w:spacing w:val="-6"/>
                <w:kern w:val="21"/>
                <w:szCs w:val="21"/>
              </w:rPr>
              <w:fldChar w:fldCharType="end"/>
            </w:r>
          </w:p>
        </w:tc>
        <w:tc>
          <w:tcPr>
            <w:tcW w:w="1701" w:type="dxa"/>
            <w:noWrap w:val="0"/>
            <w:tcMar>
              <w:left w:w="28" w:type="dxa"/>
              <w:right w:w="28" w:type="dxa"/>
            </w:tcMar>
            <w:vAlign w:val="center"/>
          </w:tcPr>
          <w:p>
            <w:pPr>
              <w:pStyle w:val="40"/>
              <w:spacing w:beforeLines="0" w:afterLines="0" w:line="240" w:lineRule="auto"/>
              <w:rPr>
                <w:rFonts w:hint="eastAsia" w:ascii="黑体" w:hAnsi="黑体" w:eastAsia="黑体"/>
                <w:snapToGrid w:val="0"/>
                <w:color w:val="000000"/>
                <w:spacing w:val="-6"/>
                <w:kern w:val="21"/>
                <w:szCs w:val="21"/>
              </w:rPr>
            </w:pPr>
            <w:r>
              <w:rPr>
                <w:rFonts w:ascii="黑体" w:hAnsi="黑体" w:eastAsia="黑体"/>
                <w:snapToGrid w:val="0"/>
                <w:color w:val="000000"/>
                <w:spacing w:val="-6"/>
                <w:kern w:val="21"/>
                <w:szCs w:val="21"/>
              </w:rPr>
              <w:t>在建工程</w:t>
            </w:r>
          </w:p>
          <w:p>
            <w:pPr>
              <w:pStyle w:val="40"/>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排放量（固</w:t>
            </w:r>
            <w:r>
              <w:rPr>
                <w:rFonts w:hint="eastAsia" w:ascii="黑体" w:hAnsi="黑体" w:eastAsia="黑体"/>
                <w:snapToGrid w:val="0"/>
                <w:color w:val="000000"/>
                <w:spacing w:val="-6"/>
                <w:kern w:val="21"/>
                <w:szCs w:val="21"/>
              </w:rPr>
              <w:t>体</w:t>
            </w:r>
            <w:r>
              <w:rPr>
                <w:rFonts w:ascii="黑体" w:hAnsi="黑体" w:eastAsia="黑体"/>
                <w:snapToGrid w:val="0"/>
                <w:color w:val="000000"/>
                <w:spacing w:val="-6"/>
                <w:kern w:val="21"/>
                <w:szCs w:val="21"/>
              </w:rPr>
              <w:t>废</w:t>
            </w:r>
            <w:r>
              <w:rPr>
                <w:rFonts w:hint="eastAsia" w:ascii="黑体" w:hAnsi="黑体" w:eastAsia="黑体"/>
                <w:snapToGrid w:val="0"/>
                <w:color w:val="000000"/>
                <w:spacing w:val="-6"/>
                <w:kern w:val="21"/>
                <w:szCs w:val="21"/>
              </w:rPr>
              <w:t>物</w:t>
            </w:r>
            <w:r>
              <w:rPr>
                <w:rFonts w:ascii="黑体" w:hAnsi="黑体" w:eastAsia="黑体"/>
                <w:snapToGrid w:val="0"/>
                <w:color w:val="000000"/>
                <w:spacing w:val="-6"/>
                <w:kern w:val="21"/>
                <w:szCs w:val="21"/>
              </w:rPr>
              <w:t>产生量）</w:t>
            </w: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3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③</w:t>
            </w:r>
            <w:r>
              <w:rPr>
                <w:rFonts w:ascii="黑体" w:hAnsi="黑体" w:eastAsia="黑体"/>
                <w:snapToGrid w:val="0"/>
                <w:color w:val="000000"/>
                <w:spacing w:val="-6"/>
                <w:kern w:val="21"/>
                <w:szCs w:val="21"/>
              </w:rPr>
              <w:fldChar w:fldCharType="end"/>
            </w:r>
          </w:p>
        </w:tc>
        <w:tc>
          <w:tcPr>
            <w:tcW w:w="1559" w:type="dxa"/>
            <w:noWrap w:val="0"/>
            <w:tcMar>
              <w:left w:w="28" w:type="dxa"/>
              <w:right w:w="28" w:type="dxa"/>
            </w:tcMar>
            <w:vAlign w:val="center"/>
          </w:tcPr>
          <w:p>
            <w:pPr>
              <w:pStyle w:val="40"/>
              <w:spacing w:beforeLines="0" w:afterLines="0" w:line="240" w:lineRule="auto"/>
              <w:rPr>
                <w:rFonts w:hint="eastAsia" w:ascii="黑体" w:hAnsi="黑体" w:eastAsia="黑体"/>
                <w:snapToGrid w:val="0"/>
                <w:color w:val="000000"/>
                <w:spacing w:val="-6"/>
                <w:kern w:val="21"/>
                <w:szCs w:val="21"/>
              </w:rPr>
            </w:pPr>
            <w:r>
              <w:rPr>
                <w:rFonts w:ascii="黑体" w:hAnsi="黑体" w:eastAsia="黑体"/>
                <w:snapToGrid w:val="0"/>
                <w:color w:val="000000"/>
                <w:spacing w:val="-6"/>
                <w:kern w:val="21"/>
                <w:szCs w:val="21"/>
              </w:rPr>
              <w:t>本项目</w:t>
            </w:r>
          </w:p>
          <w:p>
            <w:pPr>
              <w:pStyle w:val="40"/>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排放量（固</w:t>
            </w:r>
            <w:r>
              <w:rPr>
                <w:rFonts w:hint="eastAsia" w:ascii="黑体" w:hAnsi="黑体" w:eastAsia="黑体"/>
                <w:snapToGrid w:val="0"/>
                <w:color w:val="000000"/>
                <w:spacing w:val="-6"/>
                <w:kern w:val="21"/>
                <w:szCs w:val="21"/>
              </w:rPr>
              <w:t>体</w:t>
            </w:r>
            <w:r>
              <w:rPr>
                <w:rFonts w:ascii="黑体" w:hAnsi="黑体" w:eastAsia="黑体"/>
                <w:snapToGrid w:val="0"/>
                <w:color w:val="000000"/>
                <w:spacing w:val="-6"/>
                <w:kern w:val="21"/>
                <w:szCs w:val="21"/>
              </w:rPr>
              <w:t>废</w:t>
            </w:r>
            <w:r>
              <w:rPr>
                <w:rFonts w:hint="eastAsia" w:ascii="黑体" w:hAnsi="黑体" w:eastAsia="黑体"/>
                <w:snapToGrid w:val="0"/>
                <w:color w:val="000000"/>
                <w:spacing w:val="-6"/>
                <w:kern w:val="21"/>
                <w:szCs w:val="21"/>
              </w:rPr>
              <w:t>物</w:t>
            </w:r>
            <w:r>
              <w:rPr>
                <w:rFonts w:ascii="黑体" w:hAnsi="黑体" w:eastAsia="黑体"/>
                <w:snapToGrid w:val="0"/>
                <w:color w:val="000000"/>
                <w:spacing w:val="-6"/>
                <w:kern w:val="21"/>
                <w:szCs w:val="21"/>
              </w:rPr>
              <w:t>产生量）</w:t>
            </w: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4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④</w:t>
            </w:r>
            <w:r>
              <w:rPr>
                <w:rFonts w:ascii="黑体" w:hAnsi="黑体" w:eastAsia="黑体"/>
                <w:snapToGrid w:val="0"/>
                <w:color w:val="000000"/>
                <w:spacing w:val="-6"/>
                <w:kern w:val="21"/>
                <w:szCs w:val="21"/>
              </w:rPr>
              <w:fldChar w:fldCharType="end"/>
            </w:r>
          </w:p>
        </w:tc>
        <w:tc>
          <w:tcPr>
            <w:tcW w:w="1761" w:type="dxa"/>
            <w:noWrap w:val="0"/>
            <w:tcMar>
              <w:left w:w="28" w:type="dxa"/>
              <w:right w:w="28" w:type="dxa"/>
            </w:tcMar>
            <w:vAlign w:val="center"/>
          </w:tcPr>
          <w:p>
            <w:pPr>
              <w:pStyle w:val="40"/>
              <w:spacing w:beforeLines="0" w:afterLines="0" w:line="240" w:lineRule="auto"/>
              <w:rPr>
                <w:rFonts w:hint="eastAsia" w:ascii="黑体" w:hAnsi="黑体" w:eastAsia="黑体"/>
                <w:snapToGrid w:val="0"/>
                <w:color w:val="000000"/>
                <w:spacing w:val="-16"/>
                <w:kern w:val="21"/>
                <w:szCs w:val="21"/>
              </w:rPr>
            </w:pPr>
            <w:r>
              <w:rPr>
                <w:rFonts w:ascii="黑体" w:hAnsi="黑体" w:eastAsia="黑体"/>
                <w:snapToGrid w:val="0"/>
                <w:color w:val="000000"/>
                <w:spacing w:val="-16"/>
                <w:kern w:val="21"/>
                <w:szCs w:val="21"/>
              </w:rPr>
              <w:t>以新带老削减量</w:t>
            </w:r>
          </w:p>
          <w:p>
            <w:pPr>
              <w:pStyle w:val="40"/>
              <w:spacing w:beforeLines="0" w:afterLines="0" w:line="240" w:lineRule="auto"/>
              <w:rPr>
                <w:rFonts w:ascii="黑体" w:hAnsi="黑体" w:eastAsia="黑体"/>
                <w:snapToGrid w:val="0"/>
                <w:color w:val="000000"/>
                <w:spacing w:val="-16"/>
                <w:kern w:val="21"/>
                <w:szCs w:val="21"/>
              </w:rPr>
            </w:pPr>
            <w:r>
              <w:rPr>
                <w:rFonts w:ascii="黑体" w:hAnsi="黑体" w:eastAsia="黑体"/>
                <w:snapToGrid w:val="0"/>
                <w:color w:val="000000"/>
                <w:spacing w:val="-16"/>
                <w:kern w:val="21"/>
                <w:szCs w:val="21"/>
              </w:rPr>
              <w:t>（新建项目不填）</w:t>
            </w:r>
            <w:r>
              <w:rPr>
                <w:rFonts w:ascii="黑体" w:hAnsi="黑体" w:eastAsia="黑体"/>
                <w:snapToGrid w:val="0"/>
                <w:color w:val="000000"/>
                <w:spacing w:val="-16"/>
                <w:kern w:val="21"/>
                <w:szCs w:val="21"/>
              </w:rPr>
              <w:fldChar w:fldCharType="begin"/>
            </w:r>
            <w:r>
              <w:rPr>
                <w:rFonts w:ascii="黑体" w:hAnsi="黑体" w:eastAsia="黑体"/>
                <w:snapToGrid w:val="0"/>
                <w:color w:val="000000"/>
                <w:spacing w:val="-16"/>
                <w:kern w:val="21"/>
                <w:szCs w:val="21"/>
              </w:rPr>
              <w:instrText xml:space="preserve"> = 5 \* GB3 \* MERGEFORMAT </w:instrText>
            </w:r>
            <w:r>
              <w:rPr>
                <w:rFonts w:ascii="黑体" w:hAnsi="黑体" w:eastAsia="黑体"/>
                <w:snapToGrid w:val="0"/>
                <w:color w:val="000000"/>
                <w:spacing w:val="-16"/>
                <w:kern w:val="21"/>
                <w:szCs w:val="21"/>
              </w:rPr>
              <w:fldChar w:fldCharType="separate"/>
            </w:r>
            <w:r>
              <w:rPr>
                <w:rFonts w:hint="eastAsia" w:ascii="黑体" w:hAnsi="黑体" w:eastAsia="黑体" w:cs="宋体"/>
                <w:kern w:val="2"/>
                <w:szCs w:val="21"/>
              </w:rPr>
              <w:t>⑤</w:t>
            </w:r>
            <w:r>
              <w:rPr>
                <w:rFonts w:ascii="黑体" w:hAnsi="黑体" w:eastAsia="黑体"/>
                <w:snapToGrid w:val="0"/>
                <w:color w:val="000000"/>
                <w:spacing w:val="-16"/>
                <w:kern w:val="21"/>
                <w:szCs w:val="21"/>
              </w:rPr>
              <w:fldChar w:fldCharType="end"/>
            </w:r>
          </w:p>
        </w:tc>
        <w:tc>
          <w:tcPr>
            <w:tcW w:w="1959" w:type="dxa"/>
            <w:noWrap w:val="0"/>
            <w:tcMar>
              <w:left w:w="28" w:type="dxa"/>
              <w:right w:w="28" w:type="dxa"/>
            </w:tcMar>
            <w:vAlign w:val="center"/>
          </w:tcPr>
          <w:p>
            <w:pPr>
              <w:pStyle w:val="40"/>
              <w:spacing w:beforeLines="0" w:afterLines="0" w:line="240" w:lineRule="auto"/>
              <w:rPr>
                <w:rFonts w:hint="eastAsia" w:ascii="黑体" w:hAnsi="黑体" w:eastAsia="黑体"/>
                <w:snapToGrid w:val="0"/>
                <w:color w:val="000000"/>
                <w:spacing w:val="-16"/>
                <w:kern w:val="21"/>
                <w:szCs w:val="21"/>
              </w:rPr>
            </w:pPr>
            <w:r>
              <w:rPr>
                <w:rFonts w:ascii="黑体" w:hAnsi="黑体" w:eastAsia="黑体"/>
                <w:snapToGrid w:val="0"/>
                <w:color w:val="000000"/>
                <w:spacing w:val="-16"/>
                <w:kern w:val="21"/>
                <w:szCs w:val="21"/>
              </w:rPr>
              <w:t>本项目建成后</w:t>
            </w:r>
          </w:p>
          <w:p>
            <w:pPr>
              <w:pStyle w:val="40"/>
              <w:spacing w:beforeLines="0" w:afterLines="0" w:line="240" w:lineRule="auto"/>
              <w:rPr>
                <w:rFonts w:ascii="黑体" w:hAnsi="黑体" w:eastAsia="黑体"/>
                <w:snapToGrid w:val="0"/>
                <w:color w:val="000000"/>
                <w:spacing w:val="-16"/>
                <w:kern w:val="21"/>
                <w:szCs w:val="21"/>
              </w:rPr>
            </w:pPr>
            <w:r>
              <w:rPr>
                <w:rFonts w:hint="eastAsia" w:ascii="黑体" w:hAnsi="黑体" w:eastAsia="黑体"/>
                <w:snapToGrid w:val="0"/>
                <w:color w:val="000000"/>
                <w:spacing w:val="-16"/>
                <w:kern w:val="21"/>
                <w:szCs w:val="21"/>
              </w:rPr>
              <w:t>全厂</w:t>
            </w:r>
            <w:r>
              <w:rPr>
                <w:rFonts w:ascii="黑体" w:hAnsi="黑体" w:eastAsia="黑体"/>
                <w:snapToGrid w:val="0"/>
                <w:color w:val="000000"/>
                <w:spacing w:val="-16"/>
                <w:kern w:val="21"/>
                <w:szCs w:val="21"/>
              </w:rPr>
              <w:t>排放量（固</w:t>
            </w:r>
            <w:r>
              <w:rPr>
                <w:rFonts w:hint="eastAsia" w:ascii="黑体" w:hAnsi="黑体" w:eastAsia="黑体"/>
                <w:snapToGrid w:val="0"/>
                <w:color w:val="000000"/>
                <w:spacing w:val="-16"/>
                <w:kern w:val="21"/>
                <w:szCs w:val="21"/>
              </w:rPr>
              <w:t>体</w:t>
            </w:r>
            <w:r>
              <w:rPr>
                <w:rFonts w:ascii="黑体" w:hAnsi="黑体" w:eastAsia="黑体"/>
                <w:snapToGrid w:val="0"/>
                <w:color w:val="000000"/>
                <w:spacing w:val="-16"/>
                <w:kern w:val="21"/>
                <w:szCs w:val="21"/>
              </w:rPr>
              <w:t>废</w:t>
            </w:r>
            <w:r>
              <w:rPr>
                <w:rFonts w:hint="eastAsia" w:ascii="黑体" w:hAnsi="黑体" w:eastAsia="黑体"/>
                <w:snapToGrid w:val="0"/>
                <w:color w:val="000000"/>
                <w:spacing w:val="-16"/>
                <w:kern w:val="21"/>
                <w:szCs w:val="21"/>
              </w:rPr>
              <w:t>物</w:t>
            </w:r>
            <w:r>
              <w:rPr>
                <w:rFonts w:ascii="黑体" w:hAnsi="黑体" w:eastAsia="黑体"/>
                <w:snapToGrid w:val="0"/>
                <w:color w:val="000000"/>
                <w:spacing w:val="-16"/>
                <w:kern w:val="21"/>
                <w:szCs w:val="21"/>
              </w:rPr>
              <w:t>产生量）</w:t>
            </w:r>
            <w:r>
              <w:rPr>
                <w:rFonts w:ascii="黑体" w:hAnsi="黑体" w:eastAsia="黑体"/>
                <w:snapToGrid w:val="0"/>
                <w:color w:val="000000"/>
                <w:spacing w:val="-16"/>
                <w:kern w:val="21"/>
                <w:szCs w:val="21"/>
              </w:rPr>
              <w:fldChar w:fldCharType="begin"/>
            </w:r>
            <w:r>
              <w:rPr>
                <w:rFonts w:ascii="黑体" w:hAnsi="黑体" w:eastAsia="黑体"/>
                <w:snapToGrid w:val="0"/>
                <w:color w:val="000000"/>
                <w:spacing w:val="-16"/>
                <w:kern w:val="21"/>
                <w:szCs w:val="21"/>
              </w:rPr>
              <w:instrText xml:space="preserve"> = 6 \* GB3 \* MERGEFORMAT </w:instrText>
            </w:r>
            <w:r>
              <w:rPr>
                <w:rFonts w:ascii="黑体" w:hAnsi="黑体" w:eastAsia="黑体"/>
                <w:snapToGrid w:val="0"/>
                <w:color w:val="000000"/>
                <w:spacing w:val="-16"/>
                <w:kern w:val="21"/>
                <w:szCs w:val="21"/>
              </w:rPr>
              <w:fldChar w:fldCharType="separate"/>
            </w:r>
            <w:r>
              <w:rPr>
                <w:rFonts w:hint="eastAsia" w:ascii="黑体" w:hAnsi="黑体" w:eastAsia="黑体" w:cs="宋体"/>
                <w:kern w:val="2"/>
                <w:szCs w:val="21"/>
              </w:rPr>
              <w:t>⑥</w:t>
            </w:r>
            <w:r>
              <w:rPr>
                <w:rFonts w:ascii="黑体" w:hAnsi="黑体" w:eastAsia="黑体"/>
                <w:snapToGrid w:val="0"/>
                <w:color w:val="000000"/>
                <w:spacing w:val="-16"/>
                <w:kern w:val="21"/>
                <w:szCs w:val="21"/>
              </w:rPr>
              <w:fldChar w:fldCharType="end"/>
            </w:r>
          </w:p>
        </w:tc>
        <w:tc>
          <w:tcPr>
            <w:tcW w:w="826" w:type="dxa"/>
            <w:noWrap w:val="0"/>
            <w:tcMar>
              <w:left w:w="28" w:type="dxa"/>
              <w:right w:w="28" w:type="dxa"/>
            </w:tcMar>
            <w:vAlign w:val="center"/>
          </w:tcPr>
          <w:p>
            <w:pPr>
              <w:pStyle w:val="40"/>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变化量</w:t>
            </w:r>
          </w:p>
          <w:p>
            <w:pPr>
              <w:pStyle w:val="40"/>
              <w:spacing w:beforeLines="0" w:afterLines="0" w:line="240" w:lineRule="auto"/>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7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⑦</w:t>
            </w:r>
            <w:r>
              <w:rPr>
                <w:rFonts w:ascii="黑体" w:hAnsi="黑体" w:eastAsia="黑体"/>
                <w:snapToGrid w:val="0"/>
                <w:color w:val="000000"/>
                <w:spacing w:val="-6"/>
                <w:kern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40"/>
              <w:spacing w:beforeLines="0" w:afterLines="0" w:line="240" w:lineRule="auto"/>
              <w:rPr>
                <w:rFonts w:hint="eastAsia" w:hAnsi="宋体" w:cs="宋体"/>
                <w:snapToGrid w:val="0"/>
                <w:color w:val="000000"/>
                <w:kern w:val="21"/>
                <w:szCs w:val="21"/>
              </w:rPr>
            </w:pPr>
            <w:r>
              <w:rPr>
                <w:rFonts w:hint="eastAsia" w:hAnsi="宋体" w:cs="宋体"/>
                <w:snapToGrid w:val="0"/>
                <w:color w:val="000000"/>
                <w:kern w:val="21"/>
                <w:szCs w:val="21"/>
              </w:rPr>
              <w:t>废气</w:t>
            </w:r>
          </w:p>
        </w:tc>
        <w:tc>
          <w:tcPr>
            <w:tcW w:w="1417" w:type="dxa"/>
            <w:noWrap w:val="0"/>
            <w:vAlign w:val="center"/>
          </w:tcPr>
          <w:p>
            <w:pPr>
              <w:pStyle w:val="40"/>
              <w:spacing w:beforeLines="0" w:afterLines="0" w:line="240" w:lineRule="auto"/>
              <w:rPr>
                <w:rFonts w:hint="eastAsia" w:hAnsi="宋体" w:eastAsia="宋体" w:cs="宋体"/>
                <w:snapToGrid w:val="0"/>
                <w:color w:val="000000"/>
                <w:kern w:val="21"/>
                <w:szCs w:val="21"/>
                <w:lang w:val="en-US" w:eastAsia="zh-CN"/>
              </w:rPr>
            </w:pPr>
            <w:r>
              <w:rPr>
                <w:rFonts w:hint="eastAsia" w:hAnsi="宋体" w:cs="宋体"/>
                <w:snapToGrid w:val="0"/>
                <w:color w:val="000000"/>
                <w:kern w:val="21"/>
                <w:szCs w:val="21"/>
                <w:lang w:val="en-US" w:eastAsia="zh-CN"/>
              </w:rPr>
              <w:t>颗粒物</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276"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5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1.3799</w:t>
            </w:r>
            <w:r>
              <w:rPr>
                <w:rFonts w:hint="eastAsia" w:ascii="Times New Roman" w:hAnsi="Times New Roman" w:eastAsia="宋体" w:cs="Times New Roman"/>
                <w:snapToGrid w:val="0"/>
                <w:color w:val="000000"/>
                <w:kern w:val="21"/>
                <w:szCs w:val="21"/>
                <w:lang w:val="en-US" w:eastAsia="zh-CN"/>
              </w:rPr>
              <w:t>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c>
          <w:tcPr>
            <w:tcW w:w="1761"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w:t>
            </w:r>
          </w:p>
        </w:tc>
        <w:tc>
          <w:tcPr>
            <w:tcW w:w="19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1.3799</w:t>
            </w:r>
            <w:r>
              <w:rPr>
                <w:rFonts w:hint="eastAsia" w:ascii="Times New Roman" w:hAnsi="Times New Roman" w:eastAsia="宋体" w:cs="Times New Roman"/>
                <w:snapToGrid w:val="0"/>
                <w:color w:val="000000"/>
                <w:kern w:val="21"/>
                <w:szCs w:val="21"/>
                <w:lang w:val="en-US" w:eastAsia="zh-CN"/>
              </w:rPr>
              <w:t>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c>
          <w:tcPr>
            <w:tcW w:w="826" w:type="dxa"/>
            <w:noWrap w:val="0"/>
            <w:vAlign w:val="center"/>
          </w:tcPr>
          <w:p>
            <w:pPr>
              <w:pStyle w:val="40"/>
              <w:spacing w:beforeLines="0" w:afterLines="0" w:line="240" w:lineRule="auto"/>
              <w:rPr>
                <w:rFonts w:hAnsi="宋体" w:cs="宋体"/>
                <w:snapToGrid w:val="0"/>
                <w:color w:val="000000"/>
                <w:kern w:val="21"/>
                <w:szCs w:val="21"/>
              </w:rPr>
            </w:pPr>
            <w:r>
              <w:rPr>
                <w:rFonts w:hint="eastAsia" w:ascii="Times New Roman" w:cs="Times New Roman"/>
                <w:snapToGrid w:val="0"/>
                <w:color w:val="000000"/>
                <w:kern w:val="21"/>
                <w:szCs w:val="21"/>
                <w:lang w:val="en-US" w:eastAsia="zh-CN"/>
              </w:rPr>
              <w:t>+1.3799</w:t>
            </w:r>
            <w:r>
              <w:rPr>
                <w:rFonts w:hint="eastAsia" w:ascii="Times New Roman" w:hAnsi="Times New Roman" w:eastAsia="宋体" w:cs="Times New Roman"/>
                <w:snapToGrid w:val="0"/>
                <w:color w:val="000000"/>
                <w:kern w:val="21"/>
                <w:szCs w:val="21"/>
                <w:lang w:val="en-US" w:eastAsia="zh-CN"/>
              </w:rPr>
              <w:t>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spacing w:beforeLines="0" w:afterLines="0" w:line="240" w:lineRule="auto"/>
              <w:rPr>
                <w:rFonts w:hint="eastAsia" w:hAnsi="宋体" w:cs="宋体"/>
                <w:snapToGrid w:val="0"/>
                <w:color w:val="000000"/>
                <w:kern w:val="21"/>
                <w:szCs w:val="21"/>
              </w:rPr>
            </w:pPr>
          </w:p>
        </w:tc>
        <w:tc>
          <w:tcPr>
            <w:tcW w:w="1417" w:type="dxa"/>
            <w:noWrap w:val="0"/>
            <w:vAlign w:val="center"/>
          </w:tcPr>
          <w:p>
            <w:pPr>
              <w:pStyle w:val="40"/>
              <w:spacing w:beforeLines="0" w:afterLines="0" w:line="240" w:lineRule="auto"/>
              <w:rPr>
                <w:rFonts w:hint="eastAsia" w:hAnsi="宋体" w:cs="宋体"/>
                <w:snapToGrid w:val="0"/>
                <w:color w:val="000000"/>
                <w:kern w:val="21"/>
                <w:szCs w:val="21"/>
                <w:lang w:val="en-US" w:eastAsia="zh-CN"/>
              </w:rPr>
            </w:pPr>
            <w:r>
              <w:rPr>
                <w:rFonts w:hint="eastAsia"/>
                <w:kern w:val="18"/>
                <w:szCs w:val="21"/>
                <w:highlight w:val="none"/>
              </w:rPr>
              <w:t>油烟废气</w:t>
            </w:r>
          </w:p>
        </w:tc>
        <w:tc>
          <w:tcPr>
            <w:tcW w:w="1701"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276"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701"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559" w:type="dxa"/>
            <w:noWrap w:val="0"/>
            <w:vAlign w:val="center"/>
          </w:tcPr>
          <w:p>
            <w:pPr>
              <w:jc w:val="center"/>
              <w:rPr>
                <w:rFonts w:hint="default" w:ascii="Times New Roman" w:hAnsi="Times New Roman" w:eastAsia="宋体" w:cs="Times New Roman"/>
                <w:snapToGrid w:val="0"/>
                <w:color w:val="000000"/>
                <w:kern w:val="21"/>
                <w:sz w:val="21"/>
                <w:szCs w:val="21"/>
                <w:lang w:val="en-US" w:eastAsia="zh-CN" w:bidi="ar-SA"/>
              </w:rPr>
            </w:pPr>
            <w:r>
              <w:rPr>
                <w:rFonts w:hint="eastAsia" w:cs="Times New Roman"/>
                <w:snapToGrid w:val="0"/>
                <w:color w:val="000000"/>
                <w:kern w:val="21"/>
                <w:sz w:val="21"/>
                <w:szCs w:val="21"/>
                <w:lang w:val="en-US" w:eastAsia="zh-CN" w:bidi="ar-SA"/>
              </w:rPr>
              <w:t>2.7648</w:t>
            </w:r>
            <w:r>
              <w:rPr>
                <w:rFonts w:hint="eastAsia" w:ascii="Times New Roman" w:hAnsi="Times New Roman" w:eastAsia="宋体" w:cs="Times New Roman"/>
                <w:snapToGrid w:val="0"/>
                <w:color w:val="000000"/>
                <w:kern w:val="21"/>
                <w:sz w:val="21"/>
                <w:szCs w:val="21"/>
                <w:lang w:val="en-US" w:eastAsia="zh-CN" w:bidi="ar-SA"/>
              </w:rPr>
              <w:t>kg/a</w:t>
            </w:r>
          </w:p>
        </w:tc>
        <w:tc>
          <w:tcPr>
            <w:tcW w:w="1761" w:type="dxa"/>
            <w:noWrap w:val="0"/>
            <w:vAlign w:val="center"/>
          </w:tcPr>
          <w:p>
            <w:pPr>
              <w:pStyle w:val="40"/>
              <w:spacing w:beforeLines="0" w:afterLines="0" w:line="240" w:lineRule="auto"/>
              <w:rPr>
                <w:rFonts w:hint="eastAsia" w:ascii="Times New Roman" w:hAnsi="Times New Roman" w:eastAsia="宋体" w:cs="Times New Roman"/>
                <w:snapToGrid w:val="0"/>
                <w:color w:val="000000"/>
                <w:kern w:val="21"/>
                <w:sz w:val="21"/>
                <w:szCs w:val="21"/>
                <w:lang w:val="en-US" w:eastAsia="zh-CN" w:bidi="ar-SA"/>
              </w:rPr>
            </w:pPr>
            <w:r>
              <w:rPr>
                <w:rFonts w:hint="eastAsia" w:ascii="Times New Roman" w:hAnsi="Times New Roman" w:eastAsia="宋体" w:cs="Times New Roman"/>
                <w:snapToGrid w:val="0"/>
                <w:color w:val="000000"/>
                <w:kern w:val="21"/>
                <w:sz w:val="21"/>
                <w:szCs w:val="21"/>
                <w:lang w:val="en-US" w:eastAsia="zh-CN" w:bidi="ar-SA"/>
              </w:rPr>
              <w:t>/</w:t>
            </w:r>
          </w:p>
        </w:tc>
        <w:tc>
          <w:tcPr>
            <w:tcW w:w="1959" w:type="dxa"/>
            <w:noWrap w:val="0"/>
            <w:vAlign w:val="center"/>
          </w:tcPr>
          <w:p>
            <w:pPr>
              <w:jc w:val="center"/>
              <w:rPr>
                <w:rFonts w:hint="default" w:ascii="Times New Roman" w:hAnsi="Times New Roman" w:eastAsia="宋体" w:cs="Times New Roman"/>
                <w:snapToGrid w:val="0"/>
                <w:color w:val="000000"/>
                <w:kern w:val="21"/>
                <w:sz w:val="21"/>
                <w:szCs w:val="21"/>
                <w:lang w:val="en-US" w:eastAsia="zh-CN" w:bidi="ar-SA"/>
              </w:rPr>
            </w:pPr>
            <w:r>
              <w:rPr>
                <w:rFonts w:hint="eastAsia" w:cs="Times New Roman"/>
                <w:snapToGrid w:val="0"/>
                <w:color w:val="000000"/>
                <w:kern w:val="21"/>
                <w:sz w:val="21"/>
                <w:szCs w:val="21"/>
                <w:lang w:val="en-US" w:eastAsia="zh-CN" w:bidi="ar-SA"/>
              </w:rPr>
              <w:t>2.7648</w:t>
            </w:r>
            <w:r>
              <w:rPr>
                <w:rFonts w:hint="eastAsia" w:ascii="Times New Roman" w:hAnsi="Times New Roman" w:eastAsia="宋体" w:cs="Times New Roman"/>
                <w:snapToGrid w:val="0"/>
                <w:color w:val="000000"/>
                <w:kern w:val="21"/>
                <w:sz w:val="21"/>
                <w:szCs w:val="21"/>
                <w:lang w:val="en-US" w:eastAsia="zh-CN" w:bidi="ar-SA"/>
              </w:rPr>
              <w:t>kg/a</w:t>
            </w:r>
          </w:p>
        </w:tc>
        <w:tc>
          <w:tcPr>
            <w:tcW w:w="826" w:type="dxa"/>
            <w:noWrap w:val="0"/>
            <w:vAlign w:val="center"/>
          </w:tcPr>
          <w:p>
            <w:pPr>
              <w:jc w:val="center"/>
              <w:rPr>
                <w:rFonts w:hAnsi="宋体" w:cs="宋体"/>
                <w:snapToGrid w:val="0"/>
                <w:color w:val="000000"/>
                <w:kern w:val="21"/>
                <w:szCs w:val="21"/>
              </w:rPr>
            </w:pPr>
            <w:r>
              <w:rPr>
                <w:rFonts w:hint="eastAsia" w:cs="Times New Roman"/>
                <w:snapToGrid w:val="0"/>
                <w:color w:val="000000"/>
                <w:kern w:val="21"/>
                <w:sz w:val="21"/>
                <w:szCs w:val="21"/>
                <w:lang w:val="en-US" w:eastAsia="zh-CN" w:bidi="ar-SA"/>
              </w:rPr>
              <w:t>+2.7648</w:t>
            </w:r>
            <w:r>
              <w:rPr>
                <w:rFonts w:hint="eastAsia" w:ascii="Times New Roman" w:hAnsi="Times New Roman" w:eastAsia="宋体" w:cs="Times New Roman"/>
                <w:snapToGrid w:val="0"/>
                <w:color w:val="000000"/>
                <w:kern w:val="21"/>
                <w:sz w:val="21"/>
                <w:szCs w:val="21"/>
                <w:lang w:val="en-US" w:eastAsia="zh-CN" w:bidi="ar-SA"/>
              </w:rPr>
              <w:t>kg/a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40"/>
              <w:spacing w:beforeLines="0" w:afterLines="0" w:line="240" w:lineRule="auto"/>
              <w:rPr>
                <w:rFonts w:hint="default" w:hAnsi="宋体" w:eastAsia="宋体" w:cs="宋体"/>
                <w:snapToGrid w:val="0"/>
                <w:color w:val="000000"/>
                <w:kern w:val="21"/>
                <w:szCs w:val="21"/>
                <w:lang w:val="en-US" w:eastAsia="zh-CN"/>
              </w:rPr>
            </w:pPr>
            <w:r>
              <w:rPr>
                <w:rFonts w:hint="eastAsia" w:hAnsi="宋体" w:cs="宋体"/>
                <w:snapToGrid w:val="0"/>
                <w:color w:val="000000"/>
                <w:kern w:val="21"/>
                <w:szCs w:val="21"/>
                <w:lang w:val="en-US" w:eastAsia="zh-CN"/>
              </w:rPr>
              <w:t>废水</w:t>
            </w:r>
          </w:p>
        </w:tc>
        <w:tc>
          <w:tcPr>
            <w:tcW w:w="1417" w:type="dxa"/>
            <w:noWrap w:val="0"/>
            <w:vAlign w:val="center"/>
          </w:tcPr>
          <w:p>
            <w:pPr>
              <w:pStyle w:val="60"/>
              <w:ind w:left="0" w:leftChars="0" w:firstLine="0" w:firstLineChars="0"/>
              <w:rPr>
                <w:rFonts w:hint="eastAsia" w:hAnsi="宋体" w:cs="宋体"/>
                <w:snapToGrid w:val="0"/>
                <w:color w:val="000000"/>
                <w:kern w:val="21"/>
                <w:szCs w:val="21"/>
              </w:rPr>
            </w:pPr>
            <w:r>
              <w:rPr>
                <w:rFonts w:cs="Times New Roman"/>
                <w:szCs w:val="21"/>
              </w:rPr>
              <w:t>COD</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276"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559" w:type="dxa"/>
            <w:noWrap w:val="0"/>
            <w:vAlign w:val="center"/>
          </w:tcPr>
          <w:p>
            <w:pPr>
              <w:pStyle w:val="40"/>
              <w:spacing w:beforeLines="0" w:afterLines="0" w:line="240" w:lineRule="auto"/>
              <w:rPr>
                <w:rFonts w:hint="default"/>
                <w:lang w:val="en-US" w:eastAsia="zh-CN"/>
              </w:rPr>
            </w:pPr>
            <w:r>
              <w:rPr>
                <w:rFonts w:hint="eastAsia" w:ascii="Times New Roman" w:hAnsi="Times New Roman" w:cs="Times New Roman" w:eastAsiaTheme="minorEastAsia"/>
                <w:sz w:val="21"/>
                <w:szCs w:val="21"/>
                <w:lang w:val="en-US" w:eastAsia="zh-CN"/>
              </w:rPr>
              <w:t>0.054</w:t>
            </w:r>
            <w:r>
              <w:rPr>
                <w:rFonts w:hint="eastAsia" w:ascii="Times New Roman" w:cs="Times New Roman" w:eastAsiaTheme="minorEastAsia"/>
                <w:sz w:val="21"/>
                <w:szCs w:val="21"/>
                <w:lang w:val="en-US" w:eastAsia="zh-CN"/>
              </w:rPr>
              <w:t>t/a</w:t>
            </w:r>
          </w:p>
        </w:tc>
        <w:tc>
          <w:tcPr>
            <w:tcW w:w="1761"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p>
        </w:tc>
        <w:tc>
          <w:tcPr>
            <w:tcW w:w="19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cs="Times New Roman" w:eastAsiaTheme="minorEastAsia"/>
                <w:sz w:val="21"/>
                <w:szCs w:val="21"/>
                <w:lang w:val="en-US" w:eastAsia="zh-CN"/>
              </w:rPr>
              <w:t>0.054</w:t>
            </w:r>
            <w:r>
              <w:rPr>
                <w:rFonts w:hint="eastAsia" w:ascii="Times New Roman" w:cs="Times New Roman" w:eastAsiaTheme="minorEastAsia"/>
                <w:sz w:val="21"/>
                <w:szCs w:val="21"/>
                <w:lang w:val="en-US" w:eastAsia="zh-CN"/>
              </w:rPr>
              <w:t>t/a</w:t>
            </w:r>
          </w:p>
        </w:tc>
        <w:tc>
          <w:tcPr>
            <w:tcW w:w="826" w:type="dxa"/>
            <w:noWrap w:val="0"/>
            <w:vAlign w:val="center"/>
          </w:tcPr>
          <w:p>
            <w:pPr>
              <w:pStyle w:val="40"/>
              <w:spacing w:beforeLines="0" w:afterLines="0" w:line="240" w:lineRule="auto"/>
              <w:rPr>
                <w:rFonts w:hAnsi="宋体" w:cs="宋体"/>
                <w:snapToGrid w:val="0"/>
                <w:color w:val="000000"/>
                <w:kern w:val="21"/>
                <w:szCs w:val="21"/>
              </w:rPr>
            </w:pPr>
            <w:r>
              <w:rPr>
                <w:rFonts w:hint="eastAsia" w:ascii="Times New Roman" w:cs="Times New Roman" w:eastAsiaTheme="minorEastAsia"/>
                <w:sz w:val="21"/>
                <w:szCs w:val="21"/>
                <w:lang w:val="en-US" w:eastAsia="zh-CN"/>
              </w:rPr>
              <w:t>+</w:t>
            </w:r>
            <w:r>
              <w:rPr>
                <w:rFonts w:hint="eastAsia" w:ascii="Times New Roman" w:hAnsi="Times New Roman" w:cs="Times New Roman" w:eastAsiaTheme="minorEastAsia"/>
                <w:sz w:val="21"/>
                <w:szCs w:val="21"/>
                <w:lang w:val="en-US" w:eastAsia="zh-CN"/>
              </w:rPr>
              <w:t>0.054</w:t>
            </w:r>
            <w:r>
              <w:rPr>
                <w:rFonts w:hint="eastAsia" w:ascii="Times New Roman" w:cs="Times New Roman" w:eastAsiaTheme="minorEastAsia"/>
                <w:sz w:val="21"/>
                <w:szCs w:val="21"/>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spacing w:beforeLines="0" w:afterLines="0" w:line="240" w:lineRule="auto"/>
              <w:rPr>
                <w:rFonts w:hint="eastAsia" w:hAnsi="宋体" w:cs="宋体"/>
                <w:snapToGrid w:val="0"/>
                <w:color w:val="000000"/>
                <w:kern w:val="21"/>
                <w:szCs w:val="21"/>
              </w:rPr>
            </w:pPr>
          </w:p>
        </w:tc>
        <w:tc>
          <w:tcPr>
            <w:tcW w:w="1417" w:type="dxa"/>
            <w:noWrap w:val="0"/>
            <w:vAlign w:val="center"/>
          </w:tcPr>
          <w:p>
            <w:pPr>
              <w:pStyle w:val="60"/>
              <w:ind w:left="0" w:leftChars="0" w:firstLine="0" w:firstLineChars="0"/>
              <w:rPr>
                <w:rFonts w:hint="eastAsia" w:hAnsi="宋体" w:cs="宋体"/>
                <w:snapToGrid w:val="0"/>
                <w:color w:val="000000"/>
                <w:kern w:val="21"/>
                <w:szCs w:val="21"/>
              </w:rPr>
            </w:pPr>
            <w:r>
              <w:rPr>
                <w:rFonts w:cs="Times New Roman"/>
                <w:szCs w:val="21"/>
              </w:rPr>
              <w:t>BOD</w:t>
            </w:r>
            <w:r>
              <w:rPr>
                <w:rFonts w:cs="Times New Roman"/>
                <w:szCs w:val="21"/>
                <w:vertAlign w:val="subscript"/>
              </w:rPr>
              <w:t>5</w:t>
            </w:r>
          </w:p>
        </w:tc>
        <w:tc>
          <w:tcPr>
            <w:tcW w:w="1701"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276"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701"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5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cs="Times New Roman" w:eastAsiaTheme="minorEastAsia"/>
                <w:sz w:val="21"/>
                <w:szCs w:val="21"/>
                <w:lang w:val="en-US" w:eastAsia="zh-CN"/>
              </w:rPr>
              <w:t>0.024</w:t>
            </w:r>
            <w:r>
              <w:rPr>
                <w:rFonts w:hint="eastAsia" w:ascii="Times New Roman" w:cs="Times New Roman" w:eastAsiaTheme="minorEastAsia"/>
                <w:sz w:val="21"/>
                <w:szCs w:val="21"/>
                <w:lang w:val="en-US" w:eastAsia="zh-CN"/>
              </w:rPr>
              <w:t>t/a</w:t>
            </w:r>
          </w:p>
        </w:tc>
        <w:tc>
          <w:tcPr>
            <w:tcW w:w="1761"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p>
        </w:tc>
        <w:tc>
          <w:tcPr>
            <w:tcW w:w="19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cs="Times New Roman" w:eastAsiaTheme="minorEastAsia"/>
                <w:sz w:val="21"/>
                <w:szCs w:val="21"/>
                <w:lang w:val="en-US" w:eastAsia="zh-CN"/>
              </w:rPr>
              <w:t>0.024</w:t>
            </w:r>
            <w:r>
              <w:rPr>
                <w:rFonts w:hint="eastAsia" w:ascii="Times New Roman" w:cs="Times New Roman" w:eastAsiaTheme="minorEastAsia"/>
                <w:sz w:val="21"/>
                <w:szCs w:val="21"/>
                <w:lang w:val="en-US" w:eastAsia="zh-CN"/>
              </w:rPr>
              <w:t>t/a</w:t>
            </w:r>
          </w:p>
        </w:tc>
        <w:tc>
          <w:tcPr>
            <w:tcW w:w="826" w:type="dxa"/>
            <w:noWrap w:val="0"/>
            <w:vAlign w:val="center"/>
          </w:tcPr>
          <w:p>
            <w:pPr>
              <w:pStyle w:val="40"/>
              <w:spacing w:beforeLines="0" w:afterLines="0" w:line="240" w:lineRule="auto"/>
              <w:rPr>
                <w:rFonts w:hAnsi="宋体" w:cs="宋体"/>
                <w:snapToGrid w:val="0"/>
                <w:color w:val="000000"/>
                <w:kern w:val="21"/>
                <w:szCs w:val="21"/>
              </w:rPr>
            </w:pPr>
            <w:r>
              <w:rPr>
                <w:rFonts w:hint="eastAsia" w:ascii="Times New Roman" w:cs="Times New Roman" w:eastAsiaTheme="minorEastAsia"/>
                <w:sz w:val="21"/>
                <w:szCs w:val="21"/>
                <w:lang w:val="en-US" w:eastAsia="zh-CN"/>
              </w:rPr>
              <w:t>+</w:t>
            </w:r>
            <w:r>
              <w:rPr>
                <w:rFonts w:hint="eastAsia" w:ascii="Times New Roman" w:hAnsi="Times New Roman" w:cs="Times New Roman" w:eastAsiaTheme="minorEastAsia"/>
                <w:sz w:val="21"/>
                <w:szCs w:val="21"/>
                <w:lang w:val="en-US" w:eastAsia="zh-CN"/>
              </w:rPr>
              <w:t>0.024</w:t>
            </w:r>
            <w:r>
              <w:rPr>
                <w:rFonts w:hint="eastAsia" w:ascii="Times New Roman" w:cs="Times New Roman" w:eastAsiaTheme="minorEastAsia"/>
                <w:sz w:val="21"/>
                <w:szCs w:val="21"/>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spacing w:beforeLines="0" w:afterLines="0" w:line="240" w:lineRule="auto"/>
              <w:rPr>
                <w:rFonts w:hint="eastAsia" w:hAnsi="宋体" w:cs="宋体"/>
                <w:snapToGrid w:val="0"/>
                <w:color w:val="000000"/>
                <w:kern w:val="21"/>
                <w:szCs w:val="21"/>
              </w:rPr>
            </w:pPr>
          </w:p>
        </w:tc>
        <w:tc>
          <w:tcPr>
            <w:tcW w:w="1417" w:type="dxa"/>
            <w:noWrap w:val="0"/>
            <w:vAlign w:val="center"/>
          </w:tcPr>
          <w:p>
            <w:pPr>
              <w:pStyle w:val="60"/>
              <w:ind w:left="0" w:leftChars="0" w:firstLine="0" w:firstLineChars="0"/>
              <w:rPr>
                <w:rFonts w:hint="eastAsia" w:hAnsi="宋体" w:cs="宋体"/>
                <w:snapToGrid w:val="0"/>
                <w:color w:val="000000"/>
                <w:kern w:val="21"/>
                <w:szCs w:val="21"/>
              </w:rPr>
            </w:pPr>
            <w:r>
              <w:rPr>
                <w:rFonts w:cs="Times New Roman"/>
                <w:szCs w:val="21"/>
              </w:rPr>
              <w:t>SS</w:t>
            </w:r>
          </w:p>
        </w:tc>
        <w:tc>
          <w:tcPr>
            <w:tcW w:w="1701"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276"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701"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5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cs="Times New Roman" w:eastAsiaTheme="minorEastAsia"/>
                <w:sz w:val="21"/>
                <w:szCs w:val="21"/>
                <w:lang w:val="en-US" w:eastAsia="zh-CN"/>
              </w:rPr>
              <w:t>0.018</w:t>
            </w:r>
            <w:r>
              <w:rPr>
                <w:rFonts w:hint="eastAsia" w:ascii="Times New Roman" w:cs="Times New Roman" w:eastAsiaTheme="minorEastAsia"/>
                <w:sz w:val="21"/>
                <w:szCs w:val="21"/>
                <w:lang w:val="en-US" w:eastAsia="zh-CN"/>
              </w:rPr>
              <w:t>t/a</w:t>
            </w:r>
          </w:p>
        </w:tc>
        <w:tc>
          <w:tcPr>
            <w:tcW w:w="1761"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p>
        </w:tc>
        <w:tc>
          <w:tcPr>
            <w:tcW w:w="19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cs="Times New Roman" w:eastAsiaTheme="minorEastAsia"/>
                <w:sz w:val="21"/>
                <w:szCs w:val="21"/>
                <w:lang w:val="en-US" w:eastAsia="zh-CN"/>
              </w:rPr>
              <w:t>0.018</w:t>
            </w:r>
            <w:r>
              <w:rPr>
                <w:rFonts w:hint="eastAsia" w:ascii="Times New Roman" w:cs="Times New Roman" w:eastAsiaTheme="minorEastAsia"/>
                <w:sz w:val="21"/>
                <w:szCs w:val="21"/>
                <w:lang w:val="en-US" w:eastAsia="zh-CN"/>
              </w:rPr>
              <w:t>t/a</w:t>
            </w:r>
          </w:p>
        </w:tc>
        <w:tc>
          <w:tcPr>
            <w:tcW w:w="826" w:type="dxa"/>
            <w:noWrap w:val="0"/>
            <w:vAlign w:val="center"/>
          </w:tcPr>
          <w:p>
            <w:pPr>
              <w:pStyle w:val="40"/>
              <w:spacing w:beforeLines="0" w:afterLines="0" w:line="240" w:lineRule="auto"/>
              <w:rPr>
                <w:rFonts w:hAnsi="宋体" w:cs="宋体"/>
                <w:snapToGrid w:val="0"/>
                <w:color w:val="000000"/>
                <w:kern w:val="21"/>
                <w:szCs w:val="21"/>
              </w:rPr>
            </w:pPr>
            <w:r>
              <w:rPr>
                <w:rFonts w:hint="eastAsia" w:ascii="Times New Roman" w:cs="Times New Roman" w:eastAsiaTheme="minorEastAsia"/>
                <w:sz w:val="21"/>
                <w:szCs w:val="21"/>
                <w:lang w:val="en-US" w:eastAsia="zh-CN"/>
              </w:rPr>
              <w:t>+</w:t>
            </w:r>
            <w:r>
              <w:rPr>
                <w:rFonts w:hint="eastAsia" w:ascii="Times New Roman" w:hAnsi="Times New Roman" w:cs="Times New Roman" w:eastAsiaTheme="minorEastAsia"/>
                <w:sz w:val="21"/>
                <w:szCs w:val="21"/>
                <w:lang w:val="en-US" w:eastAsia="zh-CN"/>
              </w:rPr>
              <w:t>0.018</w:t>
            </w:r>
            <w:r>
              <w:rPr>
                <w:rFonts w:hint="eastAsia" w:ascii="Times New Roman" w:cs="Times New Roman" w:eastAsiaTheme="minorEastAsia"/>
                <w:sz w:val="21"/>
                <w:szCs w:val="21"/>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spacing w:beforeLines="0" w:afterLines="0" w:line="240" w:lineRule="auto"/>
              <w:rPr>
                <w:rFonts w:hint="eastAsia" w:hAnsi="宋体" w:cs="宋体"/>
                <w:snapToGrid w:val="0"/>
                <w:color w:val="000000"/>
                <w:kern w:val="21"/>
                <w:szCs w:val="21"/>
              </w:rPr>
            </w:pPr>
          </w:p>
        </w:tc>
        <w:tc>
          <w:tcPr>
            <w:tcW w:w="1417" w:type="dxa"/>
            <w:noWrap w:val="0"/>
            <w:vAlign w:val="center"/>
          </w:tcPr>
          <w:p>
            <w:pPr>
              <w:pStyle w:val="60"/>
              <w:ind w:left="0" w:leftChars="0" w:firstLine="0" w:firstLineChars="0"/>
              <w:rPr>
                <w:rFonts w:hint="eastAsia" w:hAnsi="宋体" w:cs="宋体"/>
                <w:snapToGrid w:val="0"/>
                <w:color w:val="000000"/>
                <w:kern w:val="21"/>
                <w:szCs w:val="21"/>
              </w:rPr>
            </w:pPr>
            <w:r>
              <w:rPr>
                <w:rFonts w:cs="Times New Roman"/>
                <w:szCs w:val="21"/>
              </w:rPr>
              <w:t>NH</w:t>
            </w:r>
            <w:r>
              <w:rPr>
                <w:rFonts w:cs="Times New Roman"/>
                <w:szCs w:val="21"/>
                <w:vertAlign w:val="subscript"/>
              </w:rPr>
              <w:t>3</w:t>
            </w:r>
            <w:r>
              <w:rPr>
                <w:rFonts w:cs="Times New Roman"/>
                <w:szCs w:val="21"/>
              </w:rPr>
              <w:t>-N</w:t>
            </w:r>
          </w:p>
        </w:tc>
        <w:tc>
          <w:tcPr>
            <w:tcW w:w="1701"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276"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701" w:type="dxa"/>
            <w:noWrap w:val="0"/>
            <w:vAlign w:val="center"/>
          </w:tcPr>
          <w:p>
            <w:pPr>
              <w:pStyle w:val="60"/>
              <w:ind w:left="0" w:leftChars="0" w:firstLine="0" w:firstLineChars="0"/>
              <w:jc w:val="center"/>
              <w:rPr>
                <w:rFonts w:hint="eastAsia" w:cs="Times New Roman"/>
                <w:snapToGrid w:val="0"/>
              </w:rPr>
            </w:pPr>
            <w:r>
              <w:rPr>
                <w:rFonts w:hint="eastAsia" w:cs="Times New Roman"/>
                <w:snapToGrid w:val="0"/>
              </w:rPr>
              <w:t>/</w:t>
            </w:r>
          </w:p>
        </w:tc>
        <w:tc>
          <w:tcPr>
            <w:tcW w:w="15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cs="Times New Roman" w:eastAsiaTheme="minorEastAsia"/>
                <w:sz w:val="21"/>
                <w:szCs w:val="21"/>
                <w:lang w:val="en-US" w:eastAsia="zh-CN"/>
              </w:rPr>
              <w:t>0.003</w:t>
            </w:r>
            <w:r>
              <w:rPr>
                <w:rFonts w:hint="eastAsia" w:ascii="Times New Roman" w:cs="Times New Roman" w:eastAsiaTheme="minorEastAsia"/>
                <w:sz w:val="21"/>
                <w:szCs w:val="21"/>
                <w:lang w:val="en-US" w:eastAsia="zh-CN"/>
              </w:rPr>
              <w:t>t/a</w:t>
            </w:r>
          </w:p>
        </w:tc>
        <w:tc>
          <w:tcPr>
            <w:tcW w:w="1761"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p>
        </w:tc>
        <w:tc>
          <w:tcPr>
            <w:tcW w:w="19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cs="Times New Roman" w:eastAsiaTheme="minorEastAsia"/>
                <w:sz w:val="21"/>
                <w:szCs w:val="21"/>
                <w:lang w:val="en-US" w:eastAsia="zh-CN"/>
              </w:rPr>
              <w:t>0.003</w:t>
            </w:r>
            <w:r>
              <w:rPr>
                <w:rFonts w:hint="eastAsia" w:ascii="Times New Roman" w:cs="Times New Roman" w:eastAsiaTheme="minorEastAsia"/>
                <w:sz w:val="21"/>
                <w:szCs w:val="21"/>
                <w:lang w:val="en-US" w:eastAsia="zh-CN"/>
              </w:rPr>
              <w:t>t/a</w:t>
            </w:r>
          </w:p>
        </w:tc>
        <w:tc>
          <w:tcPr>
            <w:tcW w:w="826" w:type="dxa"/>
            <w:noWrap w:val="0"/>
            <w:vAlign w:val="center"/>
          </w:tcPr>
          <w:p>
            <w:pPr>
              <w:pStyle w:val="40"/>
              <w:spacing w:beforeLines="0" w:afterLines="0" w:line="240" w:lineRule="auto"/>
              <w:rPr>
                <w:rFonts w:hAnsi="宋体" w:cs="宋体"/>
                <w:snapToGrid w:val="0"/>
                <w:color w:val="000000"/>
                <w:kern w:val="21"/>
                <w:szCs w:val="21"/>
              </w:rPr>
            </w:pPr>
            <w:r>
              <w:rPr>
                <w:rFonts w:hint="eastAsia" w:ascii="Times New Roman" w:cs="Times New Roman" w:eastAsiaTheme="minorEastAsia"/>
                <w:sz w:val="21"/>
                <w:szCs w:val="21"/>
                <w:lang w:val="en-US" w:eastAsia="zh-CN"/>
              </w:rPr>
              <w:t>+</w:t>
            </w:r>
            <w:r>
              <w:rPr>
                <w:rFonts w:hint="eastAsia" w:ascii="Times New Roman" w:hAnsi="Times New Roman" w:cs="Times New Roman" w:eastAsiaTheme="minorEastAsia"/>
                <w:sz w:val="21"/>
                <w:szCs w:val="21"/>
                <w:lang w:val="en-US" w:eastAsia="zh-CN"/>
              </w:rPr>
              <w:t>0.003</w:t>
            </w:r>
            <w:r>
              <w:rPr>
                <w:rFonts w:hint="eastAsia" w:ascii="Times New Roman" w:cs="Times New Roman" w:eastAsiaTheme="minorEastAsia"/>
                <w:sz w:val="21"/>
                <w:szCs w:val="21"/>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40"/>
              <w:spacing w:beforeLines="0" w:afterLines="0" w:line="240" w:lineRule="auto"/>
              <w:rPr>
                <w:rFonts w:hAnsi="宋体" w:cs="宋体"/>
                <w:snapToGrid w:val="0"/>
                <w:color w:val="000000"/>
                <w:kern w:val="21"/>
                <w:szCs w:val="21"/>
              </w:rPr>
            </w:pPr>
            <w:r>
              <w:rPr>
                <w:rFonts w:hint="eastAsia" w:hAnsi="宋体" w:cs="宋体"/>
                <w:snapToGrid w:val="0"/>
                <w:color w:val="000000"/>
                <w:kern w:val="21"/>
                <w:szCs w:val="21"/>
              </w:rPr>
              <w:t>一般工业</w:t>
            </w:r>
          </w:p>
          <w:p>
            <w:pPr>
              <w:pStyle w:val="40"/>
              <w:spacing w:beforeLines="0" w:afterLines="0" w:line="240" w:lineRule="auto"/>
              <w:rPr>
                <w:rFonts w:hint="eastAsia" w:hAnsi="宋体" w:cs="宋体"/>
                <w:snapToGrid w:val="0"/>
                <w:color w:val="000000"/>
                <w:kern w:val="21"/>
                <w:szCs w:val="21"/>
              </w:rPr>
            </w:pPr>
            <w:r>
              <w:rPr>
                <w:rFonts w:hint="eastAsia" w:hAnsi="宋体" w:cs="宋体"/>
                <w:snapToGrid w:val="0"/>
                <w:color w:val="000000"/>
                <w:kern w:val="21"/>
                <w:szCs w:val="21"/>
              </w:rPr>
              <w:t>固体废物</w:t>
            </w:r>
          </w:p>
        </w:tc>
        <w:tc>
          <w:tcPr>
            <w:tcW w:w="1417" w:type="dxa"/>
            <w:noWrap w:val="0"/>
            <w:vAlign w:val="center"/>
          </w:tcPr>
          <w:p>
            <w:pPr>
              <w:jc w:val="center"/>
              <w:rPr>
                <w:rFonts w:hAnsi="宋体" w:cs="宋体"/>
                <w:snapToGrid w:val="0"/>
                <w:color w:val="000000"/>
                <w:kern w:val="21"/>
                <w:szCs w:val="21"/>
              </w:rPr>
            </w:pPr>
            <w:r>
              <w:rPr>
                <w:rFonts w:hint="default" w:ascii="Times New Roman" w:hAnsi="Times New Roman" w:cs="Times New Roman"/>
                <w:szCs w:val="21"/>
                <w:highlight w:val="none"/>
              </w:rPr>
              <w:t>除尘系统收集粉尘</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276"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5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3</w:t>
            </w:r>
            <w:r>
              <w:rPr>
                <w:rFonts w:hint="eastAsia" w:ascii="Times New Roman" w:cs="Times New Roman"/>
                <w:snapToGrid w:val="0"/>
                <w:color w:val="000000"/>
                <w:kern w:val="21"/>
                <w:szCs w:val="21"/>
                <w:lang w:val="en-US" w:eastAsia="zh-CN"/>
              </w:rPr>
              <w:t>1.456</w:t>
            </w:r>
            <w:r>
              <w:rPr>
                <w:rFonts w:hint="eastAsia" w:ascii="Times New Roman" w:hAnsi="Times New Roman" w:eastAsia="宋体" w:cs="Times New Roman"/>
                <w:snapToGrid w:val="0"/>
                <w:color w:val="000000"/>
                <w:kern w:val="21"/>
                <w:szCs w:val="21"/>
                <w:lang w:val="en-US" w:eastAsia="zh-CN"/>
              </w:rPr>
              <w:t>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c>
          <w:tcPr>
            <w:tcW w:w="1761"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w:t>
            </w:r>
          </w:p>
        </w:tc>
        <w:tc>
          <w:tcPr>
            <w:tcW w:w="19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34.44t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c>
          <w:tcPr>
            <w:tcW w:w="826" w:type="dxa"/>
            <w:noWrap w:val="0"/>
            <w:vAlign w:val="center"/>
          </w:tcPr>
          <w:p>
            <w:pPr>
              <w:pStyle w:val="40"/>
              <w:spacing w:beforeLines="0" w:afterLines="0" w:line="240" w:lineRule="auto"/>
              <w:rPr>
                <w:rFonts w:hAnsi="宋体" w:cs="宋体"/>
                <w:snapToGrid w:val="0"/>
                <w:color w:val="000000"/>
                <w:kern w:val="21"/>
                <w:szCs w:val="21"/>
              </w:rPr>
            </w:pPr>
            <w:r>
              <w:rPr>
                <w:rFonts w:hint="eastAsia" w:asci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34.44t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spacing w:beforeLines="0" w:afterLines="0" w:line="240" w:lineRule="auto"/>
              <w:rPr>
                <w:rFonts w:hAnsi="宋体" w:cs="宋体"/>
                <w:snapToGrid w:val="0"/>
                <w:color w:val="000000"/>
                <w:kern w:val="21"/>
                <w:szCs w:val="21"/>
              </w:rPr>
            </w:pPr>
          </w:p>
        </w:tc>
        <w:tc>
          <w:tcPr>
            <w:tcW w:w="1417" w:type="dxa"/>
            <w:noWrap w:val="0"/>
            <w:vAlign w:val="center"/>
          </w:tcPr>
          <w:p>
            <w:pPr>
              <w:jc w:val="center"/>
              <w:rPr>
                <w:rFonts w:hAnsi="宋体" w:cs="宋体"/>
                <w:snapToGrid w:val="0"/>
                <w:color w:val="000000"/>
                <w:kern w:val="21"/>
                <w:szCs w:val="21"/>
              </w:rPr>
            </w:pPr>
            <w:r>
              <w:rPr>
                <w:rFonts w:hint="default" w:ascii="Times New Roman" w:hAnsi="Times New Roman" w:cs="Times New Roman"/>
                <w:color w:val="000000"/>
                <w:szCs w:val="21"/>
                <w:highlight w:val="none"/>
                <w:lang w:eastAsia="zh-CN"/>
              </w:rPr>
              <w:t>检验</w:t>
            </w:r>
            <w:r>
              <w:rPr>
                <w:rFonts w:hint="default" w:ascii="Times New Roman" w:hAnsi="Times New Roman" w:cs="Times New Roman"/>
                <w:color w:val="000000"/>
                <w:szCs w:val="21"/>
                <w:highlight w:val="none"/>
              </w:rPr>
              <w:t>废混凝土</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276"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5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0.5t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c>
          <w:tcPr>
            <w:tcW w:w="1761"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w:t>
            </w:r>
          </w:p>
        </w:tc>
        <w:tc>
          <w:tcPr>
            <w:tcW w:w="19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0.5t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c>
          <w:tcPr>
            <w:tcW w:w="826" w:type="dxa"/>
            <w:noWrap w:val="0"/>
            <w:vAlign w:val="center"/>
          </w:tcPr>
          <w:p>
            <w:pPr>
              <w:pStyle w:val="40"/>
              <w:spacing w:beforeLines="0" w:afterLines="0" w:line="240" w:lineRule="auto"/>
              <w:rPr>
                <w:rFonts w:hAnsi="宋体" w:cs="宋体"/>
                <w:snapToGrid w:val="0"/>
                <w:color w:val="000000"/>
                <w:kern w:val="21"/>
                <w:szCs w:val="21"/>
              </w:rPr>
            </w:pPr>
            <w:r>
              <w:rPr>
                <w:rFonts w:hint="eastAsia" w:asci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0.5t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spacing w:beforeLines="0" w:afterLines="0" w:line="240" w:lineRule="auto"/>
              <w:rPr>
                <w:rFonts w:hint="eastAsia" w:hAnsi="宋体" w:cs="宋体"/>
                <w:snapToGrid w:val="0"/>
                <w:color w:val="000000"/>
                <w:kern w:val="21"/>
                <w:szCs w:val="21"/>
              </w:rPr>
            </w:pPr>
          </w:p>
        </w:tc>
        <w:tc>
          <w:tcPr>
            <w:tcW w:w="1417" w:type="dxa"/>
            <w:noWrap w:val="0"/>
            <w:vAlign w:val="center"/>
          </w:tcPr>
          <w:p>
            <w:pPr>
              <w:jc w:val="center"/>
              <w:rPr>
                <w:rFonts w:hint="eastAsia" w:hAnsi="宋体" w:cs="宋体"/>
                <w:snapToGrid w:val="0"/>
                <w:color w:val="000000"/>
                <w:kern w:val="21"/>
                <w:szCs w:val="21"/>
              </w:rPr>
            </w:pPr>
            <w:r>
              <w:rPr>
                <w:rFonts w:hint="default" w:ascii="Times New Roman" w:hAnsi="Times New Roman" w:cs="Times New Roman"/>
                <w:color w:val="000000"/>
                <w:szCs w:val="21"/>
              </w:rPr>
              <w:t>生活垃圾</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276"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5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2.4t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c>
          <w:tcPr>
            <w:tcW w:w="1761"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w:t>
            </w:r>
          </w:p>
        </w:tc>
        <w:tc>
          <w:tcPr>
            <w:tcW w:w="19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2.4t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c>
          <w:tcPr>
            <w:tcW w:w="826" w:type="dxa"/>
            <w:noWrap w:val="0"/>
            <w:vAlign w:val="center"/>
          </w:tcPr>
          <w:p>
            <w:pPr>
              <w:pStyle w:val="40"/>
              <w:spacing w:beforeLines="0" w:afterLines="0" w:line="240" w:lineRule="auto"/>
              <w:rPr>
                <w:rFonts w:hAnsi="宋体" w:cs="宋体"/>
                <w:snapToGrid w:val="0"/>
                <w:color w:val="000000"/>
                <w:kern w:val="21"/>
                <w:szCs w:val="21"/>
              </w:rPr>
            </w:pPr>
            <w:r>
              <w:rPr>
                <w:rFonts w:hint="eastAsia" w:asci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2.4t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40"/>
              <w:spacing w:beforeLines="0" w:afterLines="0" w:line="240" w:lineRule="auto"/>
              <w:rPr>
                <w:rFonts w:hAnsi="宋体" w:cs="宋体"/>
                <w:snapToGrid w:val="0"/>
                <w:color w:val="000000"/>
                <w:kern w:val="21"/>
                <w:szCs w:val="21"/>
              </w:rPr>
            </w:pPr>
            <w:r>
              <w:rPr>
                <w:rFonts w:hint="eastAsia" w:hAnsi="宋体" w:cs="宋体"/>
                <w:snapToGrid w:val="0"/>
                <w:color w:val="000000"/>
                <w:kern w:val="21"/>
                <w:szCs w:val="21"/>
              </w:rPr>
              <w:t>危险废物</w:t>
            </w:r>
          </w:p>
        </w:tc>
        <w:tc>
          <w:tcPr>
            <w:tcW w:w="1417" w:type="dxa"/>
            <w:noWrap w:val="0"/>
            <w:vAlign w:val="center"/>
          </w:tcPr>
          <w:p>
            <w:pPr>
              <w:jc w:val="center"/>
              <w:rPr>
                <w:rFonts w:hint="eastAsia" w:hAnsi="宋体" w:cs="宋体"/>
                <w:snapToGrid w:val="0"/>
                <w:color w:val="000000"/>
                <w:kern w:val="21"/>
                <w:szCs w:val="21"/>
              </w:rPr>
            </w:pPr>
            <w:r>
              <w:rPr>
                <w:rFonts w:hint="default" w:ascii="Times New Roman" w:hAnsi="Times New Roman" w:cs="Times New Roman"/>
                <w:color w:val="000000"/>
                <w:szCs w:val="21"/>
              </w:rPr>
              <w:t>废机油</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276"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701" w:type="dxa"/>
            <w:noWrap w:val="0"/>
            <w:vAlign w:val="center"/>
          </w:tcPr>
          <w:p>
            <w:pPr>
              <w:pStyle w:val="60"/>
              <w:ind w:left="0" w:leftChars="0" w:firstLine="0" w:firstLineChars="0"/>
              <w:jc w:val="center"/>
              <w:rPr>
                <w:rFonts w:hAnsi="宋体" w:cs="宋体"/>
                <w:snapToGrid w:val="0"/>
                <w:color w:val="000000"/>
                <w:kern w:val="21"/>
                <w:szCs w:val="21"/>
              </w:rPr>
            </w:pPr>
            <w:r>
              <w:rPr>
                <w:rFonts w:hint="eastAsia" w:cs="Times New Roman"/>
                <w:snapToGrid w:val="0"/>
              </w:rPr>
              <w:t>/</w:t>
            </w:r>
          </w:p>
        </w:tc>
        <w:tc>
          <w:tcPr>
            <w:tcW w:w="15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0.05t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c>
          <w:tcPr>
            <w:tcW w:w="1761"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w:t>
            </w:r>
          </w:p>
        </w:tc>
        <w:tc>
          <w:tcPr>
            <w:tcW w:w="19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hAnsi="Times New Roman" w:eastAsia="宋体" w:cs="Times New Roman"/>
                <w:snapToGrid w:val="0"/>
                <w:color w:val="000000"/>
                <w:kern w:val="21"/>
                <w:szCs w:val="21"/>
                <w:lang w:val="en-US" w:eastAsia="zh-CN"/>
              </w:rPr>
              <w:t>0.05t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c>
          <w:tcPr>
            <w:tcW w:w="826" w:type="dxa"/>
            <w:noWrap w:val="0"/>
            <w:vAlign w:val="center"/>
          </w:tcPr>
          <w:p>
            <w:pPr>
              <w:pStyle w:val="40"/>
              <w:spacing w:beforeLines="0" w:afterLines="0" w:line="240" w:lineRule="auto"/>
              <w:rPr>
                <w:rFonts w:hAnsi="宋体" w:cs="宋体"/>
                <w:snapToGrid w:val="0"/>
                <w:color w:val="000000"/>
                <w:kern w:val="21"/>
                <w:szCs w:val="21"/>
              </w:rPr>
            </w:pPr>
            <w:r>
              <w:rPr>
                <w:rFonts w:hint="eastAsia" w:asci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0.05t</w:t>
            </w:r>
            <w:r>
              <w:rPr>
                <w:rFonts w:hint="default" w:ascii="Times New Roman" w:hAnsi="Times New Roman" w:eastAsia="宋体" w:cs="Times New Roman"/>
                <w:snapToGrid w:val="0"/>
                <w:color w:val="000000"/>
                <w:kern w:val="21"/>
                <w:szCs w:val="21"/>
                <w:lang w:val="en-US" w:eastAsia="zh-CN"/>
              </w:rPr>
              <w:t>/</w:t>
            </w:r>
            <w:r>
              <w:rPr>
                <w:rFonts w:hint="eastAsia" w:ascii="Times New Roman" w:hAnsi="Times New Roman" w:eastAsia="宋体" w:cs="Times New Roman"/>
                <w:snapToGrid w:val="0"/>
                <w:color w:val="000000"/>
                <w:kern w:val="21"/>
                <w:szCs w:val="21"/>
                <w:lang w:val="en-US" w:eastAsia="zh-CN"/>
              </w:rPr>
              <w: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0"/>
              <w:spacing w:beforeLines="0" w:afterLines="0" w:line="240" w:lineRule="auto"/>
              <w:rPr>
                <w:rFonts w:hint="eastAsia" w:hAnsi="宋体" w:cs="宋体"/>
                <w:snapToGrid w:val="0"/>
                <w:color w:val="000000"/>
                <w:kern w:val="21"/>
                <w:szCs w:val="21"/>
              </w:rPr>
            </w:pPr>
          </w:p>
        </w:tc>
        <w:tc>
          <w:tcPr>
            <w:tcW w:w="1417" w:type="dxa"/>
            <w:noWrap w:val="0"/>
            <w:vAlign w:val="center"/>
          </w:tcPr>
          <w:p>
            <w:pPr>
              <w:jc w:val="center"/>
              <w:rPr>
                <w:rFonts w:hint="eastAsia" w:ascii="Times New Roman" w:hAnsi="Times New Roman" w:eastAsia="宋体" w:cs="Times New Roman"/>
                <w:color w:val="000000"/>
                <w:szCs w:val="21"/>
                <w:lang w:val="en-US" w:eastAsia="zh-CN"/>
              </w:rPr>
            </w:pPr>
            <w:r>
              <w:rPr>
                <w:rFonts w:hint="eastAsia" w:cs="Times New Roman"/>
                <w:color w:val="000000"/>
                <w:szCs w:val="21"/>
                <w:lang w:val="en-US" w:eastAsia="zh-CN"/>
              </w:rPr>
              <w:t>废机油桶</w:t>
            </w:r>
          </w:p>
        </w:tc>
        <w:tc>
          <w:tcPr>
            <w:tcW w:w="1701" w:type="dxa"/>
            <w:noWrap w:val="0"/>
            <w:vAlign w:val="center"/>
          </w:tcPr>
          <w:p>
            <w:pPr>
              <w:pStyle w:val="60"/>
              <w:ind w:left="0" w:leftChars="0" w:firstLine="0" w:firstLineChars="0"/>
              <w:jc w:val="center"/>
              <w:rPr>
                <w:rFonts w:hint="eastAsia" w:eastAsia="宋体" w:cs="Times New Roman"/>
                <w:snapToGrid w:val="0"/>
                <w:lang w:val="en-US" w:eastAsia="zh-CN"/>
              </w:rPr>
            </w:pPr>
            <w:r>
              <w:rPr>
                <w:rFonts w:hint="eastAsia" w:cs="Times New Roman"/>
                <w:snapToGrid w:val="0"/>
                <w:lang w:val="en-US" w:eastAsia="zh-CN"/>
              </w:rPr>
              <w:t>/</w:t>
            </w:r>
          </w:p>
        </w:tc>
        <w:tc>
          <w:tcPr>
            <w:tcW w:w="1276" w:type="dxa"/>
            <w:noWrap w:val="0"/>
            <w:vAlign w:val="center"/>
          </w:tcPr>
          <w:p>
            <w:pPr>
              <w:pStyle w:val="60"/>
              <w:ind w:left="0" w:leftChars="0" w:firstLine="0" w:firstLineChars="0"/>
              <w:jc w:val="center"/>
              <w:rPr>
                <w:rFonts w:hint="eastAsia" w:eastAsia="宋体" w:cs="Times New Roman"/>
                <w:snapToGrid w:val="0"/>
                <w:lang w:val="en-US" w:eastAsia="zh-CN"/>
              </w:rPr>
            </w:pPr>
            <w:r>
              <w:rPr>
                <w:rFonts w:hint="eastAsia" w:cs="Times New Roman"/>
                <w:snapToGrid w:val="0"/>
                <w:lang w:val="en-US" w:eastAsia="zh-CN"/>
              </w:rPr>
              <w:t>/</w:t>
            </w:r>
          </w:p>
        </w:tc>
        <w:tc>
          <w:tcPr>
            <w:tcW w:w="1701" w:type="dxa"/>
            <w:noWrap w:val="0"/>
            <w:vAlign w:val="center"/>
          </w:tcPr>
          <w:p>
            <w:pPr>
              <w:pStyle w:val="60"/>
              <w:ind w:left="0" w:leftChars="0" w:firstLine="0" w:firstLineChars="0"/>
              <w:jc w:val="center"/>
              <w:rPr>
                <w:rFonts w:hint="eastAsia" w:eastAsia="宋体" w:cs="Times New Roman"/>
                <w:snapToGrid w:val="0"/>
                <w:lang w:val="en-US" w:eastAsia="zh-CN"/>
              </w:rPr>
            </w:pPr>
            <w:r>
              <w:rPr>
                <w:rFonts w:hint="eastAsia" w:cs="Times New Roman"/>
                <w:snapToGrid w:val="0"/>
                <w:lang w:val="en-US" w:eastAsia="zh-CN"/>
              </w:rPr>
              <w:t>/</w:t>
            </w:r>
          </w:p>
        </w:tc>
        <w:tc>
          <w:tcPr>
            <w:tcW w:w="1559"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0.01t/a</w:t>
            </w:r>
          </w:p>
        </w:tc>
        <w:tc>
          <w:tcPr>
            <w:tcW w:w="1761" w:type="dxa"/>
            <w:noWrap w:val="0"/>
            <w:vAlign w:val="center"/>
          </w:tcPr>
          <w:p>
            <w:pPr>
              <w:pStyle w:val="40"/>
              <w:spacing w:beforeLines="0" w:afterLines="0" w:line="240" w:lineRule="auto"/>
              <w:rPr>
                <w:rFonts w:hint="default" w:ascii="Times New Roman" w:hAnsi="Times New Roman" w:eastAsia="宋体"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w:t>
            </w:r>
          </w:p>
        </w:tc>
        <w:tc>
          <w:tcPr>
            <w:tcW w:w="1959" w:type="dxa"/>
            <w:noWrap w:val="0"/>
            <w:vAlign w:val="center"/>
          </w:tcPr>
          <w:p>
            <w:pPr>
              <w:pStyle w:val="40"/>
              <w:spacing w:beforeLines="0" w:afterLines="0" w:line="240" w:lineRule="auto"/>
              <w:rPr>
                <w:rFonts w:hint="eastAsia" w:ascii="Times New Roman" w:hAnsi="Times New Roman" w:eastAsia="宋体" w:cs="Times New Roman"/>
                <w:snapToGrid w:val="0"/>
                <w:color w:val="000000"/>
                <w:kern w:val="21"/>
                <w:szCs w:val="21"/>
                <w:lang w:val="en-US" w:eastAsia="zh-CN"/>
              </w:rPr>
            </w:pPr>
            <w:r>
              <w:rPr>
                <w:rFonts w:hint="eastAsia" w:ascii="Times New Roman" w:cs="Times New Roman"/>
                <w:snapToGrid w:val="0"/>
                <w:color w:val="000000"/>
                <w:kern w:val="21"/>
                <w:szCs w:val="21"/>
                <w:lang w:val="en-US" w:eastAsia="zh-CN"/>
              </w:rPr>
              <w:t>0.01t/a</w:t>
            </w:r>
          </w:p>
        </w:tc>
        <w:tc>
          <w:tcPr>
            <w:tcW w:w="826" w:type="dxa"/>
            <w:noWrap w:val="0"/>
            <w:vAlign w:val="center"/>
          </w:tcPr>
          <w:p>
            <w:pPr>
              <w:pStyle w:val="40"/>
              <w:spacing w:beforeLines="0" w:afterLines="0" w:line="240" w:lineRule="auto"/>
              <w:rPr>
                <w:rFonts w:hAnsi="宋体" w:cs="宋体"/>
                <w:snapToGrid w:val="0"/>
                <w:color w:val="000000"/>
                <w:kern w:val="21"/>
                <w:szCs w:val="21"/>
              </w:rPr>
            </w:pPr>
            <w:r>
              <w:rPr>
                <w:rFonts w:hint="eastAsia" w:ascii="Times New Roman" w:cs="Times New Roman"/>
                <w:snapToGrid w:val="0"/>
                <w:color w:val="000000"/>
                <w:kern w:val="21"/>
                <w:szCs w:val="21"/>
                <w:lang w:val="en-US" w:eastAsia="zh-CN"/>
              </w:rPr>
              <w:t>+0.01t/a</w:t>
            </w:r>
          </w:p>
        </w:tc>
      </w:tr>
    </w:tbl>
    <w:p>
      <w:pPr>
        <w:pStyle w:val="40"/>
        <w:spacing w:before="192" w:beforeLines="80" w:after="24"/>
        <w:jc w:val="left"/>
        <w:rPr>
          <w:rFonts w:hint="eastAsia" w:hAnsi="宋体"/>
          <w:snapToGrid w:val="0"/>
          <w:color w:val="000000"/>
          <w:spacing w:val="-6"/>
          <w:kern w:val="21"/>
          <w:szCs w:val="21"/>
        </w:rPr>
      </w:pPr>
      <w:r>
        <w:rPr>
          <w:rFonts w:hAnsi="宋体"/>
          <w:snapToGrid w:val="0"/>
          <w:color w:val="000000"/>
          <w:kern w:val="21"/>
          <w:szCs w:val="21"/>
        </w:rPr>
        <w:t>注：</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3 \* GB3 \* MERGEFORMAT </w:instrText>
      </w:r>
      <w:r>
        <w:rPr>
          <w:rFonts w:hAnsi="宋体"/>
          <w:snapToGrid w:val="0"/>
          <w:color w:val="000000"/>
          <w:spacing w:val="-6"/>
          <w:kern w:val="21"/>
          <w:szCs w:val="21"/>
        </w:rPr>
        <w:fldChar w:fldCharType="separate"/>
      </w:r>
      <w:r>
        <w:rPr>
          <w:rFonts w:hint="eastAsia" w:hAnsi="宋体"/>
          <w:szCs w:val="21"/>
        </w:rPr>
        <w:t>③</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4 \* GB3 \* MERGEFORMAT </w:instrText>
      </w:r>
      <w:r>
        <w:rPr>
          <w:rFonts w:hAnsi="宋体"/>
          <w:snapToGrid w:val="0"/>
          <w:color w:val="000000"/>
          <w:spacing w:val="-6"/>
          <w:kern w:val="21"/>
          <w:szCs w:val="21"/>
        </w:rPr>
        <w:fldChar w:fldCharType="separate"/>
      </w:r>
      <w:r>
        <w:rPr>
          <w:rFonts w:hint="eastAsia" w:hAnsi="宋体"/>
          <w:szCs w:val="21"/>
        </w:rPr>
        <w:t>④</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5 \* GB3 \* MERGEFORMAT </w:instrText>
      </w:r>
      <w:r>
        <w:rPr>
          <w:rFonts w:hAnsi="宋体"/>
          <w:snapToGrid w:val="0"/>
          <w:color w:val="000000"/>
          <w:spacing w:val="-16"/>
          <w:kern w:val="21"/>
          <w:szCs w:val="21"/>
        </w:rPr>
        <w:fldChar w:fldCharType="separate"/>
      </w:r>
      <w:r>
        <w:rPr>
          <w:rFonts w:hint="eastAsia" w:hAnsi="宋体"/>
          <w:szCs w:val="21"/>
        </w:rPr>
        <w:t>⑤</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7 \* GB3 \* MERGEFORMAT </w:instrText>
      </w:r>
      <w:r>
        <w:rPr>
          <w:rFonts w:hAnsi="宋体"/>
          <w:snapToGrid w:val="0"/>
          <w:color w:val="000000"/>
          <w:spacing w:val="-6"/>
          <w:kern w:val="21"/>
          <w:szCs w:val="21"/>
        </w:rPr>
        <w:fldChar w:fldCharType="separate"/>
      </w:r>
      <w:r>
        <w:rPr>
          <w:rFonts w:hint="eastAsia" w:hAnsi="宋体"/>
          <w:szCs w:val="21"/>
        </w:rPr>
        <w:t>⑦</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p>
    <w:p>
      <w:pPr>
        <w:rPr>
          <w:rFonts w:hint="eastAsia"/>
        </w:rPr>
        <w:sectPr>
          <w:footerReference r:id="rId6" w:type="default"/>
          <w:pgSz w:w="16838" w:h="11906" w:orient="landscape"/>
          <w:pgMar w:top="1701" w:right="1531" w:bottom="1701" w:left="1531" w:header="851" w:footer="851" w:gutter="0"/>
          <w:cols w:space="720" w:num="1"/>
          <w:docGrid w:linePitch="312" w:charSpace="0"/>
        </w:sectPr>
      </w:pPr>
    </w:p>
    <w:p>
      <w:pPr>
        <w:rPr>
          <w:rFonts w:ascii="宋体" w:hAnsi="宋体" w:eastAsia="黑体"/>
        </w:rPr>
      </w:pPr>
    </w:p>
    <w:sectPr>
      <w:footerReference r:id="rId7" w:type="default"/>
      <w:pgSz w:w="11906" w:h="16838"/>
      <w:pgMar w:top="1701" w:right="1531" w:bottom="1701" w:left="153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CD21D5A-47B9-4669-8A29-FE3D38735F41}"/>
  </w:font>
  <w:font w:name="黑体">
    <w:panose1 w:val="02010609060101010101"/>
    <w:charset w:val="86"/>
    <w:family w:val="auto"/>
    <w:pitch w:val="default"/>
    <w:sig w:usb0="800002BF" w:usb1="38CF7CFA" w:usb2="00000016" w:usb3="00000000" w:csb0="00040001" w:csb1="00000000"/>
    <w:embedRegular r:id="rId2" w:fontKey="{532286A1-1107-4EAC-B49C-11BC35B90EC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49A21572-412C-4559-91EC-0348E3BFBD5D}"/>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3BDE5997-01C2-43A2-A6F3-1214CB746F73}"/>
  </w:font>
  <w:font w:name="方正小标宋_GBK">
    <w:panose1 w:val="03000509000000000000"/>
    <w:charset w:val="86"/>
    <w:family w:val="script"/>
    <w:pitch w:val="default"/>
    <w:sig w:usb0="00000001" w:usb1="080E0000" w:usb2="00000000" w:usb3="00000000" w:csb0="00040000" w:csb1="00000000"/>
    <w:embedRegular r:id="rId5" w:fontKey="{5B6B74BB-8B29-42AC-ADA2-94805C2799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6"/>
      </w:rPr>
    </w:pPr>
    <w:r>
      <w:fldChar w:fldCharType="begin"/>
    </w:r>
    <w:r>
      <w:rPr>
        <w:rStyle w:val="26"/>
      </w:rPr>
      <w:instrText xml:space="preserve">PAGE  </w:instrText>
    </w:r>
    <w:r>
      <w:fldChar w:fldCharType="end"/>
    </w:r>
  </w:p>
  <w:p>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outside" w:y="1"/>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Style w:val="26"/>
        <w:rFonts w:ascii="宋体" w:hAnsi="宋体"/>
        <w:sz w:val="26"/>
        <w:szCs w:val="26"/>
      </w:rPr>
      <w:fldChar w:fldCharType="begin"/>
    </w:r>
    <w:r>
      <w:rPr>
        <w:rStyle w:val="26"/>
        <w:rFonts w:ascii="宋体" w:hAnsi="宋体"/>
        <w:sz w:val="26"/>
        <w:szCs w:val="26"/>
      </w:rPr>
      <w:instrText xml:space="preserve">PAGE  </w:instrText>
    </w:r>
    <w:r>
      <w:rPr>
        <w:rStyle w:val="26"/>
        <w:rFonts w:ascii="宋体" w:hAnsi="宋体"/>
        <w:sz w:val="26"/>
        <w:szCs w:val="26"/>
      </w:rPr>
      <w:fldChar w:fldCharType="separate"/>
    </w:r>
    <w:r>
      <w:rPr>
        <w:rStyle w:val="26"/>
        <w:rFonts w:ascii="宋体" w:hAnsi="宋体"/>
        <w:sz w:val="26"/>
        <w:szCs w:val="26"/>
      </w:rPr>
      <w:t>9</w:t>
    </w:r>
    <w:r>
      <w:rPr>
        <w:rStyle w:val="26"/>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p>
    <w:pPr>
      <w:pStyle w:val="16"/>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Style w:val="26"/>
        <w:rFonts w:ascii="宋体" w:hAnsi="宋体"/>
        <w:sz w:val="26"/>
        <w:szCs w:val="26"/>
      </w:rPr>
      <w:fldChar w:fldCharType="begin"/>
    </w:r>
    <w:r>
      <w:rPr>
        <w:rStyle w:val="26"/>
        <w:rFonts w:ascii="宋体" w:hAnsi="宋体"/>
        <w:sz w:val="26"/>
        <w:szCs w:val="26"/>
      </w:rPr>
      <w:instrText xml:space="preserve">PAGE  </w:instrText>
    </w:r>
    <w:r>
      <w:rPr>
        <w:rStyle w:val="26"/>
        <w:rFonts w:ascii="宋体" w:hAnsi="宋体"/>
        <w:sz w:val="26"/>
        <w:szCs w:val="26"/>
      </w:rPr>
      <w:fldChar w:fldCharType="separate"/>
    </w:r>
    <w:r>
      <w:rPr>
        <w:rStyle w:val="26"/>
        <w:rFonts w:ascii="宋体" w:hAnsi="宋体"/>
        <w:sz w:val="26"/>
        <w:szCs w:val="26"/>
      </w:rPr>
      <w:t>10</w:t>
    </w:r>
    <w:r>
      <w:rPr>
        <w:rStyle w:val="26"/>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p>
    <w:pPr>
      <w:pStyle w:val="16"/>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outside" w:y="1"/>
      <w:rPr>
        <w:rStyle w:val="26"/>
        <w:rFonts w:ascii="宋体" w:hAnsi="宋体"/>
        <w:sz w:val="28"/>
        <w:szCs w:val="28"/>
      </w:rPr>
    </w:pPr>
    <w:r>
      <w:rPr>
        <w:rStyle w:val="26"/>
        <w:rFonts w:hint="eastAsia" w:ascii="宋体" w:hAnsi="宋体"/>
        <w:sz w:val="28"/>
        <w:szCs w:val="28"/>
      </w:rPr>
      <w:t>—</w:t>
    </w:r>
    <w:r>
      <w:rPr>
        <w:rStyle w:val="26"/>
        <w:rFonts w:hint="eastAsia" w:ascii="宋体" w:hAnsi="宋体"/>
        <w:sz w:val="20"/>
      </w:rPr>
      <w:t xml:space="preserve">  </w:t>
    </w:r>
    <w:r>
      <w:rPr>
        <w:rStyle w:val="26"/>
        <w:rFonts w:ascii="宋体" w:hAnsi="宋体"/>
        <w:sz w:val="26"/>
        <w:szCs w:val="26"/>
      </w:rPr>
      <w:fldChar w:fldCharType="begin"/>
    </w:r>
    <w:r>
      <w:rPr>
        <w:rStyle w:val="26"/>
        <w:rFonts w:ascii="宋体" w:hAnsi="宋体"/>
        <w:sz w:val="26"/>
        <w:szCs w:val="26"/>
      </w:rPr>
      <w:instrText xml:space="preserve">PAGE  </w:instrText>
    </w:r>
    <w:r>
      <w:rPr>
        <w:rStyle w:val="26"/>
        <w:rFonts w:ascii="宋体" w:hAnsi="宋体"/>
        <w:sz w:val="26"/>
        <w:szCs w:val="26"/>
      </w:rPr>
      <w:fldChar w:fldCharType="separate"/>
    </w:r>
    <w:r>
      <w:rPr>
        <w:rStyle w:val="26"/>
        <w:rFonts w:ascii="宋体" w:hAnsi="宋体"/>
        <w:sz w:val="26"/>
        <w:szCs w:val="26"/>
      </w:rPr>
      <w:t>11</w:t>
    </w:r>
    <w:r>
      <w:rPr>
        <w:rStyle w:val="26"/>
        <w:rFonts w:ascii="宋体" w:hAnsi="宋体"/>
        <w:sz w:val="26"/>
        <w:szCs w:val="26"/>
      </w:rPr>
      <w:fldChar w:fldCharType="end"/>
    </w:r>
    <w:r>
      <w:rPr>
        <w:rStyle w:val="26"/>
        <w:rFonts w:hint="eastAsia" w:ascii="宋体" w:hAnsi="宋体"/>
        <w:sz w:val="20"/>
      </w:rPr>
      <w:t xml:space="preserve">  </w:t>
    </w:r>
    <w:r>
      <w:rPr>
        <w:rStyle w:val="26"/>
        <w:rFonts w:hint="eastAsia" w:ascii="宋体" w:hAnsi="宋体"/>
        <w:sz w:val="28"/>
        <w:szCs w:val="28"/>
      </w:rPr>
      <w:t>—</w:t>
    </w:r>
  </w:p>
  <w:p>
    <w:pPr>
      <w:pStyle w:val="16"/>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iYzg0YjA3NGI3MjVkMWJiNDZmMzMxM2JmYjM0MGQ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377A9"/>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1626F"/>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1807"/>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42442"/>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C3E1B"/>
    <w:rsid w:val="00FD0236"/>
    <w:rsid w:val="00FD18F4"/>
    <w:rsid w:val="00FD54DB"/>
    <w:rsid w:val="00FD619F"/>
    <w:rsid w:val="01015623"/>
    <w:rsid w:val="01290F7E"/>
    <w:rsid w:val="015D1E09"/>
    <w:rsid w:val="02697903"/>
    <w:rsid w:val="02F96569"/>
    <w:rsid w:val="035648C3"/>
    <w:rsid w:val="03EA7B21"/>
    <w:rsid w:val="04C93B43"/>
    <w:rsid w:val="05F83EAE"/>
    <w:rsid w:val="063E7D85"/>
    <w:rsid w:val="06463AA2"/>
    <w:rsid w:val="06D838D5"/>
    <w:rsid w:val="0713124B"/>
    <w:rsid w:val="07293586"/>
    <w:rsid w:val="07295285"/>
    <w:rsid w:val="07636392"/>
    <w:rsid w:val="07770C56"/>
    <w:rsid w:val="08606DC6"/>
    <w:rsid w:val="08851FE1"/>
    <w:rsid w:val="08AC522A"/>
    <w:rsid w:val="092217DD"/>
    <w:rsid w:val="093A7294"/>
    <w:rsid w:val="098A780A"/>
    <w:rsid w:val="0A204947"/>
    <w:rsid w:val="0A263993"/>
    <w:rsid w:val="0A2D3AC2"/>
    <w:rsid w:val="0AA755DF"/>
    <w:rsid w:val="0AE03629"/>
    <w:rsid w:val="0B120D44"/>
    <w:rsid w:val="0B235100"/>
    <w:rsid w:val="0BD27BF6"/>
    <w:rsid w:val="0C0F649E"/>
    <w:rsid w:val="0C3B3C7D"/>
    <w:rsid w:val="0C55791A"/>
    <w:rsid w:val="0CAB2EAE"/>
    <w:rsid w:val="0D3158A1"/>
    <w:rsid w:val="0D621C7D"/>
    <w:rsid w:val="0D702749"/>
    <w:rsid w:val="0DCE0782"/>
    <w:rsid w:val="0DD346E5"/>
    <w:rsid w:val="0DF34ABB"/>
    <w:rsid w:val="0E4B7148"/>
    <w:rsid w:val="0E6F3A3D"/>
    <w:rsid w:val="0E700D11"/>
    <w:rsid w:val="0E73034D"/>
    <w:rsid w:val="0F13775A"/>
    <w:rsid w:val="0F5F45FE"/>
    <w:rsid w:val="0F8F27BF"/>
    <w:rsid w:val="0F9A112B"/>
    <w:rsid w:val="0FDD1292"/>
    <w:rsid w:val="106D2F64"/>
    <w:rsid w:val="108D5454"/>
    <w:rsid w:val="109607AE"/>
    <w:rsid w:val="10AC04D7"/>
    <w:rsid w:val="10B63710"/>
    <w:rsid w:val="10C1199E"/>
    <w:rsid w:val="10F10820"/>
    <w:rsid w:val="11196206"/>
    <w:rsid w:val="111C2F7A"/>
    <w:rsid w:val="11665CA1"/>
    <w:rsid w:val="11AA6AC9"/>
    <w:rsid w:val="1336140F"/>
    <w:rsid w:val="13951726"/>
    <w:rsid w:val="139C3013"/>
    <w:rsid w:val="14396509"/>
    <w:rsid w:val="14A3746A"/>
    <w:rsid w:val="14DD2C3C"/>
    <w:rsid w:val="15227786"/>
    <w:rsid w:val="155B4DA9"/>
    <w:rsid w:val="16087E1D"/>
    <w:rsid w:val="17701D14"/>
    <w:rsid w:val="17735226"/>
    <w:rsid w:val="179A5158"/>
    <w:rsid w:val="17DC390D"/>
    <w:rsid w:val="18571912"/>
    <w:rsid w:val="189F624C"/>
    <w:rsid w:val="190374E3"/>
    <w:rsid w:val="19737369"/>
    <w:rsid w:val="19DE3FE0"/>
    <w:rsid w:val="1A1C66C0"/>
    <w:rsid w:val="1A361CF4"/>
    <w:rsid w:val="1A3E049F"/>
    <w:rsid w:val="1A42393B"/>
    <w:rsid w:val="1AAD45DE"/>
    <w:rsid w:val="1B046F80"/>
    <w:rsid w:val="1B3267B5"/>
    <w:rsid w:val="1B40161D"/>
    <w:rsid w:val="1B441859"/>
    <w:rsid w:val="1B590B38"/>
    <w:rsid w:val="1B6606B1"/>
    <w:rsid w:val="1BF76BA3"/>
    <w:rsid w:val="1C5E7925"/>
    <w:rsid w:val="1C6125D3"/>
    <w:rsid w:val="1C8277E7"/>
    <w:rsid w:val="1CFD070F"/>
    <w:rsid w:val="1D05329D"/>
    <w:rsid w:val="1D1A3B4F"/>
    <w:rsid w:val="1D5F6196"/>
    <w:rsid w:val="1D6132A5"/>
    <w:rsid w:val="1D8E56D5"/>
    <w:rsid w:val="1E227E38"/>
    <w:rsid w:val="1E4E4BE6"/>
    <w:rsid w:val="1E7A43DA"/>
    <w:rsid w:val="1E7C266B"/>
    <w:rsid w:val="1FD476E5"/>
    <w:rsid w:val="1FE7539E"/>
    <w:rsid w:val="20007554"/>
    <w:rsid w:val="20462BCC"/>
    <w:rsid w:val="20671BE0"/>
    <w:rsid w:val="206E52B8"/>
    <w:rsid w:val="20963CB8"/>
    <w:rsid w:val="20A81A1B"/>
    <w:rsid w:val="20B07FB6"/>
    <w:rsid w:val="20B646FB"/>
    <w:rsid w:val="213B74B1"/>
    <w:rsid w:val="215A2310"/>
    <w:rsid w:val="21CC26E8"/>
    <w:rsid w:val="21D27B04"/>
    <w:rsid w:val="21DE318A"/>
    <w:rsid w:val="21EF5B80"/>
    <w:rsid w:val="22576990"/>
    <w:rsid w:val="22DF07FE"/>
    <w:rsid w:val="22E677C9"/>
    <w:rsid w:val="22F47480"/>
    <w:rsid w:val="23201478"/>
    <w:rsid w:val="23AD14A4"/>
    <w:rsid w:val="23BA5744"/>
    <w:rsid w:val="23C048F9"/>
    <w:rsid w:val="23DE1C48"/>
    <w:rsid w:val="240210CD"/>
    <w:rsid w:val="242071E2"/>
    <w:rsid w:val="246E355A"/>
    <w:rsid w:val="24BF09F7"/>
    <w:rsid w:val="24D80738"/>
    <w:rsid w:val="252D53FE"/>
    <w:rsid w:val="25427B0C"/>
    <w:rsid w:val="258F5C0B"/>
    <w:rsid w:val="25D402B6"/>
    <w:rsid w:val="25EC2D81"/>
    <w:rsid w:val="265F6C38"/>
    <w:rsid w:val="267B47AB"/>
    <w:rsid w:val="26C76F27"/>
    <w:rsid w:val="277057A2"/>
    <w:rsid w:val="27783C33"/>
    <w:rsid w:val="286F2A8F"/>
    <w:rsid w:val="2882597F"/>
    <w:rsid w:val="288A3459"/>
    <w:rsid w:val="28EE3F5D"/>
    <w:rsid w:val="29206EB8"/>
    <w:rsid w:val="2953641F"/>
    <w:rsid w:val="29595666"/>
    <w:rsid w:val="29874881"/>
    <w:rsid w:val="29E325E0"/>
    <w:rsid w:val="2A3B4041"/>
    <w:rsid w:val="2A452503"/>
    <w:rsid w:val="2A556DF5"/>
    <w:rsid w:val="2ABC7FF4"/>
    <w:rsid w:val="2AC7227F"/>
    <w:rsid w:val="2B5D21AB"/>
    <w:rsid w:val="2BA936A8"/>
    <w:rsid w:val="2BE315B0"/>
    <w:rsid w:val="2C315A5A"/>
    <w:rsid w:val="2C4B1C25"/>
    <w:rsid w:val="2CC31271"/>
    <w:rsid w:val="2D9E56F5"/>
    <w:rsid w:val="2E451FEF"/>
    <w:rsid w:val="2E667F96"/>
    <w:rsid w:val="2E8226AB"/>
    <w:rsid w:val="2E977F7C"/>
    <w:rsid w:val="2F066112"/>
    <w:rsid w:val="2F2F1519"/>
    <w:rsid w:val="2FD065E6"/>
    <w:rsid w:val="2FD96870"/>
    <w:rsid w:val="30125770"/>
    <w:rsid w:val="30580BC9"/>
    <w:rsid w:val="30C27BC5"/>
    <w:rsid w:val="311E2ED7"/>
    <w:rsid w:val="315619EE"/>
    <w:rsid w:val="315C449C"/>
    <w:rsid w:val="31B82709"/>
    <w:rsid w:val="31D05482"/>
    <w:rsid w:val="323E7A60"/>
    <w:rsid w:val="32400B34"/>
    <w:rsid w:val="32990C1B"/>
    <w:rsid w:val="329E6876"/>
    <w:rsid w:val="333015F2"/>
    <w:rsid w:val="334210CF"/>
    <w:rsid w:val="334B6320"/>
    <w:rsid w:val="33500DBC"/>
    <w:rsid w:val="33D934D4"/>
    <w:rsid w:val="33FE2F6A"/>
    <w:rsid w:val="340E07E5"/>
    <w:rsid w:val="34235BF7"/>
    <w:rsid w:val="34611CE0"/>
    <w:rsid w:val="355E2D57"/>
    <w:rsid w:val="358C5FA8"/>
    <w:rsid w:val="35C15DF1"/>
    <w:rsid w:val="35E16FCD"/>
    <w:rsid w:val="36074A7F"/>
    <w:rsid w:val="368E3A6D"/>
    <w:rsid w:val="36923549"/>
    <w:rsid w:val="36B75FBF"/>
    <w:rsid w:val="36BD0C45"/>
    <w:rsid w:val="36E813DF"/>
    <w:rsid w:val="37E00298"/>
    <w:rsid w:val="38114877"/>
    <w:rsid w:val="38AA4821"/>
    <w:rsid w:val="38B302F9"/>
    <w:rsid w:val="38F12CD3"/>
    <w:rsid w:val="38F94775"/>
    <w:rsid w:val="392971ED"/>
    <w:rsid w:val="39325651"/>
    <w:rsid w:val="39FE7D95"/>
    <w:rsid w:val="3A4026C1"/>
    <w:rsid w:val="3A872856"/>
    <w:rsid w:val="3A990B8A"/>
    <w:rsid w:val="3AA6423B"/>
    <w:rsid w:val="3ADA1CD9"/>
    <w:rsid w:val="3B3763D1"/>
    <w:rsid w:val="3BD038FF"/>
    <w:rsid w:val="3C2F6E1E"/>
    <w:rsid w:val="3C4F64BA"/>
    <w:rsid w:val="3C6A6824"/>
    <w:rsid w:val="3C6A7EBF"/>
    <w:rsid w:val="3CDA245A"/>
    <w:rsid w:val="3D1E06B7"/>
    <w:rsid w:val="3DCD7770"/>
    <w:rsid w:val="3DDF344A"/>
    <w:rsid w:val="3EDA0523"/>
    <w:rsid w:val="3FA70BD9"/>
    <w:rsid w:val="407A6407"/>
    <w:rsid w:val="41711FF9"/>
    <w:rsid w:val="41744365"/>
    <w:rsid w:val="41FD4E07"/>
    <w:rsid w:val="4200449D"/>
    <w:rsid w:val="423A3BCC"/>
    <w:rsid w:val="424E57D2"/>
    <w:rsid w:val="42B26C49"/>
    <w:rsid w:val="42D23FA9"/>
    <w:rsid w:val="43191DA6"/>
    <w:rsid w:val="432B005B"/>
    <w:rsid w:val="433A6FE6"/>
    <w:rsid w:val="433F3C1F"/>
    <w:rsid w:val="43480868"/>
    <w:rsid w:val="4350713C"/>
    <w:rsid w:val="436653E0"/>
    <w:rsid w:val="43736F70"/>
    <w:rsid w:val="439B7BAD"/>
    <w:rsid w:val="43AF329E"/>
    <w:rsid w:val="43C4431A"/>
    <w:rsid w:val="449553BA"/>
    <w:rsid w:val="44B951CC"/>
    <w:rsid w:val="44CD14E0"/>
    <w:rsid w:val="44E62941"/>
    <w:rsid w:val="44F20B0B"/>
    <w:rsid w:val="452E5F4C"/>
    <w:rsid w:val="45612018"/>
    <w:rsid w:val="458946E9"/>
    <w:rsid w:val="45A47C0E"/>
    <w:rsid w:val="46577FD6"/>
    <w:rsid w:val="46D34723"/>
    <w:rsid w:val="46D955A7"/>
    <w:rsid w:val="47133957"/>
    <w:rsid w:val="47A07E0C"/>
    <w:rsid w:val="482B3E5A"/>
    <w:rsid w:val="485753FE"/>
    <w:rsid w:val="48677399"/>
    <w:rsid w:val="4870272E"/>
    <w:rsid w:val="48AD2A69"/>
    <w:rsid w:val="48BE6505"/>
    <w:rsid w:val="49B91A00"/>
    <w:rsid w:val="49DC7715"/>
    <w:rsid w:val="49E40F67"/>
    <w:rsid w:val="4A023139"/>
    <w:rsid w:val="4A474565"/>
    <w:rsid w:val="4A6F31F6"/>
    <w:rsid w:val="4A74586A"/>
    <w:rsid w:val="4A7B576F"/>
    <w:rsid w:val="4AF561A9"/>
    <w:rsid w:val="4B423558"/>
    <w:rsid w:val="4B885344"/>
    <w:rsid w:val="4C4A0649"/>
    <w:rsid w:val="4C744628"/>
    <w:rsid w:val="4C7E5ECA"/>
    <w:rsid w:val="4C876AA5"/>
    <w:rsid w:val="4CA07388"/>
    <w:rsid w:val="4CB77791"/>
    <w:rsid w:val="4CE11201"/>
    <w:rsid w:val="4CE41265"/>
    <w:rsid w:val="4D0E00FB"/>
    <w:rsid w:val="4D176606"/>
    <w:rsid w:val="4DEC4FB0"/>
    <w:rsid w:val="4E075D8A"/>
    <w:rsid w:val="4E3E28BC"/>
    <w:rsid w:val="4EC00FAD"/>
    <w:rsid w:val="4EDC3E46"/>
    <w:rsid w:val="4F202CAB"/>
    <w:rsid w:val="4F5C111E"/>
    <w:rsid w:val="4F9843DC"/>
    <w:rsid w:val="4FC25B2F"/>
    <w:rsid w:val="4FC62A8C"/>
    <w:rsid w:val="4FE20F0D"/>
    <w:rsid w:val="4FE51552"/>
    <w:rsid w:val="500B7DA5"/>
    <w:rsid w:val="50504C4B"/>
    <w:rsid w:val="509C6E7C"/>
    <w:rsid w:val="5162104E"/>
    <w:rsid w:val="519D792A"/>
    <w:rsid w:val="51BB5EBF"/>
    <w:rsid w:val="5369011B"/>
    <w:rsid w:val="537265B3"/>
    <w:rsid w:val="539A4824"/>
    <w:rsid w:val="53A039CC"/>
    <w:rsid w:val="53A1505A"/>
    <w:rsid w:val="54063E08"/>
    <w:rsid w:val="543437E8"/>
    <w:rsid w:val="54B663EC"/>
    <w:rsid w:val="54F73313"/>
    <w:rsid w:val="54F80955"/>
    <w:rsid w:val="555170A7"/>
    <w:rsid w:val="55547E46"/>
    <w:rsid w:val="5587536D"/>
    <w:rsid w:val="559B174B"/>
    <w:rsid w:val="55B0365E"/>
    <w:rsid w:val="55CE0CF4"/>
    <w:rsid w:val="56561F84"/>
    <w:rsid w:val="56826AD5"/>
    <w:rsid w:val="56B22A9C"/>
    <w:rsid w:val="56EC270E"/>
    <w:rsid w:val="578742BE"/>
    <w:rsid w:val="57B72A76"/>
    <w:rsid w:val="57BB1C66"/>
    <w:rsid w:val="57C3426C"/>
    <w:rsid w:val="57CE1F93"/>
    <w:rsid w:val="57DA7C2C"/>
    <w:rsid w:val="5828323B"/>
    <w:rsid w:val="58523037"/>
    <w:rsid w:val="587B50EB"/>
    <w:rsid w:val="588743D1"/>
    <w:rsid w:val="5887701A"/>
    <w:rsid w:val="58BA1205"/>
    <w:rsid w:val="58FB758C"/>
    <w:rsid w:val="591E47A4"/>
    <w:rsid w:val="593B2A39"/>
    <w:rsid w:val="59C0439F"/>
    <w:rsid w:val="5A56101C"/>
    <w:rsid w:val="5ABE2233"/>
    <w:rsid w:val="5AD92C53"/>
    <w:rsid w:val="5B1717BA"/>
    <w:rsid w:val="5B2555BE"/>
    <w:rsid w:val="5B6365F5"/>
    <w:rsid w:val="5BDF5D95"/>
    <w:rsid w:val="5BFE7528"/>
    <w:rsid w:val="5C5565E8"/>
    <w:rsid w:val="5C590BA1"/>
    <w:rsid w:val="5C5B7457"/>
    <w:rsid w:val="5D170190"/>
    <w:rsid w:val="5D29461C"/>
    <w:rsid w:val="5D395350"/>
    <w:rsid w:val="5DE127FE"/>
    <w:rsid w:val="5E015742"/>
    <w:rsid w:val="5E2467F1"/>
    <w:rsid w:val="5E430E62"/>
    <w:rsid w:val="5E6934F3"/>
    <w:rsid w:val="5E9D3904"/>
    <w:rsid w:val="5EF24CF2"/>
    <w:rsid w:val="5F1A2B43"/>
    <w:rsid w:val="5F57335D"/>
    <w:rsid w:val="5F591F5F"/>
    <w:rsid w:val="5FB837BB"/>
    <w:rsid w:val="6027289D"/>
    <w:rsid w:val="605469EE"/>
    <w:rsid w:val="60CC405A"/>
    <w:rsid w:val="60E5134B"/>
    <w:rsid w:val="614E4B70"/>
    <w:rsid w:val="6174689C"/>
    <w:rsid w:val="61CA6725"/>
    <w:rsid w:val="61E215D8"/>
    <w:rsid w:val="61FB7BE9"/>
    <w:rsid w:val="621B3775"/>
    <w:rsid w:val="62364782"/>
    <w:rsid w:val="62A21A5F"/>
    <w:rsid w:val="62E74E5D"/>
    <w:rsid w:val="63212E34"/>
    <w:rsid w:val="632B0168"/>
    <w:rsid w:val="6394356A"/>
    <w:rsid w:val="63C61B2C"/>
    <w:rsid w:val="63D40BE9"/>
    <w:rsid w:val="63F275D3"/>
    <w:rsid w:val="64102431"/>
    <w:rsid w:val="64442D19"/>
    <w:rsid w:val="64A5243A"/>
    <w:rsid w:val="64AE5F41"/>
    <w:rsid w:val="64B54D0E"/>
    <w:rsid w:val="64F531DE"/>
    <w:rsid w:val="65373578"/>
    <w:rsid w:val="65AB23D5"/>
    <w:rsid w:val="666C1768"/>
    <w:rsid w:val="668632C8"/>
    <w:rsid w:val="671F124A"/>
    <w:rsid w:val="676264B4"/>
    <w:rsid w:val="677A33C6"/>
    <w:rsid w:val="680346A8"/>
    <w:rsid w:val="681F6961"/>
    <w:rsid w:val="68404BF5"/>
    <w:rsid w:val="68610A2F"/>
    <w:rsid w:val="68805514"/>
    <w:rsid w:val="68C87588"/>
    <w:rsid w:val="68CE0E14"/>
    <w:rsid w:val="68FC3B3A"/>
    <w:rsid w:val="69316E2F"/>
    <w:rsid w:val="694E2071"/>
    <w:rsid w:val="69766163"/>
    <w:rsid w:val="697A3B33"/>
    <w:rsid w:val="69CE7997"/>
    <w:rsid w:val="69D44760"/>
    <w:rsid w:val="69D80487"/>
    <w:rsid w:val="6A3F086A"/>
    <w:rsid w:val="6A520EC7"/>
    <w:rsid w:val="6AF87E20"/>
    <w:rsid w:val="6B24413C"/>
    <w:rsid w:val="6B322639"/>
    <w:rsid w:val="6B5A0A2A"/>
    <w:rsid w:val="6B9D40A7"/>
    <w:rsid w:val="6C553DD8"/>
    <w:rsid w:val="6C636C38"/>
    <w:rsid w:val="6C8430F4"/>
    <w:rsid w:val="6C9C67BF"/>
    <w:rsid w:val="6CA27B7A"/>
    <w:rsid w:val="6D6C5050"/>
    <w:rsid w:val="6DB34098"/>
    <w:rsid w:val="6DB545B6"/>
    <w:rsid w:val="6DBE765C"/>
    <w:rsid w:val="6DE02FB4"/>
    <w:rsid w:val="6E514CED"/>
    <w:rsid w:val="6E9D3E38"/>
    <w:rsid w:val="6EB563D5"/>
    <w:rsid w:val="6ED92677"/>
    <w:rsid w:val="6F225983"/>
    <w:rsid w:val="6FFC5590"/>
    <w:rsid w:val="70605A59"/>
    <w:rsid w:val="70696140"/>
    <w:rsid w:val="706D1DD0"/>
    <w:rsid w:val="70787698"/>
    <w:rsid w:val="70856B87"/>
    <w:rsid w:val="70D527EE"/>
    <w:rsid w:val="715B5300"/>
    <w:rsid w:val="71D27F8A"/>
    <w:rsid w:val="71D90940"/>
    <w:rsid w:val="72553024"/>
    <w:rsid w:val="72871C84"/>
    <w:rsid w:val="73122968"/>
    <w:rsid w:val="731F5D5E"/>
    <w:rsid w:val="73647EA5"/>
    <w:rsid w:val="73C51AD5"/>
    <w:rsid w:val="73E62FB9"/>
    <w:rsid w:val="73F710CF"/>
    <w:rsid w:val="74052CED"/>
    <w:rsid w:val="741E793C"/>
    <w:rsid w:val="74406F43"/>
    <w:rsid w:val="745E3944"/>
    <w:rsid w:val="74643B57"/>
    <w:rsid w:val="759A542C"/>
    <w:rsid w:val="7635099D"/>
    <w:rsid w:val="76E116CC"/>
    <w:rsid w:val="77762421"/>
    <w:rsid w:val="779773C0"/>
    <w:rsid w:val="77A76250"/>
    <w:rsid w:val="77B56B1F"/>
    <w:rsid w:val="77B87D4C"/>
    <w:rsid w:val="780F09F4"/>
    <w:rsid w:val="78497472"/>
    <w:rsid w:val="7892370F"/>
    <w:rsid w:val="78A90480"/>
    <w:rsid w:val="799A02EA"/>
    <w:rsid w:val="7A364017"/>
    <w:rsid w:val="7A605127"/>
    <w:rsid w:val="7A8265E1"/>
    <w:rsid w:val="7A9B68AB"/>
    <w:rsid w:val="7ABD3053"/>
    <w:rsid w:val="7B686D42"/>
    <w:rsid w:val="7B841746"/>
    <w:rsid w:val="7C163A3E"/>
    <w:rsid w:val="7C6C5AC7"/>
    <w:rsid w:val="7CC6544B"/>
    <w:rsid w:val="7D0239FF"/>
    <w:rsid w:val="7D180A82"/>
    <w:rsid w:val="7D232A93"/>
    <w:rsid w:val="7D235B37"/>
    <w:rsid w:val="7D5E40CD"/>
    <w:rsid w:val="7DB61C4E"/>
    <w:rsid w:val="7DCD56F2"/>
    <w:rsid w:val="7E81400A"/>
    <w:rsid w:val="7EC704B5"/>
    <w:rsid w:val="7EFF7D27"/>
    <w:rsid w:val="7F001CE7"/>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9" w:semiHidden="0" w:name="heading 2" w:locked="1"/>
    <w:lsdException w:qFormat="1" w:uiPriority="9"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qFormat="1" w:uiPriority="99"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1"/>
    <w:next w:val="1"/>
    <w:unhideWhenUsed/>
    <w:qFormat/>
    <w:locked/>
    <w:uiPriority w:val="9"/>
    <w:pPr>
      <w:keepNext/>
      <w:keepLines/>
      <w:spacing w:before="120" w:after="60" w:line="240" w:lineRule="auto"/>
      <w:outlineLvl w:val="1"/>
    </w:pPr>
    <w:rPr>
      <w:rFonts w:cs="Times New Roman"/>
      <w:b/>
      <w:bCs/>
      <w:szCs w:val="32"/>
    </w:rPr>
  </w:style>
  <w:style w:type="paragraph" w:styleId="7">
    <w:name w:val="heading 3"/>
    <w:basedOn w:val="1"/>
    <w:next w:val="1"/>
    <w:unhideWhenUsed/>
    <w:qFormat/>
    <w:locked/>
    <w:uiPriority w:val="9"/>
    <w:pPr>
      <w:ind w:left="1301" w:hanging="561"/>
      <w:outlineLvl w:val="2"/>
    </w:pPr>
    <w:rPr>
      <w:b/>
      <w:bCs/>
      <w:sz w:val="28"/>
      <w:szCs w:val="28"/>
    </w:rPr>
  </w:style>
  <w:style w:type="paragraph" w:styleId="4">
    <w:name w:val="heading 4"/>
    <w:basedOn w:val="1"/>
    <w:next w:val="1"/>
    <w:qFormat/>
    <w:locked/>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locked/>
    <w:uiPriority w:val="0"/>
    <w:pPr>
      <w:ind w:firstLine="420" w:firstLineChars="200"/>
    </w:pPr>
    <w:rPr>
      <w:kern w:val="2"/>
    </w:rPr>
  </w:style>
  <w:style w:type="paragraph" w:styleId="3">
    <w:name w:val="Body Text Indent"/>
    <w:basedOn w:val="1"/>
    <w:next w:val="4"/>
    <w:link w:val="30"/>
    <w:qFormat/>
    <w:uiPriority w:val="0"/>
    <w:pPr>
      <w:spacing w:after="120"/>
      <w:ind w:left="420" w:leftChars="200"/>
    </w:pPr>
    <w:rPr>
      <w:kern w:val="0"/>
      <w:sz w:val="24"/>
      <w:szCs w:val="20"/>
    </w:rPr>
  </w:style>
  <w:style w:type="paragraph" w:styleId="8">
    <w:name w:val="Normal Indent"/>
    <w:basedOn w:val="1"/>
    <w:next w:val="9"/>
    <w:qFormat/>
    <w:locked/>
    <w:uiPriority w:val="0"/>
    <w:pPr>
      <w:ind w:firstLine="420" w:firstLineChars="200"/>
    </w:pPr>
    <w:rPr>
      <w:rFonts w:eastAsia="仿宋_GB2312"/>
      <w:bCs/>
      <w:sz w:val="32"/>
      <w:szCs w:val="20"/>
    </w:rPr>
  </w:style>
  <w:style w:type="paragraph" w:customStyle="1" w:styleId="9">
    <w:name w:val="Char Char Char Char Char Char Char Char Char1 Char"/>
    <w:basedOn w:val="1"/>
    <w:next w:val="10"/>
    <w:qFormat/>
    <w:uiPriority w:val="0"/>
    <w:pPr>
      <w:spacing w:line="360" w:lineRule="auto"/>
      <w:ind w:firstLine="200" w:firstLineChars="200"/>
    </w:pPr>
    <w:rPr>
      <w:rFonts w:hAnsi="宋体" w:cs="宋体"/>
      <w:spacing w:val="5"/>
      <w:sz w:val="24"/>
    </w:rPr>
  </w:style>
  <w:style w:type="paragraph" w:customStyle="1" w:styleId="10">
    <w:name w:val="Body Text First Indent1"/>
    <w:next w:val="1"/>
    <w:qFormat/>
    <w:uiPriority w:val="0"/>
    <w:pPr>
      <w:widowControl w:val="0"/>
      <w:spacing w:after="120"/>
      <w:ind w:firstLine="420"/>
      <w:jc w:val="both"/>
    </w:pPr>
    <w:rPr>
      <w:rFonts w:ascii="Times New Roman" w:hAnsi="Times New Roman" w:eastAsia="宋体" w:cs="Times New Roman"/>
      <w:sz w:val="21"/>
      <w:szCs w:val="22"/>
      <w:lang w:val="en-US" w:eastAsia="zh-CN" w:bidi="ar-SA"/>
    </w:rPr>
  </w:style>
  <w:style w:type="paragraph" w:styleId="11">
    <w:name w:val="annotation text"/>
    <w:basedOn w:val="1"/>
    <w:link w:val="28"/>
    <w:semiHidden/>
    <w:qFormat/>
    <w:uiPriority w:val="0"/>
    <w:pPr>
      <w:jc w:val="left"/>
    </w:pPr>
    <w:rPr>
      <w:kern w:val="0"/>
      <w:sz w:val="24"/>
      <w:szCs w:val="20"/>
    </w:rPr>
  </w:style>
  <w:style w:type="paragraph" w:styleId="12">
    <w:name w:val="Body Text"/>
    <w:basedOn w:val="1"/>
    <w:link w:val="29"/>
    <w:qFormat/>
    <w:uiPriority w:val="0"/>
    <w:pPr>
      <w:widowControl/>
      <w:snapToGrid w:val="0"/>
      <w:spacing w:before="60" w:after="160" w:line="259" w:lineRule="auto"/>
      <w:ind w:right="113"/>
    </w:pPr>
    <w:rPr>
      <w:kern w:val="0"/>
      <w:sz w:val="18"/>
      <w:szCs w:val="20"/>
    </w:rPr>
  </w:style>
  <w:style w:type="paragraph" w:styleId="13">
    <w:name w:val="Date"/>
    <w:basedOn w:val="1"/>
    <w:next w:val="1"/>
    <w:link w:val="31"/>
    <w:qFormat/>
    <w:uiPriority w:val="0"/>
    <w:pPr>
      <w:ind w:left="100" w:leftChars="2500"/>
    </w:pPr>
    <w:rPr>
      <w:kern w:val="0"/>
      <w:sz w:val="24"/>
      <w:szCs w:val="20"/>
    </w:rPr>
  </w:style>
  <w:style w:type="paragraph" w:styleId="14">
    <w:name w:val="Body Text Indent 2"/>
    <w:basedOn w:val="1"/>
    <w:qFormat/>
    <w:locked/>
    <w:uiPriority w:val="0"/>
    <w:pPr>
      <w:spacing w:line="500" w:lineRule="exact"/>
      <w:ind w:firstLine="556"/>
    </w:pPr>
    <w:rPr>
      <w:bCs/>
      <w:sz w:val="28"/>
    </w:rPr>
  </w:style>
  <w:style w:type="paragraph" w:styleId="15">
    <w:name w:val="Balloon Text"/>
    <w:basedOn w:val="1"/>
    <w:link w:val="32"/>
    <w:semiHidden/>
    <w:qFormat/>
    <w:uiPriority w:val="0"/>
    <w:rPr>
      <w:kern w:val="0"/>
      <w:sz w:val="18"/>
      <w:szCs w:val="20"/>
    </w:rPr>
  </w:style>
  <w:style w:type="paragraph" w:styleId="16">
    <w:name w:val="footer"/>
    <w:basedOn w:val="1"/>
    <w:link w:val="33"/>
    <w:qFormat/>
    <w:uiPriority w:val="99"/>
    <w:pPr>
      <w:tabs>
        <w:tab w:val="center" w:pos="4153"/>
        <w:tab w:val="right" w:pos="8306"/>
      </w:tabs>
      <w:snapToGrid w:val="0"/>
      <w:jc w:val="left"/>
    </w:pPr>
    <w:rPr>
      <w:kern w:val="0"/>
      <w:sz w:val="18"/>
      <w:szCs w:val="20"/>
    </w:rPr>
  </w:style>
  <w:style w:type="paragraph" w:styleId="17">
    <w:name w:val="header"/>
    <w:basedOn w:val="1"/>
    <w:link w:val="34"/>
    <w:qFormat/>
    <w:uiPriority w:val="0"/>
    <w:pPr>
      <w:pBdr>
        <w:bottom w:val="single" w:color="auto" w:sz="6" w:space="1"/>
      </w:pBdr>
      <w:tabs>
        <w:tab w:val="center" w:pos="4153"/>
        <w:tab w:val="right" w:pos="8306"/>
      </w:tabs>
      <w:snapToGrid w:val="0"/>
      <w:jc w:val="center"/>
    </w:pPr>
    <w:rPr>
      <w:kern w:val="0"/>
      <w:sz w:val="18"/>
      <w:szCs w:val="20"/>
    </w:rPr>
  </w:style>
  <w:style w:type="paragraph" w:styleId="18">
    <w:name w:val="List"/>
    <w:basedOn w:val="1"/>
    <w:next w:val="19"/>
    <w:qFormat/>
    <w:locked/>
    <w:uiPriority w:val="0"/>
    <w:pPr>
      <w:ind w:left="200" w:hanging="200" w:hangingChars="200"/>
    </w:pPr>
    <w:rPr>
      <w:rFonts w:ascii="Times New Roman" w:hAnsi="Times New Roman" w:eastAsia="宋体" w:cs="Times New Roman"/>
      <w:szCs w:val="24"/>
    </w:rPr>
  </w:style>
  <w:style w:type="paragraph" w:styleId="19">
    <w:name w:val="Body Text First Indent"/>
    <w:basedOn w:val="12"/>
    <w:next w:val="1"/>
    <w:qFormat/>
    <w:locked/>
    <w:uiPriority w:val="0"/>
    <w:pPr>
      <w:ind w:firstLine="420" w:firstLineChars="100"/>
    </w:pPr>
  </w:style>
  <w:style w:type="paragraph" w:styleId="20">
    <w:name w:val="table of figures"/>
    <w:basedOn w:val="1"/>
    <w:next w:val="1"/>
    <w:unhideWhenUsed/>
    <w:qFormat/>
    <w:locked/>
    <w:uiPriority w:val="99"/>
    <w:pPr>
      <w:jc w:val="center"/>
    </w:pPr>
    <w:rPr>
      <w:sz w:val="24"/>
    </w:rPr>
  </w:style>
  <w:style w:type="paragraph" w:styleId="21">
    <w:name w:val="Normal (Web)"/>
    <w:basedOn w:val="1"/>
    <w:link w:val="35"/>
    <w:qFormat/>
    <w:uiPriority w:val="0"/>
    <w:pPr>
      <w:widowControl/>
      <w:spacing w:before="100" w:beforeAutospacing="1" w:after="100" w:afterAutospacing="1"/>
      <w:jc w:val="left"/>
    </w:pPr>
    <w:rPr>
      <w:rFonts w:ascii="宋体" w:hAnsi="宋体"/>
      <w:kern w:val="0"/>
      <w:sz w:val="24"/>
      <w:szCs w:val="20"/>
    </w:rPr>
  </w:style>
  <w:style w:type="paragraph" w:styleId="22">
    <w:name w:val="annotation subject"/>
    <w:basedOn w:val="11"/>
    <w:next w:val="11"/>
    <w:link w:val="36"/>
    <w:semiHidden/>
    <w:qFormat/>
    <w:uiPriority w:val="0"/>
    <w:rPr>
      <w:b/>
      <w:sz w:val="24"/>
      <w:szCs w:val="20"/>
    </w:rPr>
  </w:style>
  <w:style w:type="table" w:styleId="24">
    <w:name w:val="Table Grid"/>
    <w:basedOn w:val="2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locked/>
    <w:uiPriority w:val="0"/>
  </w:style>
  <w:style w:type="character" w:styleId="27">
    <w:name w:val="annotation reference"/>
    <w:semiHidden/>
    <w:qFormat/>
    <w:uiPriority w:val="0"/>
    <w:rPr>
      <w:sz w:val="21"/>
    </w:rPr>
  </w:style>
  <w:style w:type="character" w:customStyle="1" w:styleId="28">
    <w:name w:val="批注文字 Char"/>
    <w:link w:val="11"/>
    <w:qFormat/>
    <w:locked/>
    <w:uiPriority w:val="0"/>
    <w:rPr>
      <w:rFonts w:ascii="Times New Roman" w:hAnsi="Times New Roman" w:eastAsia="宋体"/>
      <w:sz w:val="24"/>
    </w:rPr>
  </w:style>
  <w:style w:type="character" w:customStyle="1" w:styleId="29">
    <w:name w:val="正文文本 Char"/>
    <w:link w:val="12"/>
    <w:qFormat/>
    <w:locked/>
    <w:uiPriority w:val="0"/>
    <w:rPr>
      <w:sz w:val="18"/>
    </w:rPr>
  </w:style>
  <w:style w:type="character" w:customStyle="1" w:styleId="30">
    <w:name w:val="正文文本缩进 Char"/>
    <w:link w:val="3"/>
    <w:semiHidden/>
    <w:qFormat/>
    <w:locked/>
    <w:uiPriority w:val="0"/>
    <w:rPr>
      <w:rFonts w:ascii="Times New Roman" w:hAnsi="Times New Roman" w:eastAsia="宋体"/>
      <w:sz w:val="24"/>
    </w:rPr>
  </w:style>
  <w:style w:type="character" w:customStyle="1" w:styleId="31">
    <w:name w:val="日期 Char"/>
    <w:link w:val="13"/>
    <w:qFormat/>
    <w:locked/>
    <w:uiPriority w:val="0"/>
    <w:rPr>
      <w:rFonts w:ascii="Times New Roman" w:hAnsi="Times New Roman" w:eastAsia="宋体"/>
      <w:sz w:val="24"/>
    </w:rPr>
  </w:style>
  <w:style w:type="character" w:customStyle="1" w:styleId="32">
    <w:name w:val="批注框文本 Char"/>
    <w:link w:val="15"/>
    <w:semiHidden/>
    <w:qFormat/>
    <w:locked/>
    <w:uiPriority w:val="0"/>
    <w:rPr>
      <w:rFonts w:ascii="Times New Roman" w:hAnsi="Times New Roman" w:eastAsia="宋体"/>
      <w:sz w:val="18"/>
    </w:rPr>
  </w:style>
  <w:style w:type="character" w:customStyle="1" w:styleId="33">
    <w:name w:val="页脚 Char"/>
    <w:link w:val="16"/>
    <w:qFormat/>
    <w:locked/>
    <w:uiPriority w:val="99"/>
    <w:rPr>
      <w:sz w:val="18"/>
    </w:rPr>
  </w:style>
  <w:style w:type="character" w:customStyle="1" w:styleId="34">
    <w:name w:val="页眉 Char"/>
    <w:link w:val="17"/>
    <w:qFormat/>
    <w:locked/>
    <w:uiPriority w:val="0"/>
    <w:rPr>
      <w:sz w:val="18"/>
    </w:rPr>
  </w:style>
  <w:style w:type="character" w:customStyle="1" w:styleId="35">
    <w:name w:val="普通(网站) Char"/>
    <w:link w:val="21"/>
    <w:qFormat/>
    <w:locked/>
    <w:uiPriority w:val="0"/>
    <w:rPr>
      <w:rFonts w:ascii="宋体" w:hAnsi="宋体" w:eastAsia="宋体"/>
      <w:sz w:val="24"/>
    </w:rPr>
  </w:style>
  <w:style w:type="character" w:customStyle="1" w:styleId="36">
    <w:name w:val="批注主题 Char"/>
    <w:link w:val="22"/>
    <w:semiHidden/>
    <w:qFormat/>
    <w:locked/>
    <w:uiPriority w:val="0"/>
    <w:rPr>
      <w:rFonts w:ascii="Times New Roman" w:hAnsi="Times New Roman" w:eastAsia="宋体"/>
      <w:b/>
      <w:kern w:val="2"/>
      <w:sz w:val="24"/>
    </w:rPr>
  </w:style>
  <w:style w:type="character" w:customStyle="1" w:styleId="37">
    <w:name w:val="页脚 字符"/>
    <w:basedOn w:val="25"/>
    <w:qFormat/>
    <w:uiPriority w:val="99"/>
  </w:style>
  <w:style w:type="character" w:customStyle="1" w:styleId="38">
    <w:name w:val="正文文本 字符1"/>
    <w:semiHidden/>
    <w:qFormat/>
    <w:uiPriority w:val="0"/>
    <w:rPr>
      <w:rFonts w:ascii="Times New Roman" w:hAnsi="Times New Roman" w:eastAsia="宋体"/>
      <w:sz w:val="24"/>
    </w:rPr>
  </w:style>
  <w:style w:type="character" w:customStyle="1" w:styleId="39">
    <w:name w:val="表格 Char"/>
    <w:link w:val="40"/>
    <w:qFormat/>
    <w:locked/>
    <w:uiPriority w:val="0"/>
    <w:rPr>
      <w:rFonts w:ascii="宋体"/>
      <w:sz w:val="21"/>
    </w:rPr>
  </w:style>
  <w:style w:type="paragraph" w:customStyle="1" w:styleId="40">
    <w:name w:val="表格"/>
    <w:basedOn w:val="1"/>
    <w:next w:val="1"/>
    <w:link w:val="39"/>
    <w:qFormat/>
    <w:uiPriority w:val="0"/>
    <w:pPr>
      <w:adjustRightInd w:val="0"/>
      <w:snapToGrid w:val="0"/>
      <w:spacing w:beforeLines="10" w:afterLines="10" w:line="259" w:lineRule="auto"/>
      <w:jc w:val="center"/>
    </w:pPr>
    <w:rPr>
      <w:rFonts w:ascii="宋体"/>
      <w:kern w:val="0"/>
      <w:szCs w:val="20"/>
    </w:rPr>
  </w:style>
  <w:style w:type="character" w:customStyle="1" w:styleId="41">
    <w:name w:val="日期 字符"/>
    <w:semiHidden/>
    <w:qFormat/>
    <w:uiPriority w:val="0"/>
    <w:rPr>
      <w:rFonts w:ascii="Times New Roman" w:hAnsi="Times New Roman" w:eastAsia="宋体"/>
      <w:sz w:val="24"/>
    </w:rPr>
  </w:style>
  <w:style w:type="character" w:customStyle="1" w:styleId="42">
    <w:name w:val="批注文字 字符1"/>
    <w:semiHidden/>
    <w:qFormat/>
    <w:uiPriority w:val="0"/>
    <w:rPr>
      <w:rFonts w:ascii="Times New Roman" w:hAnsi="Times New Roman" w:eastAsia="宋体"/>
      <w:sz w:val="24"/>
    </w:rPr>
  </w:style>
  <w:style w:type="paragraph" w:customStyle="1" w:styleId="4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45">
    <w:name w:val="Default"/>
    <w:basedOn w:val="46"/>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
    <w:name w:val="1 表头"/>
    <w:basedOn w:val="1"/>
    <w:qFormat/>
    <w:uiPriority w:val="0"/>
    <w:pPr>
      <w:spacing w:line="240" w:lineRule="auto"/>
      <w:ind w:firstLine="0" w:firstLineChars="0"/>
      <w:jc w:val="center"/>
    </w:pPr>
    <w:rPr>
      <w:b/>
      <w:color w:val="000000"/>
      <w:sz w:val="21"/>
      <w:szCs w:val="21"/>
    </w:rPr>
  </w:style>
  <w:style w:type="paragraph" w:customStyle="1" w:styleId="47">
    <w:name w:val="纯文本1"/>
    <w:basedOn w:val="1"/>
    <w:qFormat/>
    <w:uiPriority w:val="0"/>
    <w:pPr>
      <w:adjustRightInd w:val="0"/>
      <w:textAlignment w:val="baseline"/>
    </w:pPr>
    <w:rPr>
      <w:rFonts w:ascii="宋体" w:hAnsi="Courier New"/>
      <w:szCs w:val="20"/>
    </w:rPr>
  </w:style>
  <w:style w:type="paragraph" w:customStyle="1" w:styleId="48">
    <w:name w:val="新表格"/>
    <w:basedOn w:val="1"/>
    <w:qFormat/>
    <w:uiPriority w:val="0"/>
    <w:pPr>
      <w:snapToGrid w:val="0"/>
      <w:spacing w:line="264" w:lineRule="auto"/>
      <w:jc w:val="center"/>
    </w:pPr>
    <w:rPr>
      <w:bCs/>
      <w:kern w:val="0"/>
      <w:szCs w:val="21"/>
    </w:rPr>
  </w:style>
  <w:style w:type="paragraph" w:customStyle="1" w:styleId="49">
    <w:name w:val="正文文字缩进"/>
    <w:basedOn w:val="1"/>
    <w:qFormat/>
    <w:uiPriority w:val="0"/>
    <w:pPr>
      <w:spacing w:line="440" w:lineRule="exact"/>
      <w:ind w:firstLine="425" w:firstLineChars="177"/>
    </w:pPr>
    <w:rPr>
      <w:rFonts w:ascii="Calibri" w:hAnsi="Calibri"/>
      <w:bCs/>
      <w:sz w:val="24"/>
      <w:szCs w:val="22"/>
    </w:rPr>
  </w:style>
  <w:style w:type="paragraph" w:customStyle="1" w:styleId="50">
    <w:name w:val="表"/>
    <w:basedOn w:val="1"/>
    <w:qFormat/>
    <w:uiPriority w:val="0"/>
    <w:pPr>
      <w:snapToGrid w:val="0"/>
      <w:jc w:val="center"/>
    </w:pPr>
    <w:rPr>
      <w:rFonts w:ascii="Times New Roman" w:hAnsi="Times New Roman" w:eastAsia="宋体" w:cs="Times New Roman"/>
      <w:spacing w:val="2"/>
    </w:rPr>
  </w:style>
  <w:style w:type="character" w:customStyle="1" w:styleId="51">
    <w:name w:val="content1"/>
    <w:basedOn w:val="25"/>
    <w:qFormat/>
    <w:uiPriority w:val="0"/>
    <w:rPr>
      <w:color w:val="000000"/>
      <w:sz w:val="20"/>
      <w:szCs w:val="20"/>
    </w:rPr>
  </w:style>
  <w:style w:type="paragraph" w:customStyle="1" w:styleId="52">
    <w:name w:val="Table Paragraph"/>
    <w:basedOn w:val="1"/>
    <w:qFormat/>
    <w:uiPriority w:val="1"/>
    <w:rPr>
      <w:rFonts w:ascii="宋体" w:hAnsi="宋体" w:eastAsia="宋体" w:cs="宋体"/>
      <w:lang w:val="zh-CN" w:eastAsia="zh-CN" w:bidi="zh-CN"/>
    </w:rPr>
  </w:style>
  <w:style w:type="paragraph" w:customStyle="1" w:styleId="53">
    <w:name w:val="样式 样式 (中文) 楷体_GB2312 四号 行距: 固定值 26 磅 +"/>
    <w:basedOn w:val="1"/>
    <w:qFormat/>
    <w:uiPriority w:val="0"/>
    <w:pPr>
      <w:spacing w:line="360" w:lineRule="auto"/>
      <w:ind w:firstLine="480" w:firstLineChars="200"/>
    </w:pPr>
    <w:rPr>
      <w:kern w:val="0"/>
      <w:sz w:val="24"/>
    </w:rPr>
  </w:style>
  <w:style w:type="paragraph" w:customStyle="1" w:styleId="54">
    <w:name w:val="正文！"/>
    <w:basedOn w:val="1"/>
    <w:qFormat/>
    <w:uiPriority w:val="0"/>
    <w:pPr>
      <w:spacing w:line="500" w:lineRule="exact"/>
      <w:ind w:firstLine="482"/>
    </w:pPr>
    <w:rPr>
      <w:rFonts w:ascii="楷体_GB2312" w:eastAsia="楷体_GB2312" w:cs="宋体"/>
      <w:sz w:val="24"/>
      <w:szCs w:val="20"/>
    </w:rPr>
  </w:style>
  <w:style w:type="paragraph" w:customStyle="1" w:styleId="55">
    <w:name w:val="aa正文 Char Char"/>
    <w:basedOn w:val="1"/>
    <w:qFormat/>
    <w:uiPriority w:val="0"/>
    <w:pPr>
      <w:spacing w:line="500" w:lineRule="exact"/>
      <w:ind w:firstLine="561"/>
    </w:pPr>
    <w:rPr>
      <w:rFonts w:eastAsia="Times New Roman"/>
      <w:sz w:val="24"/>
    </w:rPr>
  </w:style>
  <w:style w:type="paragraph" w:customStyle="1" w:styleId="56">
    <w:name w:val="标1"/>
    <w:basedOn w:val="1"/>
    <w:qFormat/>
    <w:uiPriority w:val="0"/>
    <w:pPr>
      <w:spacing w:before="60" w:beforeLines="0" w:beforeAutospacing="0" w:line="460" w:lineRule="exact"/>
      <w:outlineLvl w:val="0"/>
    </w:pPr>
    <w:rPr>
      <w:rFonts w:ascii="Times New Roman" w:hAnsi="Times New Roman" w:eastAsia="宋体" w:cs="Times New Roman"/>
      <w:b/>
      <w:kern w:val="2"/>
      <w:sz w:val="32"/>
      <w:lang w:val="en-US" w:eastAsia="zh-CN"/>
    </w:rPr>
  </w:style>
  <w:style w:type="character" w:customStyle="1" w:styleId="57">
    <w:name w:val="正文文本缩进 2 Char"/>
    <w:basedOn w:val="25"/>
    <w:qFormat/>
    <w:uiPriority w:val="0"/>
    <w:rPr>
      <w:rFonts w:eastAsia="宋体"/>
      <w:kern w:val="2"/>
      <w:sz w:val="28"/>
      <w:szCs w:val="24"/>
      <w:lang w:val="en-US" w:eastAsia="zh-CN" w:bidi="ar-SA"/>
    </w:rPr>
  </w:style>
  <w:style w:type="paragraph" w:customStyle="1" w:styleId="58">
    <w:name w:val="中文报告书样式"/>
    <w:basedOn w:val="1"/>
    <w:qFormat/>
    <w:uiPriority w:val="0"/>
    <w:pPr>
      <w:adjustRightInd w:val="0"/>
      <w:spacing w:line="480" w:lineRule="atLeast"/>
      <w:ind w:firstLine="482"/>
      <w:textAlignment w:val="baseline"/>
    </w:pPr>
    <w:rPr>
      <w:rFonts w:ascii="Times New Roman" w:hAnsi="Times New Roman" w:eastAsia="宋体" w:cs="Times New Roman"/>
      <w:kern w:val="24"/>
      <w:sz w:val="24"/>
    </w:rPr>
  </w:style>
  <w:style w:type="character" w:customStyle="1" w:styleId="59">
    <w:name w:val="书籍标题"/>
    <w:basedOn w:val="25"/>
    <w:qFormat/>
    <w:uiPriority w:val="0"/>
    <w:rPr>
      <w:b/>
      <w:smallCaps/>
      <w:spacing w:val="5"/>
    </w:rPr>
  </w:style>
  <w:style w:type="paragraph" w:styleId="60">
    <w:name w:val="No Spacing"/>
    <w:basedOn w:val="18"/>
    <w:next w:val="1"/>
    <w:qFormat/>
    <w:uiPriority w:val="1"/>
    <w:pPr>
      <w:spacing w:line="240" w:lineRule="auto"/>
      <w:ind w:left="0" w:firstLine="0" w:firstLineChars="0"/>
      <w:jc w:val="center"/>
    </w:pPr>
    <w:rPr>
      <w:sz w:val="21"/>
    </w:rPr>
  </w:style>
  <w:style w:type="paragraph" w:customStyle="1" w:styleId="61">
    <w:name w:val="表题"/>
    <w:basedOn w:val="1"/>
    <w:next w:val="1"/>
    <w:qFormat/>
    <w:uiPriority w:val="0"/>
    <w:pPr>
      <w:spacing w:before="50" w:beforeLines="50" w:line="240" w:lineRule="auto"/>
      <w:ind w:firstLine="0" w:firstLineChars="0"/>
      <w:jc w:val="center"/>
    </w:pPr>
    <w:rPr>
      <w:b/>
      <w:sz w:val="21"/>
    </w:rPr>
  </w:style>
  <w:style w:type="paragraph" w:customStyle="1" w:styleId="62">
    <w:name w:val="表格内"/>
    <w:basedOn w:val="1"/>
    <w:qFormat/>
    <w:uiPriority w:val="0"/>
    <w:pPr>
      <w:widowControl/>
      <w:spacing w:line="360" w:lineRule="exact"/>
      <w:jc w:val="center"/>
    </w:pPr>
    <w:rPr>
      <w:snapToGrid w:val="0"/>
      <w:kern w:val="0"/>
      <w:sz w:val="24"/>
      <w:szCs w:val="21"/>
    </w:rPr>
  </w:style>
  <w:style w:type="paragraph" w:customStyle="1" w:styleId="63">
    <w:name w:val="正文*"/>
    <w:basedOn w:val="1"/>
    <w:qFormat/>
    <w:uiPriority w:val="0"/>
    <w:rPr>
      <w:sz w:val="28"/>
      <w:szCs w:val="20"/>
    </w:rPr>
  </w:style>
  <w:style w:type="paragraph" w:customStyle="1" w:styleId="64">
    <w:name w:val="BodyTextIndent2"/>
    <w:qFormat/>
    <w:uiPriority w:val="0"/>
    <w:pPr>
      <w:widowControl w:val="0"/>
      <w:spacing w:after="120" w:line="480" w:lineRule="auto"/>
      <w:ind w:left="420" w:leftChars="200" w:firstLine="200" w:firstLineChars="200"/>
      <w:jc w:val="both"/>
    </w:pPr>
    <w:rPr>
      <w:rFonts w:ascii="Times New Roman" w:hAnsi="Times New Roman" w:eastAsia="宋体" w:cs="Times New Roman"/>
      <w:kern w:val="2"/>
      <w:sz w:val="21"/>
      <w:lang w:val="en-US" w:eastAsia="zh-CN" w:bidi="ar-SA"/>
    </w:rPr>
  </w:style>
  <w:style w:type="paragraph" w:customStyle="1" w:styleId="65">
    <w:name w:val="表头"/>
    <w:basedOn w:val="1"/>
    <w:qFormat/>
    <w:uiPriority w:val="0"/>
    <w:pPr>
      <w:widowControl/>
      <w:autoSpaceDE w:val="0"/>
      <w:autoSpaceDN w:val="0"/>
      <w:snapToGrid w:val="0"/>
      <w:spacing w:line="240" w:lineRule="auto"/>
      <w:ind w:firstLine="0" w:firstLineChars="0"/>
      <w:jc w:val="center"/>
    </w:pPr>
    <w:rPr>
      <w:rFonts w:hint="eastAsia" w:ascii="Times New Roman" w:hAnsi="Times New Roman" w:eastAsia="宋体"/>
      <w:b/>
      <w:kern w:val="0"/>
      <w:szCs w:val="21"/>
    </w:rPr>
  </w:style>
  <w:style w:type="paragraph" w:customStyle="1" w:styleId="66">
    <w:name w:val="表内文字"/>
    <w:basedOn w:val="1"/>
    <w:qFormat/>
    <w:uiPriority w:val="0"/>
    <w:pPr>
      <w:adjustRightInd w:val="0"/>
      <w:snapToGrid w:val="0"/>
      <w:spacing w:line="240" w:lineRule="auto"/>
      <w:ind w:firstLine="0" w:firstLineChars="0"/>
      <w:jc w:val="center"/>
    </w:pPr>
    <w:rPr>
      <w:rFonts w:ascii="Times New Roman" w:hAnsi="Times New Roman"/>
      <w:sz w:val="21"/>
      <w:szCs w:val="21"/>
    </w:rPr>
  </w:style>
  <w:style w:type="paragraph" w:customStyle="1" w:styleId="67">
    <w:name w:val="正文格式啊啊啊啊"/>
    <w:basedOn w:val="1"/>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paragraph" w:customStyle="1" w:styleId="68">
    <w:name w:val="1正文段落"/>
    <w:basedOn w:val="1"/>
    <w:qFormat/>
    <w:uiPriority w:val="0"/>
    <w:pPr>
      <w:spacing w:line="360" w:lineRule="auto"/>
      <w:ind w:firstLine="480" w:firstLineChars="200"/>
      <w:jc w:val="left"/>
    </w:pPr>
    <w:rPr>
      <w:snapToGrid w:val="0"/>
      <w:kern w:val="0"/>
      <w:sz w:val="24"/>
    </w:rPr>
  </w:style>
  <w:style w:type="paragraph" w:customStyle="1" w:styleId="69">
    <w:name w:val="111表头"/>
    <w:basedOn w:val="1"/>
    <w:qFormat/>
    <w:uiPriority w:val="0"/>
    <w:pPr>
      <w:adjustRightInd w:val="0"/>
      <w:snapToGrid w:val="0"/>
      <w:jc w:val="center"/>
    </w:pPr>
    <w:rPr>
      <w:rFonts w:hint="eastAsia" w:ascii="Times New Roman" w:hAnsi="Times New Roman" w:eastAsia="宋体" w:cs="宋体"/>
      <w:b/>
      <w:szCs w:val="21"/>
    </w:rPr>
  </w:style>
  <w:style w:type="paragraph" w:customStyle="1" w:styleId="70">
    <w:name w:val="111表格内"/>
    <w:basedOn w:val="1"/>
    <w:qFormat/>
    <w:uiPriority w:val="0"/>
    <w:pPr>
      <w:wordWrap w:val="0"/>
      <w:jc w:val="center"/>
    </w:pPr>
    <w:rPr>
      <w:rFonts w:ascii="Times New Roman" w:hAnsi="Times New Roman" w:eastAsia="宋体"/>
      <w:szCs w:val="21"/>
    </w:rPr>
  </w:style>
  <w:style w:type="paragraph" w:customStyle="1" w:styleId="71">
    <w:name w:val="1正文"/>
    <w:qFormat/>
    <w:uiPriority w:val="0"/>
    <w:pPr>
      <w:widowControl w:val="0"/>
      <w:autoSpaceDE/>
      <w:autoSpaceDN/>
      <w:adjustRightInd/>
      <w:spacing w:line="520" w:lineRule="exact"/>
      <w:ind w:firstLine="720" w:firstLineChars="200"/>
      <w:jc w:val="both"/>
      <w:textAlignment w:val="baseline"/>
    </w:pPr>
    <w:rPr>
      <w:rFonts w:ascii="Times New Roman" w:hAnsi="Times New Roman" w:eastAsia="宋体" w:cs="Times New Roman"/>
      <w:sz w:val="24"/>
      <w:lang w:val="en-US" w:eastAsia="zh-CN" w:bidi="ar-SA"/>
    </w:rPr>
  </w:style>
  <w:style w:type="paragraph" w:customStyle="1" w:styleId="72">
    <w:name w:val="表头啊啊啊啊"/>
    <w:basedOn w:val="1"/>
    <w:qFormat/>
    <w:uiPriority w:val="0"/>
    <w:pPr>
      <w:adjustRightInd w:val="0"/>
      <w:snapToGrid w:val="0"/>
      <w:spacing w:line="240" w:lineRule="auto"/>
      <w:jc w:val="center"/>
    </w:pPr>
    <w:rPr>
      <w:rFonts w:hint="eastAsia" w:ascii="Times New Roman" w:hAnsi="Times New Roman" w:eastAsia="宋体" w:cs="宋体"/>
      <w:b/>
      <w:bCs/>
      <w:color w:val="auto"/>
      <w:szCs w:val="21"/>
    </w:rPr>
  </w:style>
  <w:style w:type="paragraph" w:customStyle="1" w:styleId="73">
    <w:name w:val="表格里面啊啊啊啊"/>
    <w:basedOn w:val="1"/>
    <w:qFormat/>
    <w:uiPriority w:val="0"/>
    <w:pPr>
      <w:jc w:val="center"/>
    </w:pPr>
    <w:rPr>
      <w:rFonts w:ascii="Times New Roman" w:hAnsi="Times New Roman" w:eastAsia="宋体" w:cs="Times New Roman"/>
      <w:szCs w:val="21"/>
    </w:rPr>
  </w:style>
  <w:style w:type="paragraph" w:customStyle="1" w:styleId="74">
    <w:name w:val="小标题呗"/>
    <w:basedOn w:val="1"/>
    <w:qFormat/>
    <w:uiPriority w:val="0"/>
    <w:pPr>
      <w:widowControl/>
      <w:wordWrap w:val="0"/>
      <w:snapToGrid w:val="0"/>
      <w:spacing w:line="520" w:lineRule="exact"/>
      <w:jc w:val="left"/>
    </w:pPr>
    <w:rPr>
      <w:rFonts w:hint="eastAsia" w:ascii="Times New Roman" w:hAnsi="Times New Roman" w:eastAsia="宋体"/>
      <w:b/>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f8528df8-d674-44fd-ace0-95c0d12129d2</errorID>
      <errorWord> </errorWord>
      <group>L1_Word</group>
      <groupName>字词问题</groupName>
      <ability>L2_Typo</ability>
      <abilityName>字词错误</abilityName>
      <candidateList>
        <item>°</item>
      </candidateList>
      <explain/>
      <paraID>7F8D83F7</paraID>
      <start>4</start>
      <end>5</end>
      <status>ignored</status>
      <modifiedWord/>
      <trackRevisions>false</trackRevisions>
    </reviewItem>
    <reviewItem>
      <errorID>93a0e807-9fc7-496e-a1ee-26cd81413d7e</errorID>
      <errorWord> </errorWord>
      <group>L1_Word</group>
      <groupName>字词问题</groupName>
      <ability>L2_Typo</ability>
      <abilityName>字词错误</abilityName>
      <candidateList>
        <item>°</item>
      </candidateList>
      <explain/>
      <paraID>7F8D83F7</paraID>
      <start>20</start>
      <end>21</end>
      <status>ignored</status>
      <modifiedWord/>
      <trackRevisions>false</trackRevisions>
    </reviewItem>
    <reviewItem>
      <errorID>5e337729-4434-4a8a-b3b4-226502f870be</errorID>
      <errorWord>-</errorWord>
      <group>L1_Format</group>
      <groupName>格式问题</groupName>
      <ability>L2_HalfPunc_CN</ability>
      <abilityName>全半角问题</abilityName>
      <candidateList>
        <item>－</item>
      </candidateList>
      <explain>文本全半角错误。</explain>
      <paraID>7132C029</paraID>
      <start>32</start>
      <end>33</end>
      <status>ignored</status>
      <modifiedWord/>
      <trackRevisions>false</trackRevisions>
    </reviewItem>
    <reviewItem>
      <errorID>80bf5fb2-787f-4b70-b770-9b1001648671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19C26FCE</paraID>
      <start>23</start>
      <end>24</end>
      <status>ignored</status>
      <modifiedWord/>
      <trackRevisions>false</trackRevisions>
    </reviewItem>
    <reviewItem>
      <errorID>1d71dcf0-103b-4d0f-8c70-4bfb68094e23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5C81C50E</paraID>
      <start>43</start>
      <end>44</end>
      <status>unmodified</status>
      <modifiedWord/>
      <trackRevisions>false</trackRevisions>
    </reviewItem>
    <reviewItem>
      <errorID>2648ce4c-89e9-4980-b4a2-834b450cc7f3</errorID>
      <errorWord>[2024]136号</errorWord>
      <group>L1_Knowledge</group>
      <groupName>知识性问题</groupName>
      <ability>L2_Knowledge</ability>
      <abilityName>其他知识</abilityName>
      <candidateList>
        <item>〔2024〕136号</item>
      </candidateList>
      <explain>发文字号格式错误。</explain>
      <paraID>5C81C50E</paraID>
      <start>59</start>
      <end>69</end>
      <status>modified</status>
      <modifiedWord>〔2024〕136号</modifiedWord>
      <trackRevisions>false</trackRevisions>
    </reviewItem>
    <reviewItem>
      <errorID>cebb861e-c337-4cc8-9a88-bb7c2e1c400d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282A2B34</paraID>
      <start>0</start>
      <end>2</end>
      <status>ignored</status>
      <modifiedWord/>
      <trackRevisions>false</trackRevisions>
    </reviewItem>
    <reviewItem>
      <errorID>c9b93f56-54ce-460f-ac38-62cef4e2e3f2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282A2B34</paraID>
      <start>21</start>
      <end>22</end>
      <status>ignored</status>
      <modifiedWord/>
      <trackRevisions>false</trackRevisions>
    </reviewItem>
    <reviewItem>
      <errorID>dc2e19d7-416e-4738-9f9b-30dd922d0c9b</errorID>
      <errorWord>项</errorWord>
      <group>L1_Word</group>
      <groupName>字词问题</groupName>
      <ability>L2_Typo</ability>
      <abilityName>字词错误</abilityName>
      <candidateList>
        <item>向</item>
      </candidateList>
      <explain/>
      <paraID>471F7A67</paraID>
      <start>86</start>
      <end>87</end>
      <status>ignored</status>
      <modifiedWord/>
      <trackRevisions>false</trackRevisions>
    </reviewItem>
    <reviewItem>
      <errorID>131fd01d-6cad-4964-b6ac-5c45c29e61b4</errorID>
      <errorWord>，</errorWord>
      <group>L1_Punc</group>
      <groupName>标点问题</groupName>
      <ability>L2_Punc_CN</ability>
      <abilityName>标点符号问题</abilityName>
      <candidateList>
        <item>、</item>
      </candidateList>
      <explain/>
      <paraID>471F7A67</paraID>
      <start>94</start>
      <end>95</end>
      <status>ignored</status>
      <modifiedWord/>
      <trackRevisions>false</trackRevisions>
    </reviewItem>
    <reviewItem>
      <errorID>ac848e95-74c9-4a9a-8c27-c1e112ef88f3</errorID>
      <errorWord>深加工、石油化工</errorWord>
      <group>L1_Grammar</group>
      <groupName>语法问题</groupName>
      <ability>L2_Grammar</ability>
      <abilityName>语法错误</abilityName>
      <candidateList>
        <item>深加工</item>
      </candidateList>
      <explain/>
      <paraID>646832B6</paraID>
      <start>68</start>
      <end>76</end>
      <status>ignored</status>
      <modifiedWord/>
      <trackRevisions>false</trackRevisions>
    </reviewItem>
    <reviewItem>
      <errorID>6fa9f39e-8bd4-4965-a846-d665d580cf0a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1EBEBBF1</paraID>
      <start>214</start>
      <end>215</end>
      <status>ignored</status>
      <modifiedWord/>
      <trackRevisions>false</trackRevisions>
    </reviewItem>
    <reviewItem>
      <errorID>cb1bb5e9-968e-43b9-b2b1-b6c9e2ee71fc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6F77C9B7</paraID>
      <start>0</start>
      <end>2</end>
      <status>ignored</status>
      <modifiedWord/>
      <trackRevisions>false</trackRevisions>
    </reviewItem>
    <reviewItem>
      <errorID>47a1b9bd-ab11-4248-bddf-35539a34f5ee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14AC744C</paraID>
      <start>0</start>
      <end>2</end>
      <status>ignored</status>
      <modifiedWord/>
      <trackRevisions>false</trackRevisions>
    </reviewItem>
    <reviewItem>
      <errorID>9d455378-30e3-496e-978f-440c70fde053</errorID>
      <errorWord>高能</errorWord>
      <group>L1_Word</group>
      <groupName>字词问题</groupName>
      <ability>L2_Typo</ability>
      <abilityName>字词错误</abilityName>
      <candidateList>
        <item>高能耗</item>
      </candidateList>
      <explain/>
      <paraID>5D573D0F</paraID>
      <start>30</start>
      <end>32</end>
      <status>ignored</status>
      <modifiedWord/>
      <trackRevisions>false</trackRevisions>
    </reviewItem>
    <reviewItem>
      <errorID>f18ae3df-8e3f-4ab1-b413-81878d7449e7</errorID>
      <errorWord>）耗</errorWord>
      <group>L1_Word</group>
      <groupName>字词问题</groupName>
      <ability>L2_Typo</ability>
      <abilityName>字词错误</abilityName>
      <candidateList>
        <item>）</item>
      </candidateList>
      <explain/>
      <paraID>5D573D0F</paraID>
      <start>34</start>
      <end>36</end>
      <status>ignored</status>
      <modifiedWord/>
      <trackRevisions>false</trackRevisions>
    </reviewItem>
    <reviewItem>
      <errorID>f737500a-7446-4d72-a1b0-8ae15a45ed51</errorID>
      <errorWord>系统</errorWord>
      <group>L1_Word</group>
      <groupName>字词问题</groupName>
      <ability>L2_Typo</ability>
      <abilityName>字词错误</abilityName>
      <candidateList>
        <item>体系</item>
      </candidateList>
      <explain/>
      <paraID>34F8AF66</paraID>
      <start>75</start>
      <end>77</end>
      <status>ignored</status>
      <modifiedWord/>
      <trackRevisions>false</trackRevisions>
    </reviewItem>
    <reviewItem>
      <errorID>c4673d39-c19d-4c2a-8329-2b1c6f63858f</errorID>
      <errorWord>，</errorWord>
      <group>L1_Word</group>
      <groupName>字词问题</groupName>
      <ability>L2_Typo</ability>
      <abilityName>字词错误</abilityName>
      <candidateList>
        <item>，对</item>
      </candidateList>
      <explain/>
      <paraID>45806099</paraID>
      <start>33</start>
      <end>34</end>
      <status>ignored</status>
      <modifiedWord/>
      <trackRevisions>false</trackRevisions>
    </reviewItem>
    <reviewItem>
      <errorID>fcb97efc-c42d-4c2e-a029-addab827b782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6D88AF4B</paraID>
      <start>0</start>
      <end>2</end>
      <status>ignored</status>
      <modifiedWord/>
      <trackRevisions>false</trackRevisions>
    </reviewItem>
    <reviewItem>
      <errorID>87473aa1-fb9e-45a8-af5d-a5d433271c3a</errorID>
      <errorWord>，</errorWord>
      <group>L1_Word</group>
      <groupName>字词问题</groupName>
      <ability>L2_Typo</ability>
      <abilityName>字词错误</abilityName>
      <candidateList>
        <item>，在</item>
      </candidateList>
      <explain/>
      <paraID> AC50CE5</paraID>
      <start>55</start>
      <end>56</end>
      <status>ignored</status>
      <modifiedWord/>
      <trackRevisions>false</trackRevisions>
    </reviewItem>
    <reviewItem>
      <errorID>32c0a1df-e823-48af-9bfa-3690afe4621c</errorID>
      <errorWord>且若</errorWord>
      <group>L1_Word</group>
      <groupName>字词问题</groupName>
      <ability>L2_Typo</ability>
      <abilityName>字词错误</abilityName>
      <candidateList>
        <item>若羌</item>
      </candidateList>
      <explain/>
      <paraID>2BFAE54C</paraID>
      <start>129</start>
      <end>131</end>
      <status>ignored</status>
      <modifiedWord/>
      <trackRevisions>false</trackRevisions>
    </reviewItem>
    <reviewItem>
      <errorID>6daaaddc-3510-4eeb-a902-87d76e1314d2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7986C595</paraID>
      <start>0</start>
      <end>2</end>
      <status>ignored</status>
      <modifiedWord/>
      <trackRevisions>false</trackRevisions>
    </reviewItem>
    <reviewItem>
      <errorID>7a944079-b1d1-47d6-ba11-21ccefb42974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7F1EE365</paraID>
      <start>0</start>
      <end>2</end>
      <status>ignored</status>
      <modifiedWord/>
      <trackRevisions>false</trackRevisions>
    </reviewItem>
    <reviewItem>
      <errorID>ddffbffe-dbe1-4f5f-8c79-bc5b508751a2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5394094C</paraID>
      <start>0</start>
      <end>2</end>
      <status>ignored</status>
      <modifiedWord/>
      <trackRevisions>false</trackRevisions>
    </reviewItem>
    <reviewItem>
      <errorID>b9837a1d-7ee4-4729-a2ad-a1cf99609e9a</errorID>
      <errorWord> </errorWord>
      <group>L1_Word</group>
      <groupName>字词问题</groupName>
      <ability>L2_Typo</ability>
      <abilityName>字词错误</abilityName>
      <candidateList>
        <item>°</item>
      </candidateList>
      <explain/>
      <paraID>56253CE5</paraID>
      <start>47</start>
      <end>48</end>
      <status>ignored</status>
      <modifiedWord/>
      <trackRevisions>false</trackRevisions>
    </reviewItem>
    <reviewItem>
      <errorID>da53b463-1fe9-4d6c-a2d0-d9babbcc6521</errorID>
      <errorWord> </errorWord>
      <group>L1_Word</group>
      <groupName>字词问题</groupName>
      <ability>L2_Typo</ability>
      <abilityName>字词错误</abilityName>
      <candidateList>
        <item>°</item>
      </candidateList>
      <explain/>
      <paraID>56253CE5</paraID>
      <start>63</start>
      <end>64</end>
      <status>ignored</status>
      <modifiedWord/>
      <trackRevisions>false</trackRevisions>
    </reviewItem>
    <reviewItem>
      <errorID>34baf8d1-a42b-48e5-811a-474a09fa2b86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140141A4</paraID>
      <start>0</start>
      <end>2</end>
      <status>ignored</status>
      <modifiedWord/>
      <trackRevisions>false</trackRevisions>
    </reviewItem>
    <reviewItem>
      <errorID>e127c3e8-4272-4c7b-b027-8946b517faf6</errorID>
      <errorWord>新增未</errorWord>
      <group>L1_Word</group>
      <groupName>字词问题</groupName>
      <ability>L2_Typo</ability>
      <abilityName>字词错误</abilityName>
      <candidateList>
        <item>新增</item>
      </candidateList>
      <explain/>
      <paraID>150083CF</paraID>
      <start>9</start>
      <end>12</end>
      <status>ignored</status>
      <modifiedWord/>
      <trackRevisions>false</trackRevisions>
    </reviewItem>
    <reviewItem>
      <errorID>057e6836-c532-485b-beb7-0b63bf5b1079</errorID>
      <errorWord>，</errorWord>
      <group>L1_Format</group>
      <groupName>格式问题</groupName>
      <ability>L2_HalfPunc_CN</ability>
      <abilityName>全半角问题</abilityName>
      <candidateList>
        <item>,</item>
      </candidateList>
      <explain>文本全半角错误。</explain>
      <paraID>7121B993</paraID>
      <start>6</start>
      <end>7</end>
      <status>ignored</status>
      <modifiedWord/>
      <trackRevisions>false</trackRevisions>
    </reviewItem>
    <reviewItem>
      <errorID>e9d62a49-20ba-47bb-ad93-839131426b1a</errorID>
      <errorWord>震</errorWord>
      <group>L1_Word</group>
      <groupName>字词问题</groupName>
      <ability>L2_Typo</ability>
      <abilityName>字词错误</abilityName>
      <candidateList>
        <item>振</item>
      </candidateList>
      <explain>存在发音相同字词的误用。</explain>
      <paraID>5EF98EBA</paraID>
      <start>0</start>
      <end>1</end>
      <status>ignored</status>
      <modifiedWord/>
      <trackRevisions>false</trackRevisions>
    </reviewItem>
    <reviewItem>
      <errorID>f044e322-3481-4849-83fb-85175e6cf551</errorID>
      <errorWord>震</errorWord>
      <group>L1_Word</group>
      <groupName>字词问题</groupName>
      <ability>L2_Typo</ability>
      <abilityName>字词错误</abilityName>
      <candidateList>
        <item>振</item>
      </candidateList>
      <explain/>
      <paraID>5EF98EBA</paraID>
      <start>5</start>
      <end>6</end>
      <status>ignored</status>
      <modifiedWord/>
      <trackRevisions>false</trackRevisions>
    </reviewItem>
    <reviewItem>
      <errorID>96405992-4921-4bff-bf11-7583ed9b20c0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2EA6DC64</paraID>
      <start>0</start>
      <end>2</end>
      <status>ignored</status>
      <modifiedWord/>
      <trackRevisions>false</trackRevisions>
    </reviewItem>
    <reviewItem>
      <errorID>4c2963b0-353d-4b84-b2a9-5efc4daaa9a0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E2566CC</paraID>
      <start>0</start>
      <end>2</end>
      <status>ignored</status>
      <modifiedWord/>
      <trackRevisions>false</trackRevisions>
    </reviewItem>
    <reviewItem>
      <errorID>b2608ee3-7422-4cdf-817c-2d2781af6ef1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45DD9464</paraID>
      <start>14</start>
      <end>15</end>
      <status>ignored</status>
      <modifiedWord/>
      <trackRevisions>false</trackRevisions>
    </reviewItem>
    <reviewItem>
      <errorID>3a7ea047-e5c1-46ef-813f-ea6e7466977d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165B4FD4</paraID>
      <start>13</start>
      <end>14</end>
      <status>ignored</status>
      <modifiedWord/>
      <trackRevisions>false</trackRevisions>
    </reviewItem>
    <reviewItem>
      <errorID>d26cf871-17bf-40f2-9e50-5f2dbb9cc771</errorID>
      <errorWord>砂子</errorWord>
      <group>L1_Word</group>
      <groupName>字词问题</groupName>
      <ability>L2_Typo</ability>
      <abilityName>字词错误</abilityName>
      <candidateList>
        <item>沙子</item>
      </candidateList>
      <explain>存在发音相同字词的误用。</explain>
      <paraID>22CA968F</paraID>
      <start>0</start>
      <end>2</end>
      <status>ignored</status>
      <modifiedWord/>
      <trackRevisions>false</trackRevisions>
    </reviewItem>
    <reviewItem>
      <errorID>48dbb7f4-b703-4198-8a26-2428e628d6e4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1C0815A4</paraID>
      <start>0</start>
      <end>2</end>
      <status>ignored</status>
      <modifiedWord/>
      <trackRevisions>false</trackRevisions>
    </reviewItem>
    <reviewItem>
      <errorID>d18d5b8c-3404-418b-84c7-6e4c3e4301c8</errorID>
      <errorWord>可</errorWord>
      <group>L1_Word</group>
      <groupName>字词问题</groupName>
      <ability>L2_Typo</ability>
      <abilityName>字词错误</abilityName>
      <candidateList>
        <item>是在</item>
      </candidateList>
      <explain/>
      <paraID>6CF33645</paraID>
      <start>13</start>
      <end>14</end>
      <status>ignored</status>
      <modifiedWord/>
      <trackRevisions>false</trackRevisions>
    </reviewItem>
    <reviewItem>
      <errorID>6369c874-12af-406e-9210-790d0753b42f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5306277F</paraID>
      <start>0</start>
      <end>2</end>
      <status>ignored</status>
      <modifiedWord/>
      <trackRevisions>false</trackRevisions>
    </reviewItem>
    <reviewItem>
      <errorID>796fc235-52b3-4358-a405-fe56981edef0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3FD136</paraID>
      <start>0</start>
      <end>2</end>
      <status>ignored</status>
      <modifiedWord/>
      <trackRevisions>false</trackRevisions>
    </reviewItem>
    <reviewItem>
      <errorID>4e0e622e-2beb-4252-930a-07daaaa9f87b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61AD9D08</paraID>
      <start>0</start>
      <end>2</end>
      <status>ignored</status>
      <modifiedWord/>
      <trackRevisions>false</trackRevisions>
    </reviewItem>
    <reviewItem>
      <errorID>c353c50e-e0df-4eb7-8235-391e9861e6cc</errorID>
      <errorWord>、</errorWord>
      <group>L1_Punc</group>
      <groupName>标点问题</groupName>
      <ability>L2_Punc_CN</ability>
      <abilityName>标点符号问题</abilityName>
      <candidateList>
        <item>，</item>
      </candidateList>
      <explain/>
      <paraID>78C4C455</paraID>
      <start>14</start>
      <end>15</end>
      <status>ignored</status>
      <modifiedWord/>
      <trackRevisions>false</trackRevisions>
    </reviewItem>
    <reviewItem>
      <errorID>d4dbd92d-001e-4ba3-95c3-aa3f80275847</errorID>
      <errorWord>，</errorWord>
      <group>L1_Punc</group>
      <groupName>标点问题</groupName>
      <ability>L2_Punc_CN</ability>
      <abilityName>标点符号问题</abilityName>
      <candidateList>
        <item>；</item>
      </candidateList>
      <explain/>
      <paraID>26959444</paraID>
      <start>61</start>
      <end>62</end>
      <status>ignored</status>
      <modifiedWord/>
      <trackRevisions>false</trackRevisions>
    </reviewItem>
    <reviewItem>
      <errorID>eaa50d77-392f-477c-8e54-5b30d675bfc3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B616800</paraID>
      <start>10</start>
      <end>11</end>
      <status>ignored</status>
      <modifiedWord/>
      <trackRevisions>false</trackRevisions>
    </reviewItem>
    <reviewItem>
      <errorID>932efcac-b858-4547-a1d0-9f111bfa28f7</errorID>
      <errorWord>》</errorWord>
      <group>L1_Word</group>
      <groupName>字词问题</groupName>
      <ability>L2_Typo</ability>
      <abilityName>字词错误</abilityName>
      <candidateList>
        <item>》等</item>
      </candidateList>
      <explain/>
      <paraID>29B3CA16</paraID>
      <start>53</start>
      <end>54</end>
      <status>ignored</status>
      <modifiedWord/>
      <trackRevisions>false</trackRevisions>
    </reviewItem>
    <reviewItem>
      <errorID>29b030e3-6051-466a-84b6-48eeec55fee9</errorID>
      <errorWord>—</errorWord>
      <group>L1_Punc</group>
      <groupName>标点问题</groupName>
      <ability>L2_Punc_CN</ability>
      <abilityName>标点符号问题</abilityName>
      <candidateList>
        <item>～</item>
      </candidateList>
      <explain/>
      <paraID>4EFBCCD7</paraID>
      <start>38</start>
      <end>39</end>
      <status>modified</status>
      <modifiedWord>～</modifiedWord>
      <trackRevisions>false</trackRevisions>
    </reviewItem>
    <reviewItem>
      <errorID>35f99e57-d2ff-4bed-a101-42119b0b1fee</errorID>
      <errorWord>~</errorWord>
      <group>L1_Punc</group>
      <groupName>标点问题</groupName>
      <ability>L2_Punc_CN</ability>
      <abilityName>标点符号问题</abilityName>
      <candidateList>
        <item>～</item>
      </candidateList>
      <explain/>
      <paraID>5FE97CDC</paraID>
      <start>97</start>
      <end>98</end>
      <status>modified</status>
      <modifiedWord>～</modifiedWord>
      <trackRevisions>false</trackRevisions>
    </reviewItem>
    <reviewItem>
      <errorID>4e057967-5981-45e5-9a69-57b65919b8a1</errorID>
      <errorWord>100</errorWord>
      <group>L1_Word</group>
      <groupName>字词问题</groupName>
      <ability>L2_Typo</ability>
      <abilityName>字词错误</abilityName>
      <candidateList>
        <item>比100</item>
      </candidateList>
      <explain/>
      <paraID>5FE97CDC</paraID>
      <start>107</start>
      <end>110</end>
      <status>ignored</status>
      <modifiedWord/>
      <trackRevisions>false</trackRevisions>
    </reviewItem>
    <reviewItem>
      <errorID>95b4902d-fb83-45e4-adb6-b1e1c4955ffd</errorID>
      <errorWord>，</errorWord>
      <group>L1_Punc</group>
      <groupName>标点问题</groupName>
      <ability>L2_Punc_CN</ability>
      <abilityName>标点符号问题</abilityName>
      <candidateList>
        <item>；</item>
      </candidateList>
      <explain/>
      <paraID>5FE97CDC</paraID>
      <start>111</start>
      <end>112</end>
      <status>ignored</status>
      <modifiedWord/>
      <trackRevisions>false</trackRevisions>
    </reviewItem>
    <reviewItem>
      <errorID>e7f2b97a-1bb7-44f4-9207-8f0377ec4e4c</errorID>
      <errorWord>~</errorWord>
      <group>L1_Punc</group>
      <groupName>标点问题</groupName>
      <ability>L2_Punc_CN</ability>
      <abilityName>标点符号问题</abilityName>
      <candidateList>
        <item>～</item>
      </candidateList>
      <explain/>
      <paraID>5FE97CDC</paraID>
      <start>131</start>
      <end>132</end>
      <status>modified</status>
      <modifiedWord>～</modifiedWord>
      <trackRevisions>false</trackRevisions>
    </reviewItem>
    <reviewItem>
      <errorID>e871f80e-d974-4d36-b6f9-1f688da9c3d1</errorID>
      <errorWord>75</errorWord>
      <group>L1_Word</group>
      <groupName>字词问题</groupName>
      <ability>L2_Typo</ability>
      <abilityName>字词错误</abilityName>
      <candidateList>
        <item>比75</item>
      </candidateList>
      <explain/>
      <paraID>5FE97CDC</paraID>
      <start>141</start>
      <end>143</end>
      <status>unmodified</status>
      <modifiedWord/>
      <trackRevisions>false</trackRevisions>
    </reviewItem>
    <reviewItem>
      <errorID>eab25015-c82a-4caa-8f8c-0d9e10c4b56b</errorID>
      <errorWord>劣V类水体</errorWord>
      <group>L1_Political</group>
      <groupName>政治性问题</groupName>
      <ability>L2_Keyword</ability>
      <abilityName>固定表述</abilityName>
      <candidateList>
        <item>劣Ⅴ类水体</item>
      </candidateList>
      <explain>词汇“劣Ⅴ类水体”在特定场景下为固定表述形式，请确认此处的“劣V类水体”是否存在不当。</explain>
      <paraID>5FE97CDC</paraID>
      <start>146</start>
      <end>151</end>
      <status>ignored</status>
      <modifiedWord/>
      <trackRevisions>false</trackRevisions>
    </reviewItem>
    <reviewItem>
      <errorID>e8c53549-61d8-430f-9a72-f32647975948</errorID>
      <errorWord>，</errorWord>
      <group>L1_Punc</group>
      <groupName>标点问题</groupName>
      <ability>L2_Punc_CN</ability>
      <abilityName>标点符号问题</abilityName>
      <candidateList>
        <item>。</item>
      </candidateList>
      <explain/>
      <paraID>5FE97CDC</paraID>
      <start>151</start>
      <end>152</end>
      <status>unmodified</status>
      <modifiedWord/>
      <trackRevisions>false</trackRevisions>
    </reviewItem>
    <reviewItem>
      <errorID>2dba4dca-de29-480c-961a-12528311792c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2B5BA07E</paraID>
      <start>0</start>
      <end>2</end>
      <status>ignored</status>
      <modifiedWord/>
      <trackRevisions>false</trackRevisions>
    </reviewItem>
    <reviewItem>
      <errorID>e9efc77a-8cd5-4a0e-8cd3-235fee986cff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3C16FBB4</paraID>
      <start>0</start>
      <end>2</end>
      <status>ignored</status>
      <modifiedWord/>
      <trackRevisions>false</trackRevisions>
    </reviewItem>
    <reviewItem>
      <errorID>c6f3326a-9659-40b2-bc76-7520a314a239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627B3AC8</paraID>
      <start>0</start>
      <end>2</end>
      <status>ignored</status>
      <modifiedWord/>
      <trackRevisions>false</trackRevisions>
    </reviewItem>
    <reviewItem>
      <errorID>72043995-667c-4145-86c9-e4a51704bd9f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C502184</paraID>
      <start>0</start>
      <end>2</end>
      <status>ignored</status>
      <modifiedWord/>
      <trackRevisions>false</trackRevisions>
    </reviewItem>
    <reviewItem>
      <errorID>9fabe2f5-1281-4fd7-a971-4c756721e345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7AB009A1</paraID>
      <start>0</start>
      <end>2</end>
      <status>ignored</status>
      <modifiedWord/>
      <trackRevisions>false</trackRevisions>
    </reviewItem>
    <reviewItem>
      <errorID>3f212ce8-c1a0-4e39-af1c-5e774c84e2f2</errorID>
      <errorWord>，</errorWord>
      <group>L1_Punc</group>
      <groupName>标点问题</groupName>
      <ability>L2_Punc_CN</ability>
      <abilityName>标点符号问题</abilityName>
      <candidateList>
        <item/>
      </candidateList>
      <explain/>
      <paraID>526A42A4</paraID>
      <start>13</start>
      <end>14</end>
      <status>ignored</status>
      <modifiedWord/>
      <trackRevisions>false</trackRevisions>
    </reviewItem>
    <reviewItem>
      <errorID>51aba9fb-4f7d-4fad-a317-522d02d160f5</errorID>
      <errorWord>3021</errorWord>
      <group>L1_Word</group>
      <groupName>字词问题</groupName>
      <ability>L2_Typo</ability>
      <abilityName>字词错误</abilityName>
      <candidateList>
        <item>中3021</item>
      </candidateList>
      <explain/>
      <paraID>20DC06EA</paraID>
      <start>67</start>
      <end>71</end>
      <status>unmodified</status>
      <modifiedWord/>
      <trackRevisions>false</trackRevisions>
    </reviewItem>
    <reviewItem>
      <errorID>e4f9f3b1-eaf4-4a7f-8a6c-23ff068e4e07</errorID>
      <errorWord>-</errorWord>
      <group>L1_Format</group>
      <groupName>格式问题</groupName>
      <ability>L2_HalfPunc_CN</ability>
      <abilityName>全半角问题</abilityName>
      <candidateList>
        <item>－</item>
      </candidateList>
      <explain>文本全半角错误。</explain>
      <paraID>20DC06EA</paraID>
      <start>165</start>
      <end>166</end>
      <status>ignored</status>
      <modifiedWord/>
      <trackRevisions>false</trackRevisions>
    </reviewItem>
    <reviewItem>
      <errorID>98210a02-2b95-4ce8-ab39-58bc28e10a0b</errorID>
      <errorWord>得到</errorWord>
      <group>L1_Word</group>
      <groupName>字词问题</groupName>
      <ability>L2_Typo</ability>
      <abilityName>字词错误</abilityName>
      <candidateList>
        <item>行业的</item>
      </candidateList>
      <explain/>
      <paraID>312454FA</paraID>
      <start>92</start>
      <end>94</end>
      <status>unmodified</status>
      <modifiedWord/>
      <trackRevisions>false</trackRevisions>
    </reviewItem>
    <reviewItem>
      <errorID>a9ce168f-bd28-474c-8996-f1a43ef68039</errorID>
      <errorWord>-</errorWord>
      <group>L1_Format</group>
      <groupName>格式问题</groupName>
      <ability>L2_HalfPunc_CN</ability>
      <abilityName>全半角问题</abilityName>
      <candidateList>
        <item>－</item>
      </candidateList>
      <explain>文本全半角错误。</explain>
      <paraID>312454FA</paraID>
      <start>135</start>
      <end>136</end>
      <status>ignored</status>
      <modifiedWord/>
      <trackRevisions>false</trackRevisions>
    </reviewItem>
    <reviewItem>
      <errorID>15c8f860-1335-4c84-bc76-0412f9e1992d</errorID>
      <errorWord>使</errorWord>
      <group>L1_Word</group>
      <groupName>字词问题</groupName>
      <ability>L2_Typo</ability>
      <abilityName>字词错误</abilityName>
      <candidateList>
        <item>控制</item>
      </candidateList>
      <explain/>
      <paraID>3308778B</paraID>
      <start>234</start>
      <end>235</end>
      <status>unmodified</status>
      <modifiedWord/>
      <trackRevisions>false</trackRevisions>
    </reviewItem>
    <reviewItem>
      <errorID>d8637bd1-cdf3-4c07-82c2-ed747541c5fb</errorID>
      <errorWord>次数</errorWord>
      <group>L1_Word</group>
      <groupName>字词问题</groupName>
      <ability>L2_Typo</ability>
      <abilityName>字词错误</abilityName>
      <candidateList>
        <item>的次数</item>
      </candidateList>
      <explain/>
      <paraID>3308778B</paraID>
      <start>241</start>
      <end>243</end>
      <status>unmodified</status>
      <modifiedWord/>
      <trackRevisions>false</trackRevisions>
    </reviewItem>
    <reviewItem>
      <errorID>6dddcedc-0b11-4564-8e82-d26927b19b0a</errorID>
      <errorWord>少</errorWord>
      <group>L1_Word</group>
      <groupName>字词问题</groupName>
      <ability>L2_Typo</ability>
      <abilityName>字词错误</abilityName>
      <candidateList>
        <item>低</item>
      </candidateList>
      <explain/>
      <paraID>1FDD3927</paraID>
      <start>23</start>
      <end>24</end>
      <status>unmodified</status>
      <modifiedWord/>
      <trackRevisions>false</trackRevisions>
    </reviewItem>
    <reviewItem>
      <errorID>4fad8170-cd7e-476f-95ef-e51e21153f96</errorID>
      <errorWord>GB18483</errorWord>
      <group>L1_Word</group>
      <groupName>字词问题</groupName>
      <ability>L2_Typo</ability>
      <abilityName>字词错误</abilityName>
      <candidateList>
        <item>GB 18483</item>
      </candidateList>
      <explain/>
      <paraID>3E9417D2</paraID>
      <start>103</start>
      <end>110</end>
      <status>ignored</status>
      <modifiedWord/>
      <trackRevisions>false</trackRevisions>
    </reviewItem>
    <reviewItem>
      <errorID>5b848d8c-9365-4f68-adfa-5ffc163966eb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44F92A97</paraID>
      <start>123</start>
      <end>124</end>
      <status>ignored</status>
      <modifiedWord/>
      <trackRevisions>false</trackRevisions>
    </reviewItem>
    <reviewItem>
      <errorID>ba2cfb9a-38b0-47e3-98c4-2bba2d9d4348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1E777173</paraID>
      <start>0</start>
      <end>2</end>
      <status>ignored</status>
      <modifiedWord/>
      <trackRevisions>false</trackRevisions>
    </reviewItem>
    <reviewItem>
      <errorID>b127fad0-97ce-4ca7-ab24-f936c89df9a0</errorID>
      <errorWord> </errorWord>
      <group>L1_Punc</group>
      <groupName>标点问题</groupName>
      <ability>L2_Punc_CN</ability>
      <abilityName>标点符号问题</abilityName>
      <candidateList>
        <item>·</item>
      </candidateList>
      <explain/>
      <paraID>268D68F4</paraID>
      <start>68</start>
      <end>69</end>
      <status>ignored</status>
      <modifiedWord/>
      <trackRevisions>false</trackRevisions>
    </reviewItem>
    <reviewItem>
      <errorID>4f972be7-503d-4ee9-a4ed-0cb36e2c24a1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16A98DB8</paraID>
      <start>0</start>
      <end>2</end>
      <status>ignored</status>
      <modifiedWord/>
      <trackRevisions>false</trackRevisions>
    </reviewItem>
    <reviewItem>
      <errorID>ebe0ebc4-0365-4372-8f80-fa8a4bcf2fd7</errorID>
      <errorWord>HJ2.4-2021）的要求，项目环评采用的模型为《环境影响评价技术导则 声环境》（HJ2</errorWord>
      <group>L1_Grammar</group>
      <groupName>语法问题</groupName>
      <ability>L2_Grammar</ability>
      <abilityName>语法错误</abilityName>
      <candidateList>
        <item>HJ 2.4-2021）的要求，项目环评采用的模型为《环境影响评价技术导则 声环境》（HJ 2</item>
      </candidateList>
      <explain/>
      <paraID>6A89AEA3</paraID>
      <start>26</start>
      <end>71</end>
      <status>ignored</status>
      <modifiedWord/>
      <trackRevisions>false</trackRevisions>
    </reviewItem>
    <reviewItem>
      <errorID>651903ca-1262-4013-ad60-e9e122be110d</errorID>
      <errorWord>,</errorWord>
      <group>L1_Format</group>
      <groupName>格式问题</groupName>
      <ability>L2_HalfPunc_CN</ability>
      <abilityName>全半角问题</abilityName>
      <candidateList>
        <item>，</item>
      </candidateList>
      <explain>文本全半角错误。</explain>
      <paraID>684C62AA</paraID>
      <start>3</start>
      <end>4</end>
      <status>ignored</status>
      <modifiedWord/>
      <trackRevisions>false</trackRevisions>
    </reviewItem>
    <reviewItem>
      <errorID>646e5811-0d1a-4a0c-8c89-4b49a05d9217</errorID>
      <errorWord>（</errorWord>
      <group>L1_Punc</group>
      <groupName>标点问题</groupName>
      <ability>L2_Punc_CN</ability>
      <abilityName>标点符号问题</abilityName>
      <candidateList/>
      <explain>同一形式括号套用。</explain>
      <paraID>1EC44B3C</paraID>
      <start>3</start>
      <end>4</end>
      <status>ignored</status>
      <modifiedWord/>
      <trackRevisions>false</trackRevisions>
    </reviewItem>
    <reviewItem>
      <errorID>6e6f8cba-9c09-4598-9ac1-535b2a175621</errorID>
      <errorWord>(</errorWord>
      <group>L1_Punc</group>
      <groupName>标点问题</groupName>
      <ability>L2_Punc_CN</ability>
      <abilityName>标点符号问题</abilityName>
      <candidateList/>
      <explain>同一形式括号套用。</explain>
      <paraID>1EC44B3C</paraID>
      <start>6</start>
      <end>7</end>
      <status>ignored</status>
      <modifiedWord/>
      <trackRevisions>false</trackRevisions>
    </reviewItem>
    <reviewItem>
      <errorID>e392b54a-ae4f-4c4c-8589-b35c5dae9658</errorID>
      <errorWord>)</errorWord>
      <group>L1_Punc</group>
      <groupName>标点问题</groupName>
      <ability>L2_Punc_CN</ability>
      <abilityName>标点符号问题</abilityName>
      <candidateList/>
      <explain>同一形式括号套用。</explain>
      <paraID>1EC44B3C</paraID>
      <start>8</start>
      <end>9</end>
      <status>ignored</status>
      <modifiedWord/>
      <trackRevisions>false</trackRevisions>
    </reviewItem>
    <reviewItem>
      <errorID>1e5d1d79-faaa-4f34-90af-7377e78a3381</errorID>
      <errorWord>）</errorWord>
      <group>L1_Punc</group>
      <groupName>标点问题</groupName>
      <ability>L2_Punc_CN</ability>
      <abilityName>标点符号问题</abilityName>
      <candidateList/>
      <explain>同一形式括号套用。</explain>
      <paraID>1EC44B3C</paraID>
      <start>9</start>
      <end>10</end>
      <status>ignored</status>
      <modifiedWord/>
      <trackRevisions>false</trackRevisions>
    </reviewItem>
    <reviewItem>
      <errorID>3bdb8eae-39c3-400e-ad3d-2786b6eb870b</errorID>
      <errorWord>（</errorWord>
      <group>L1_Punc</group>
      <groupName>标点问题</groupName>
      <ability>L2_Punc_CN</ability>
      <abilityName>标点符号问题</abilityName>
      <candidateList/>
      <explain>同一形式括号套用。</explain>
      <paraID>1D8F4C41</paraID>
      <start>4</start>
      <end>5</end>
      <status>ignored</status>
      <modifiedWord/>
      <trackRevisions>false</trackRevisions>
    </reviewItem>
    <reviewItem>
      <errorID>0a105795-fecc-4089-9df0-889738bb3226</errorID>
      <errorWord>(</errorWord>
      <group>L1_Punc</group>
      <groupName>标点问题</groupName>
      <ability>L2_Punc_CN</ability>
      <abilityName>标点符号问题</abilityName>
      <candidateList/>
      <explain>同一形式括号套用。</explain>
      <paraID>1D8F4C41</paraID>
      <start>7</start>
      <end>8</end>
      <status>ignored</status>
      <modifiedWord/>
      <trackRevisions>false</trackRevisions>
    </reviewItem>
    <reviewItem>
      <errorID>3e9c8955-7a4b-42a3-a462-dbb034b554a5</errorID>
      <errorWord>)</errorWord>
      <group>L1_Punc</group>
      <groupName>标点问题</groupName>
      <ability>L2_Punc_CN</ability>
      <abilityName>标点符号问题</abilityName>
      <candidateList/>
      <explain>同一形式括号套用。</explain>
      <paraID>1D8F4C41</paraID>
      <start>9</start>
      <end>10</end>
      <status>ignored</status>
      <modifiedWord/>
      <trackRevisions>false</trackRevisions>
    </reviewItem>
    <reviewItem>
      <errorID>e56fab9c-3ad0-4b48-9d5c-10445e19a0d8</errorID>
      <errorWord>）</errorWord>
      <group>L1_Punc</group>
      <groupName>标点问题</groupName>
      <ability>L2_Punc_CN</ability>
      <abilityName>标点符号问题</abilityName>
      <candidateList/>
      <explain>同一形式括号套用。</explain>
      <paraID>1D8F4C41</paraID>
      <start>10</start>
      <end>11</end>
      <status>ignored</status>
      <modifiedWord/>
      <trackRevisions>false</trackRevisions>
    </reviewItem>
    <reviewItem>
      <errorID>2df041bc-22f3-4ffb-b86a-632edec2f3f8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14F8DA01</paraID>
      <start>0</start>
      <end>2</end>
      <status>ignored</status>
      <modifiedWord/>
      <trackRevisions>false</trackRevisions>
    </reviewItem>
    <reviewItem>
      <errorID>a0052a9b-95a8-4bab-b9a0-9c00d878bb02</errorID>
      <errorWord> </errorWord>
      <group>L1_Punc</group>
      <groupName>标点问题</groupName>
      <ability>L2_Punc_CN</ability>
      <abilityName>标点符号问题</abilityName>
      <candidateList>
        <item>·</item>
      </candidateList>
      <explain/>
      <paraID> DC59330</paraID>
      <start>41</start>
      <end>42</end>
      <status>ignored</status>
      <modifiedWord/>
      <trackRevisions>false</trackRevisions>
    </reviewItem>
    <reviewItem>
      <errorID>f5c17bc6-10e2-46b3-b39d-fc4fc4c56e7e</errorID>
      <errorWord>的</errorWord>
      <group>L1_Word</group>
      <groupName>字词问题</groupName>
      <ability>L2_DDD</ability>
      <abilityName>的地得用法</abilityName>
      <candidateList>
        <item>地</item>
      </candidateList>
      <explain/>
      <paraID>74021605</paraID>
      <start>17</start>
      <end>18</end>
      <status>ignored</status>
      <modifiedWord/>
      <trackRevisions>false</trackRevisions>
    </reviewItem>
    <reviewItem>
      <errorID>cf96c36d-afa2-4e9d-8749-711292a3f595</errorID>
      <errorWord>GB18597</errorWord>
      <group>L1_Word</group>
      <groupName>字词问题</groupName>
      <ability>L2_Typo</ability>
      <abilityName>字词错误</abilityName>
      <candidateList>
        <item>GB 18597</item>
      </candidateList>
      <explain/>
      <paraID>52E4A951</paraID>
      <start>38</start>
      <end>45</end>
      <status>ignored</status>
      <modifiedWord/>
      <trackRevisions>false</trackRevisions>
    </reviewItem>
    <reviewItem>
      <errorID>6a985969-0b3c-4045-a630-e03acbf1bcaf</errorID>
      <errorWord>HJ2025</errorWord>
      <group>L1_Word</group>
      <groupName>字词问题</groupName>
      <ability>L2_Typo</ability>
      <abilityName>字词错误</abilityName>
      <candidateList>
        <item>HJ 2025</item>
      </candidateList>
      <explain/>
      <paraID>52E4A951</paraID>
      <start>71</start>
      <end>77</end>
      <status>unmodified</status>
      <modifiedWord/>
      <trackRevisions>false</trackRevisions>
    </reviewItem>
    <reviewItem>
      <errorID>88d1564b-9a62-4cbe-9875-6be2079c84f4</errorID>
      <errorWord>GB18597</errorWord>
      <group>L1_Word</group>
      <groupName>字词问题</groupName>
      <ability>L2_Typo</ability>
      <abilityName>字词错误</abilityName>
      <candidateList>
        <item>GB 18597</item>
      </candidateList>
      <explain/>
      <paraID>4B6483AE</paraID>
      <start>92</start>
      <end>99</end>
      <status>unmodified</status>
      <modifiedWord/>
      <trackRevisions>false</trackRevisions>
    </reviewItem>
    <reviewItem>
      <errorID>0726baf2-192d-4428-8c75-4a35859fb877</errorID>
      <errorWord>HJ2025</errorWord>
      <group>L1_Word</group>
      <groupName>字词问题</groupName>
      <ability>L2_Typo</ability>
      <abilityName>字词错误</abilityName>
      <candidateList>
        <item>HJ 2025</item>
      </candidateList>
      <explain/>
      <paraID>4B6483AE</paraID>
      <start>125</start>
      <end>131</end>
      <status>unmodified</status>
      <modifiedWord/>
      <trackRevisions>false</trackRevisions>
    </reviewItem>
    <reviewItem>
      <errorID>61dff58c-9b82-47c1-9705-8c716b8eefaf</errorID>
      <errorWord>GB18597</errorWord>
      <group>L1_Word</group>
      <groupName>字词问题</groupName>
      <ability>L2_Typo</ability>
      <abilityName>字词错误</abilityName>
      <candidateList>
        <item>GB 18597</item>
      </candidateList>
      <explain/>
      <paraID>2D6F6A6D</paraID>
      <start>26</start>
      <end>33</end>
      <status>unmodified</status>
      <modifiedWord/>
      <trackRevisions>false</trackRevisions>
    </reviewItem>
    <reviewItem>
      <errorID>177438b7-41d7-4fb2-b651-cd188c4cd5a4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2D6F6A6D</paraID>
      <start>93</start>
      <end>94</end>
      <status>ignored</status>
      <modifiedWord/>
      <trackRevisions>false</trackRevisions>
    </reviewItem>
    <reviewItem>
      <errorID>9b44f564-c16c-426c-9bc8-fad4f6a42b10</errorID>
      <errorWord>7cm</errorWord>
      <group>L1_Word</group>
      <groupName>字词问题</groupName>
      <ability>L2_Typo</ability>
      <abilityName>字词错误</abilityName>
      <candidateList>
        <item>7 cm</item>
      </candidateList>
      <explain/>
      <paraID>2D6F6A6D</paraID>
      <start>94</start>
      <end>97</end>
      <status>unmodified</status>
      <modifiedWord/>
      <trackRevisions>false</trackRevisions>
    </reviewItem>
    <reviewItem>
      <errorID>2c944e11-b18d-4d2e-bd55-381052013032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2D6F6A6D</paraID>
      <start>132</start>
      <end>133</end>
      <status>ignored</status>
      <modifiedWord/>
      <trackRevisions>false</trackRevisions>
    </reviewItem>
    <reviewItem>
      <errorID>a906d3b1-8d19-40d2-8b02-0153c6643a13</errorID>
      <errorWord>10cm</errorWord>
      <group>L1_Word</group>
      <groupName>字词问题</groupName>
      <ability>L2_Typo</ability>
      <abilityName>字词错误</abilityName>
      <candidateList>
        <item>10 cm</item>
      </candidateList>
      <explain/>
      <paraID>2D6F6A6D</paraID>
      <start>133</start>
      <end>137</end>
      <status>unmodified</status>
      <modifiedWord/>
      <trackRevisions>false</trackRevisions>
    </reviewItem>
    <reviewItem>
      <errorID>ab1d2ecf-cbd8-41d9-b286-2475376ca387</errorID>
      <errorWord> </errorWord>
      <group>L1_Punc</group>
      <groupName>标点问题</groupName>
      <ability>L2_Punc_CN</ability>
      <abilityName>标点符号问题</abilityName>
      <candidateList>
        <item>，</item>
      </candidateList>
      <explain/>
      <paraID>3596C454</paraID>
      <start>48</start>
      <end>49</end>
      <status>ignored</status>
      <modifiedWord/>
      <trackRevisions>false</trackRevisions>
    </reviewItem>
    <reviewItem>
      <errorID>41440f7b-1424-4541-90ba-bb40478187ae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38F510C3</paraID>
      <start>0</start>
      <end>2</end>
      <status>ignored</status>
      <modifiedWord/>
      <trackRevisions>false</trackRevisions>
    </reviewItem>
    <reviewItem>
      <errorID>dfea8323-52dd-4c7b-a5f2-1170857eb8ed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3001D033</paraID>
      <start>81</start>
      <end>82</end>
      <status>ignored</status>
      <modifiedWord/>
      <trackRevisions>false</trackRevisions>
    </reviewItem>
    <reviewItem>
      <errorID>e5015bda-ed7e-4b5b-a353-8037aadbb66c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3001D033</paraID>
      <start>120</start>
      <end>121</end>
      <status>ignored</status>
      <modifiedWord/>
      <trackRevisions>false</trackRevisions>
    </reviewItem>
    <reviewItem>
      <errorID>f32c1b9d-3ecd-4c5b-89e3-7b710afad7fb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5EDDBCDF</paraID>
      <start>0</start>
      <end>2</end>
      <status>ignored</status>
      <modifiedWord/>
      <trackRevisions>false</trackRevisions>
    </reviewItem>
    <reviewItem>
      <errorID>f8cbfee8-443d-4ebc-b749-14a6a099dca4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573D145B</paraID>
      <start>0</start>
      <end>2</end>
      <status>ignored</status>
      <modifiedWord/>
      <trackRevisions>false</trackRevisions>
    </reviewItem>
    <reviewItem>
      <errorID>6f4c6a43-7bb5-485d-a860-afb3f32d41a6</errorID>
      <errorWord>-</errorWord>
      <group>L1_Format</group>
      <groupName>格式问题</groupName>
      <ability>L2_HalfPunc_CN</ability>
      <abilityName>全半角问题</abilityName>
      <candidateList>
        <item>－</item>
      </candidateList>
      <explain>文本全半角错误。</explain>
      <paraID>20587847</paraID>
      <start>63</start>
      <end>64</end>
      <status>ignored</status>
      <modifiedWord/>
      <trackRevisions>false</trackRevisions>
    </reviewItem>
  </reviewItems>
  <config/>
</contractReview>
</file>

<file path=customXml/itemProps1.xml><?xml version="1.0" encoding="utf-8"?>
<ds:datastoreItem xmlns:ds="http://schemas.openxmlformats.org/officeDocument/2006/customXml" ds:itemID="{5d2e1365-4839-45d4-a25b-f7df2a9df364}">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54</Pages>
  <Words>5458</Words>
  <Characters>5785</Characters>
  <Lines>13</Lines>
  <Paragraphs>3</Paragraphs>
  <TotalTime>11</TotalTime>
  <ScaleCrop>false</ScaleCrop>
  <LinksUpToDate>false</LinksUpToDate>
  <CharactersWithSpaces>5814</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赵宇轩</cp:lastModifiedBy>
  <cp:lastPrinted>2024-03-21T09:57:00Z</cp:lastPrinted>
  <dcterms:modified xsi:type="dcterms:W3CDTF">2026-08-03T10:31:08Z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B738CE125190484DADB607987CF6287B</vt:lpwstr>
  </property>
  <property fmtid="{D5CDD505-2E9C-101B-9397-08002B2CF9AE}" pid="4" name="KSOTemplateDocerSaveRecord">
    <vt:lpwstr>eyJoZGlkIjoiNmRiYzg0YjA3NGI3MjVkMWJiNDZmMzMxM2JmYjM0MGQiLCJ1c2VySWQiOiI0MzMyMzUzMDkifQ==</vt:lpwstr>
  </property>
</Properties>
</file>