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589D2">
      <w:pPr>
        <w:ind w:firstLine="0" w:firstLineChars="0"/>
        <w:jc w:val="center"/>
        <w:rPr>
          <w:sz w:val="72"/>
          <w:szCs w:val="72"/>
        </w:rPr>
      </w:pPr>
    </w:p>
    <w:p w14:paraId="3CD4EF0B">
      <w:pPr>
        <w:ind w:firstLine="0" w:firstLineChars="0"/>
        <w:jc w:val="center"/>
        <w:rPr>
          <w:sz w:val="72"/>
          <w:szCs w:val="72"/>
        </w:rPr>
      </w:pPr>
    </w:p>
    <w:p w14:paraId="4FE343D9">
      <w:pPr>
        <w:ind w:firstLine="0" w:firstLineChars="0"/>
        <w:jc w:val="center"/>
      </w:pPr>
      <w:r>
        <w:rPr>
          <w:rFonts w:hint="eastAsia"/>
          <w:sz w:val="72"/>
          <w:szCs w:val="72"/>
        </w:rPr>
        <w:t>建设项目环境影响报告表</w:t>
      </w:r>
    </w:p>
    <w:p w14:paraId="5CAEC747">
      <w:pPr>
        <w:ind w:firstLine="0" w:firstLineChars="0"/>
        <w:jc w:val="center"/>
        <w:rPr>
          <w:sz w:val="48"/>
          <w:szCs w:val="48"/>
        </w:rPr>
      </w:pPr>
      <w:r>
        <w:rPr>
          <w:rFonts w:hint="eastAsia"/>
          <w:sz w:val="48"/>
          <w:szCs w:val="48"/>
        </w:rPr>
        <w:t>（生态影响类）</w:t>
      </w:r>
    </w:p>
    <w:p w14:paraId="381FDAC4">
      <w:pPr>
        <w:adjustRightInd w:val="0"/>
        <w:snapToGrid w:val="0"/>
        <w:spacing w:line="288" w:lineRule="auto"/>
        <w:ind w:firstLine="720"/>
        <w:rPr>
          <w:rFonts w:ascii="宋体" w:hAnsi="宋体"/>
          <w:sz w:val="36"/>
          <w:szCs w:val="36"/>
        </w:rPr>
      </w:pPr>
    </w:p>
    <w:p w14:paraId="3918613A">
      <w:pPr>
        <w:adjustRightInd w:val="0"/>
        <w:snapToGrid w:val="0"/>
        <w:spacing w:line="288" w:lineRule="auto"/>
        <w:ind w:firstLine="720"/>
        <w:rPr>
          <w:rFonts w:ascii="宋体" w:hAnsi="宋体"/>
          <w:sz w:val="36"/>
          <w:szCs w:val="36"/>
        </w:rPr>
      </w:pPr>
    </w:p>
    <w:p w14:paraId="7756C79B">
      <w:pPr>
        <w:adjustRightInd w:val="0"/>
        <w:snapToGrid w:val="0"/>
        <w:spacing w:line="288" w:lineRule="auto"/>
        <w:ind w:firstLine="720"/>
        <w:rPr>
          <w:rFonts w:ascii="宋体" w:hAnsi="宋体"/>
          <w:sz w:val="36"/>
          <w:szCs w:val="36"/>
        </w:rPr>
      </w:pPr>
    </w:p>
    <w:p w14:paraId="573487D5">
      <w:pPr>
        <w:adjustRightInd w:val="0"/>
        <w:snapToGrid w:val="0"/>
        <w:spacing w:line="288" w:lineRule="auto"/>
        <w:ind w:firstLine="720"/>
        <w:rPr>
          <w:rFonts w:ascii="宋体" w:hAnsi="宋体"/>
          <w:sz w:val="36"/>
          <w:szCs w:val="36"/>
        </w:rPr>
      </w:pPr>
    </w:p>
    <w:p w14:paraId="154BE068">
      <w:pPr>
        <w:adjustRightInd w:val="0"/>
        <w:snapToGrid w:val="0"/>
        <w:ind w:firstLine="0" w:firstLineChars="0"/>
        <w:rPr>
          <w:sz w:val="36"/>
          <w:szCs w:val="36"/>
          <w:u w:val="single"/>
        </w:rPr>
      </w:pPr>
      <w:r>
        <w:rPr>
          <w:rFonts w:hint="eastAsia" w:ascii="宋体" w:hAnsi="宋体"/>
          <w:sz w:val="36"/>
          <w:szCs w:val="36"/>
        </w:rPr>
        <w:t>项目名称：</w:t>
      </w:r>
      <w:r>
        <w:rPr>
          <w:rFonts w:hint="eastAsia"/>
          <w:color w:val="000000"/>
          <w:sz w:val="36"/>
          <w:szCs w:val="36"/>
          <w:u w:val="single"/>
        </w:rPr>
        <w:t>新</w:t>
      </w:r>
      <w:r>
        <w:rPr>
          <w:color w:val="000000"/>
          <w:sz w:val="36"/>
          <w:szCs w:val="36"/>
          <w:u w:val="single"/>
        </w:rPr>
        <w:t>疆和静县察汗乌苏</w:t>
      </w:r>
      <w:r>
        <w:rPr>
          <w:rFonts w:hint="eastAsia"/>
          <w:color w:val="000000"/>
          <w:sz w:val="36"/>
          <w:szCs w:val="36"/>
          <w:u w:val="single"/>
        </w:rPr>
        <w:t>铜</w:t>
      </w:r>
      <w:r>
        <w:rPr>
          <w:color w:val="000000"/>
          <w:sz w:val="36"/>
          <w:szCs w:val="36"/>
          <w:u w:val="single"/>
        </w:rPr>
        <w:t>矿勘探项</w:t>
      </w:r>
      <w:r>
        <w:rPr>
          <w:color w:val="000000"/>
          <w:spacing w:val="-20"/>
          <w:sz w:val="36"/>
          <w:szCs w:val="36"/>
          <w:u w:val="single"/>
        </w:rPr>
        <w:t>目</w:t>
      </w:r>
      <w:r>
        <w:rPr>
          <w:sz w:val="36"/>
          <w:szCs w:val="36"/>
          <w:u w:val="single"/>
        </w:rPr>
        <w:t xml:space="preserve">      </w:t>
      </w:r>
    </w:p>
    <w:p w14:paraId="1AECAA15">
      <w:pPr>
        <w:adjustRightInd w:val="0"/>
        <w:snapToGrid w:val="0"/>
        <w:ind w:firstLine="0" w:firstLineChars="0"/>
        <w:rPr>
          <w:sz w:val="36"/>
          <w:szCs w:val="36"/>
          <w:u w:val="single"/>
        </w:rPr>
      </w:pPr>
      <w:r>
        <w:rPr>
          <w:sz w:val="36"/>
          <w:szCs w:val="36"/>
        </w:rPr>
        <w:t>建设单位（盖章）：</w:t>
      </w:r>
      <w:bookmarkStart w:id="0" w:name="_Hlk71280878"/>
      <w:r>
        <w:rPr>
          <w:color w:val="000000"/>
          <w:spacing w:val="-20"/>
          <w:sz w:val="36"/>
          <w:szCs w:val="36"/>
          <w:u w:val="single"/>
        </w:rPr>
        <w:t>西安地质矿产勘查开发院有限公司</w:t>
      </w:r>
      <w:r>
        <w:rPr>
          <w:sz w:val="36"/>
          <w:szCs w:val="36"/>
          <w:u w:val="single"/>
        </w:rPr>
        <w:t xml:space="preserve"> </w:t>
      </w:r>
      <w:bookmarkEnd w:id="0"/>
    </w:p>
    <w:p w14:paraId="0445B93B">
      <w:pPr>
        <w:adjustRightInd w:val="0"/>
        <w:snapToGrid w:val="0"/>
        <w:ind w:firstLine="0" w:firstLineChars="0"/>
        <w:rPr>
          <w:rFonts w:ascii="宋体" w:hAnsi="宋体"/>
          <w:sz w:val="36"/>
          <w:szCs w:val="36"/>
          <w:u w:val="single"/>
        </w:rPr>
      </w:pPr>
      <w:r>
        <w:rPr>
          <w:sz w:val="36"/>
          <w:szCs w:val="36"/>
        </w:rPr>
        <w:t>编制日期：</w:t>
      </w:r>
      <w:r>
        <w:rPr>
          <w:sz w:val="36"/>
          <w:szCs w:val="36"/>
          <w:u w:val="single"/>
        </w:rPr>
        <w:t xml:space="preserve">2026年8月  </w:t>
      </w:r>
      <w:r>
        <w:rPr>
          <w:rFonts w:ascii="宋体" w:hAnsi="宋体"/>
          <w:sz w:val="36"/>
          <w:szCs w:val="36"/>
          <w:u w:val="single"/>
        </w:rPr>
        <w:t xml:space="preserve">                       </w:t>
      </w:r>
    </w:p>
    <w:p w14:paraId="01DFB87F"/>
    <w:p w14:paraId="7EB58C1E"/>
    <w:p w14:paraId="15CD4CA5"/>
    <w:p w14:paraId="00021629"/>
    <w:p w14:paraId="6B18C98E"/>
    <w:p w14:paraId="30F9424D"/>
    <w:p w14:paraId="65715305">
      <w:pPr>
        <w:ind w:firstLine="0" w:firstLineChars="0"/>
      </w:pPr>
    </w:p>
    <w:p w14:paraId="478AD8DB"/>
    <w:p w14:paraId="34AE34EF"/>
    <w:p w14:paraId="7627705F"/>
    <w:p w14:paraId="620EEC0A">
      <w:pPr>
        <w:ind w:firstLine="0" w:firstLineChars="0"/>
        <w:jc w:val="cente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eastAsia" w:ascii="楷体_GB2312" w:hAnsi="楷体_GB2312" w:eastAsia="楷体_GB2312" w:cs="楷体_GB2312"/>
          <w:sz w:val="36"/>
          <w:szCs w:val="36"/>
        </w:rPr>
        <w:t>中华人民共和国生态环境部制</w:t>
      </w:r>
    </w:p>
    <w:p w14:paraId="71821B77">
      <w:pPr>
        <w:pStyle w:val="2"/>
      </w:pPr>
      <w:r>
        <w:rPr>
          <w:rFonts w:hint="eastAsia"/>
        </w:rPr>
        <w:t>一、建设项目基本情况</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30"/>
        <w:gridCol w:w="1300"/>
        <w:gridCol w:w="2120"/>
        <w:gridCol w:w="1661"/>
        <w:gridCol w:w="2721"/>
      </w:tblGrid>
      <w:tr w14:paraId="1517F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1098" w:type="pct"/>
            <w:gridSpan w:val="2"/>
            <w:tcMar>
              <w:top w:w="16" w:type="dxa"/>
              <w:left w:w="16" w:type="dxa"/>
              <w:right w:w="16" w:type="dxa"/>
            </w:tcMar>
            <w:vAlign w:val="center"/>
          </w:tcPr>
          <w:p w14:paraId="27648A49">
            <w:pPr>
              <w:ind w:firstLine="0" w:firstLineChars="0"/>
              <w:jc w:val="center"/>
            </w:pPr>
            <w:r>
              <w:t>建设项目名称</w:t>
            </w:r>
          </w:p>
        </w:tc>
        <w:tc>
          <w:tcPr>
            <w:tcW w:w="3902" w:type="pct"/>
            <w:gridSpan w:val="3"/>
            <w:vAlign w:val="center"/>
          </w:tcPr>
          <w:p w14:paraId="5719D548">
            <w:pPr>
              <w:ind w:firstLine="0" w:firstLineChars="0"/>
              <w:jc w:val="center"/>
            </w:pPr>
            <w:r>
              <w:rPr>
                <w:rFonts w:hint="eastAsia"/>
                <w:bCs/>
                <w:color w:val="000000"/>
              </w:rPr>
              <w:t>新疆和静县察汗乌苏铜矿勘探项目</w:t>
            </w:r>
          </w:p>
        </w:tc>
      </w:tr>
      <w:tr w14:paraId="0A942C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1098" w:type="pct"/>
            <w:gridSpan w:val="2"/>
            <w:tcMar>
              <w:top w:w="16" w:type="dxa"/>
              <w:left w:w="16" w:type="dxa"/>
              <w:right w:w="16" w:type="dxa"/>
            </w:tcMar>
            <w:vAlign w:val="center"/>
          </w:tcPr>
          <w:p w14:paraId="549BA6C8">
            <w:pPr>
              <w:ind w:firstLine="0" w:firstLineChars="0"/>
              <w:jc w:val="center"/>
            </w:pPr>
            <w:r>
              <w:t>项目代码</w:t>
            </w:r>
          </w:p>
        </w:tc>
        <w:tc>
          <w:tcPr>
            <w:tcW w:w="3902" w:type="pct"/>
            <w:gridSpan w:val="3"/>
            <w:vAlign w:val="center"/>
          </w:tcPr>
          <w:p w14:paraId="725A3AF1">
            <w:pPr>
              <w:ind w:firstLine="0" w:firstLineChars="0"/>
              <w:jc w:val="center"/>
            </w:pPr>
            <w:r>
              <w:t>无</w:t>
            </w:r>
          </w:p>
        </w:tc>
      </w:tr>
      <w:tr w14:paraId="41CD06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1098" w:type="pct"/>
            <w:gridSpan w:val="2"/>
            <w:shd w:val="clear" w:color="auto" w:fill="auto"/>
            <w:tcMar>
              <w:top w:w="16" w:type="dxa"/>
              <w:left w:w="16" w:type="dxa"/>
              <w:right w:w="16" w:type="dxa"/>
            </w:tcMar>
            <w:vAlign w:val="center"/>
          </w:tcPr>
          <w:p w14:paraId="716ED711">
            <w:pPr>
              <w:spacing w:line="240" w:lineRule="auto"/>
              <w:ind w:firstLine="0" w:firstLineChars="0"/>
              <w:jc w:val="center"/>
            </w:pPr>
            <w:r>
              <w:t>建设单位联系人</w:t>
            </w:r>
          </w:p>
        </w:tc>
        <w:tc>
          <w:tcPr>
            <w:tcW w:w="1272" w:type="pct"/>
            <w:shd w:val="clear" w:color="auto" w:fill="auto"/>
            <w:vAlign w:val="center"/>
          </w:tcPr>
          <w:p w14:paraId="443D8D87">
            <w:pPr>
              <w:pStyle w:val="32"/>
              <w:rPr>
                <w:kern w:val="0"/>
                <w:sz w:val="24"/>
                <w:szCs w:val="24"/>
              </w:rPr>
            </w:pPr>
          </w:p>
        </w:tc>
        <w:tc>
          <w:tcPr>
            <w:tcW w:w="997" w:type="pct"/>
            <w:shd w:val="clear" w:color="auto" w:fill="auto"/>
            <w:vAlign w:val="center"/>
          </w:tcPr>
          <w:p w14:paraId="086B52AE">
            <w:pPr>
              <w:pStyle w:val="32"/>
              <w:rPr>
                <w:kern w:val="0"/>
                <w:sz w:val="24"/>
                <w:szCs w:val="24"/>
              </w:rPr>
            </w:pPr>
            <w:r>
              <w:rPr>
                <w:kern w:val="0"/>
                <w:sz w:val="24"/>
                <w:szCs w:val="24"/>
              </w:rPr>
              <w:t>联系方式</w:t>
            </w:r>
          </w:p>
        </w:tc>
        <w:tc>
          <w:tcPr>
            <w:tcW w:w="1633" w:type="pct"/>
            <w:shd w:val="clear" w:color="auto" w:fill="auto"/>
            <w:vAlign w:val="center"/>
          </w:tcPr>
          <w:p w14:paraId="184FA080">
            <w:pPr>
              <w:spacing w:line="240" w:lineRule="auto"/>
              <w:ind w:firstLine="0" w:firstLineChars="0"/>
              <w:jc w:val="center"/>
              <w:rPr>
                <w:kern w:val="0"/>
              </w:rPr>
            </w:pPr>
          </w:p>
        </w:tc>
      </w:tr>
      <w:tr w14:paraId="6111C1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1098" w:type="pct"/>
            <w:gridSpan w:val="2"/>
            <w:tcMar>
              <w:top w:w="16" w:type="dxa"/>
              <w:left w:w="16" w:type="dxa"/>
              <w:right w:w="16" w:type="dxa"/>
            </w:tcMar>
            <w:vAlign w:val="center"/>
          </w:tcPr>
          <w:p w14:paraId="71785DFD">
            <w:pPr>
              <w:ind w:firstLine="0" w:firstLineChars="0"/>
              <w:jc w:val="center"/>
            </w:pPr>
            <w:r>
              <w:t>建设地点</w:t>
            </w:r>
          </w:p>
        </w:tc>
        <w:tc>
          <w:tcPr>
            <w:tcW w:w="3902" w:type="pct"/>
            <w:gridSpan w:val="3"/>
            <w:vAlign w:val="center"/>
          </w:tcPr>
          <w:p w14:paraId="31BAA9D3">
            <w:pPr>
              <w:spacing w:line="240" w:lineRule="auto"/>
              <w:ind w:firstLine="0" w:firstLineChars="0"/>
              <w:jc w:val="center"/>
              <w:rPr>
                <w:kern w:val="0"/>
              </w:rPr>
            </w:pPr>
            <w:r>
              <w:rPr>
                <w:rFonts w:hint="eastAsia"/>
              </w:rPr>
              <w:t>和静县察汗乌苏北方向约</w:t>
            </w:r>
            <w:r>
              <w:t>359.4</w:t>
            </w:r>
            <w:r>
              <w:rPr>
                <w:rFonts w:hint="eastAsia"/>
              </w:rPr>
              <w:t>°直距约</w:t>
            </w:r>
            <w:r>
              <w:t>6.422</w:t>
            </w:r>
            <w:r>
              <w:rPr>
                <w:rFonts w:hint="eastAsia"/>
              </w:rPr>
              <w:t>千米处</w:t>
            </w:r>
          </w:p>
        </w:tc>
      </w:tr>
      <w:tr w14:paraId="4F553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gridSpan w:val="2"/>
            <w:tcMar>
              <w:top w:w="16" w:type="dxa"/>
              <w:left w:w="16" w:type="dxa"/>
              <w:right w:w="16" w:type="dxa"/>
            </w:tcMar>
            <w:vAlign w:val="center"/>
          </w:tcPr>
          <w:p w14:paraId="01322D13">
            <w:pPr>
              <w:ind w:firstLine="0" w:firstLineChars="0"/>
              <w:jc w:val="center"/>
            </w:pPr>
            <w:r>
              <w:t>地理坐标</w:t>
            </w:r>
          </w:p>
        </w:tc>
        <w:tc>
          <w:tcPr>
            <w:tcW w:w="3902" w:type="pct"/>
            <w:gridSpan w:val="3"/>
            <w:vAlign w:val="center"/>
          </w:tcPr>
          <w:p w14:paraId="7CF7F3E9">
            <w:pPr>
              <w:ind w:firstLine="0" w:firstLineChars="0"/>
            </w:pPr>
            <w:r>
              <w:t>勘查范围中心点坐标：</w:t>
            </w:r>
            <w:r>
              <w:rPr>
                <w:rFonts w:hint="eastAsia"/>
              </w:rPr>
              <w:t>经度</w:t>
            </w:r>
            <w:r>
              <w:t>85°32'28.361"</w:t>
            </w:r>
            <w:r>
              <w:rPr>
                <w:rFonts w:hint="eastAsia"/>
              </w:rPr>
              <w:t>，</w:t>
            </w:r>
            <w:r>
              <w:rPr>
                <w:kern w:val="0"/>
              </w:rPr>
              <w:t>纬</w:t>
            </w:r>
            <w:r>
              <w:rPr>
                <w:rFonts w:hint="eastAsia"/>
                <w:kern w:val="0"/>
              </w:rPr>
              <w:t>度</w:t>
            </w:r>
            <w:r>
              <w:t>42°25'58.255"</w:t>
            </w:r>
          </w:p>
        </w:tc>
      </w:tr>
      <w:tr w14:paraId="2E197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77" w:hRule="atLeast"/>
          <w:jc w:val="center"/>
        </w:trPr>
        <w:tc>
          <w:tcPr>
            <w:tcW w:w="1098" w:type="pct"/>
            <w:gridSpan w:val="2"/>
            <w:tcMar>
              <w:top w:w="16" w:type="dxa"/>
              <w:left w:w="16" w:type="dxa"/>
              <w:right w:w="16" w:type="dxa"/>
            </w:tcMar>
            <w:vAlign w:val="center"/>
          </w:tcPr>
          <w:p w14:paraId="128B8D5D">
            <w:pPr>
              <w:spacing w:line="240" w:lineRule="auto"/>
              <w:ind w:firstLine="0" w:firstLineChars="0"/>
              <w:jc w:val="center"/>
            </w:pPr>
            <w:r>
              <w:t>建设项目</w:t>
            </w:r>
          </w:p>
          <w:p w14:paraId="0EBAF1EB">
            <w:pPr>
              <w:spacing w:line="240" w:lineRule="auto"/>
              <w:ind w:firstLine="0" w:firstLineChars="0"/>
              <w:jc w:val="center"/>
            </w:pPr>
            <w:r>
              <w:t>行业类别</w:t>
            </w:r>
          </w:p>
        </w:tc>
        <w:tc>
          <w:tcPr>
            <w:tcW w:w="1272" w:type="pct"/>
            <w:vAlign w:val="center"/>
          </w:tcPr>
          <w:p w14:paraId="34DF82A3">
            <w:pPr>
              <w:pStyle w:val="33"/>
              <w:jc w:val="both"/>
              <w:rPr>
                <w:rFonts w:ascii="Times New Roman" w:hAnsi="Times New Roman" w:cs="Times New Roman"/>
                <w:kern w:val="2"/>
              </w:rPr>
            </w:pPr>
            <w:r>
              <w:rPr>
                <w:rFonts w:ascii="Times New Roman" w:hAnsi="Times New Roman" w:cs="Times New Roman"/>
              </w:rPr>
              <w:t>四十六、专业技术服务业-99、陆地矿产资源地质勘查（含油气资源勘探）；二氧化碳地质封存</w:t>
            </w:r>
          </w:p>
        </w:tc>
        <w:tc>
          <w:tcPr>
            <w:tcW w:w="997" w:type="pct"/>
            <w:vAlign w:val="center"/>
          </w:tcPr>
          <w:p w14:paraId="7DA37EE1">
            <w:pPr>
              <w:spacing w:line="240" w:lineRule="auto"/>
              <w:ind w:firstLine="0" w:firstLineChars="0"/>
              <w:jc w:val="center"/>
            </w:pPr>
            <w:r>
              <w:t>用地（用海）</w:t>
            </w:r>
          </w:p>
          <w:p w14:paraId="04476B83">
            <w:pPr>
              <w:spacing w:line="240" w:lineRule="auto"/>
              <w:ind w:firstLine="0" w:firstLineChars="0"/>
              <w:jc w:val="center"/>
            </w:pPr>
            <w:r>
              <w:t>面积（</w:t>
            </w:r>
            <w:r>
              <w:rPr>
                <w:rFonts w:hint="eastAsia"/>
              </w:rPr>
              <w:t>k</w:t>
            </w:r>
            <w:r>
              <w:t>m</w:t>
            </w:r>
            <w:r>
              <w:rPr>
                <w:vertAlign w:val="superscript"/>
              </w:rPr>
              <w:t>2</w:t>
            </w:r>
            <w:r>
              <w:t>）</w:t>
            </w:r>
          </w:p>
        </w:tc>
        <w:tc>
          <w:tcPr>
            <w:tcW w:w="1633" w:type="pct"/>
            <w:vAlign w:val="center"/>
          </w:tcPr>
          <w:p w14:paraId="5BC03ED5">
            <w:pPr>
              <w:ind w:firstLine="0" w:firstLineChars="0"/>
            </w:pPr>
            <w:r>
              <w:rPr>
                <w:rFonts w:hint="eastAsia"/>
              </w:rPr>
              <w:t>9</w:t>
            </w:r>
            <w:r>
              <w:t>.6192km</w:t>
            </w:r>
            <w:r>
              <w:rPr>
                <w:vertAlign w:val="superscript"/>
              </w:rPr>
              <w:t>2</w:t>
            </w:r>
            <w:r>
              <w:rPr>
                <w:rFonts w:hint="eastAsia"/>
              </w:rPr>
              <w:t>（勘查面积）</w:t>
            </w:r>
          </w:p>
          <w:p w14:paraId="42F4381D">
            <w:pPr>
              <w:ind w:firstLine="0" w:firstLineChars="0"/>
            </w:pPr>
            <w:r>
              <w:t>0.098337</w:t>
            </w:r>
            <w:r>
              <w:rPr>
                <w:rFonts w:hint="eastAsia"/>
              </w:rPr>
              <w:t>k</w:t>
            </w:r>
            <w:r>
              <w:t>m</w:t>
            </w:r>
            <w:r>
              <w:rPr>
                <w:vertAlign w:val="superscript"/>
              </w:rPr>
              <w:t>2</w:t>
            </w:r>
            <w:r>
              <w:rPr>
                <w:rFonts w:hint="eastAsia"/>
              </w:rPr>
              <w:t>（临时用地）</w:t>
            </w:r>
          </w:p>
        </w:tc>
      </w:tr>
      <w:tr w14:paraId="3E8C1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1098" w:type="pct"/>
            <w:gridSpan w:val="2"/>
            <w:tcMar>
              <w:top w:w="16" w:type="dxa"/>
              <w:left w:w="16" w:type="dxa"/>
              <w:right w:w="16" w:type="dxa"/>
            </w:tcMar>
            <w:vAlign w:val="center"/>
          </w:tcPr>
          <w:p w14:paraId="228B5152">
            <w:pPr>
              <w:spacing w:line="240" w:lineRule="auto"/>
              <w:ind w:firstLine="0" w:firstLineChars="0"/>
              <w:jc w:val="center"/>
            </w:pPr>
            <w:r>
              <w:t>建设性质</w:t>
            </w:r>
          </w:p>
        </w:tc>
        <w:tc>
          <w:tcPr>
            <w:tcW w:w="1272" w:type="pct"/>
            <w:vAlign w:val="center"/>
          </w:tcPr>
          <w:p w14:paraId="55BB72E1">
            <w:pPr>
              <w:spacing w:line="240" w:lineRule="auto"/>
              <w:ind w:firstLine="0" w:firstLineChars="0"/>
            </w:pPr>
            <w:r>
              <w:rPr/>
              <w:sym w:font="Wingdings 2" w:char="F052"/>
            </w:r>
            <w:r>
              <w:t>新建（迁建）</w:t>
            </w:r>
          </w:p>
          <w:p w14:paraId="13331581">
            <w:pPr>
              <w:spacing w:line="240" w:lineRule="auto"/>
              <w:ind w:firstLine="0" w:firstLineChars="0"/>
            </w:pPr>
            <w:r>
              <w:rPr/>
              <w:sym w:font="Wingdings 2" w:char="F0A3"/>
            </w:r>
            <w:r>
              <w:t>改建</w:t>
            </w:r>
          </w:p>
          <w:p w14:paraId="29CCC1B1">
            <w:pPr>
              <w:spacing w:line="240" w:lineRule="auto"/>
              <w:ind w:firstLine="0" w:firstLineChars="0"/>
            </w:pPr>
            <w:r>
              <w:rPr/>
              <w:sym w:font="Wingdings 2" w:char="F0A3"/>
            </w:r>
            <w:r>
              <w:t>扩建</w:t>
            </w:r>
          </w:p>
          <w:p w14:paraId="2F2F763F">
            <w:pPr>
              <w:spacing w:line="240" w:lineRule="auto"/>
              <w:ind w:firstLine="0" w:firstLineChars="0"/>
            </w:pPr>
            <w:r>
              <w:rPr/>
              <w:sym w:font="Wingdings 2" w:char="F0A3"/>
            </w:r>
            <w:r>
              <w:t>技术改造</w:t>
            </w:r>
          </w:p>
        </w:tc>
        <w:tc>
          <w:tcPr>
            <w:tcW w:w="997" w:type="pct"/>
            <w:vAlign w:val="center"/>
          </w:tcPr>
          <w:p w14:paraId="4AD82BA6">
            <w:pPr>
              <w:spacing w:line="240" w:lineRule="auto"/>
              <w:ind w:firstLine="0" w:firstLineChars="0"/>
              <w:jc w:val="center"/>
            </w:pPr>
            <w:r>
              <w:t>建设项目</w:t>
            </w:r>
          </w:p>
          <w:p w14:paraId="620F5432">
            <w:pPr>
              <w:spacing w:line="240" w:lineRule="auto"/>
              <w:ind w:firstLine="0" w:firstLineChars="0"/>
              <w:jc w:val="center"/>
            </w:pPr>
            <w:r>
              <w:t>申报情形</w:t>
            </w:r>
          </w:p>
        </w:tc>
        <w:tc>
          <w:tcPr>
            <w:tcW w:w="1633" w:type="pct"/>
            <w:vAlign w:val="center"/>
          </w:tcPr>
          <w:p w14:paraId="011DFAA7">
            <w:pPr>
              <w:spacing w:line="240" w:lineRule="auto"/>
              <w:ind w:firstLine="0" w:firstLineChars="0"/>
            </w:pPr>
            <w:r>
              <w:rPr/>
              <w:sym w:font="Wingdings 2" w:char="F052"/>
            </w:r>
            <w:r>
              <w:t>首次申报项目</w:t>
            </w:r>
          </w:p>
          <w:p w14:paraId="76258F23">
            <w:pPr>
              <w:spacing w:line="240" w:lineRule="auto"/>
              <w:ind w:firstLine="0" w:firstLineChars="0"/>
            </w:pPr>
            <w:r>
              <w:rPr/>
              <w:sym w:font="Wingdings 2" w:char="F0A3"/>
            </w:r>
            <w:r>
              <w:t>不予批准后再次申报项目</w:t>
            </w:r>
          </w:p>
          <w:p w14:paraId="19F133F2">
            <w:pPr>
              <w:spacing w:line="240" w:lineRule="auto"/>
              <w:ind w:firstLine="0" w:firstLineChars="0"/>
            </w:pPr>
            <w:r>
              <w:rPr/>
              <w:sym w:font="Wingdings 2" w:char="F0A3"/>
            </w:r>
            <w:r>
              <w:t>超五年重新审核项目</w:t>
            </w:r>
          </w:p>
          <w:p w14:paraId="55627E17">
            <w:pPr>
              <w:spacing w:line="240" w:lineRule="auto"/>
              <w:ind w:firstLine="0" w:firstLineChars="0"/>
            </w:pPr>
            <w:r>
              <w:rPr/>
              <w:sym w:font="Wingdings 2" w:char="F0A3"/>
            </w:r>
            <w:r>
              <w:t>重大变动重新报批项目</w:t>
            </w:r>
          </w:p>
        </w:tc>
      </w:tr>
      <w:tr w14:paraId="76C39F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098" w:type="pct"/>
            <w:gridSpan w:val="2"/>
            <w:tcMar>
              <w:top w:w="16" w:type="dxa"/>
              <w:left w:w="16" w:type="dxa"/>
              <w:right w:w="16" w:type="dxa"/>
            </w:tcMar>
            <w:vAlign w:val="center"/>
          </w:tcPr>
          <w:p w14:paraId="1EFBF5D4">
            <w:pPr>
              <w:spacing w:line="240" w:lineRule="auto"/>
              <w:ind w:firstLine="0" w:firstLineChars="0"/>
              <w:jc w:val="center"/>
            </w:pPr>
            <w:r>
              <w:t>项目审批（核准/备案）部门（选填）</w:t>
            </w:r>
          </w:p>
        </w:tc>
        <w:tc>
          <w:tcPr>
            <w:tcW w:w="1272" w:type="pct"/>
            <w:vAlign w:val="center"/>
          </w:tcPr>
          <w:p w14:paraId="431292BE">
            <w:pPr>
              <w:spacing w:line="240" w:lineRule="auto"/>
              <w:ind w:firstLine="0" w:firstLineChars="0"/>
              <w:jc w:val="center"/>
            </w:pPr>
            <w:r>
              <w:t>/</w:t>
            </w:r>
          </w:p>
        </w:tc>
        <w:tc>
          <w:tcPr>
            <w:tcW w:w="997" w:type="pct"/>
            <w:vAlign w:val="center"/>
          </w:tcPr>
          <w:p w14:paraId="3A945CDD">
            <w:pPr>
              <w:spacing w:line="240" w:lineRule="auto"/>
              <w:ind w:firstLine="0" w:firstLineChars="0"/>
              <w:jc w:val="center"/>
            </w:pPr>
            <w:r>
              <w:t>项目审批（核准/备案）文号（选填）</w:t>
            </w:r>
          </w:p>
        </w:tc>
        <w:tc>
          <w:tcPr>
            <w:tcW w:w="1633" w:type="pct"/>
            <w:vAlign w:val="center"/>
          </w:tcPr>
          <w:p w14:paraId="68BB5BF4">
            <w:pPr>
              <w:ind w:firstLine="0" w:firstLineChars="0"/>
              <w:jc w:val="center"/>
            </w:pPr>
            <w:r>
              <w:t>/</w:t>
            </w:r>
          </w:p>
        </w:tc>
      </w:tr>
      <w:tr w14:paraId="4443FE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gridSpan w:val="2"/>
            <w:tcMar>
              <w:top w:w="16" w:type="dxa"/>
              <w:left w:w="16" w:type="dxa"/>
              <w:right w:w="16" w:type="dxa"/>
            </w:tcMar>
            <w:vAlign w:val="center"/>
          </w:tcPr>
          <w:p w14:paraId="49C6B3EB">
            <w:pPr>
              <w:spacing w:line="240" w:lineRule="auto"/>
              <w:ind w:firstLine="0" w:firstLineChars="0"/>
              <w:jc w:val="center"/>
            </w:pPr>
            <w:r>
              <w:t>总投资（万元）</w:t>
            </w:r>
          </w:p>
        </w:tc>
        <w:tc>
          <w:tcPr>
            <w:tcW w:w="1272" w:type="pct"/>
            <w:vAlign w:val="center"/>
          </w:tcPr>
          <w:p w14:paraId="66F10A1F">
            <w:pPr>
              <w:spacing w:line="240" w:lineRule="auto"/>
              <w:ind w:firstLine="0" w:firstLineChars="0"/>
              <w:jc w:val="center"/>
            </w:pPr>
            <w:r>
              <w:t>500</w:t>
            </w:r>
          </w:p>
        </w:tc>
        <w:tc>
          <w:tcPr>
            <w:tcW w:w="997" w:type="pct"/>
            <w:tcMar>
              <w:top w:w="16" w:type="dxa"/>
              <w:left w:w="16" w:type="dxa"/>
              <w:right w:w="16" w:type="dxa"/>
            </w:tcMar>
            <w:vAlign w:val="center"/>
          </w:tcPr>
          <w:p w14:paraId="481E399A">
            <w:pPr>
              <w:spacing w:line="240" w:lineRule="auto"/>
              <w:ind w:firstLine="0" w:firstLineChars="0"/>
              <w:jc w:val="center"/>
            </w:pPr>
            <w:r>
              <w:t>环保投资（万元）</w:t>
            </w:r>
          </w:p>
        </w:tc>
        <w:tc>
          <w:tcPr>
            <w:tcW w:w="1633" w:type="pct"/>
            <w:vAlign w:val="center"/>
          </w:tcPr>
          <w:p w14:paraId="4A94A9D4">
            <w:pPr>
              <w:spacing w:line="240" w:lineRule="auto"/>
              <w:ind w:firstLine="0" w:firstLineChars="0"/>
              <w:jc w:val="center"/>
            </w:pPr>
            <w:r>
              <w:t>58</w:t>
            </w:r>
          </w:p>
        </w:tc>
      </w:tr>
      <w:tr w14:paraId="0532A0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gridSpan w:val="2"/>
            <w:tcMar>
              <w:top w:w="16" w:type="dxa"/>
              <w:left w:w="16" w:type="dxa"/>
              <w:right w:w="16" w:type="dxa"/>
            </w:tcMar>
            <w:vAlign w:val="center"/>
          </w:tcPr>
          <w:p w14:paraId="7F88A369">
            <w:pPr>
              <w:spacing w:line="240" w:lineRule="auto"/>
              <w:ind w:firstLine="0" w:firstLineChars="0"/>
              <w:jc w:val="center"/>
            </w:pPr>
            <w:r>
              <w:t>环保投资占比（%）</w:t>
            </w:r>
          </w:p>
        </w:tc>
        <w:tc>
          <w:tcPr>
            <w:tcW w:w="1272" w:type="pct"/>
            <w:vAlign w:val="center"/>
          </w:tcPr>
          <w:p w14:paraId="37F1E496">
            <w:pPr>
              <w:spacing w:line="240" w:lineRule="auto"/>
              <w:ind w:firstLine="0" w:firstLineChars="0"/>
              <w:jc w:val="center"/>
            </w:pPr>
            <w:r>
              <w:t>11.6</w:t>
            </w:r>
          </w:p>
        </w:tc>
        <w:tc>
          <w:tcPr>
            <w:tcW w:w="997" w:type="pct"/>
            <w:tcMar>
              <w:top w:w="16" w:type="dxa"/>
              <w:left w:w="16" w:type="dxa"/>
              <w:right w:w="16" w:type="dxa"/>
            </w:tcMar>
            <w:vAlign w:val="center"/>
          </w:tcPr>
          <w:p w14:paraId="55DB28A1">
            <w:pPr>
              <w:spacing w:line="240" w:lineRule="auto"/>
              <w:ind w:firstLine="0" w:firstLineChars="0"/>
              <w:jc w:val="center"/>
            </w:pPr>
            <w:r>
              <w:t>施工工期</w:t>
            </w:r>
          </w:p>
        </w:tc>
        <w:tc>
          <w:tcPr>
            <w:tcW w:w="1633" w:type="pct"/>
            <w:vAlign w:val="center"/>
          </w:tcPr>
          <w:p w14:paraId="53B29608">
            <w:pPr>
              <w:spacing w:line="240" w:lineRule="auto"/>
              <w:ind w:firstLine="0" w:firstLineChars="0"/>
              <w:jc w:val="center"/>
            </w:pPr>
            <w:r>
              <w:t>24</w:t>
            </w:r>
            <w:r>
              <w:rPr>
                <w:rFonts w:hint="eastAsia"/>
              </w:rPr>
              <w:t>个月</w:t>
            </w:r>
          </w:p>
        </w:tc>
      </w:tr>
      <w:tr w14:paraId="3B7B20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gridSpan w:val="2"/>
            <w:tcMar>
              <w:top w:w="16" w:type="dxa"/>
              <w:left w:w="16" w:type="dxa"/>
              <w:right w:w="16" w:type="dxa"/>
            </w:tcMar>
            <w:vAlign w:val="center"/>
          </w:tcPr>
          <w:p w14:paraId="0237AE13">
            <w:pPr>
              <w:spacing w:line="240" w:lineRule="auto"/>
              <w:ind w:firstLine="0" w:firstLineChars="0"/>
              <w:jc w:val="center"/>
            </w:pPr>
            <w:r>
              <w:t>是否开工建设</w:t>
            </w:r>
          </w:p>
        </w:tc>
        <w:tc>
          <w:tcPr>
            <w:tcW w:w="3902" w:type="pct"/>
            <w:gridSpan w:val="3"/>
            <w:vAlign w:val="center"/>
          </w:tcPr>
          <w:p w14:paraId="2D1DCC92">
            <w:pPr>
              <w:spacing w:line="240" w:lineRule="auto"/>
              <w:ind w:firstLine="0" w:firstLineChars="0"/>
            </w:pPr>
            <w:r>
              <w:rPr/>
              <w:sym w:font="Wingdings 2" w:char="0052"/>
            </w:r>
            <w:r>
              <w:t>否</w:t>
            </w:r>
          </w:p>
          <w:p w14:paraId="6B3DC352">
            <w:pPr>
              <w:spacing w:line="240" w:lineRule="auto"/>
              <w:ind w:firstLine="0" w:firstLineChars="0"/>
            </w:pPr>
            <w:r>
              <w:rPr/>
              <w:sym w:font="Wingdings 2" w:char="F0A3"/>
            </w:r>
            <w:r>
              <w:t>是：</w:t>
            </w:r>
          </w:p>
        </w:tc>
      </w:tr>
      <w:tr w14:paraId="266DDE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98" w:type="pct"/>
            <w:gridSpan w:val="2"/>
            <w:vAlign w:val="center"/>
          </w:tcPr>
          <w:p w14:paraId="7D8DE35D">
            <w:pPr>
              <w:spacing w:line="240" w:lineRule="auto"/>
              <w:ind w:firstLine="0" w:firstLineChars="0"/>
              <w:jc w:val="center"/>
            </w:pPr>
            <w:r>
              <w:t>专项评价设置情况</w:t>
            </w:r>
          </w:p>
        </w:tc>
        <w:tc>
          <w:tcPr>
            <w:tcW w:w="3902" w:type="pct"/>
            <w:gridSpan w:val="3"/>
            <w:vAlign w:val="center"/>
          </w:tcPr>
          <w:p w14:paraId="47586D82">
            <w:pPr>
              <w:jc w:val="center"/>
            </w:pPr>
            <w:r>
              <w:t>无</w:t>
            </w:r>
          </w:p>
        </w:tc>
      </w:tr>
      <w:tr w14:paraId="796D7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98" w:type="pct"/>
            <w:gridSpan w:val="2"/>
            <w:vAlign w:val="center"/>
          </w:tcPr>
          <w:p w14:paraId="5FFCEEBF">
            <w:pPr>
              <w:spacing w:line="240" w:lineRule="auto"/>
              <w:ind w:firstLine="0" w:firstLineChars="0"/>
              <w:jc w:val="center"/>
              <w:rPr>
                <w:kern w:val="0"/>
              </w:rPr>
            </w:pPr>
            <w:r>
              <w:t>规划情况</w:t>
            </w:r>
          </w:p>
        </w:tc>
        <w:tc>
          <w:tcPr>
            <w:tcW w:w="3902" w:type="pct"/>
            <w:gridSpan w:val="3"/>
            <w:vAlign w:val="center"/>
          </w:tcPr>
          <w:p w14:paraId="055FFBF8">
            <w:pPr>
              <w:spacing w:line="240" w:lineRule="auto"/>
              <w:ind w:firstLine="0" w:firstLineChars="0"/>
            </w:pPr>
            <w:r>
              <w:t>（1）《新疆维吾尔自治区矿产资源总体规划（2021-2025）》审批文号：自然资源函〔2022〕1092号</w:t>
            </w:r>
          </w:p>
          <w:p w14:paraId="4E51FFC2">
            <w:pPr>
              <w:spacing w:line="240" w:lineRule="auto"/>
              <w:ind w:firstLine="0" w:firstLineChars="0"/>
            </w:pPr>
            <w:r>
              <w:t>（2）《巴音郭楞蒙古自治州矿产资源总体规划2021-2025》，巴州人民政府2022年12月发布</w:t>
            </w:r>
          </w:p>
          <w:p w14:paraId="3ACD84D4">
            <w:pPr>
              <w:spacing w:line="240" w:lineRule="auto"/>
              <w:ind w:firstLine="0" w:firstLineChars="0"/>
            </w:pPr>
            <w:r>
              <w:t>（3）《新疆维吾尔自治区和静县矿产资源总体规划（2021～2025年）》，和静县人民政府2023年4月26日发布</w:t>
            </w:r>
          </w:p>
        </w:tc>
      </w:tr>
      <w:tr w14:paraId="3AE184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1098" w:type="pct"/>
            <w:gridSpan w:val="2"/>
            <w:vAlign w:val="center"/>
          </w:tcPr>
          <w:p w14:paraId="77F5F7C7">
            <w:pPr>
              <w:ind w:firstLine="0" w:firstLineChars="0"/>
              <w:jc w:val="center"/>
              <w:rPr>
                <w:kern w:val="0"/>
              </w:rPr>
            </w:pPr>
            <w:r>
              <w:t>规划环境影响评价情况</w:t>
            </w:r>
          </w:p>
        </w:tc>
        <w:tc>
          <w:tcPr>
            <w:tcW w:w="3902" w:type="pct"/>
            <w:gridSpan w:val="3"/>
            <w:vAlign w:val="center"/>
          </w:tcPr>
          <w:p w14:paraId="322F73DF">
            <w:pPr>
              <w:spacing w:line="240" w:lineRule="auto"/>
              <w:ind w:firstLine="0" w:firstLineChars="0"/>
            </w:pPr>
            <w:r>
              <w:t>（1）规划名称：《新疆维吾尔自治区矿产资源总体规划（2021-2025年）环境影响报告书》</w:t>
            </w:r>
          </w:p>
          <w:p w14:paraId="617CFF1C">
            <w:pPr>
              <w:spacing w:line="240" w:lineRule="auto"/>
              <w:ind w:firstLine="0" w:firstLineChars="0"/>
            </w:pPr>
            <w:r>
              <w:t>审批机关：中华人民共和国生态环境部</w:t>
            </w:r>
          </w:p>
          <w:p w14:paraId="1353D1DB">
            <w:pPr>
              <w:spacing w:line="240" w:lineRule="auto"/>
              <w:ind w:firstLine="0" w:firstLineChars="0"/>
            </w:pPr>
            <w:r>
              <w:t>审批文件名称及文号：《关于&lt;新疆维吾尔自治区矿产资源总体规划（2021-2025年）环境影响报告书&gt;的审查意见》（环审〔2022〕124号）</w:t>
            </w:r>
          </w:p>
          <w:p w14:paraId="11A67BA1">
            <w:pPr>
              <w:spacing w:line="240" w:lineRule="auto"/>
              <w:ind w:firstLine="0" w:firstLineChars="0"/>
            </w:pPr>
            <w:r>
              <w:t>（2）《巴音郭楞蒙古自治州矿产资源规划（2021-2025年）环境影响篇章》（2021年11月）</w:t>
            </w:r>
          </w:p>
        </w:tc>
      </w:tr>
      <w:tr w14:paraId="21CFC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gridSpan w:val="2"/>
            <w:vAlign w:val="center"/>
          </w:tcPr>
          <w:p w14:paraId="78A0ACF1">
            <w:pPr>
              <w:ind w:firstLine="0" w:firstLineChars="0"/>
              <w:jc w:val="center"/>
            </w:pPr>
            <w:r>
              <w:t>规划及规划环境影响评价符合性分析</w:t>
            </w:r>
          </w:p>
        </w:tc>
        <w:tc>
          <w:tcPr>
            <w:tcW w:w="3902" w:type="pct"/>
            <w:gridSpan w:val="3"/>
            <w:vAlign w:val="center"/>
          </w:tcPr>
          <w:p w14:paraId="471797BB">
            <w:pPr>
              <w:ind w:firstLine="0" w:firstLineChars="0"/>
              <w:rPr>
                <w:b/>
                <w:bCs/>
              </w:rPr>
            </w:pPr>
            <w:r>
              <w:rPr>
                <w:rFonts w:hint="eastAsia"/>
                <w:b/>
                <w:bCs/>
              </w:rPr>
              <w:t>1.与《新疆维吾尔自治区矿产资源总体规划（2021-2025）》</w:t>
            </w:r>
            <w:r>
              <w:rPr>
                <w:b/>
                <w:bCs/>
              </w:rPr>
              <w:t>的</w:t>
            </w:r>
            <w:r>
              <w:rPr>
                <w:rFonts w:hint="eastAsia"/>
                <w:b/>
                <w:bCs/>
              </w:rPr>
              <w:t>符合性分析</w:t>
            </w:r>
          </w:p>
          <w:p w14:paraId="6F24B646">
            <w:r>
              <w:rPr>
                <w:rFonts w:hint="eastAsia"/>
              </w:rPr>
              <w:t>到2025年，矿产资源勘查开发科技创新能力不断增强，矿产资源勘查开发与保护格局更加优化，支撑保障国家“三基地一通道”和能源资源接替基地建设更加有力。矿业发展质量显著提升，矿业权市场更加健全、更加活跃，矿山生态环境质量持续提升，矿山安全根基稳固，初步形成资源、经济、环境、社会效益协调统一的矿业高质量发展新格局。</w:t>
            </w:r>
          </w:p>
          <w:p w14:paraId="6E71975C">
            <w:r>
              <w:rPr>
                <w:rFonts w:hint="eastAsia"/>
              </w:rPr>
              <w:t>战略性矿产资源保障能力显著提高。开展新一轮战略性矿产找矿行动，重要成矿区（带）内矿产资源调查评价工作持续推进，形成一批战略性矿产和优势矿产勘查开发后备区和战略接续区。新发现和评价矿产地100-150处，其中大中型矿产地20-30处。铁、锰、铜、钴、金、锂、铍、萤石、硅质原料等矿产勘查实现新突破。</w:t>
            </w:r>
          </w:p>
          <w:p w14:paraId="16C88F0C">
            <w:r>
              <w:rPr>
                <w:rFonts w:hint="eastAsia"/>
              </w:rPr>
              <w:t>依据矿产资源分布特点及勘查开发利用现状，按照“深化北疆东疆，加快南疆勘查开发”的总体思路，划分环准噶尔、环塔里木、阿尔泰、东准噶尔、西准噶尔、东天山、西天山、西南天山、西昆仑、东昆仑—阿尔金等“两环八带”十个勘查开发区。</w:t>
            </w:r>
          </w:p>
          <w:p w14:paraId="2724851F">
            <w:r>
              <w:rPr>
                <w:rFonts w:hint="eastAsia"/>
              </w:rPr>
              <w:t>东天山能源矿产、黑色及有色金属勘查开发区。以油气、煤、铜、镍、铁、金、硅质原料等矿产资源勘查开发为主。加大吐哈盆地的油气、非常规能源勘查，建设具有新疆特色的煤化工、煤电产业。加大吐鲁番、哈密市铁、锰、铜、镍、金、银、钒、钛、镁、硅质原料等矿产资源的勘查与开发，新增铁资源量2000万吨、铜60万吨、镍5万吨、金20吨、硅质原料2000万吨。服务“疆电外送”“硅基新材料”产业与“钛镁深加工产业园”建设</w:t>
            </w:r>
            <w:r>
              <w:t>。</w:t>
            </w:r>
          </w:p>
          <w:p w14:paraId="3F13ADDC">
            <w:r>
              <w:rPr>
                <w:rFonts w:hint="eastAsia"/>
              </w:rPr>
              <w:t>本项目位于和静县境内，“东天山”勘查开发区的涉及行政区包含巴音郭楞蒙古自治州，属于《新疆维吾尔自治区矿产资源总体规划（2021-2025年）》中划定的“东天山能源矿产、黑色及有色金属勘查开发区”。该区域明确将铜矿作为重点勘查开发矿种之一。因此，本项目作为铜矿勘探项目，符合自治区矿产资源总体规划的区域布局和勘查开发方向</w:t>
            </w:r>
            <w:r>
              <w:t>。</w:t>
            </w:r>
          </w:p>
          <w:p w14:paraId="7101A237">
            <w:pPr>
              <w:ind w:firstLine="0" w:firstLineChars="0"/>
              <w:rPr>
                <w:b/>
                <w:bCs/>
              </w:rPr>
            </w:pPr>
            <w:r>
              <w:rPr>
                <w:rFonts w:hint="eastAsia"/>
                <w:b/>
                <w:bCs/>
              </w:rPr>
              <w:t>2.与《新疆维吾尔自治区矿产资源总体规划（2021-2025年）环境影响报告书》及审查意见（环审〔2022〕124号）的符合性分析</w:t>
            </w:r>
          </w:p>
          <w:p w14:paraId="66B91B41">
            <w:r>
              <w:rPr>
                <w:rFonts w:hint="eastAsia"/>
              </w:rPr>
              <w:t>根据《报告书》中提出：对区内探矿权重点监管，严格落实探矿权合同制管理，推动统筹部署、整装勘查、精细勘查。鼓励现有矿业权以矿权、资本、技术等形式进行合作，鼓励自愿依法进行有序整合；结合区域资源环境承载力，严禁在禁止开发区域开采固体矿产。严禁新设禁止开采矿种采矿权；严格按照相关法律法规，完善矿业权审批程序。进一步推进矿业权出让方式改革，完善矿业权的招标、拍卖、挂牌出让制度，严格控制协议出让矿业权的范围；科学合理设置探矿权、采矿权及其数量，增强规划宏观调控能力。可减少偷采、乱采等违法违规开采导致的生态环境破坏，减少矿产资源开发与生态环境保护的空间冲突。提高矿山开采环境准入条件，严格落实三同时要求，严格控制矿山“三率”达标水平，提高矿产资源综合利用水平，有利于生态环境保护；限制开采区矿产开发要坚持环境保护优先，要建立矿山生产和地质环境变化巡查制度，加强监控。区内控制新建矿山，逐步减少已有矿山数量。</w:t>
            </w:r>
          </w:p>
          <w:p w14:paraId="66576F71">
            <w:r>
              <w:rPr>
                <w:rFonts w:hint="eastAsia"/>
              </w:rPr>
              <w:t>审查意见中指出：严格保护生态空间，优化《规划》布局。将生态保护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p>
          <w:p w14:paraId="435B324B">
            <w:r>
              <w:rPr>
                <w:rFonts w:hint="eastAsia"/>
              </w:rPr>
              <w:t>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生态环境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p w14:paraId="1CA544D6">
            <w:r>
              <w:rPr>
                <w:rFonts w:hint="eastAsia"/>
              </w:rPr>
              <w:t>本项目为铜矿勘探项目，属于规划的“两环八带十个勘查开发区”中东天山能源矿产、黑色及有色金属勘查开发区，为矿产资源的开发与利用打基础；已取得勘查许可证（证号：X</w:t>
            </w:r>
            <w:r>
              <w:t>T6500002009013010023767</w:t>
            </w:r>
            <w:r>
              <w:rPr>
                <w:rFonts w:hint="eastAsia"/>
              </w:rPr>
              <w:t>），采用槽探、坑探和钻探相结合的工艺，其中钻探（浅钻、便携式钻机、一基多孔等技术）属于绿色勘查，严格控制施工作业范围，因此符合总体规划环评报告书及审查意见中相关要求。</w:t>
            </w:r>
          </w:p>
          <w:p w14:paraId="0B4E7434">
            <w:pPr>
              <w:ind w:firstLine="0" w:firstLineChars="0"/>
              <w:rPr>
                <w:b/>
                <w:bCs/>
              </w:rPr>
            </w:pPr>
            <w:r>
              <w:rPr>
                <w:b/>
                <w:bCs/>
              </w:rPr>
              <w:t>3</w:t>
            </w:r>
            <w:r>
              <w:rPr>
                <w:rFonts w:hint="eastAsia"/>
                <w:b/>
                <w:bCs/>
              </w:rPr>
              <w:t>.与《巴音郭楞蒙古自治州矿产资源总体规划（2</w:t>
            </w:r>
            <w:r>
              <w:rPr>
                <w:b/>
                <w:bCs/>
              </w:rPr>
              <w:t>021-2025</w:t>
            </w:r>
            <w:r>
              <w:rPr>
                <w:rFonts w:hint="eastAsia"/>
                <w:b/>
                <w:bCs/>
              </w:rPr>
              <w:t>年）》的符合性分析</w:t>
            </w:r>
          </w:p>
          <w:p w14:paraId="5BCC93AE">
            <w:r>
              <w:rPr>
                <w:rFonts w:hint="eastAsia"/>
              </w:rPr>
              <w:t>《新疆巴音郭楞蒙古自治州矿产资源总体规划（2</w:t>
            </w:r>
            <w:r>
              <w:t>021-2025</w:t>
            </w:r>
            <w:r>
              <w:rPr>
                <w:rFonts w:hint="eastAsia"/>
              </w:rPr>
              <w:t>年）》提出发展要求，积极开展煤、煤层气，黑色、有色、稀有、贵金属、非金属等矿的调查评价和基础地质调查研究，主要矿产资源保障能力显著提高。矿产资源开发布局及开采总量管控趋于合理。绿色矿业发展格局基本形成，矿山生态环境保护与治理恢复取得新进展。矿产资源管理水平不断提升。</w:t>
            </w:r>
          </w:p>
          <w:p w14:paraId="524A5B2B">
            <w:r>
              <w:rPr>
                <w:rFonts w:hint="eastAsia"/>
              </w:rPr>
              <w:t>本项目为铜矿勘探项目，勘查矿种（铜矿）和所处区域均符合《巴音郭楞蒙古自治州矿产资源总体规划（2021-2025年）》的重点方向。项目的实施有助于提升区域内铜矿资源储备，响应规划提出的资源保障目标，符合规划相关要求</w:t>
            </w:r>
            <w:r>
              <w:t>。</w:t>
            </w:r>
          </w:p>
          <w:p w14:paraId="09985C1D">
            <w:pPr>
              <w:ind w:firstLine="0" w:firstLineChars="0"/>
              <w:outlineLvl w:val="2"/>
              <w:rPr>
                <w:b/>
              </w:rPr>
            </w:pPr>
            <w:r>
              <w:rPr>
                <w:rFonts w:hint="eastAsia"/>
                <w:b/>
              </w:rPr>
              <w:t>4.与《巴音郭楞蒙古自治州矿产资源规划（2021-2025年）环境影响篇章》</w:t>
            </w:r>
            <w:r>
              <w:rPr>
                <w:rFonts w:hint="eastAsia"/>
                <w:b/>
                <w:bCs/>
              </w:rPr>
              <w:t>的符合性分析</w:t>
            </w:r>
          </w:p>
          <w:p w14:paraId="35126FB2">
            <w:pPr>
              <w:pStyle w:val="53"/>
              <w:spacing w:before="156"/>
              <w:ind w:firstLine="422"/>
              <w:rPr>
                <w:color w:val="000000" w:themeColor="text1"/>
                <w14:textFill>
                  <w14:solidFill>
                    <w14:schemeClr w14:val="tx1"/>
                  </w14:solidFill>
                </w14:textFill>
              </w:rPr>
            </w:pPr>
            <w:r>
              <w:rPr>
                <w:rFonts w:hint="eastAsia"/>
                <w:color w:val="000000"/>
              </w:rPr>
              <w:t>表1</w:t>
            </w:r>
            <w:r>
              <w:rPr>
                <w:color w:val="000000"/>
              </w:rPr>
              <w:t xml:space="preserve">-1  </w:t>
            </w:r>
            <w:r>
              <w:rPr>
                <w:rFonts w:hint="eastAsia"/>
                <w:color w:val="000000"/>
              </w:rPr>
              <w:t>本项目《巴音郭楞蒙古自治州矿产资源规划（2021-2025年）环境影响篇章》相符性分析一览表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3736"/>
              <w:gridCol w:w="1787"/>
              <w:gridCol w:w="733"/>
            </w:tblGrid>
            <w:tr w14:paraId="4CD41C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2986" w:type="pct"/>
                  <w:vAlign w:val="center"/>
                </w:tcPr>
                <w:p w14:paraId="1F53CB1F">
                  <w:pPr>
                    <w:pStyle w:val="54"/>
                    <w:jc w:val="center"/>
                  </w:pPr>
                  <w:r>
                    <w:rPr>
                      <w:rFonts w:hint="eastAsia"/>
                    </w:rPr>
                    <w:t>文件要求</w:t>
                  </w:r>
                </w:p>
              </w:tc>
              <w:tc>
                <w:tcPr>
                  <w:tcW w:w="1428" w:type="pct"/>
                  <w:vAlign w:val="center"/>
                </w:tcPr>
                <w:p w14:paraId="6CA4145D">
                  <w:pPr>
                    <w:pStyle w:val="54"/>
                    <w:jc w:val="center"/>
                  </w:pPr>
                  <w:r>
                    <w:rPr>
                      <w:rFonts w:hint="eastAsia"/>
                    </w:rPr>
                    <w:t>本项目</w:t>
                  </w:r>
                </w:p>
              </w:tc>
              <w:tc>
                <w:tcPr>
                  <w:tcW w:w="586" w:type="pct"/>
                  <w:vAlign w:val="center"/>
                </w:tcPr>
                <w:p w14:paraId="6DAE2526">
                  <w:pPr>
                    <w:pStyle w:val="54"/>
                    <w:jc w:val="center"/>
                  </w:pPr>
                  <w:r>
                    <w:rPr>
                      <w:rFonts w:hint="eastAsia"/>
                    </w:rPr>
                    <w:t>符合性</w:t>
                  </w:r>
                </w:p>
              </w:tc>
            </w:tr>
            <w:tr w14:paraId="08F03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951" w:hRule="atLeast"/>
                <w:jc w:val="center"/>
              </w:trPr>
              <w:tc>
                <w:tcPr>
                  <w:tcW w:w="2986" w:type="pct"/>
                  <w:vAlign w:val="center"/>
                </w:tcPr>
                <w:p w14:paraId="004D211E">
                  <w:pPr>
                    <w:pStyle w:val="54"/>
                  </w:pPr>
                  <w:r>
                    <w:rPr>
                      <w:rFonts w:hint="eastAsia"/>
                    </w:rPr>
                    <w:t>围绕国家战略性矿产、自治区优势紧缺矿产，重点勘查煤层气、页岩气、煤炭、铁、锰、铬、钒、钛、铜、镍、铅、锌、钴、钨、锡、钼、锑、金、铌、钽、铍、锂、稀土、晶质石墨、钾盐、萤石、高纯石英等矿产。</w:t>
                  </w:r>
                </w:p>
                <w:p w14:paraId="29FC2928">
                  <w:pPr>
                    <w:pStyle w:val="54"/>
                  </w:pPr>
                  <w:r>
                    <w:rPr>
                      <w:rFonts w:hint="eastAsia"/>
                    </w:rPr>
                    <w:t>限制勘查高硫煤、石煤、硫铁矿、石棉等矿产，总量限制的非市场紧缺矿种等。</w:t>
                  </w:r>
                </w:p>
                <w:p w14:paraId="49C3B248">
                  <w:pPr>
                    <w:pStyle w:val="54"/>
                  </w:pPr>
                  <w:r>
                    <w:rPr>
                      <w:rFonts w:hint="eastAsia"/>
                    </w:rPr>
                    <w:t>禁止勘查灰分大于40%或含硫大于3%的煤以及砂金、砂铁</w:t>
                  </w:r>
                </w:p>
              </w:tc>
              <w:tc>
                <w:tcPr>
                  <w:tcW w:w="1428" w:type="pct"/>
                  <w:vMerge w:val="restart"/>
                  <w:vAlign w:val="center"/>
                </w:tcPr>
                <w:p w14:paraId="739B58B5">
                  <w:pPr>
                    <w:pStyle w:val="54"/>
                    <w:spacing w:before="156"/>
                  </w:pPr>
                  <w:r>
                    <w:rPr>
                      <w:rFonts w:hint="eastAsia"/>
                    </w:rPr>
                    <w:t>本项目为铜矿勘探，属于重要成矿区（带）的矿产勘查活动，且铜矿不属于限制或禁止勘查的矿种</w:t>
                  </w:r>
                </w:p>
              </w:tc>
              <w:tc>
                <w:tcPr>
                  <w:tcW w:w="586" w:type="pct"/>
                  <w:vAlign w:val="center"/>
                </w:tcPr>
                <w:p w14:paraId="29A70ED1">
                  <w:pPr>
                    <w:pStyle w:val="54"/>
                    <w:spacing w:before="156"/>
                    <w:jc w:val="center"/>
                  </w:pPr>
                  <w:r>
                    <w:rPr>
                      <w:rFonts w:hint="eastAsia"/>
                    </w:rPr>
                    <w:t>符合</w:t>
                  </w:r>
                </w:p>
              </w:tc>
            </w:tr>
            <w:tr w14:paraId="26101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2986" w:type="pct"/>
                  <w:vAlign w:val="center"/>
                </w:tcPr>
                <w:p w14:paraId="01F5A673">
                  <w:pPr>
                    <w:widowControl/>
                    <w:spacing w:line="240" w:lineRule="auto"/>
                    <w:ind w:firstLine="0" w:firstLineChars="0"/>
                    <w:rPr>
                      <w:sz w:val="21"/>
                      <w:szCs w:val="21"/>
                    </w:rPr>
                  </w:pPr>
                  <w:r>
                    <w:rPr>
                      <w:rFonts w:hint="eastAsia"/>
                      <w:sz w:val="21"/>
                      <w:szCs w:val="21"/>
                    </w:rPr>
                    <w:t>继续开展重要成矿区（带）的矿产调查评价工作，为后续勘查工作提供基地。吸引各类资金，争取在煤、铁、铜、镍、铅锌、金、钨锡、锂铍、萤石、石灰岩（大理岩）、饰面石材、硅质原料（脉石英、石英岩）等矿产勘查方面取得重要进展，新增部分资源储量</w:t>
                  </w:r>
                </w:p>
              </w:tc>
              <w:tc>
                <w:tcPr>
                  <w:tcW w:w="1428" w:type="pct"/>
                  <w:vMerge w:val="continue"/>
                  <w:vAlign w:val="center"/>
                </w:tcPr>
                <w:p w14:paraId="47FF4C8A">
                  <w:pPr>
                    <w:pStyle w:val="54"/>
                    <w:spacing w:before="156"/>
                    <w:jc w:val="center"/>
                  </w:pPr>
                </w:p>
              </w:tc>
              <w:tc>
                <w:tcPr>
                  <w:tcW w:w="586" w:type="pct"/>
                  <w:vAlign w:val="center"/>
                </w:tcPr>
                <w:p w14:paraId="28281DE8">
                  <w:pPr>
                    <w:pStyle w:val="54"/>
                    <w:spacing w:before="156"/>
                    <w:jc w:val="center"/>
                  </w:pPr>
                  <w:r>
                    <w:rPr>
                      <w:rFonts w:hint="eastAsia"/>
                    </w:rPr>
                    <w:t>符合</w:t>
                  </w:r>
                </w:p>
              </w:tc>
            </w:tr>
            <w:tr w14:paraId="3BB539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790" w:hRule="atLeast"/>
                <w:jc w:val="center"/>
              </w:trPr>
              <w:tc>
                <w:tcPr>
                  <w:tcW w:w="2986" w:type="pct"/>
                  <w:vAlign w:val="center"/>
                </w:tcPr>
                <w:p w14:paraId="52D99788">
                  <w:pPr>
                    <w:widowControl/>
                    <w:spacing w:line="240" w:lineRule="auto"/>
                    <w:ind w:firstLine="0" w:firstLineChars="0"/>
                    <w:jc w:val="center"/>
                    <w:rPr>
                      <w:sz w:val="21"/>
                      <w:szCs w:val="21"/>
                    </w:rPr>
                  </w:pPr>
                  <w:r>
                    <w:rPr>
                      <w:rFonts w:hint="eastAsia"/>
                      <w:sz w:val="21"/>
                      <w:szCs w:val="21"/>
                    </w:rPr>
                    <w:t>科学管控开发总量，鼓励饰面用石材、石灰岩、花岗岩等非金属矿产的开采及加工；加大萤石、石英岩矿深加工技术研究，积极创造条件对其进行集约化开发；稳步推进铁、铜、镍、锂、铍、钨、锡、铅、锌、金等金属矿产勘查与开发，确保煤炭、钾盐等大宗矿产资源的安全有效供给，保持稀有金属和贵金属、特色非金属产量稳中有增；矿业开发结构更趋合理，矿业开发产业链进一步延长，产品附加值显著提高。到2025年，形成矿产资源开发与保护新格局。开发总量控制在8319万吨/年左右</w:t>
                  </w:r>
                </w:p>
              </w:tc>
              <w:tc>
                <w:tcPr>
                  <w:tcW w:w="1428" w:type="pct"/>
                  <w:vAlign w:val="center"/>
                </w:tcPr>
                <w:p w14:paraId="0097137A">
                  <w:pPr>
                    <w:pStyle w:val="54"/>
                    <w:spacing w:before="156"/>
                  </w:pPr>
                  <w:r>
                    <w:rPr>
                      <w:rFonts w:hint="eastAsia"/>
                    </w:rPr>
                    <w:t>本项目为铜矿勘探</w:t>
                  </w:r>
                  <w:r>
                    <w:rPr>
                      <w:rFonts w:hint="eastAsia"/>
                      <w:color w:val="000000"/>
                    </w:rPr>
                    <w:t>，主要目的是探明勘查区的资源储量，为后期的开发规划提供依据</w:t>
                  </w:r>
                </w:p>
              </w:tc>
              <w:tc>
                <w:tcPr>
                  <w:tcW w:w="586" w:type="pct"/>
                  <w:vAlign w:val="center"/>
                </w:tcPr>
                <w:p w14:paraId="3ED2E558">
                  <w:pPr>
                    <w:pStyle w:val="54"/>
                    <w:spacing w:before="156"/>
                    <w:jc w:val="center"/>
                  </w:pPr>
                  <w:r>
                    <w:rPr>
                      <w:rFonts w:hint="eastAsia"/>
                    </w:rPr>
                    <w:t>符合</w:t>
                  </w:r>
                </w:p>
              </w:tc>
            </w:tr>
            <w:tr w14:paraId="6DFE8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2986" w:type="pct"/>
                  <w:vAlign w:val="center"/>
                </w:tcPr>
                <w:p w14:paraId="326756CB">
                  <w:pPr>
                    <w:widowControl/>
                    <w:spacing w:line="240" w:lineRule="auto"/>
                    <w:ind w:firstLine="0" w:firstLineChars="0"/>
                    <w:rPr>
                      <w:sz w:val="21"/>
                      <w:szCs w:val="21"/>
                    </w:rPr>
                  </w:pPr>
                  <w:r>
                    <w:rPr>
                      <w:rFonts w:hint="eastAsia"/>
                      <w:sz w:val="21"/>
                      <w:szCs w:val="21"/>
                    </w:rPr>
                    <w:t>积极推进绿色勘查，确保矿产勘查工作不再产生新的环境问题。新建矿山全部按照 绿色矿山标准建设，生产矿山加快改造升级，力争至2025年大、中型矿山达到自治区规划的绿色矿山建设目标，小型矿山以绿色矿山标准规范管理</w:t>
                  </w:r>
                </w:p>
              </w:tc>
              <w:tc>
                <w:tcPr>
                  <w:tcW w:w="1428" w:type="pct"/>
                  <w:vAlign w:val="center"/>
                </w:tcPr>
                <w:p w14:paraId="41797CB1">
                  <w:pPr>
                    <w:pStyle w:val="54"/>
                    <w:spacing w:before="156"/>
                  </w:pPr>
                  <w:r>
                    <w:rPr>
                      <w:rFonts w:hint="eastAsia"/>
                    </w:rPr>
                    <w:t>本项目采用先进技术工艺、设备、方法开展地质勘查工作，有效减少对生态环境影响的程度、范围及持续时间</w:t>
                  </w:r>
                </w:p>
              </w:tc>
              <w:tc>
                <w:tcPr>
                  <w:tcW w:w="586" w:type="pct"/>
                  <w:vAlign w:val="center"/>
                </w:tcPr>
                <w:p w14:paraId="6CB16F0F">
                  <w:pPr>
                    <w:pStyle w:val="54"/>
                    <w:spacing w:before="156"/>
                    <w:jc w:val="center"/>
                  </w:pPr>
                  <w:r>
                    <w:rPr>
                      <w:rFonts w:hint="eastAsia"/>
                    </w:rPr>
                    <w:t>符合</w:t>
                  </w:r>
                </w:p>
              </w:tc>
            </w:tr>
            <w:tr w14:paraId="66A66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2986" w:type="pct"/>
                  <w:vAlign w:val="center"/>
                </w:tcPr>
                <w:p w14:paraId="598F2AF3">
                  <w:pPr>
                    <w:widowControl/>
                    <w:spacing w:line="240" w:lineRule="auto"/>
                    <w:ind w:firstLine="0" w:firstLineChars="0"/>
                    <w:rPr>
                      <w:sz w:val="21"/>
                      <w:szCs w:val="21"/>
                    </w:rPr>
                  </w:pPr>
                  <w:r>
                    <w:rPr>
                      <w:rFonts w:hint="eastAsia"/>
                      <w:sz w:val="21"/>
                      <w:szCs w:val="21"/>
                    </w:rPr>
                    <w:t>规划实施后的主要大气环境影响源包括：采矿施工作业粉尘、施工交通运输产生的扬尘；场地平整形成的裸露地表、地基开挖、回填以及散状物料堆放等产生的扬尘；爆破烟气；推土机、挖掘机等燃油设备及交通运输车辆释放的废气；冶炼及压延加工产生的废气，冬季采暖锅炉排烟。通过采取有效的污染控制措施，对大气环境的影响是可控的</w:t>
                  </w:r>
                </w:p>
              </w:tc>
              <w:tc>
                <w:tcPr>
                  <w:tcW w:w="1428" w:type="pct"/>
                  <w:vMerge w:val="restart"/>
                  <w:vAlign w:val="center"/>
                </w:tcPr>
                <w:p w14:paraId="646F9028">
                  <w:pPr>
                    <w:pStyle w:val="54"/>
                    <w:spacing w:before="156"/>
                    <w:rPr>
                      <w:spacing w:val="4"/>
                    </w:rPr>
                  </w:pPr>
                  <w:r>
                    <w:rPr>
                      <w:rFonts w:hint="eastAsia"/>
                    </w:rPr>
                    <w:t>本项目大气污染物主要为颗粒物，采取相应措施后能够满足相关排放要求，对周边环境影响可接受，</w:t>
                  </w:r>
                  <w:r>
                    <w:rPr>
                      <w:rFonts w:hint="eastAsia"/>
                      <w:color w:val="000000" w:themeColor="text1"/>
                      <w14:textFill>
                        <w14:solidFill>
                          <w14:schemeClr w14:val="tx1"/>
                        </w14:solidFill>
                      </w14:textFill>
                    </w:rPr>
                    <w:t>生活污水排入一体化污水处理设备处理达标后</w:t>
                  </w:r>
                  <w:r>
                    <w:rPr>
                      <w:rFonts w:hint="eastAsia"/>
                    </w:rPr>
                    <w:t>用于周边植被绿化；生产废水循环使用，不外排；</w:t>
                  </w:r>
                  <w:r>
                    <w:rPr>
                      <w:rFonts w:hint="eastAsia"/>
                      <w:spacing w:val="4"/>
                    </w:rPr>
                    <w:t>本工程实施后通过采取完善的污染治理措施，不会对周围大气环境、地表水环境、声环境、地下水、土壤环境产生明显影响</w:t>
                  </w:r>
                </w:p>
              </w:tc>
              <w:tc>
                <w:tcPr>
                  <w:tcW w:w="586" w:type="pct"/>
                  <w:vAlign w:val="center"/>
                </w:tcPr>
                <w:p w14:paraId="26FA2D3E">
                  <w:pPr>
                    <w:pStyle w:val="54"/>
                    <w:spacing w:before="156"/>
                    <w:jc w:val="center"/>
                  </w:pPr>
                  <w:r>
                    <w:rPr>
                      <w:rFonts w:hint="eastAsia"/>
                    </w:rPr>
                    <w:t>符合</w:t>
                  </w:r>
                </w:p>
              </w:tc>
            </w:tr>
            <w:tr w14:paraId="1A221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2986" w:type="pct"/>
                  <w:vAlign w:val="center"/>
                </w:tcPr>
                <w:p w14:paraId="19CE455C">
                  <w:pPr>
                    <w:widowControl/>
                    <w:spacing w:line="240" w:lineRule="auto"/>
                    <w:ind w:firstLine="0" w:firstLineChars="0"/>
                    <w:rPr>
                      <w:sz w:val="21"/>
                      <w:szCs w:val="21"/>
                    </w:rPr>
                  </w:pPr>
                  <w:r>
                    <w:rPr>
                      <w:rFonts w:hint="eastAsia"/>
                      <w:sz w:val="21"/>
                      <w:szCs w:val="21"/>
                    </w:rPr>
                    <w:t>根据矿区水文地质条件判别地下水环境容易受到污染的程度，分析污染物迁移穿过包气带进入含水层的能力，分析深层地下水含水组上覆地层的防污性能和有无与浅层地下水的水力联系。在此基础上对回用水池、各类事故池等在修建时应采取严格的防渗措施。一般废水经过污水处理后循环使用，不外排。部分矿区可能有外排的情况，在排水管道做好严格的防渗措施后，渗入地下水的污水会很少。在工程设计、施工时，应严把设计、施工质量关，杜绝因材质、防渗及运行失误造成的泄漏。生产运行过程中，必须严格控制泄漏、外溢等事故，强化监控手段，定期检查，保护区域地下水资源</w:t>
                  </w:r>
                </w:p>
              </w:tc>
              <w:tc>
                <w:tcPr>
                  <w:tcW w:w="1428" w:type="pct"/>
                  <w:vMerge w:val="continue"/>
                  <w:vAlign w:val="center"/>
                </w:tcPr>
                <w:p w14:paraId="19479AA3">
                  <w:pPr>
                    <w:pStyle w:val="54"/>
                    <w:spacing w:before="156"/>
                  </w:pPr>
                </w:p>
              </w:tc>
              <w:tc>
                <w:tcPr>
                  <w:tcW w:w="586" w:type="pct"/>
                  <w:vAlign w:val="center"/>
                </w:tcPr>
                <w:p w14:paraId="6B042C3D">
                  <w:pPr>
                    <w:pStyle w:val="54"/>
                    <w:spacing w:before="156"/>
                    <w:jc w:val="center"/>
                  </w:pPr>
                  <w:r>
                    <w:rPr>
                      <w:rFonts w:hint="eastAsia"/>
                    </w:rPr>
                    <w:t>符合</w:t>
                  </w:r>
                </w:p>
              </w:tc>
            </w:tr>
            <w:tr w14:paraId="06ACA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88" w:hRule="atLeast"/>
                <w:jc w:val="center"/>
              </w:trPr>
              <w:tc>
                <w:tcPr>
                  <w:tcW w:w="2986" w:type="pct"/>
                  <w:vAlign w:val="center"/>
                </w:tcPr>
                <w:p w14:paraId="28ADF3A4">
                  <w:pPr>
                    <w:widowControl/>
                    <w:spacing w:line="240" w:lineRule="auto"/>
                    <w:ind w:firstLine="0" w:firstLineChars="0"/>
                    <w:rPr>
                      <w:sz w:val="21"/>
                      <w:szCs w:val="21"/>
                    </w:rPr>
                  </w:pPr>
                  <w:r>
                    <w:rPr>
                      <w:rFonts w:hint="eastAsia"/>
                      <w:sz w:val="21"/>
                      <w:szCs w:val="21"/>
                    </w:rPr>
                    <w:t>规划实施对声环境的影响，从设备发声原理、传播途径和影响范围来看，一般单个噪声设备影响范围在200m之内，通过合理布局，避免高噪声设备集中安置，控制高噪声设备和主要声环境敏感点的距离，合理布局、合理绿化，一般不会造成噪声值超标</w:t>
                  </w:r>
                </w:p>
              </w:tc>
              <w:tc>
                <w:tcPr>
                  <w:tcW w:w="1428" w:type="pct"/>
                  <w:vAlign w:val="center"/>
                </w:tcPr>
                <w:p w14:paraId="34689612">
                  <w:pPr>
                    <w:pStyle w:val="54"/>
                    <w:spacing w:before="156"/>
                  </w:pPr>
                  <w:r>
                    <w:rPr>
                      <w:rFonts w:hint="eastAsia"/>
                    </w:rPr>
                    <w:t>项目周边200m范围内无声保护目标，采用低噪声设备，合理布局，采取消声、减振等措施降低噪声排放</w:t>
                  </w:r>
                </w:p>
              </w:tc>
              <w:tc>
                <w:tcPr>
                  <w:tcW w:w="586" w:type="pct"/>
                  <w:vAlign w:val="center"/>
                </w:tcPr>
                <w:p w14:paraId="2B5212EC">
                  <w:pPr>
                    <w:pStyle w:val="54"/>
                    <w:spacing w:before="156"/>
                    <w:jc w:val="center"/>
                  </w:pPr>
                  <w:r>
                    <w:rPr>
                      <w:rFonts w:hint="eastAsia"/>
                    </w:rPr>
                    <w:t>符合</w:t>
                  </w:r>
                </w:p>
              </w:tc>
            </w:tr>
            <w:tr w14:paraId="24669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2986" w:type="pct"/>
                  <w:vAlign w:val="center"/>
                </w:tcPr>
                <w:p w14:paraId="29A27792">
                  <w:pPr>
                    <w:widowControl/>
                    <w:spacing w:line="240" w:lineRule="auto"/>
                    <w:ind w:firstLine="0" w:firstLineChars="0"/>
                    <w:rPr>
                      <w:sz w:val="21"/>
                      <w:szCs w:val="21"/>
                    </w:rPr>
                  </w:pPr>
                  <w:r>
                    <w:rPr>
                      <w:rFonts w:hint="eastAsia"/>
                      <w:sz w:val="21"/>
                      <w:szCs w:val="21"/>
                    </w:rPr>
                    <w:t>规划实施过程中，产生的固体废物种类较多，主要包括废石、煤矸石、尾矿、冶炼 渣等固体废物，废机油、修井油泥，以及生活垃圾等。固废应首先考虑综合利用，秉承“减量化、资源化、无害化”原则。固废堆场应符合相关技术要求。</w:t>
                  </w:r>
                </w:p>
              </w:tc>
              <w:tc>
                <w:tcPr>
                  <w:tcW w:w="1428" w:type="pct"/>
                  <w:vAlign w:val="center"/>
                </w:tcPr>
                <w:p w14:paraId="58D1EE9C">
                  <w:pPr>
                    <w:pStyle w:val="54"/>
                    <w:spacing w:before="156"/>
                  </w:pPr>
                  <w:r>
                    <w:rPr>
                      <w:rFonts w:hint="eastAsia"/>
                    </w:rPr>
                    <w:t>表土单独堆存并分层回填用于复垦，废石优先回填利用，剩余妥善处置，不随意弃置；钻探岩屑人工回填；钻探泥浆待施工结束后统一固化填埋；生活垃圾采用垃圾桶集中收集后运出勘查区由环卫部门统一清运；沉淀池沉渣就地掩埋；大型设备外委维修，不在勘查区内进行。日常保养产生的</w:t>
                  </w:r>
                  <w:r>
                    <w:rPr>
                      <w:rFonts w:hint="eastAsia"/>
                      <w:color w:val="000000"/>
                    </w:rPr>
                    <w:t>废润滑油</w:t>
                  </w:r>
                  <w:r>
                    <w:rPr>
                      <w:rFonts w:hint="eastAsia"/>
                    </w:rPr>
                    <w:t>收集后贮存于危险废物贮存点，交由有危废处置资质的单位处置。岩心、探槽取样委托第三方进行分析，分析完成后由第三方妥善保存在专门的岩心库中</w:t>
                  </w:r>
                </w:p>
              </w:tc>
              <w:tc>
                <w:tcPr>
                  <w:tcW w:w="586" w:type="pct"/>
                  <w:vAlign w:val="center"/>
                </w:tcPr>
                <w:p w14:paraId="08BBB6F5">
                  <w:pPr>
                    <w:pStyle w:val="54"/>
                    <w:spacing w:before="156"/>
                    <w:jc w:val="center"/>
                  </w:pPr>
                  <w:r>
                    <w:rPr>
                      <w:rFonts w:hint="eastAsia"/>
                    </w:rPr>
                    <w:t>符合</w:t>
                  </w:r>
                </w:p>
              </w:tc>
            </w:tr>
          </w:tbl>
          <w:p w14:paraId="0EE76D54">
            <w:pPr>
              <w:ind w:firstLine="0" w:firstLineChars="0"/>
              <w:rPr>
                <w:b/>
                <w:bCs/>
              </w:rPr>
            </w:pPr>
            <w:r>
              <w:rPr>
                <w:rFonts w:hint="eastAsia"/>
                <w:b/>
                <w:bCs/>
              </w:rPr>
              <w:t>5.</w:t>
            </w:r>
            <w:r>
              <w:rPr>
                <w:b/>
                <w:bCs/>
              </w:rPr>
              <w:t>与《新疆维吾尔自治区和静县矿产资源总体规划（2021～2025年）》</w:t>
            </w:r>
            <w:r>
              <w:rPr>
                <w:rFonts w:hint="eastAsia"/>
                <w:b/>
                <w:bCs/>
              </w:rPr>
              <w:t>的符合性分析</w:t>
            </w:r>
          </w:p>
          <w:p w14:paraId="5F59F798">
            <w:pPr>
              <w:jc w:val="left"/>
            </w:pPr>
            <w:r>
              <w:rPr>
                <w:rFonts w:hint="eastAsia"/>
              </w:rPr>
              <w:t>《新疆维吾尔自治区和静县矿产资源总体规划（2021-2025年）》积极推进绿色矿山创建工作，从依法办矿、规范管理、综合利用、技术创新、节能减排、环境保护、土地复垦、社区和谐、企业文化等方面加强对矿山的引导，提高了创建绿色矿山、转变矿业发展的自觉性、积极性和责任感，绿色矿业发展理念逐步推行。</w:t>
            </w:r>
          </w:p>
          <w:p w14:paraId="197C7862">
            <w:r>
              <w:rPr>
                <w:rFonts w:hint="eastAsia"/>
              </w:rPr>
              <w:t>和静是新疆重要的矿产资源大县，已发现的矿产42种，矿产地606处，具有一定开发价值的矿种29种，矿产地100余处，其中铁矿、菱镁矿、白云岩等优势矿产，储量丰富。有较多富矿且矿石品级质量好，如莫托沙拉的富铁锰矿、查岗诺尔铁矿、诺尔湖铁矿、备战铁矿、敦德铁锌矿、夏翁次铁铅锌矿、哈勒哈特菱镁矿等。</w:t>
            </w:r>
          </w:p>
          <w:p w14:paraId="57230C3C">
            <w:pPr>
              <w:pStyle w:val="53"/>
              <w:spacing w:before="156"/>
              <w:ind w:firstLine="422"/>
              <w:rPr>
                <w:color w:val="000000"/>
              </w:rPr>
            </w:pPr>
            <w:r>
              <w:rPr>
                <w:rFonts w:hint="eastAsia"/>
                <w:color w:val="000000"/>
              </w:rPr>
              <w:t>表1</w:t>
            </w:r>
            <w:r>
              <w:rPr>
                <w:color w:val="000000"/>
              </w:rPr>
              <w:t xml:space="preserve">-2  </w:t>
            </w:r>
            <w:r>
              <w:rPr>
                <w:rFonts w:hint="eastAsia"/>
                <w:color w:val="000000"/>
              </w:rPr>
              <w:t>和静县已发现主要矿种数统计表</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555"/>
              <w:gridCol w:w="3397"/>
              <w:gridCol w:w="663"/>
            </w:tblGrid>
            <w:tr w14:paraId="114EB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60" w:type="dxa"/>
                  <w:gridSpan w:val="2"/>
                  <w:vAlign w:val="center"/>
                </w:tcPr>
                <w:p w14:paraId="76994252">
                  <w:pPr>
                    <w:spacing w:line="240" w:lineRule="auto"/>
                    <w:ind w:firstLine="0" w:firstLineChars="0"/>
                    <w:jc w:val="center"/>
                    <w:rPr>
                      <w:sz w:val="21"/>
                      <w:szCs w:val="21"/>
                    </w:rPr>
                  </w:pPr>
                  <w:r>
                    <w:rPr>
                      <w:color w:val="000000"/>
                      <w:sz w:val="21"/>
                      <w:szCs w:val="21"/>
                      <w:shd w:val="clear" w:color="auto" w:fill="FFFFFF"/>
                    </w:rPr>
                    <w:t>矿产类别</w:t>
                  </w:r>
                </w:p>
              </w:tc>
              <w:tc>
                <w:tcPr>
                  <w:tcW w:w="3397" w:type="dxa"/>
                  <w:vAlign w:val="center"/>
                </w:tcPr>
                <w:p w14:paraId="70922C89">
                  <w:pPr>
                    <w:spacing w:line="240" w:lineRule="auto"/>
                    <w:ind w:firstLine="0" w:firstLineChars="0"/>
                    <w:jc w:val="center"/>
                    <w:rPr>
                      <w:sz w:val="21"/>
                      <w:szCs w:val="21"/>
                    </w:rPr>
                  </w:pPr>
                  <w:r>
                    <w:rPr>
                      <w:color w:val="000000"/>
                      <w:sz w:val="21"/>
                      <w:szCs w:val="21"/>
                      <w:shd w:val="clear" w:color="auto" w:fill="FFFFFF"/>
                    </w:rPr>
                    <w:t>已发现矿种</w:t>
                  </w:r>
                </w:p>
              </w:tc>
              <w:tc>
                <w:tcPr>
                  <w:tcW w:w="663" w:type="dxa"/>
                  <w:vAlign w:val="center"/>
                </w:tcPr>
                <w:p w14:paraId="32C38193">
                  <w:pPr>
                    <w:spacing w:line="240" w:lineRule="auto"/>
                    <w:ind w:firstLine="0" w:firstLineChars="0"/>
                    <w:jc w:val="center"/>
                    <w:rPr>
                      <w:sz w:val="21"/>
                      <w:szCs w:val="21"/>
                    </w:rPr>
                  </w:pPr>
                  <w:r>
                    <w:rPr>
                      <w:color w:val="000000"/>
                      <w:sz w:val="21"/>
                      <w:szCs w:val="21"/>
                      <w:shd w:val="clear" w:color="auto" w:fill="FFFFFF"/>
                    </w:rPr>
                    <w:t>数目</w:t>
                  </w:r>
                </w:p>
              </w:tc>
            </w:tr>
            <w:tr w14:paraId="575E78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60" w:type="dxa"/>
                  <w:gridSpan w:val="2"/>
                  <w:vAlign w:val="center"/>
                </w:tcPr>
                <w:p w14:paraId="14C2A3C0">
                  <w:pPr>
                    <w:spacing w:line="240" w:lineRule="auto"/>
                    <w:ind w:firstLine="0" w:firstLineChars="0"/>
                    <w:jc w:val="center"/>
                    <w:rPr>
                      <w:sz w:val="21"/>
                      <w:szCs w:val="21"/>
                    </w:rPr>
                  </w:pPr>
                  <w:r>
                    <w:rPr>
                      <w:sz w:val="21"/>
                      <w:szCs w:val="21"/>
                    </w:rPr>
                    <w:t>能源矿产</w:t>
                  </w:r>
                </w:p>
              </w:tc>
              <w:tc>
                <w:tcPr>
                  <w:tcW w:w="3397" w:type="dxa"/>
                  <w:vAlign w:val="center"/>
                </w:tcPr>
                <w:p w14:paraId="0A10BADF">
                  <w:pPr>
                    <w:spacing w:line="240" w:lineRule="auto"/>
                    <w:ind w:firstLine="0" w:firstLineChars="0"/>
                    <w:jc w:val="center"/>
                    <w:rPr>
                      <w:sz w:val="21"/>
                      <w:szCs w:val="21"/>
                    </w:rPr>
                  </w:pPr>
                  <w:r>
                    <w:rPr>
                      <w:sz w:val="21"/>
                      <w:szCs w:val="21"/>
                    </w:rPr>
                    <w:t>石油、天然气、煤、泥炭、地热</w:t>
                  </w:r>
                </w:p>
              </w:tc>
              <w:tc>
                <w:tcPr>
                  <w:tcW w:w="663" w:type="dxa"/>
                  <w:vAlign w:val="center"/>
                </w:tcPr>
                <w:p w14:paraId="3EDDA061">
                  <w:pPr>
                    <w:spacing w:line="240" w:lineRule="auto"/>
                    <w:ind w:firstLine="0" w:firstLineChars="0"/>
                    <w:jc w:val="center"/>
                    <w:rPr>
                      <w:sz w:val="21"/>
                      <w:szCs w:val="21"/>
                    </w:rPr>
                  </w:pPr>
                  <w:r>
                    <w:rPr>
                      <w:sz w:val="21"/>
                      <w:szCs w:val="21"/>
                    </w:rPr>
                    <w:t>5</w:t>
                  </w:r>
                </w:p>
              </w:tc>
            </w:tr>
            <w:tr w14:paraId="5D627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5" w:type="dxa"/>
                  <w:vMerge w:val="restart"/>
                  <w:vAlign w:val="center"/>
                </w:tcPr>
                <w:p w14:paraId="5E507986">
                  <w:pPr>
                    <w:widowControl/>
                    <w:shd w:val="clear" w:color="auto" w:fill="FFFFFF"/>
                    <w:spacing w:line="240" w:lineRule="auto"/>
                    <w:ind w:firstLine="0" w:firstLineChars="0"/>
                    <w:jc w:val="center"/>
                    <w:rPr>
                      <w:color w:val="000000"/>
                      <w:kern w:val="0"/>
                      <w:sz w:val="21"/>
                      <w:szCs w:val="21"/>
                    </w:rPr>
                  </w:pPr>
                  <w:r>
                    <w:rPr>
                      <w:color w:val="000000"/>
                      <w:kern w:val="0"/>
                      <w:sz w:val="21"/>
                      <w:szCs w:val="21"/>
                    </w:rPr>
                    <w:t>金属矿产</w:t>
                  </w:r>
                </w:p>
              </w:tc>
              <w:tc>
                <w:tcPr>
                  <w:tcW w:w="1555" w:type="dxa"/>
                  <w:vAlign w:val="center"/>
                </w:tcPr>
                <w:p w14:paraId="5052FA72">
                  <w:pPr>
                    <w:spacing w:line="240" w:lineRule="auto"/>
                    <w:ind w:firstLine="0" w:firstLineChars="0"/>
                    <w:jc w:val="center"/>
                    <w:rPr>
                      <w:sz w:val="21"/>
                      <w:szCs w:val="21"/>
                    </w:rPr>
                  </w:pPr>
                  <w:r>
                    <w:rPr>
                      <w:color w:val="000000"/>
                      <w:sz w:val="21"/>
                      <w:szCs w:val="21"/>
                      <w:shd w:val="clear" w:color="auto" w:fill="FFFFFF"/>
                    </w:rPr>
                    <w:t>黑色金属矿产</w:t>
                  </w:r>
                </w:p>
              </w:tc>
              <w:tc>
                <w:tcPr>
                  <w:tcW w:w="3397" w:type="dxa"/>
                  <w:vAlign w:val="center"/>
                </w:tcPr>
                <w:p w14:paraId="1A5ECF6B">
                  <w:pPr>
                    <w:spacing w:line="240" w:lineRule="auto"/>
                    <w:ind w:firstLine="0" w:firstLineChars="0"/>
                    <w:jc w:val="center"/>
                    <w:rPr>
                      <w:sz w:val="21"/>
                      <w:szCs w:val="21"/>
                    </w:rPr>
                  </w:pPr>
                  <w:r>
                    <w:rPr>
                      <w:color w:val="000000"/>
                      <w:sz w:val="21"/>
                      <w:szCs w:val="21"/>
                      <w:shd w:val="clear" w:color="auto" w:fill="FFFFFF"/>
                    </w:rPr>
                    <w:t>铁、锰、钛</w:t>
                  </w:r>
                </w:p>
              </w:tc>
              <w:tc>
                <w:tcPr>
                  <w:tcW w:w="663" w:type="dxa"/>
                  <w:vAlign w:val="center"/>
                </w:tcPr>
                <w:p w14:paraId="4247F3D8">
                  <w:pPr>
                    <w:spacing w:line="240" w:lineRule="auto"/>
                    <w:ind w:firstLine="0" w:firstLineChars="0"/>
                    <w:jc w:val="center"/>
                    <w:rPr>
                      <w:sz w:val="21"/>
                      <w:szCs w:val="21"/>
                    </w:rPr>
                  </w:pPr>
                  <w:r>
                    <w:rPr>
                      <w:sz w:val="21"/>
                      <w:szCs w:val="21"/>
                    </w:rPr>
                    <w:t>3</w:t>
                  </w:r>
                </w:p>
              </w:tc>
            </w:tr>
            <w:tr w14:paraId="356BC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5" w:type="dxa"/>
                  <w:vMerge w:val="continue"/>
                  <w:vAlign w:val="center"/>
                </w:tcPr>
                <w:p w14:paraId="24EC0032">
                  <w:pPr>
                    <w:spacing w:line="240" w:lineRule="auto"/>
                    <w:ind w:firstLine="0" w:firstLineChars="0"/>
                    <w:jc w:val="center"/>
                    <w:rPr>
                      <w:sz w:val="21"/>
                      <w:szCs w:val="21"/>
                    </w:rPr>
                  </w:pPr>
                </w:p>
              </w:tc>
              <w:tc>
                <w:tcPr>
                  <w:tcW w:w="1555" w:type="dxa"/>
                  <w:vAlign w:val="center"/>
                </w:tcPr>
                <w:p w14:paraId="0CD03C82">
                  <w:pPr>
                    <w:spacing w:line="240" w:lineRule="auto"/>
                    <w:ind w:firstLine="0" w:firstLineChars="0"/>
                    <w:jc w:val="center"/>
                    <w:rPr>
                      <w:sz w:val="21"/>
                      <w:szCs w:val="21"/>
                    </w:rPr>
                  </w:pPr>
                  <w:r>
                    <w:rPr>
                      <w:color w:val="000000"/>
                      <w:sz w:val="21"/>
                      <w:szCs w:val="21"/>
                      <w:shd w:val="clear" w:color="auto" w:fill="FFFFFF"/>
                    </w:rPr>
                    <w:t>有色金属矿产</w:t>
                  </w:r>
                </w:p>
              </w:tc>
              <w:tc>
                <w:tcPr>
                  <w:tcW w:w="3397" w:type="dxa"/>
                  <w:vAlign w:val="center"/>
                </w:tcPr>
                <w:p w14:paraId="2BADFF80">
                  <w:pPr>
                    <w:spacing w:line="240" w:lineRule="auto"/>
                    <w:ind w:firstLine="0" w:firstLineChars="0"/>
                    <w:jc w:val="center"/>
                    <w:rPr>
                      <w:sz w:val="21"/>
                      <w:szCs w:val="21"/>
                    </w:rPr>
                  </w:pPr>
                  <w:r>
                    <w:rPr>
                      <w:color w:val="000000"/>
                      <w:sz w:val="21"/>
                      <w:szCs w:val="21"/>
                      <w:shd w:val="clear" w:color="auto" w:fill="FFFFFF"/>
                    </w:rPr>
                    <w:t>铜、铅、锌、钨、锡、钼、镍、钴、锑</w:t>
                  </w:r>
                </w:p>
              </w:tc>
              <w:tc>
                <w:tcPr>
                  <w:tcW w:w="663" w:type="dxa"/>
                  <w:vAlign w:val="center"/>
                </w:tcPr>
                <w:p w14:paraId="4D2F94C9">
                  <w:pPr>
                    <w:spacing w:line="240" w:lineRule="auto"/>
                    <w:ind w:firstLine="0" w:firstLineChars="0"/>
                    <w:jc w:val="center"/>
                    <w:rPr>
                      <w:sz w:val="21"/>
                      <w:szCs w:val="21"/>
                    </w:rPr>
                  </w:pPr>
                  <w:r>
                    <w:rPr>
                      <w:sz w:val="21"/>
                      <w:szCs w:val="21"/>
                    </w:rPr>
                    <w:t>9</w:t>
                  </w:r>
                </w:p>
              </w:tc>
            </w:tr>
            <w:tr w14:paraId="14F0C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5" w:type="dxa"/>
                  <w:vMerge w:val="continue"/>
                  <w:vAlign w:val="center"/>
                </w:tcPr>
                <w:p w14:paraId="01DFCE19">
                  <w:pPr>
                    <w:spacing w:line="240" w:lineRule="auto"/>
                    <w:ind w:firstLine="0" w:firstLineChars="0"/>
                    <w:jc w:val="center"/>
                    <w:rPr>
                      <w:sz w:val="21"/>
                      <w:szCs w:val="21"/>
                    </w:rPr>
                  </w:pPr>
                </w:p>
              </w:tc>
              <w:tc>
                <w:tcPr>
                  <w:tcW w:w="1555" w:type="dxa"/>
                  <w:vAlign w:val="center"/>
                </w:tcPr>
                <w:p w14:paraId="01F23F45">
                  <w:pPr>
                    <w:spacing w:line="240" w:lineRule="auto"/>
                    <w:ind w:firstLine="0" w:firstLineChars="0"/>
                    <w:jc w:val="center"/>
                    <w:rPr>
                      <w:sz w:val="21"/>
                      <w:szCs w:val="21"/>
                    </w:rPr>
                  </w:pPr>
                  <w:r>
                    <w:rPr>
                      <w:color w:val="000000"/>
                      <w:sz w:val="21"/>
                      <w:szCs w:val="21"/>
                      <w:shd w:val="clear" w:color="auto" w:fill="FFFFFF"/>
                    </w:rPr>
                    <w:t>贵金属矿产</w:t>
                  </w:r>
                </w:p>
              </w:tc>
              <w:tc>
                <w:tcPr>
                  <w:tcW w:w="3397" w:type="dxa"/>
                  <w:vAlign w:val="center"/>
                </w:tcPr>
                <w:p w14:paraId="4571F7A9">
                  <w:pPr>
                    <w:spacing w:line="240" w:lineRule="auto"/>
                    <w:ind w:firstLine="0" w:firstLineChars="0"/>
                    <w:jc w:val="center"/>
                    <w:rPr>
                      <w:sz w:val="21"/>
                      <w:szCs w:val="21"/>
                    </w:rPr>
                  </w:pPr>
                  <w:r>
                    <w:rPr>
                      <w:color w:val="000000"/>
                      <w:sz w:val="21"/>
                      <w:szCs w:val="21"/>
                      <w:shd w:val="clear" w:color="auto" w:fill="FFFFFF"/>
                    </w:rPr>
                    <w:t>金、银</w:t>
                  </w:r>
                </w:p>
              </w:tc>
              <w:tc>
                <w:tcPr>
                  <w:tcW w:w="663" w:type="dxa"/>
                  <w:vAlign w:val="center"/>
                </w:tcPr>
                <w:p w14:paraId="4036E4B5">
                  <w:pPr>
                    <w:spacing w:line="240" w:lineRule="auto"/>
                    <w:ind w:firstLine="0" w:firstLineChars="0"/>
                    <w:jc w:val="center"/>
                    <w:rPr>
                      <w:sz w:val="21"/>
                      <w:szCs w:val="21"/>
                    </w:rPr>
                  </w:pPr>
                  <w:r>
                    <w:rPr>
                      <w:sz w:val="21"/>
                      <w:szCs w:val="21"/>
                    </w:rPr>
                    <w:t>2</w:t>
                  </w:r>
                </w:p>
              </w:tc>
            </w:tr>
            <w:tr w14:paraId="353F2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5" w:type="dxa"/>
                  <w:vMerge w:val="continue"/>
                  <w:vAlign w:val="center"/>
                </w:tcPr>
                <w:p w14:paraId="7556CE86">
                  <w:pPr>
                    <w:spacing w:line="240" w:lineRule="auto"/>
                    <w:ind w:firstLine="0" w:firstLineChars="0"/>
                    <w:jc w:val="center"/>
                    <w:rPr>
                      <w:sz w:val="21"/>
                      <w:szCs w:val="21"/>
                    </w:rPr>
                  </w:pPr>
                </w:p>
              </w:tc>
              <w:tc>
                <w:tcPr>
                  <w:tcW w:w="1555" w:type="dxa"/>
                  <w:vAlign w:val="center"/>
                </w:tcPr>
                <w:p w14:paraId="1E3DF261">
                  <w:pPr>
                    <w:spacing w:line="240" w:lineRule="auto"/>
                    <w:ind w:firstLine="0" w:firstLineChars="0"/>
                    <w:jc w:val="center"/>
                    <w:rPr>
                      <w:sz w:val="21"/>
                      <w:szCs w:val="21"/>
                    </w:rPr>
                  </w:pPr>
                  <w:r>
                    <w:rPr>
                      <w:color w:val="000000"/>
                      <w:sz w:val="21"/>
                      <w:szCs w:val="21"/>
                      <w:shd w:val="clear" w:color="auto" w:fill="FFFFFF"/>
                    </w:rPr>
                    <w:t>稀有金属矿产</w:t>
                  </w:r>
                </w:p>
              </w:tc>
              <w:tc>
                <w:tcPr>
                  <w:tcW w:w="3397" w:type="dxa"/>
                  <w:vAlign w:val="center"/>
                </w:tcPr>
                <w:p w14:paraId="498824EA">
                  <w:pPr>
                    <w:spacing w:line="240" w:lineRule="auto"/>
                    <w:ind w:firstLine="0" w:firstLineChars="0"/>
                    <w:jc w:val="center"/>
                    <w:rPr>
                      <w:sz w:val="21"/>
                      <w:szCs w:val="21"/>
                    </w:rPr>
                  </w:pPr>
                  <w:r>
                    <w:rPr>
                      <w:color w:val="000000"/>
                      <w:sz w:val="21"/>
                      <w:szCs w:val="21"/>
                      <w:shd w:val="clear" w:color="auto" w:fill="FFFFFF"/>
                    </w:rPr>
                    <w:t>铍、锆</w:t>
                  </w:r>
                </w:p>
              </w:tc>
              <w:tc>
                <w:tcPr>
                  <w:tcW w:w="663" w:type="dxa"/>
                  <w:vAlign w:val="center"/>
                </w:tcPr>
                <w:p w14:paraId="06FD0F43">
                  <w:pPr>
                    <w:spacing w:line="240" w:lineRule="auto"/>
                    <w:ind w:firstLine="0" w:firstLineChars="0"/>
                    <w:jc w:val="center"/>
                    <w:rPr>
                      <w:sz w:val="21"/>
                      <w:szCs w:val="21"/>
                    </w:rPr>
                  </w:pPr>
                  <w:r>
                    <w:rPr>
                      <w:sz w:val="21"/>
                      <w:szCs w:val="21"/>
                    </w:rPr>
                    <w:t>2</w:t>
                  </w:r>
                </w:p>
              </w:tc>
            </w:tr>
            <w:tr w14:paraId="07159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14:paraId="51C2704F">
                  <w:pPr>
                    <w:widowControl/>
                    <w:shd w:val="clear" w:color="auto" w:fill="FFFFFF"/>
                    <w:spacing w:line="240" w:lineRule="auto"/>
                    <w:ind w:firstLine="0" w:firstLineChars="0"/>
                    <w:jc w:val="center"/>
                    <w:rPr>
                      <w:color w:val="000000"/>
                      <w:kern w:val="0"/>
                      <w:sz w:val="21"/>
                      <w:szCs w:val="21"/>
                    </w:rPr>
                  </w:pPr>
                  <w:r>
                    <w:rPr>
                      <w:color w:val="000000"/>
                      <w:kern w:val="0"/>
                      <w:sz w:val="21"/>
                      <w:szCs w:val="21"/>
                    </w:rPr>
                    <w:t>非金属矿产</w:t>
                  </w:r>
                </w:p>
              </w:tc>
              <w:tc>
                <w:tcPr>
                  <w:tcW w:w="1555" w:type="dxa"/>
                  <w:vAlign w:val="center"/>
                </w:tcPr>
                <w:p w14:paraId="2B5B5A3F">
                  <w:pPr>
                    <w:spacing w:line="240" w:lineRule="auto"/>
                    <w:ind w:firstLine="0" w:firstLineChars="0"/>
                    <w:jc w:val="center"/>
                    <w:rPr>
                      <w:sz w:val="21"/>
                      <w:szCs w:val="21"/>
                    </w:rPr>
                  </w:pPr>
                  <w:r>
                    <w:rPr>
                      <w:sz w:val="21"/>
                      <w:szCs w:val="21"/>
                    </w:rPr>
                    <w:t>冶金辅助、化工原料、建材及其它非金属矿产</w:t>
                  </w:r>
                </w:p>
              </w:tc>
              <w:tc>
                <w:tcPr>
                  <w:tcW w:w="3397" w:type="dxa"/>
                  <w:vAlign w:val="center"/>
                </w:tcPr>
                <w:p w14:paraId="6AA1EAAA">
                  <w:pPr>
                    <w:spacing w:line="240" w:lineRule="auto"/>
                    <w:ind w:firstLine="0" w:firstLineChars="0"/>
                    <w:rPr>
                      <w:sz w:val="21"/>
                      <w:szCs w:val="21"/>
                    </w:rPr>
                  </w:pPr>
                  <w:r>
                    <w:rPr>
                      <w:sz w:val="21"/>
                      <w:szCs w:val="21"/>
                    </w:rPr>
                    <w:t>菱镁矿、方解石、萤石、石英、硫铁矿、蛇纹石、石墨、石膏、重晶石、水泥用页岩、水泥用灰岩、冶金用灰岩、制灰用灰岩、冶金用白云岩、建筑用砂岩、石英岩、建筑用花岗岩、饰面用大理岩、建筑石料用玄武岩、建筑用砂、砖瓦用粘土</w:t>
                  </w:r>
                </w:p>
              </w:tc>
              <w:tc>
                <w:tcPr>
                  <w:tcW w:w="663" w:type="dxa"/>
                  <w:vAlign w:val="center"/>
                </w:tcPr>
                <w:p w14:paraId="60B47C68">
                  <w:pPr>
                    <w:spacing w:line="240" w:lineRule="auto"/>
                    <w:ind w:firstLine="0" w:firstLineChars="0"/>
                    <w:jc w:val="center"/>
                    <w:rPr>
                      <w:sz w:val="21"/>
                      <w:szCs w:val="21"/>
                    </w:rPr>
                  </w:pPr>
                  <w:r>
                    <w:rPr>
                      <w:sz w:val="21"/>
                      <w:szCs w:val="21"/>
                    </w:rPr>
                    <w:t>20</w:t>
                  </w:r>
                </w:p>
              </w:tc>
            </w:tr>
            <w:tr w14:paraId="5914F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60" w:type="dxa"/>
                  <w:gridSpan w:val="2"/>
                  <w:vAlign w:val="center"/>
                </w:tcPr>
                <w:p w14:paraId="633EFA5D">
                  <w:pPr>
                    <w:spacing w:line="240" w:lineRule="auto"/>
                    <w:ind w:firstLine="0" w:firstLineChars="0"/>
                    <w:jc w:val="center"/>
                    <w:rPr>
                      <w:sz w:val="21"/>
                      <w:szCs w:val="21"/>
                    </w:rPr>
                  </w:pPr>
                  <w:r>
                    <w:rPr>
                      <w:color w:val="000000"/>
                      <w:sz w:val="21"/>
                      <w:szCs w:val="21"/>
                      <w:shd w:val="clear" w:color="auto" w:fill="FFFFFF"/>
                    </w:rPr>
                    <w:t>水气矿产</w:t>
                  </w:r>
                </w:p>
              </w:tc>
              <w:tc>
                <w:tcPr>
                  <w:tcW w:w="3397" w:type="dxa"/>
                  <w:vAlign w:val="center"/>
                </w:tcPr>
                <w:p w14:paraId="0217B8A0">
                  <w:pPr>
                    <w:spacing w:line="240" w:lineRule="auto"/>
                    <w:ind w:firstLine="0" w:firstLineChars="0"/>
                    <w:jc w:val="center"/>
                    <w:rPr>
                      <w:sz w:val="21"/>
                      <w:szCs w:val="21"/>
                    </w:rPr>
                  </w:pPr>
                  <w:r>
                    <w:rPr>
                      <w:color w:val="000000"/>
                      <w:sz w:val="21"/>
                      <w:szCs w:val="21"/>
                      <w:shd w:val="clear" w:color="auto" w:fill="FFFFFF"/>
                    </w:rPr>
                    <w:t>地下水（矿泉水）</w:t>
                  </w:r>
                </w:p>
              </w:tc>
              <w:tc>
                <w:tcPr>
                  <w:tcW w:w="663" w:type="dxa"/>
                  <w:vAlign w:val="center"/>
                </w:tcPr>
                <w:p w14:paraId="631288BF">
                  <w:pPr>
                    <w:spacing w:line="240" w:lineRule="auto"/>
                    <w:ind w:firstLine="0" w:firstLineChars="0"/>
                    <w:jc w:val="center"/>
                    <w:rPr>
                      <w:sz w:val="21"/>
                      <w:szCs w:val="21"/>
                    </w:rPr>
                  </w:pPr>
                  <w:r>
                    <w:rPr>
                      <w:sz w:val="21"/>
                      <w:szCs w:val="21"/>
                    </w:rPr>
                    <w:t>1</w:t>
                  </w:r>
                </w:p>
              </w:tc>
            </w:tr>
          </w:tbl>
          <w:p w14:paraId="13759B34">
            <w:r>
              <w:rPr>
                <w:rFonts w:hint="eastAsia"/>
              </w:rPr>
              <w:t>本项目为铜矿勘探项目，位于和静县境内，勘查矿种（铜矿）属于和静县矿产资源总体规划中明确的有色金属矿产，符合规划确定的有色金属矿产勘查方向。铜矿不属于规划中限制或禁止勘查开采的矿种范围。项目在勘查实施过程中，将按照规划要求积极推进绿色勘查，严格执行环境保护、土地复垦、生态恢复治理等相关措施，做到依法办矿、规范管理。因此，本项目的勘查矿种、勘查区域及实施方式均符合《新疆维吾尔自治区和静县矿产资源总体规划（2021-2025年）》的相关要求。</w:t>
            </w:r>
          </w:p>
        </w:tc>
      </w:tr>
      <w:tr w14:paraId="0D5C0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05" w:hRule="atLeast"/>
          <w:jc w:val="center"/>
        </w:trPr>
        <w:tc>
          <w:tcPr>
            <w:tcW w:w="318" w:type="pct"/>
            <w:vAlign w:val="center"/>
          </w:tcPr>
          <w:p w14:paraId="3B48A95B">
            <w:pPr>
              <w:ind w:firstLine="0" w:firstLineChars="0"/>
              <w:jc w:val="center"/>
            </w:pPr>
            <w:r>
              <w:rPr>
                <w:rFonts w:hint="eastAsia"/>
              </w:rPr>
              <w:t>其他符合性分析</w:t>
            </w:r>
          </w:p>
        </w:tc>
        <w:tc>
          <w:tcPr>
            <w:tcW w:w="4682" w:type="pct"/>
            <w:gridSpan w:val="4"/>
          </w:tcPr>
          <w:p w14:paraId="6D95E4E4">
            <w:pPr>
              <w:pStyle w:val="19"/>
              <w:jc w:val="both"/>
            </w:pPr>
            <w:r>
              <w:t>1</w:t>
            </w:r>
            <w:r>
              <w:rPr>
                <w:rFonts w:hint="eastAsia"/>
              </w:rPr>
              <w:t>.</w:t>
            </w:r>
            <w:r>
              <w:t>产业政策符合性</w:t>
            </w:r>
          </w:p>
          <w:p w14:paraId="2A7B010E">
            <w:pPr>
              <w:rPr>
                <w:snapToGrid w:val="0"/>
              </w:rPr>
            </w:pPr>
            <w:r>
              <w:rPr>
                <w:rFonts w:hint="eastAsia"/>
                <w:snapToGrid w:val="0"/>
              </w:rPr>
              <w:t>根据《产业结构调整指导目录（2024年本）》，本项目为固体矿产地质勘探，不属于鼓励类、限制类、淘汰类项目，为允许类。因此其建设符合国家产业政策要求</w:t>
            </w:r>
            <w:r>
              <w:rPr>
                <w:snapToGrid w:val="0"/>
              </w:rPr>
              <w:t>。</w:t>
            </w:r>
          </w:p>
          <w:p w14:paraId="4BE4443C">
            <w:pPr>
              <w:pStyle w:val="19"/>
              <w:jc w:val="both"/>
            </w:pPr>
            <w:r>
              <w:t>2</w:t>
            </w:r>
            <w:r>
              <w:rPr>
                <w:rFonts w:hint="eastAsia"/>
              </w:rPr>
              <w:t>.生态环境分区管控相符性分析</w:t>
            </w:r>
          </w:p>
          <w:p w14:paraId="0F1A9CF3">
            <w:pPr>
              <w:contextualSpacing/>
            </w:pPr>
            <w:r>
              <w:rPr>
                <w:rFonts w:hint="eastAsia"/>
              </w:rPr>
              <w:t>本项目与《新疆维吾尔自治区生态环境分区管控动态更新成果》（新环环评发〔2024〕157号）相符性分析详见表1-</w:t>
            </w:r>
            <w:r>
              <w:t>3</w:t>
            </w:r>
            <w:r>
              <w:rPr>
                <w:rFonts w:hint="eastAsia"/>
              </w:rPr>
              <w:t>。</w:t>
            </w:r>
          </w:p>
          <w:p w14:paraId="0B03C004">
            <w:pPr>
              <w:adjustRightInd w:val="0"/>
              <w:spacing w:before="156" w:beforeLines="50" w:line="240" w:lineRule="auto"/>
              <w:ind w:firstLine="0" w:firstLineChars="0"/>
              <w:jc w:val="center"/>
              <w:textAlignment w:val="baseline"/>
              <w:rPr>
                <w:b/>
                <w:kern w:val="0"/>
                <w:sz w:val="21"/>
                <w:szCs w:val="20"/>
              </w:rPr>
            </w:pPr>
            <w:r>
              <w:rPr>
                <w:rFonts w:hint="eastAsia"/>
                <w:b/>
                <w:bCs/>
                <w:sz w:val="21"/>
                <w:szCs w:val="21"/>
              </w:rPr>
              <w:t>表</w:t>
            </w:r>
            <w:r>
              <w:rPr>
                <w:b/>
                <w:bCs/>
                <w:sz w:val="21"/>
                <w:szCs w:val="21"/>
              </w:rPr>
              <w:t xml:space="preserve">1-3  </w:t>
            </w:r>
            <w:r>
              <w:rPr>
                <w:rFonts w:hint="eastAsia"/>
                <w:b/>
                <w:kern w:val="0"/>
                <w:sz w:val="21"/>
                <w:szCs w:val="20"/>
              </w:rPr>
              <w:t>与新疆维吾尔自治区生态环境分区管控符合性分析</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814"/>
              <w:gridCol w:w="512"/>
              <w:gridCol w:w="3698"/>
              <w:gridCol w:w="1959"/>
              <w:gridCol w:w="573"/>
            </w:tblGrid>
            <w:tr w14:paraId="36477E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7" w:hRule="atLeast"/>
                <w:jc w:val="center"/>
              </w:trPr>
              <w:tc>
                <w:tcPr>
                  <w:tcW w:w="539" w:type="pct"/>
                  <w:vAlign w:val="center"/>
                </w:tcPr>
                <w:p w14:paraId="29EA1399">
                  <w:pPr>
                    <w:spacing w:line="240" w:lineRule="auto"/>
                    <w:ind w:firstLine="0" w:firstLineChars="0"/>
                    <w:contextualSpacing/>
                    <w:jc w:val="center"/>
                    <w:rPr>
                      <w:sz w:val="21"/>
                      <w:szCs w:val="21"/>
                    </w:rPr>
                  </w:pPr>
                  <w:r>
                    <w:rPr>
                      <w:rFonts w:hint="eastAsia"/>
                      <w:sz w:val="21"/>
                      <w:szCs w:val="21"/>
                    </w:rPr>
                    <w:t>名称</w:t>
                  </w:r>
                </w:p>
              </w:tc>
              <w:tc>
                <w:tcPr>
                  <w:tcW w:w="2786" w:type="pct"/>
                  <w:gridSpan w:val="2"/>
                  <w:vAlign w:val="center"/>
                </w:tcPr>
                <w:p w14:paraId="13FEACA0">
                  <w:pPr>
                    <w:spacing w:line="240" w:lineRule="auto"/>
                    <w:ind w:firstLine="0" w:firstLineChars="0"/>
                    <w:contextualSpacing/>
                    <w:jc w:val="center"/>
                    <w:rPr>
                      <w:sz w:val="21"/>
                      <w:szCs w:val="21"/>
                    </w:rPr>
                  </w:pPr>
                  <w:r>
                    <w:rPr>
                      <w:rFonts w:hint="eastAsia"/>
                      <w:sz w:val="21"/>
                      <w:szCs w:val="21"/>
                    </w:rPr>
                    <w:t>文件要求</w:t>
                  </w:r>
                </w:p>
              </w:tc>
              <w:tc>
                <w:tcPr>
                  <w:tcW w:w="1296" w:type="pct"/>
                  <w:vAlign w:val="center"/>
                </w:tcPr>
                <w:p w14:paraId="2C313A03">
                  <w:pPr>
                    <w:spacing w:line="240" w:lineRule="auto"/>
                    <w:ind w:firstLine="0" w:firstLineChars="0"/>
                    <w:contextualSpacing/>
                    <w:jc w:val="center"/>
                    <w:rPr>
                      <w:sz w:val="21"/>
                      <w:szCs w:val="21"/>
                    </w:rPr>
                  </w:pPr>
                  <w:r>
                    <w:rPr>
                      <w:rFonts w:hint="eastAsia"/>
                      <w:sz w:val="21"/>
                      <w:szCs w:val="21"/>
                    </w:rPr>
                    <w:t>本项目</w:t>
                  </w:r>
                </w:p>
              </w:tc>
              <w:tc>
                <w:tcPr>
                  <w:tcW w:w="380" w:type="pct"/>
                  <w:vAlign w:val="center"/>
                </w:tcPr>
                <w:p w14:paraId="778B4E4B">
                  <w:pPr>
                    <w:spacing w:line="240" w:lineRule="auto"/>
                    <w:ind w:firstLine="0" w:firstLineChars="0"/>
                    <w:contextualSpacing/>
                    <w:jc w:val="center"/>
                    <w:rPr>
                      <w:sz w:val="21"/>
                      <w:szCs w:val="21"/>
                    </w:rPr>
                  </w:pPr>
                  <w:r>
                    <w:rPr>
                      <w:rFonts w:hint="eastAsia"/>
                      <w:sz w:val="21"/>
                      <w:szCs w:val="21"/>
                    </w:rPr>
                    <w:t>符合性</w:t>
                  </w:r>
                </w:p>
              </w:tc>
            </w:tr>
            <w:tr w14:paraId="2EAB1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9" w:type="pct"/>
                  <w:vMerge w:val="restart"/>
                  <w:vAlign w:val="center"/>
                </w:tcPr>
                <w:p w14:paraId="6FD9F803">
                  <w:pPr>
                    <w:spacing w:line="240" w:lineRule="auto"/>
                    <w:ind w:firstLine="0" w:firstLineChars="0"/>
                    <w:contextualSpacing/>
                    <w:jc w:val="center"/>
                    <w:rPr>
                      <w:sz w:val="21"/>
                      <w:szCs w:val="21"/>
                    </w:rPr>
                  </w:pPr>
                  <w:r>
                    <w:rPr>
                      <w:rFonts w:hint="eastAsia"/>
                      <w:sz w:val="21"/>
                      <w:szCs w:val="21"/>
                    </w:rPr>
                    <w:t>《新疆维吾尔自治区生态环境分区管控方案》</w:t>
                  </w:r>
                </w:p>
              </w:tc>
              <w:tc>
                <w:tcPr>
                  <w:tcW w:w="339" w:type="pct"/>
                  <w:vAlign w:val="center"/>
                </w:tcPr>
                <w:p w14:paraId="180C793D">
                  <w:pPr>
                    <w:spacing w:line="240" w:lineRule="auto"/>
                    <w:ind w:firstLine="0" w:firstLineChars="0"/>
                    <w:contextualSpacing/>
                    <w:jc w:val="center"/>
                    <w:rPr>
                      <w:sz w:val="21"/>
                      <w:szCs w:val="21"/>
                    </w:rPr>
                  </w:pPr>
                  <w:r>
                    <w:rPr>
                      <w:rFonts w:hint="eastAsia"/>
                      <w:sz w:val="21"/>
                      <w:szCs w:val="21"/>
                    </w:rPr>
                    <w:t>生态保护红线</w:t>
                  </w:r>
                </w:p>
              </w:tc>
              <w:tc>
                <w:tcPr>
                  <w:tcW w:w="2446" w:type="pct"/>
                  <w:vAlign w:val="center"/>
                </w:tcPr>
                <w:p w14:paraId="3193CD3D">
                  <w:pPr>
                    <w:spacing w:line="240" w:lineRule="auto"/>
                    <w:ind w:firstLine="0" w:firstLineChars="0"/>
                    <w:contextualSpacing/>
                    <w:jc w:val="center"/>
                    <w:rPr>
                      <w:sz w:val="21"/>
                      <w:szCs w:val="21"/>
                    </w:rPr>
                  </w:pPr>
                  <w:r>
                    <w:rPr>
                      <w:rFonts w:hint="eastAsia"/>
                      <w:sz w:val="21"/>
                      <w:szCs w:val="21"/>
                    </w:rPr>
                    <w:t>按照“生态功能不降低、面积不减少、性质不改变”的基本要求，对划定的生态保护红线实施严格管控，保障和维护国家生态安全的底线和生命线</w:t>
                  </w:r>
                </w:p>
              </w:tc>
              <w:tc>
                <w:tcPr>
                  <w:tcW w:w="1296" w:type="pct"/>
                  <w:vAlign w:val="center"/>
                </w:tcPr>
                <w:p w14:paraId="0E3559DB">
                  <w:pPr>
                    <w:spacing w:line="240" w:lineRule="auto"/>
                    <w:ind w:firstLine="0" w:firstLineChars="0"/>
                    <w:contextualSpacing/>
                    <w:jc w:val="center"/>
                    <w:rPr>
                      <w:sz w:val="21"/>
                      <w:szCs w:val="21"/>
                    </w:rPr>
                  </w:pPr>
                  <w:r>
                    <w:rPr>
                      <w:rFonts w:hint="eastAsia"/>
                      <w:sz w:val="21"/>
                      <w:szCs w:val="21"/>
                    </w:rPr>
                    <w:t>本项目不在生态保护红线范围内</w:t>
                  </w:r>
                </w:p>
              </w:tc>
              <w:tc>
                <w:tcPr>
                  <w:tcW w:w="380" w:type="pct"/>
                  <w:vAlign w:val="center"/>
                </w:tcPr>
                <w:p w14:paraId="2FC4DEFB">
                  <w:pPr>
                    <w:spacing w:line="240" w:lineRule="auto"/>
                    <w:ind w:firstLine="0" w:firstLineChars="0"/>
                    <w:contextualSpacing/>
                    <w:jc w:val="center"/>
                    <w:rPr>
                      <w:sz w:val="21"/>
                      <w:szCs w:val="21"/>
                    </w:rPr>
                  </w:pPr>
                  <w:r>
                    <w:rPr>
                      <w:rFonts w:hint="eastAsia"/>
                      <w:sz w:val="21"/>
                      <w:szCs w:val="21"/>
                    </w:rPr>
                    <w:t>符合</w:t>
                  </w:r>
                </w:p>
              </w:tc>
            </w:tr>
            <w:tr w14:paraId="5A820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 w:hRule="atLeast"/>
                <w:jc w:val="center"/>
              </w:trPr>
              <w:tc>
                <w:tcPr>
                  <w:tcW w:w="539" w:type="pct"/>
                  <w:vMerge w:val="continue"/>
                  <w:vAlign w:val="center"/>
                </w:tcPr>
                <w:p w14:paraId="743AAFB9">
                  <w:pPr>
                    <w:spacing w:line="240" w:lineRule="auto"/>
                    <w:ind w:firstLine="0" w:firstLineChars="0"/>
                    <w:contextualSpacing/>
                    <w:jc w:val="center"/>
                    <w:rPr>
                      <w:sz w:val="21"/>
                      <w:szCs w:val="21"/>
                    </w:rPr>
                  </w:pPr>
                </w:p>
              </w:tc>
              <w:tc>
                <w:tcPr>
                  <w:tcW w:w="339" w:type="pct"/>
                  <w:vAlign w:val="center"/>
                </w:tcPr>
                <w:p w14:paraId="0A74332A">
                  <w:pPr>
                    <w:spacing w:line="240" w:lineRule="auto"/>
                    <w:ind w:firstLine="0" w:firstLineChars="0"/>
                    <w:contextualSpacing/>
                    <w:jc w:val="center"/>
                    <w:rPr>
                      <w:sz w:val="21"/>
                      <w:szCs w:val="21"/>
                    </w:rPr>
                  </w:pPr>
                  <w:r>
                    <w:rPr>
                      <w:rFonts w:hint="eastAsia"/>
                      <w:sz w:val="21"/>
                      <w:szCs w:val="21"/>
                    </w:rPr>
                    <w:t>环境质量底线</w:t>
                  </w:r>
                </w:p>
              </w:tc>
              <w:tc>
                <w:tcPr>
                  <w:tcW w:w="2446" w:type="pct"/>
                  <w:vAlign w:val="center"/>
                </w:tcPr>
                <w:p w14:paraId="26DB758D">
                  <w:pPr>
                    <w:spacing w:line="240" w:lineRule="auto"/>
                    <w:ind w:firstLine="0" w:firstLineChars="0"/>
                    <w:contextualSpacing/>
                    <w:jc w:val="center"/>
                    <w:rPr>
                      <w:sz w:val="21"/>
                      <w:szCs w:val="21"/>
                    </w:rPr>
                  </w:pPr>
                  <w:r>
                    <w:rPr>
                      <w:rFonts w:hint="eastAsia"/>
                      <w:sz w:val="21"/>
                      <w:szCs w:val="21"/>
                    </w:rPr>
                    <w:t>全区水环境质量持续改善，受污染地表水体得到优先治理，饮用水安全保障水平持续提升，地下水超采得到严格控制，地下水水质保持稳定；全区环境空气质量有所提升，重污染天数持续减少，已达标城市环境空气质量保持稳定，未达标城市环境空气质量持续改善，沙尘影响严重地区做好防风固沙、生态环境保护修复等工作；全区土壤环境质量保持稳定，污染地块安全利用水平稳中有升，土壤环境风险得到进一步管控</w:t>
                  </w:r>
                </w:p>
              </w:tc>
              <w:tc>
                <w:tcPr>
                  <w:tcW w:w="1296" w:type="pct"/>
                  <w:vAlign w:val="center"/>
                </w:tcPr>
                <w:p w14:paraId="4C396AE7">
                  <w:pPr>
                    <w:spacing w:line="240" w:lineRule="auto"/>
                    <w:ind w:firstLine="0" w:firstLineChars="0"/>
                    <w:contextualSpacing/>
                    <w:rPr>
                      <w:sz w:val="21"/>
                      <w:szCs w:val="21"/>
                    </w:rPr>
                  </w:pPr>
                  <w:r>
                    <w:rPr>
                      <w:rFonts w:hint="eastAsia"/>
                      <w:sz w:val="21"/>
                      <w:szCs w:val="21"/>
                    </w:rPr>
                    <w:t>本项目施工期污染防治措施如下：土石方采用防尘网或篷布覆盖，运输车辆限速行驶并洒水降尘；柴油发电机及运输车辆定期维护</w:t>
                  </w:r>
                  <w:r>
                    <w:rPr>
                      <w:sz w:val="21"/>
                      <w:szCs w:val="21"/>
                    </w:rPr>
                    <w:t>保养，使用正品燃油以减少尾气排放；钻孔施工废水经简易沉淀池（单座5m³，采用防渗膜塑料布及支架组装）沉淀后</w:t>
                  </w:r>
                  <w:r>
                    <w:rPr>
                      <w:rFonts w:hint="eastAsia"/>
                      <w:sz w:val="21"/>
                      <w:szCs w:val="21"/>
                    </w:rPr>
                    <w:t>回用于钻探</w:t>
                  </w:r>
                  <w:r>
                    <w:rPr>
                      <w:sz w:val="21"/>
                      <w:szCs w:val="21"/>
                    </w:rPr>
                    <w:t>，不外排；生活污水经一体化污水处理设备处理</w:t>
                  </w:r>
                  <w:r>
                    <w:rPr>
                      <w:rFonts w:hint="eastAsia"/>
                      <w:sz w:val="21"/>
                      <w:szCs w:val="21"/>
                    </w:rPr>
                    <w:t>达到《农村生活污水处理排放标准》（DB65 4275-2019）表2中C级标准后用于周边植被绿化，不外排。通过以上措施，施工期各类污染物均得到有效处置，环境风险可控，在正常工况下不会增加土壤环境污染风险</w:t>
                  </w:r>
                </w:p>
              </w:tc>
              <w:tc>
                <w:tcPr>
                  <w:tcW w:w="380" w:type="pct"/>
                  <w:vAlign w:val="center"/>
                </w:tcPr>
                <w:p w14:paraId="51C70119">
                  <w:pPr>
                    <w:spacing w:line="240" w:lineRule="auto"/>
                    <w:ind w:firstLine="0" w:firstLineChars="0"/>
                    <w:contextualSpacing/>
                    <w:jc w:val="center"/>
                    <w:rPr>
                      <w:sz w:val="21"/>
                      <w:szCs w:val="21"/>
                    </w:rPr>
                  </w:pPr>
                  <w:r>
                    <w:rPr>
                      <w:rFonts w:hint="eastAsia"/>
                      <w:sz w:val="21"/>
                      <w:szCs w:val="21"/>
                    </w:rPr>
                    <w:t>符合</w:t>
                  </w:r>
                </w:p>
              </w:tc>
            </w:tr>
            <w:tr w14:paraId="2555B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9" w:type="pct"/>
                  <w:vMerge w:val="continue"/>
                  <w:vAlign w:val="center"/>
                </w:tcPr>
                <w:p w14:paraId="4A25697B">
                  <w:pPr>
                    <w:spacing w:line="240" w:lineRule="auto"/>
                    <w:ind w:firstLine="0" w:firstLineChars="0"/>
                    <w:contextualSpacing/>
                    <w:jc w:val="center"/>
                    <w:rPr>
                      <w:sz w:val="21"/>
                      <w:szCs w:val="21"/>
                    </w:rPr>
                  </w:pPr>
                </w:p>
              </w:tc>
              <w:tc>
                <w:tcPr>
                  <w:tcW w:w="339" w:type="pct"/>
                  <w:vAlign w:val="center"/>
                </w:tcPr>
                <w:p w14:paraId="184C6043">
                  <w:pPr>
                    <w:spacing w:line="240" w:lineRule="auto"/>
                    <w:ind w:firstLine="0" w:firstLineChars="0"/>
                    <w:contextualSpacing/>
                    <w:jc w:val="center"/>
                    <w:rPr>
                      <w:sz w:val="21"/>
                      <w:szCs w:val="21"/>
                    </w:rPr>
                  </w:pPr>
                  <w:r>
                    <w:rPr>
                      <w:rFonts w:hint="eastAsia"/>
                      <w:sz w:val="21"/>
                      <w:szCs w:val="21"/>
                    </w:rPr>
                    <w:t>资源利用上线</w:t>
                  </w:r>
                </w:p>
              </w:tc>
              <w:tc>
                <w:tcPr>
                  <w:tcW w:w="2446" w:type="pct"/>
                  <w:vAlign w:val="center"/>
                </w:tcPr>
                <w:p w14:paraId="4515B63E">
                  <w:pPr>
                    <w:spacing w:line="240" w:lineRule="auto"/>
                    <w:ind w:firstLine="0" w:firstLineChars="0"/>
                    <w:contextualSpacing/>
                    <w:jc w:val="center"/>
                    <w:rPr>
                      <w:sz w:val="21"/>
                      <w:szCs w:val="21"/>
                    </w:rPr>
                  </w:pPr>
                  <w:r>
                    <w:rPr>
                      <w:rFonts w:hint="eastAsia"/>
                      <w:sz w:val="21"/>
                      <w:szCs w:val="21"/>
                    </w:rPr>
                    <w:t>强化节约集约利用，持续提升资源能源利用效率，水资源、土地资源、能源消耗等达到国家、自治区下达的总量和强度控制目标</w:t>
                  </w:r>
                </w:p>
              </w:tc>
              <w:tc>
                <w:tcPr>
                  <w:tcW w:w="1296" w:type="pct"/>
                  <w:vAlign w:val="center"/>
                </w:tcPr>
                <w:p w14:paraId="6CFD426F">
                  <w:pPr>
                    <w:spacing w:line="240" w:lineRule="auto"/>
                    <w:ind w:firstLine="0" w:firstLineChars="0"/>
                    <w:contextualSpacing/>
                    <w:rPr>
                      <w:sz w:val="21"/>
                      <w:szCs w:val="21"/>
                    </w:rPr>
                  </w:pPr>
                  <w:r>
                    <w:rPr>
                      <w:rFonts w:hint="eastAsia" w:eastAsiaTheme="minorEastAsia"/>
                      <w:color w:val="000000"/>
                      <w:sz w:val="21"/>
                      <w:szCs w:val="21"/>
                      <w:lang w:bidi="ar"/>
                    </w:rPr>
                    <w:t>施工用水由水车从附近城镇拉运至勘查区；工作人员生活用水为自带的纯净水，用水量较小；临时用地面积</w:t>
                  </w:r>
                  <w:r>
                    <w:rPr>
                      <w:rFonts w:eastAsiaTheme="minorEastAsia"/>
                      <w:color w:val="000000"/>
                      <w:sz w:val="21"/>
                      <w:szCs w:val="21"/>
                      <w:lang w:bidi="ar"/>
                    </w:rPr>
                    <w:t>9.8337hm²</w:t>
                  </w:r>
                  <w:r>
                    <w:rPr>
                      <w:rFonts w:hint="eastAsia" w:eastAsiaTheme="minorEastAsia"/>
                      <w:color w:val="000000"/>
                      <w:sz w:val="21"/>
                      <w:szCs w:val="21"/>
                      <w:lang w:bidi="ar"/>
                    </w:rPr>
                    <w:t>，已取得和静县自然资源局选址意见复函；施工期主要能耗为柴油，总消耗量约20t，由附近乡镇加油站购买，于勘查区内设柴油储存点进行暂存。项目能耗及用地规模均较小，符合绿色勘查要求</w:t>
                  </w:r>
                </w:p>
              </w:tc>
              <w:tc>
                <w:tcPr>
                  <w:tcW w:w="380" w:type="pct"/>
                  <w:vAlign w:val="center"/>
                </w:tcPr>
                <w:p w14:paraId="4AEA9B54">
                  <w:pPr>
                    <w:spacing w:line="240" w:lineRule="auto"/>
                    <w:ind w:firstLine="0" w:firstLineChars="0"/>
                    <w:contextualSpacing/>
                    <w:jc w:val="center"/>
                    <w:rPr>
                      <w:sz w:val="21"/>
                      <w:szCs w:val="21"/>
                    </w:rPr>
                  </w:pPr>
                  <w:r>
                    <w:rPr>
                      <w:rFonts w:hint="eastAsia"/>
                      <w:sz w:val="21"/>
                      <w:szCs w:val="21"/>
                    </w:rPr>
                    <w:t>符合</w:t>
                  </w:r>
                </w:p>
              </w:tc>
            </w:tr>
            <w:tr w14:paraId="6B3FD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9" w:type="pct"/>
                  <w:vMerge w:val="continue"/>
                  <w:vAlign w:val="center"/>
                </w:tcPr>
                <w:p w14:paraId="64EE5F7D">
                  <w:pPr>
                    <w:spacing w:line="240" w:lineRule="auto"/>
                    <w:ind w:firstLine="0" w:firstLineChars="0"/>
                    <w:contextualSpacing/>
                    <w:jc w:val="center"/>
                    <w:rPr>
                      <w:sz w:val="21"/>
                      <w:szCs w:val="21"/>
                    </w:rPr>
                  </w:pPr>
                </w:p>
              </w:tc>
              <w:tc>
                <w:tcPr>
                  <w:tcW w:w="339" w:type="pct"/>
                  <w:vAlign w:val="center"/>
                </w:tcPr>
                <w:p w14:paraId="27D228E3">
                  <w:pPr>
                    <w:spacing w:line="240" w:lineRule="auto"/>
                    <w:ind w:firstLine="0" w:firstLineChars="0"/>
                    <w:contextualSpacing/>
                    <w:jc w:val="center"/>
                    <w:rPr>
                      <w:sz w:val="21"/>
                      <w:szCs w:val="21"/>
                    </w:rPr>
                  </w:pPr>
                  <w:r>
                    <w:rPr>
                      <w:rFonts w:hint="eastAsia"/>
                      <w:sz w:val="21"/>
                      <w:szCs w:val="21"/>
                    </w:rPr>
                    <w:t>环境管控单元</w:t>
                  </w:r>
                </w:p>
              </w:tc>
              <w:tc>
                <w:tcPr>
                  <w:tcW w:w="2446" w:type="pct"/>
                  <w:vAlign w:val="center"/>
                </w:tcPr>
                <w:p w14:paraId="44774436">
                  <w:pPr>
                    <w:adjustRightInd w:val="0"/>
                    <w:spacing w:line="240" w:lineRule="auto"/>
                    <w:ind w:firstLine="420"/>
                    <w:rPr>
                      <w:sz w:val="21"/>
                      <w:szCs w:val="21"/>
                    </w:rPr>
                  </w:pPr>
                  <w:r>
                    <w:rPr>
                      <w:rFonts w:hint="eastAsia"/>
                      <w:sz w:val="21"/>
                      <w:szCs w:val="21"/>
                    </w:rPr>
                    <w:t>自治区共划定1777个环境管控单元，分为优先保护单元、重点管控单元和一般管控单元三类，实施分类管控。</w:t>
                  </w:r>
                </w:p>
                <w:p w14:paraId="2E80AADA">
                  <w:pPr>
                    <w:adjustRightInd w:val="0"/>
                    <w:spacing w:line="240" w:lineRule="auto"/>
                    <w:ind w:firstLine="420"/>
                    <w:rPr>
                      <w:sz w:val="21"/>
                      <w:szCs w:val="21"/>
                    </w:rPr>
                  </w:pPr>
                  <w:r>
                    <w:rPr>
                      <w:rFonts w:hint="eastAsia"/>
                      <w:sz w:val="21"/>
                      <w:szCs w:val="21"/>
                    </w:rPr>
                    <w:t>优先保护单元925个，主要包括生态保护红线区和生态保护红线区以外的饮用水水源保护区、水源涵养区、防风固沙区、土地沙化防控区、水土流失防控区等一般生态空间管控区。生态保护红线区执行生态保护红线管理办法的有关要求；一般生态空间管控区应以生态环境保护优先为原则，开发建设活动应严格执行相关法律、法规要求，严守生态环境质量底线，确保生态功能不降低。</w:t>
                  </w:r>
                </w:p>
                <w:p w14:paraId="192741DE">
                  <w:pPr>
                    <w:adjustRightInd w:val="0"/>
                    <w:spacing w:line="240" w:lineRule="auto"/>
                    <w:ind w:firstLine="420"/>
                    <w:rPr>
                      <w:sz w:val="21"/>
                      <w:szCs w:val="21"/>
                    </w:rPr>
                  </w:pPr>
                  <w:r>
                    <w:rPr>
                      <w:rFonts w:hint="eastAsia"/>
                      <w:sz w:val="21"/>
                      <w:szCs w:val="21"/>
                    </w:rPr>
                    <w:t>重点管控单元713个，主要包括城镇建成区、工业园区和开发强度大、污染物排放强度高的工业聚集区等。重点管控单元要着力优化空间布局，不断提升资源利用效率，有针对性地加强污染物排放管控和环境风险管控，解决生态环境质量不达标、生态环境风险高等问题。</w:t>
                  </w:r>
                </w:p>
                <w:p w14:paraId="12169EDE">
                  <w:pPr>
                    <w:spacing w:line="240" w:lineRule="auto"/>
                    <w:ind w:firstLine="420"/>
                    <w:contextualSpacing/>
                    <w:rPr>
                      <w:sz w:val="21"/>
                      <w:szCs w:val="21"/>
                    </w:rPr>
                  </w:pPr>
                  <w:r>
                    <w:rPr>
                      <w:rFonts w:hint="eastAsia"/>
                      <w:sz w:val="21"/>
                      <w:szCs w:val="21"/>
                    </w:rPr>
                    <w:t>一般管控单元139个，主要包括优先保护单元和重点管控单元之外的其它区域。一般管控单元主要落实生态环境保护基本要求，推动区域环境质量持续改善。</w:t>
                  </w:r>
                </w:p>
              </w:tc>
              <w:tc>
                <w:tcPr>
                  <w:tcW w:w="1296" w:type="pct"/>
                  <w:vAlign w:val="center"/>
                </w:tcPr>
                <w:p w14:paraId="08D96D7D">
                  <w:pPr>
                    <w:spacing w:line="240" w:lineRule="auto"/>
                    <w:ind w:firstLine="0" w:firstLineChars="0"/>
                    <w:contextualSpacing/>
                    <w:rPr>
                      <w:sz w:val="21"/>
                      <w:szCs w:val="21"/>
                    </w:rPr>
                  </w:pPr>
                  <w:r>
                    <w:rPr>
                      <w:rFonts w:hint="eastAsia"/>
                      <w:sz w:val="21"/>
                      <w:szCs w:val="21"/>
                    </w:rPr>
                    <w:t>勘查区范围主体位于一般管控单元，另有部分区域涉及和静县大气弱扩散重点管控区。针对上述管控要求，项目坚持生态优先，施工过程严格执行环保法规，严守生态环境质量底线；在落实有效的污染防治和生态保护措施后，污染物均得到有效处置，环境影响可控</w:t>
                  </w:r>
                </w:p>
              </w:tc>
              <w:tc>
                <w:tcPr>
                  <w:tcW w:w="380" w:type="pct"/>
                  <w:vAlign w:val="center"/>
                </w:tcPr>
                <w:p w14:paraId="184A08CA">
                  <w:pPr>
                    <w:spacing w:line="240" w:lineRule="auto"/>
                    <w:ind w:firstLine="0" w:firstLineChars="0"/>
                    <w:contextualSpacing/>
                    <w:jc w:val="center"/>
                    <w:rPr>
                      <w:sz w:val="21"/>
                      <w:szCs w:val="21"/>
                    </w:rPr>
                  </w:pPr>
                  <w:r>
                    <w:rPr>
                      <w:rFonts w:hint="eastAsia"/>
                      <w:sz w:val="21"/>
                      <w:szCs w:val="21"/>
                    </w:rPr>
                    <w:t>符合</w:t>
                  </w:r>
                </w:p>
              </w:tc>
            </w:tr>
          </w:tbl>
          <w:p w14:paraId="0C714BCC">
            <w:pPr>
              <w:autoSpaceDE w:val="0"/>
              <w:autoSpaceDN w:val="0"/>
              <w:adjustRightInd w:val="0"/>
              <w:ind w:firstLine="0" w:firstLineChars="0"/>
              <w:rPr>
                <w:b/>
                <w:bCs/>
              </w:rPr>
            </w:pPr>
            <w:r>
              <w:rPr>
                <w:rFonts w:hint="eastAsia"/>
                <w:b/>
                <w:bCs/>
              </w:rPr>
              <w:t>3.本项目与《关于印发〈新疆维吾尔自治区七大片区生态环境分区管控要求〉（2021年版）的通知》（新环环评发〔2021〕162号）符合性分析</w:t>
            </w:r>
          </w:p>
          <w:p w14:paraId="71757D8A">
            <w:pPr>
              <w:autoSpaceDE w:val="0"/>
              <w:autoSpaceDN w:val="0"/>
              <w:adjustRightInd w:val="0"/>
              <w:rPr>
                <w:b/>
                <w:bCs/>
              </w:rPr>
            </w:pPr>
            <w:r>
              <w:rPr>
                <w:rFonts w:hint="eastAsia"/>
              </w:rPr>
              <w:t>本项目位于和静县，属于天山南坡片区，本项目与“天山南坡片区总体管控要求”符合性分析见表1-</w:t>
            </w:r>
            <w:r>
              <w:t>4</w:t>
            </w:r>
            <w:r>
              <w:rPr>
                <w:rFonts w:hint="eastAsia"/>
              </w:rPr>
              <w:t>。</w:t>
            </w:r>
          </w:p>
          <w:p w14:paraId="435E0C52">
            <w:pPr>
              <w:adjustRightInd w:val="0"/>
              <w:spacing w:before="156" w:beforeLines="50" w:line="240" w:lineRule="auto"/>
              <w:ind w:firstLine="0" w:firstLineChars="0"/>
              <w:jc w:val="center"/>
              <w:textAlignment w:val="baseline"/>
              <w:rPr>
                <w:b/>
                <w:kern w:val="0"/>
                <w:sz w:val="21"/>
                <w:szCs w:val="20"/>
              </w:rPr>
            </w:pPr>
            <w:r>
              <w:rPr>
                <w:rFonts w:hint="eastAsia"/>
                <w:b/>
                <w:kern w:val="0"/>
                <w:sz w:val="21"/>
                <w:szCs w:val="20"/>
              </w:rPr>
              <w:t>表</w:t>
            </w:r>
            <w:r>
              <w:rPr>
                <w:b/>
                <w:kern w:val="0"/>
                <w:sz w:val="21"/>
                <w:szCs w:val="20"/>
              </w:rPr>
              <w:t>1-</w:t>
            </w:r>
            <w:r>
              <w:rPr>
                <w:rFonts w:hint="eastAsia"/>
                <w:b/>
                <w:kern w:val="0"/>
                <w:sz w:val="21"/>
                <w:szCs w:val="20"/>
              </w:rPr>
              <w:t>4</w:t>
            </w:r>
            <w:r>
              <w:rPr>
                <w:b/>
                <w:kern w:val="0"/>
                <w:sz w:val="21"/>
                <w:szCs w:val="20"/>
              </w:rPr>
              <w:t xml:space="preserve">  </w:t>
            </w:r>
            <w:r>
              <w:rPr>
                <w:rFonts w:hint="eastAsia"/>
                <w:b/>
                <w:kern w:val="0"/>
                <w:sz w:val="21"/>
                <w:szCs w:val="20"/>
              </w:rPr>
              <w:t>本项目与七大片天山南坡片区总体管控要求符合性分析一览表</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03"/>
              <w:gridCol w:w="4080"/>
              <w:gridCol w:w="1797"/>
              <w:gridCol w:w="676"/>
            </w:tblGrid>
            <w:tr w14:paraId="74592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64" w:type="pct"/>
                  <w:vMerge w:val="restart"/>
                  <w:vAlign w:val="center"/>
                </w:tcPr>
                <w:p w14:paraId="0A0B82EE">
                  <w:pPr>
                    <w:spacing w:line="240" w:lineRule="auto"/>
                    <w:ind w:firstLine="0" w:firstLineChars="0"/>
                    <w:jc w:val="center"/>
                    <w:rPr>
                      <w:color w:val="000000"/>
                      <w:kern w:val="0"/>
                      <w:sz w:val="21"/>
                      <w:szCs w:val="21"/>
                    </w:rPr>
                  </w:pPr>
                  <w:r>
                    <w:rPr>
                      <w:color w:val="000000"/>
                      <w:kern w:val="0"/>
                      <w:sz w:val="21"/>
                      <w:szCs w:val="21"/>
                    </w:rPr>
                    <w:t>天山南坡片区总体管控要求</w:t>
                  </w:r>
                </w:p>
              </w:tc>
              <w:tc>
                <w:tcPr>
                  <w:tcW w:w="2700" w:type="pct"/>
                  <w:vAlign w:val="center"/>
                </w:tcPr>
                <w:p w14:paraId="76AA8F77">
                  <w:pPr>
                    <w:spacing w:line="240" w:lineRule="auto"/>
                    <w:ind w:firstLine="0" w:firstLineChars="0"/>
                    <w:jc w:val="center"/>
                    <w:rPr>
                      <w:color w:val="000000"/>
                      <w:kern w:val="0"/>
                      <w:sz w:val="21"/>
                      <w:szCs w:val="21"/>
                    </w:rPr>
                  </w:pPr>
                  <w:r>
                    <w:rPr>
                      <w:color w:val="000000"/>
                      <w:kern w:val="0"/>
                      <w:sz w:val="21"/>
                      <w:szCs w:val="21"/>
                    </w:rPr>
                    <w:t>管控要求</w:t>
                  </w:r>
                </w:p>
              </w:tc>
              <w:tc>
                <w:tcPr>
                  <w:tcW w:w="1189" w:type="pct"/>
                  <w:vAlign w:val="center"/>
                </w:tcPr>
                <w:p w14:paraId="084ED27A">
                  <w:pPr>
                    <w:spacing w:line="240" w:lineRule="auto"/>
                    <w:ind w:firstLine="0" w:firstLineChars="0"/>
                    <w:jc w:val="center"/>
                    <w:rPr>
                      <w:color w:val="000000"/>
                      <w:kern w:val="0"/>
                      <w:sz w:val="21"/>
                      <w:szCs w:val="21"/>
                    </w:rPr>
                  </w:pPr>
                  <w:r>
                    <w:rPr>
                      <w:color w:val="000000"/>
                      <w:kern w:val="0"/>
                      <w:sz w:val="21"/>
                      <w:szCs w:val="21"/>
                    </w:rPr>
                    <w:t>本项目</w:t>
                  </w:r>
                </w:p>
              </w:tc>
              <w:tc>
                <w:tcPr>
                  <w:tcW w:w="447" w:type="pct"/>
                  <w:vAlign w:val="center"/>
                </w:tcPr>
                <w:p w14:paraId="52ED4ABE">
                  <w:pPr>
                    <w:spacing w:line="240" w:lineRule="auto"/>
                    <w:ind w:firstLine="0" w:firstLineChars="0"/>
                    <w:jc w:val="center"/>
                    <w:rPr>
                      <w:color w:val="000000"/>
                      <w:kern w:val="0"/>
                      <w:sz w:val="21"/>
                      <w:szCs w:val="21"/>
                    </w:rPr>
                  </w:pPr>
                  <w:r>
                    <w:rPr>
                      <w:color w:val="000000"/>
                      <w:kern w:val="0"/>
                      <w:sz w:val="21"/>
                      <w:szCs w:val="21"/>
                    </w:rPr>
                    <w:t>符合性</w:t>
                  </w:r>
                </w:p>
              </w:tc>
            </w:tr>
            <w:tr w14:paraId="1F567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32" w:type="dxa"/>
                  <w:vMerge w:val="continue"/>
                  <w:vAlign w:val="center"/>
                </w:tcPr>
                <w:p w14:paraId="1C0342D5">
                  <w:pPr>
                    <w:widowControl/>
                    <w:spacing w:line="240" w:lineRule="auto"/>
                    <w:ind w:firstLine="0" w:firstLineChars="0"/>
                    <w:jc w:val="left"/>
                    <w:rPr>
                      <w:color w:val="000000"/>
                      <w:kern w:val="0"/>
                      <w:sz w:val="21"/>
                      <w:szCs w:val="21"/>
                    </w:rPr>
                  </w:pPr>
                </w:p>
              </w:tc>
              <w:tc>
                <w:tcPr>
                  <w:tcW w:w="2700" w:type="pct"/>
                  <w:vAlign w:val="center"/>
                </w:tcPr>
                <w:p w14:paraId="4427A60B">
                  <w:pPr>
                    <w:spacing w:line="240" w:lineRule="auto"/>
                    <w:ind w:firstLine="0" w:firstLineChars="0"/>
                    <w:rPr>
                      <w:color w:val="000000"/>
                      <w:kern w:val="0"/>
                      <w:sz w:val="21"/>
                      <w:szCs w:val="21"/>
                    </w:rPr>
                  </w:pPr>
                  <w:r>
                    <w:rPr>
                      <w:color w:val="000000"/>
                      <w:kern w:val="0"/>
                      <w:sz w:val="21"/>
                      <w:szCs w:val="21"/>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1189" w:type="pct"/>
                  <w:vAlign w:val="center"/>
                </w:tcPr>
                <w:p w14:paraId="4019C478">
                  <w:pPr>
                    <w:spacing w:line="240" w:lineRule="auto"/>
                    <w:ind w:firstLine="0" w:firstLineChars="0"/>
                    <w:rPr>
                      <w:color w:val="000000"/>
                      <w:kern w:val="0"/>
                      <w:sz w:val="21"/>
                      <w:szCs w:val="21"/>
                    </w:rPr>
                  </w:pPr>
                  <w:r>
                    <w:rPr>
                      <w:color w:val="000000"/>
                      <w:kern w:val="0"/>
                      <w:sz w:val="21"/>
                      <w:szCs w:val="21"/>
                    </w:rPr>
                    <w:t>本项目持有合法有效的探矿权证，属矿产地质勘查工程，施工期短暂，采用点状、线状小面积扰动，不涉及高山冰川及森林。施工结束后全部迹地恢复，不改变草地用途，不损害自然景观和生物多样性</w:t>
                  </w:r>
                </w:p>
              </w:tc>
              <w:tc>
                <w:tcPr>
                  <w:tcW w:w="447" w:type="pct"/>
                  <w:vAlign w:val="center"/>
                </w:tcPr>
                <w:p w14:paraId="37930C95">
                  <w:pPr>
                    <w:spacing w:line="240" w:lineRule="auto"/>
                    <w:ind w:firstLine="0" w:firstLineChars="0"/>
                    <w:jc w:val="center"/>
                    <w:rPr>
                      <w:color w:val="000000"/>
                      <w:kern w:val="0"/>
                      <w:sz w:val="21"/>
                      <w:szCs w:val="21"/>
                    </w:rPr>
                  </w:pPr>
                  <w:r>
                    <w:rPr>
                      <w:color w:val="000000"/>
                      <w:kern w:val="0"/>
                      <w:sz w:val="21"/>
                      <w:szCs w:val="21"/>
                    </w:rPr>
                    <w:t>符合</w:t>
                  </w:r>
                </w:p>
              </w:tc>
            </w:tr>
            <w:tr w14:paraId="1CEBA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32" w:type="dxa"/>
                  <w:vMerge w:val="continue"/>
                  <w:vAlign w:val="center"/>
                </w:tcPr>
                <w:p w14:paraId="529C476F">
                  <w:pPr>
                    <w:widowControl/>
                    <w:spacing w:line="240" w:lineRule="auto"/>
                    <w:ind w:firstLine="0" w:firstLineChars="0"/>
                    <w:jc w:val="left"/>
                    <w:rPr>
                      <w:color w:val="000000"/>
                      <w:kern w:val="0"/>
                      <w:sz w:val="21"/>
                      <w:szCs w:val="21"/>
                    </w:rPr>
                  </w:pPr>
                </w:p>
              </w:tc>
              <w:tc>
                <w:tcPr>
                  <w:tcW w:w="2700" w:type="pct"/>
                  <w:vAlign w:val="center"/>
                </w:tcPr>
                <w:p w14:paraId="506D4B49">
                  <w:pPr>
                    <w:spacing w:line="240" w:lineRule="auto"/>
                    <w:ind w:firstLine="0" w:firstLineChars="0"/>
                    <w:rPr>
                      <w:color w:val="000000"/>
                      <w:kern w:val="0"/>
                      <w:sz w:val="21"/>
                      <w:szCs w:val="21"/>
                    </w:rPr>
                  </w:pPr>
                  <w:r>
                    <w:rPr>
                      <w:snapToGrid w:val="0"/>
                      <w:color w:val="000000"/>
                      <w:kern w:val="0"/>
                      <w:sz w:val="21"/>
                      <w:szCs w:val="21"/>
                    </w:rPr>
                    <w:t>重点做好塔里木盆地北缘荒漠化防治。加强荒漠植被及河岸荒漠林保护，规范油气勘探开发作业，建立油田和公路扰动区域工程与生物相结合的防风固沙体系，逐步形成生态屏障。</w:t>
                  </w:r>
                </w:p>
              </w:tc>
              <w:tc>
                <w:tcPr>
                  <w:tcW w:w="1189" w:type="pct"/>
                  <w:vAlign w:val="center"/>
                </w:tcPr>
                <w:p w14:paraId="0BEE00D2">
                  <w:pPr>
                    <w:spacing w:line="240" w:lineRule="auto"/>
                    <w:ind w:firstLine="0" w:firstLineChars="0"/>
                    <w:rPr>
                      <w:color w:val="000000"/>
                      <w:kern w:val="0"/>
                      <w:sz w:val="21"/>
                      <w:szCs w:val="21"/>
                    </w:rPr>
                  </w:pPr>
                  <w:r>
                    <w:rPr>
                      <w:snapToGrid w:val="0"/>
                      <w:color w:val="000000"/>
                      <w:kern w:val="0"/>
                      <w:sz w:val="21"/>
                      <w:szCs w:val="21"/>
                    </w:rPr>
                    <w:t>本项目不涉及油气勘探开发</w:t>
                  </w:r>
                </w:p>
              </w:tc>
              <w:tc>
                <w:tcPr>
                  <w:tcW w:w="447" w:type="pct"/>
                  <w:vAlign w:val="center"/>
                </w:tcPr>
                <w:p w14:paraId="44A22ED6">
                  <w:pPr>
                    <w:spacing w:line="240" w:lineRule="auto"/>
                    <w:ind w:firstLine="0" w:firstLineChars="0"/>
                    <w:jc w:val="center"/>
                    <w:rPr>
                      <w:color w:val="000000"/>
                      <w:kern w:val="0"/>
                      <w:sz w:val="21"/>
                      <w:szCs w:val="21"/>
                    </w:rPr>
                  </w:pPr>
                  <w:r>
                    <w:rPr>
                      <w:color w:val="000000"/>
                      <w:kern w:val="0"/>
                      <w:sz w:val="21"/>
                      <w:szCs w:val="21"/>
                    </w:rPr>
                    <w:t>符合</w:t>
                  </w:r>
                </w:p>
              </w:tc>
            </w:tr>
            <w:tr w14:paraId="465F5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32" w:type="dxa"/>
                  <w:vMerge w:val="continue"/>
                  <w:vAlign w:val="center"/>
                </w:tcPr>
                <w:p w14:paraId="17FB9349">
                  <w:pPr>
                    <w:widowControl/>
                    <w:spacing w:line="240" w:lineRule="auto"/>
                    <w:ind w:firstLine="0" w:firstLineChars="0"/>
                    <w:jc w:val="left"/>
                    <w:rPr>
                      <w:color w:val="000000"/>
                      <w:kern w:val="0"/>
                      <w:sz w:val="21"/>
                      <w:szCs w:val="21"/>
                    </w:rPr>
                  </w:pPr>
                </w:p>
              </w:tc>
              <w:tc>
                <w:tcPr>
                  <w:tcW w:w="2700" w:type="pct"/>
                  <w:vAlign w:val="center"/>
                </w:tcPr>
                <w:p w14:paraId="294E0EBE">
                  <w:pPr>
                    <w:spacing w:line="240" w:lineRule="auto"/>
                    <w:ind w:firstLine="0" w:firstLineChars="0"/>
                    <w:jc w:val="center"/>
                    <w:rPr>
                      <w:snapToGrid w:val="0"/>
                      <w:color w:val="000000"/>
                      <w:kern w:val="0"/>
                      <w:sz w:val="21"/>
                      <w:szCs w:val="21"/>
                    </w:rPr>
                  </w:pPr>
                  <w:r>
                    <w:rPr>
                      <w:snapToGrid w:val="0"/>
                      <w:color w:val="000000"/>
                      <w:kern w:val="0"/>
                      <w:sz w:val="21"/>
                      <w:szCs w:val="21"/>
                    </w:rPr>
                    <w:t>推进塔里木河流域用水结构调整，维护塔里木河、博斯腾湖基本生态用水</w:t>
                  </w:r>
                </w:p>
              </w:tc>
              <w:tc>
                <w:tcPr>
                  <w:tcW w:w="1189" w:type="pct"/>
                  <w:vAlign w:val="center"/>
                </w:tcPr>
                <w:p w14:paraId="329863D8">
                  <w:pPr>
                    <w:spacing w:line="240" w:lineRule="auto"/>
                    <w:ind w:firstLine="0" w:firstLineChars="0"/>
                    <w:rPr>
                      <w:snapToGrid w:val="0"/>
                      <w:color w:val="000000"/>
                      <w:kern w:val="0"/>
                      <w:sz w:val="21"/>
                      <w:szCs w:val="21"/>
                    </w:rPr>
                  </w:pPr>
                  <w:r>
                    <w:rPr>
                      <w:snapToGrid w:val="0"/>
                      <w:color w:val="000000"/>
                      <w:kern w:val="0"/>
                      <w:sz w:val="21"/>
                      <w:szCs w:val="21"/>
                    </w:rPr>
                    <w:t>本项目不涉及塔里木河、博斯腾湖生态用水</w:t>
                  </w:r>
                </w:p>
              </w:tc>
              <w:tc>
                <w:tcPr>
                  <w:tcW w:w="447" w:type="pct"/>
                  <w:vAlign w:val="center"/>
                </w:tcPr>
                <w:p w14:paraId="1B3B20A0">
                  <w:pPr>
                    <w:spacing w:line="240" w:lineRule="auto"/>
                    <w:ind w:firstLine="0" w:firstLineChars="0"/>
                    <w:jc w:val="center"/>
                    <w:rPr>
                      <w:color w:val="000000"/>
                      <w:kern w:val="0"/>
                      <w:sz w:val="21"/>
                      <w:szCs w:val="21"/>
                    </w:rPr>
                  </w:pPr>
                  <w:r>
                    <w:rPr>
                      <w:color w:val="000000"/>
                      <w:kern w:val="0"/>
                      <w:sz w:val="21"/>
                      <w:szCs w:val="21"/>
                    </w:rPr>
                    <w:t>符合</w:t>
                  </w:r>
                </w:p>
              </w:tc>
            </w:tr>
            <w:tr w14:paraId="3732B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32" w:type="dxa"/>
                  <w:vMerge w:val="continue"/>
                  <w:vAlign w:val="center"/>
                </w:tcPr>
                <w:p w14:paraId="5241F255">
                  <w:pPr>
                    <w:widowControl/>
                    <w:spacing w:line="240" w:lineRule="auto"/>
                    <w:ind w:firstLine="0" w:firstLineChars="0"/>
                    <w:jc w:val="left"/>
                    <w:rPr>
                      <w:color w:val="000000"/>
                      <w:kern w:val="0"/>
                      <w:sz w:val="21"/>
                      <w:szCs w:val="21"/>
                    </w:rPr>
                  </w:pPr>
                </w:p>
              </w:tc>
              <w:tc>
                <w:tcPr>
                  <w:tcW w:w="2700" w:type="pct"/>
                  <w:vAlign w:val="center"/>
                </w:tcPr>
                <w:p w14:paraId="46FA7867">
                  <w:pPr>
                    <w:spacing w:line="240" w:lineRule="auto"/>
                    <w:ind w:firstLine="0" w:firstLineChars="0"/>
                    <w:rPr>
                      <w:snapToGrid w:val="0"/>
                      <w:color w:val="000000"/>
                      <w:kern w:val="0"/>
                      <w:sz w:val="21"/>
                      <w:szCs w:val="21"/>
                    </w:rPr>
                  </w:pPr>
                  <w:r>
                    <w:rPr>
                      <w:snapToGrid w:val="0"/>
                      <w:color w:val="000000"/>
                      <w:kern w:val="0"/>
                      <w:sz w:val="21"/>
                      <w:szCs w:val="21"/>
                    </w:rPr>
                    <w:t>加强塔里木河流域水环境风险管控。加大博斯腾湖污染源头达标排放治理和监督力度，实施博斯腾湖综合治理。</w:t>
                  </w:r>
                </w:p>
              </w:tc>
              <w:tc>
                <w:tcPr>
                  <w:tcW w:w="1189" w:type="pct"/>
                  <w:vAlign w:val="center"/>
                </w:tcPr>
                <w:p w14:paraId="11E9D2E0">
                  <w:pPr>
                    <w:spacing w:line="240" w:lineRule="auto"/>
                    <w:ind w:firstLine="0" w:firstLineChars="0"/>
                    <w:jc w:val="center"/>
                    <w:rPr>
                      <w:snapToGrid w:val="0"/>
                      <w:color w:val="000000"/>
                      <w:kern w:val="0"/>
                      <w:sz w:val="21"/>
                      <w:szCs w:val="21"/>
                    </w:rPr>
                  </w:pPr>
                  <w:r>
                    <w:rPr>
                      <w:snapToGrid w:val="0"/>
                      <w:color w:val="000000"/>
                      <w:kern w:val="0"/>
                      <w:sz w:val="21"/>
                      <w:szCs w:val="21"/>
                    </w:rPr>
                    <w:t>本项目不涉及</w:t>
                  </w:r>
                </w:p>
              </w:tc>
              <w:tc>
                <w:tcPr>
                  <w:tcW w:w="447" w:type="pct"/>
                  <w:vAlign w:val="center"/>
                </w:tcPr>
                <w:p w14:paraId="524B8B7A">
                  <w:pPr>
                    <w:spacing w:line="240" w:lineRule="auto"/>
                    <w:ind w:firstLine="0" w:firstLineChars="0"/>
                    <w:jc w:val="center"/>
                    <w:rPr>
                      <w:color w:val="000000"/>
                      <w:kern w:val="0"/>
                      <w:sz w:val="21"/>
                      <w:szCs w:val="21"/>
                    </w:rPr>
                  </w:pPr>
                  <w:r>
                    <w:rPr>
                      <w:color w:val="000000"/>
                      <w:kern w:val="0"/>
                      <w:sz w:val="21"/>
                      <w:szCs w:val="21"/>
                    </w:rPr>
                    <w:t>符合</w:t>
                  </w:r>
                </w:p>
              </w:tc>
            </w:tr>
            <w:tr w14:paraId="65E154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32" w:type="dxa"/>
                  <w:vMerge w:val="continue"/>
                  <w:vAlign w:val="center"/>
                </w:tcPr>
                <w:p w14:paraId="2FE40AF6">
                  <w:pPr>
                    <w:widowControl/>
                    <w:spacing w:line="240" w:lineRule="auto"/>
                    <w:ind w:firstLine="0" w:firstLineChars="0"/>
                    <w:jc w:val="left"/>
                    <w:rPr>
                      <w:color w:val="000000"/>
                      <w:kern w:val="0"/>
                      <w:sz w:val="21"/>
                      <w:szCs w:val="21"/>
                    </w:rPr>
                  </w:pPr>
                </w:p>
              </w:tc>
              <w:tc>
                <w:tcPr>
                  <w:tcW w:w="2700" w:type="pct"/>
                  <w:vAlign w:val="center"/>
                </w:tcPr>
                <w:p w14:paraId="5A853CBB">
                  <w:pPr>
                    <w:spacing w:line="240" w:lineRule="auto"/>
                    <w:ind w:firstLine="0" w:firstLineChars="0"/>
                    <w:rPr>
                      <w:snapToGrid w:val="0"/>
                      <w:color w:val="000000"/>
                      <w:kern w:val="0"/>
                      <w:sz w:val="21"/>
                      <w:szCs w:val="21"/>
                    </w:rPr>
                  </w:pPr>
                  <w:r>
                    <w:rPr>
                      <w:snapToGrid w:val="0"/>
                      <w:color w:val="000000"/>
                      <w:kern w:val="0"/>
                      <w:sz w:val="21"/>
                      <w:szCs w:val="21"/>
                    </w:rPr>
                    <w:t>加强油（气）资源开发区土壤环境污染综合整治。强化涉重金属行业污染防控与工业废物处理处置。</w:t>
                  </w:r>
                </w:p>
              </w:tc>
              <w:tc>
                <w:tcPr>
                  <w:tcW w:w="1189" w:type="pct"/>
                  <w:vAlign w:val="center"/>
                </w:tcPr>
                <w:p w14:paraId="4477C912">
                  <w:pPr>
                    <w:spacing w:line="240" w:lineRule="auto"/>
                    <w:ind w:firstLine="0" w:firstLineChars="0"/>
                    <w:rPr>
                      <w:snapToGrid w:val="0"/>
                      <w:color w:val="000000"/>
                      <w:kern w:val="0"/>
                      <w:sz w:val="21"/>
                      <w:szCs w:val="21"/>
                    </w:rPr>
                  </w:pPr>
                  <w:r>
                    <w:rPr>
                      <w:snapToGrid w:val="0"/>
                      <w:color w:val="000000"/>
                      <w:kern w:val="0"/>
                      <w:sz w:val="21"/>
                      <w:szCs w:val="21"/>
                    </w:rPr>
                    <w:t>本项目不涉及油气开发，不涉及重金属排放</w:t>
                  </w:r>
                </w:p>
              </w:tc>
              <w:tc>
                <w:tcPr>
                  <w:tcW w:w="447" w:type="pct"/>
                  <w:vAlign w:val="center"/>
                </w:tcPr>
                <w:p w14:paraId="42698A09">
                  <w:pPr>
                    <w:spacing w:line="240" w:lineRule="auto"/>
                    <w:ind w:firstLine="0" w:firstLineChars="0"/>
                    <w:jc w:val="center"/>
                    <w:rPr>
                      <w:color w:val="000000"/>
                      <w:kern w:val="0"/>
                      <w:sz w:val="21"/>
                      <w:szCs w:val="21"/>
                    </w:rPr>
                  </w:pPr>
                  <w:r>
                    <w:rPr>
                      <w:color w:val="000000"/>
                      <w:kern w:val="0"/>
                      <w:sz w:val="21"/>
                      <w:szCs w:val="21"/>
                    </w:rPr>
                    <w:t>符合</w:t>
                  </w:r>
                </w:p>
              </w:tc>
            </w:tr>
          </w:tbl>
          <w:p w14:paraId="1076C5C1">
            <w:pPr>
              <w:autoSpaceDE w:val="0"/>
              <w:autoSpaceDN w:val="0"/>
              <w:adjustRightInd w:val="0"/>
            </w:pPr>
            <w:r>
              <w:rPr>
                <w:rFonts w:hint="eastAsia"/>
              </w:rPr>
              <w:t>综上，本项目符合《新疆维吾尔自治区七大片区生态环境分区管控要求》中天山南坡片区总体管控要求。</w:t>
            </w:r>
          </w:p>
          <w:p w14:paraId="378D26A0">
            <w:pPr>
              <w:pStyle w:val="19"/>
            </w:pPr>
            <w:r>
              <w:rPr>
                <w:rFonts w:hint="eastAsia"/>
              </w:rPr>
              <w:t>4.与巴州生态环境分区管控符合性分析</w:t>
            </w:r>
          </w:p>
          <w:p w14:paraId="3D0F93BA">
            <w:pPr>
              <w:autoSpaceDE w:val="0"/>
              <w:autoSpaceDN w:val="0"/>
              <w:adjustRightInd w:val="0"/>
            </w:pPr>
            <w:r>
              <w:rPr>
                <w:rFonts w:hint="eastAsia"/>
              </w:rPr>
              <w:t>本项目与巴州生态环境分区管控符合性分析见表1-5。</w:t>
            </w:r>
          </w:p>
          <w:p w14:paraId="19A32AFA">
            <w:pPr>
              <w:adjustRightInd w:val="0"/>
              <w:spacing w:before="156" w:beforeLines="50" w:line="240" w:lineRule="auto"/>
              <w:ind w:firstLine="0" w:firstLineChars="0"/>
              <w:jc w:val="center"/>
              <w:rPr>
                <w:b/>
                <w:kern w:val="0"/>
                <w:sz w:val="21"/>
                <w:szCs w:val="20"/>
              </w:rPr>
            </w:pPr>
            <w:r>
              <w:rPr>
                <w:rFonts w:hint="eastAsia"/>
                <w:b/>
                <w:kern w:val="0"/>
                <w:sz w:val="21"/>
                <w:szCs w:val="20"/>
              </w:rPr>
              <w:t>表1-5  本项目与《巴音郭楞蒙古自治州生态环境分区管控方案》符合性一览表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1"/>
              <w:gridCol w:w="4107"/>
              <w:gridCol w:w="1851"/>
              <w:gridCol w:w="817"/>
            </w:tblGrid>
            <w:tr w14:paraId="75DEEC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517" w:type="pct"/>
                  <w:vAlign w:val="center"/>
                </w:tcPr>
                <w:p w14:paraId="23B47B95">
                  <w:pPr>
                    <w:spacing w:line="240" w:lineRule="auto"/>
                    <w:ind w:firstLine="0" w:firstLineChars="0"/>
                    <w:contextualSpacing/>
                    <w:jc w:val="center"/>
                    <w:rPr>
                      <w:sz w:val="21"/>
                      <w:szCs w:val="21"/>
                    </w:rPr>
                  </w:pPr>
                  <w:r>
                    <w:rPr>
                      <w:sz w:val="21"/>
                      <w:szCs w:val="21"/>
                    </w:rPr>
                    <w:t>名称</w:t>
                  </w:r>
                </w:p>
              </w:tc>
              <w:tc>
                <w:tcPr>
                  <w:tcW w:w="2718" w:type="pct"/>
                  <w:vAlign w:val="center"/>
                </w:tcPr>
                <w:p w14:paraId="5DF5D6E6">
                  <w:pPr>
                    <w:spacing w:line="240" w:lineRule="auto"/>
                    <w:ind w:firstLine="0" w:firstLineChars="0"/>
                    <w:contextualSpacing/>
                    <w:jc w:val="center"/>
                    <w:rPr>
                      <w:sz w:val="21"/>
                      <w:szCs w:val="21"/>
                    </w:rPr>
                  </w:pPr>
                  <w:r>
                    <w:rPr>
                      <w:sz w:val="21"/>
                      <w:szCs w:val="21"/>
                    </w:rPr>
                    <w:t>符合性分析</w:t>
                  </w:r>
                </w:p>
              </w:tc>
              <w:tc>
                <w:tcPr>
                  <w:tcW w:w="1225" w:type="pct"/>
                  <w:vAlign w:val="center"/>
                </w:tcPr>
                <w:p w14:paraId="3B42123E">
                  <w:pPr>
                    <w:spacing w:line="240" w:lineRule="auto"/>
                    <w:ind w:firstLine="0" w:firstLineChars="0"/>
                    <w:contextualSpacing/>
                    <w:jc w:val="center"/>
                    <w:rPr>
                      <w:sz w:val="21"/>
                      <w:szCs w:val="21"/>
                    </w:rPr>
                  </w:pPr>
                  <w:r>
                    <w:rPr>
                      <w:sz w:val="21"/>
                      <w:szCs w:val="21"/>
                    </w:rPr>
                    <w:t>本项目</w:t>
                  </w:r>
                </w:p>
              </w:tc>
              <w:tc>
                <w:tcPr>
                  <w:tcW w:w="540" w:type="pct"/>
                  <w:vAlign w:val="center"/>
                </w:tcPr>
                <w:p w14:paraId="70C2A272">
                  <w:pPr>
                    <w:spacing w:line="240" w:lineRule="auto"/>
                    <w:ind w:firstLine="0" w:firstLineChars="0"/>
                    <w:contextualSpacing/>
                    <w:jc w:val="center"/>
                    <w:rPr>
                      <w:sz w:val="21"/>
                      <w:szCs w:val="21"/>
                    </w:rPr>
                  </w:pPr>
                  <w:r>
                    <w:rPr>
                      <w:sz w:val="21"/>
                      <w:szCs w:val="21"/>
                    </w:rPr>
                    <w:t>符合性</w:t>
                  </w:r>
                </w:p>
              </w:tc>
            </w:tr>
            <w:tr w14:paraId="26DC6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17" w:type="pct"/>
                  <w:vAlign w:val="center"/>
                </w:tcPr>
                <w:p w14:paraId="0411585B">
                  <w:pPr>
                    <w:spacing w:line="240" w:lineRule="auto"/>
                    <w:ind w:firstLine="0" w:firstLineChars="0"/>
                    <w:contextualSpacing/>
                    <w:jc w:val="center"/>
                    <w:rPr>
                      <w:sz w:val="21"/>
                      <w:szCs w:val="21"/>
                    </w:rPr>
                  </w:pPr>
                  <w:r>
                    <w:rPr>
                      <w:sz w:val="21"/>
                      <w:szCs w:val="21"/>
                    </w:rPr>
                    <w:t>生态保护红线</w:t>
                  </w:r>
                </w:p>
              </w:tc>
              <w:tc>
                <w:tcPr>
                  <w:tcW w:w="2718" w:type="pct"/>
                  <w:vAlign w:val="center"/>
                </w:tcPr>
                <w:p w14:paraId="28775B20">
                  <w:pPr>
                    <w:spacing w:line="240" w:lineRule="auto"/>
                    <w:ind w:firstLine="0" w:firstLineChars="0"/>
                    <w:contextualSpacing/>
                    <w:jc w:val="center"/>
                    <w:rPr>
                      <w:sz w:val="21"/>
                      <w:szCs w:val="21"/>
                    </w:rPr>
                  </w:pPr>
                  <w:r>
                    <w:rPr>
                      <w:sz w:val="21"/>
                      <w:szCs w:val="21"/>
                    </w:rPr>
                    <w:t>按照“生态功能不降低、面积不减少、性质不改变”的基本要求，对划定的生态保护红线实施严格管控，保障和维护国家生态安全的底线和生命线</w:t>
                  </w:r>
                </w:p>
              </w:tc>
              <w:tc>
                <w:tcPr>
                  <w:tcW w:w="1225" w:type="pct"/>
                  <w:vAlign w:val="center"/>
                </w:tcPr>
                <w:p w14:paraId="05EF99B8">
                  <w:pPr>
                    <w:spacing w:line="240" w:lineRule="auto"/>
                    <w:ind w:firstLine="0" w:firstLineChars="0"/>
                    <w:contextualSpacing/>
                    <w:jc w:val="center"/>
                    <w:rPr>
                      <w:sz w:val="21"/>
                      <w:szCs w:val="21"/>
                    </w:rPr>
                  </w:pPr>
                  <w:r>
                    <w:rPr>
                      <w:sz w:val="21"/>
                      <w:szCs w:val="21"/>
                    </w:rPr>
                    <w:t>本项目不在生态保护红线范围内</w:t>
                  </w:r>
                </w:p>
              </w:tc>
              <w:tc>
                <w:tcPr>
                  <w:tcW w:w="540" w:type="pct"/>
                  <w:vAlign w:val="center"/>
                </w:tcPr>
                <w:p w14:paraId="53E8D912">
                  <w:pPr>
                    <w:spacing w:line="240" w:lineRule="auto"/>
                    <w:ind w:firstLine="0" w:firstLineChars="0"/>
                    <w:contextualSpacing/>
                    <w:jc w:val="center"/>
                    <w:rPr>
                      <w:sz w:val="21"/>
                      <w:szCs w:val="21"/>
                    </w:rPr>
                  </w:pPr>
                  <w:r>
                    <w:rPr>
                      <w:sz w:val="21"/>
                      <w:szCs w:val="21"/>
                    </w:rPr>
                    <w:t>符合</w:t>
                  </w:r>
                </w:p>
              </w:tc>
            </w:tr>
            <w:tr w14:paraId="497B6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17" w:type="pct"/>
                  <w:vAlign w:val="center"/>
                </w:tcPr>
                <w:p w14:paraId="7181E189">
                  <w:pPr>
                    <w:spacing w:line="240" w:lineRule="auto"/>
                    <w:ind w:firstLine="0" w:firstLineChars="0"/>
                    <w:contextualSpacing/>
                    <w:jc w:val="center"/>
                    <w:rPr>
                      <w:sz w:val="21"/>
                      <w:szCs w:val="21"/>
                    </w:rPr>
                  </w:pPr>
                  <w:r>
                    <w:rPr>
                      <w:sz w:val="21"/>
                      <w:szCs w:val="21"/>
                    </w:rPr>
                    <w:t>环境质量底线</w:t>
                  </w:r>
                </w:p>
              </w:tc>
              <w:tc>
                <w:tcPr>
                  <w:tcW w:w="2718" w:type="pct"/>
                  <w:vAlign w:val="center"/>
                </w:tcPr>
                <w:p w14:paraId="1EB62E1F">
                  <w:pPr>
                    <w:spacing w:line="240" w:lineRule="auto"/>
                    <w:ind w:firstLine="0" w:firstLineChars="0"/>
                    <w:contextualSpacing/>
                    <w:rPr>
                      <w:color w:val="000000"/>
                      <w:sz w:val="21"/>
                      <w:szCs w:val="21"/>
                    </w:rPr>
                  </w:pPr>
                  <w:r>
                    <w:rPr>
                      <w:color w:val="000000"/>
                      <w:sz w:val="21"/>
                      <w:szCs w:val="21"/>
                    </w:rPr>
                    <w:t>全州水环境质量持续改善，开都河、塔里木河、迪那河、车尔臣河、黄水沟5条河流13个监测断面稳定达到Ⅱ类水（塔里木河氟化物不参与考核，其他指标均为Ⅱ类），孔雀河4个监测断面达到</w:t>
                  </w:r>
                  <w:r>
                    <w:rPr>
                      <w:rFonts w:hint="eastAsia"/>
                      <w:color w:val="000000"/>
                      <w:sz w:val="21"/>
                      <w:szCs w:val="21"/>
                    </w:rPr>
                    <w:t>Ⅱ类</w:t>
                  </w:r>
                  <w:r>
                    <w:rPr>
                      <w:color w:val="000000"/>
                      <w:sz w:val="21"/>
                      <w:szCs w:val="21"/>
                    </w:rPr>
                    <w:t>水，博斯腾湖17个重点点位中1、7、14监测点均值Ⅲ类，其余监测点均值Ⅳ类；受污染地表水体得到有效治理，饮用水安全保障水平持续提升，地下水超采得到严格控制，地下水水质保持稳定。全州环境空气质量有所提升，SO</w:t>
                  </w:r>
                  <w:r>
                    <w:rPr>
                      <w:color w:val="000000"/>
                      <w:sz w:val="21"/>
                      <w:szCs w:val="21"/>
                      <w:vertAlign w:val="subscript"/>
                    </w:rPr>
                    <w:t>2</w:t>
                  </w:r>
                  <w:r>
                    <w:rPr>
                      <w:color w:val="000000"/>
                      <w:sz w:val="21"/>
                      <w:szCs w:val="21"/>
                    </w:rPr>
                    <w:t>、NO</w:t>
                  </w:r>
                  <w:r>
                    <w:rPr>
                      <w:color w:val="000000"/>
                      <w:sz w:val="21"/>
                      <w:szCs w:val="21"/>
                      <w:vertAlign w:val="subscript"/>
                    </w:rPr>
                    <w:t>2</w:t>
                  </w:r>
                  <w:r>
                    <w:rPr>
                      <w:color w:val="000000"/>
                      <w:sz w:val="21"/>
                      <w:szCs w:val="21"/>
                    </w:rPr>
                    <w:t>浓度长期维持在较低水平，达到环境空气质量一级标准；逐步减少颗粒物排放，PM</w:t>
                  </w:r>
                  <w:r>
                    <w:rPr>
                      <w:color w:val="000000"/>
                      <w:sz w:val="21"/>
                      <w:szCs w:val="21"/>
                      <w:vertAlign w:val="subscript"/>
                    </w:rPr>
                    <w:t>10</w:t>
                  </w:r>
                  <w:r>
                    <w:rPr>
                      <w:color w:val="000000"/>
                      <w:sz w:val="21"/>
                      <w:szCs w:val="21"/>
                    </w:rPr>
                    <w:t>、PM</w:t>
                  </w:r>
                  <w:r>
                    <w:rPr>
                      <w:color w:val="000000"/>
                      <w:sz w:val="21"/>
                      <w:szCs w:val="21"/>
                      <w:vertAlign w:val="subscript"/>
                    </w:rPr>
                    <w:t>2.5</w:t>
                  </w:r>
                  <w:r>
                    <w:rPr>
                      <w:color w:val="000000"/>
                      <w:sz w:val="21"/>
                      <w:szCs w:val="21"/>
                    </w:rPr>
                    <w:t>平均浓度分别低于81μg/m</w:t>
                  </w:r>
                  <w:r>
                    <w:rPr>
                      <w:color w:val="000000"/>
                      <w:sz w:val="21"/>
                      <w:szCs w:val="21"/>
                      <w:vertAlign w:val="superscript"/>
                    </w:rPr>
                    <w:t>3</w:t>
                  </w:r>
                  <w:r>
                    <w:rPr>
                      <w:color w:val="000000"/>
                      <w:sz w:val="21"/>
                      <w:szCs w:val="21"/>
                    </w:rPr>
                    <w:t>、31.5μg/m</w:t>
                  </w:r>
                  <w:r>
                    <w:rPr>
                      <w:color w:val="000000"/>
                      <w:sz w:val="21"/>
                      <w:szCs w:val="21"/>
                      <w:vertAlign w:val="superscript"/>
                    </w:rPr>
                    <w:t>3</w:t>
                  </w:r>
                  <w:r>
                    <w:rPr>
                      <w:rFonts w:hint="eastAsia"/>
                      <w:color w:val="000000"/>
                      <w:sz w:val="21"/>
                      <w:szCs w:val="21"/>
                    </w:rPr>
                    <w:t>（</w:t>
                  </w:r>
                  <w:r>
                    <w:rPr>
                      <w:color w:val="000000"/>
                      <w:sz w:val="21"/>
                      <w:szCs w:val="21"/>
                    </w:rPr>
                    <w:t>库尔勒市，扣除沙尘天气影响</w:t>
                  </w:r>
                  <w:r>
                    <w:rPr>
                      <w:rFonts w:hint="eastAsia"/>
                      <w:color w:val="000000"/>
                      <w:sz w:val="21"/>
                      <w:szCs w:val="21"/>
                    </w:rPr>
                    <w:t>）</w:t>
                  </w:r>
                  <w:r>
                    <w:rPr>
                      <w:color w:val="000000"/>
                      <w:sz w:val="21"/>
                      <w:szCs w:val="21"/>
                    </w:rPr>
                    <w:t>，空气优良天数比例大于75.2%</w:t>
                  </w:r>
                  <w:r>
                    <w:rPr>
                      <w:rFonts w:hint="eastAsia"/>
                      <w:color w:val="000000"/>
                      <w:sz w:val="21"/>
                      <w:szCs w:val="21"/>
                    </w:rPr>
                    <w:t>（</w:t>
                  </w:r>
                  <w:r>
                    <w:rPr>
                      <w:color w:val="000000"/>
                      <w:sz w:val="21"/>
                      <w:szCs w:val="21"/>
                    </w:rPr>
                    <w:t>库尔勒市</w:t>
                  </w:r>
                  <w:r>
                    <w:rPr>
                      <w:rFonts w:hint="eastAsia"/>
                      <w:color w:val="000000"/>
                      <w:sz w:val="21"/>
                      <w:szCs w:val="21"/>
                    </w:rPr>
                    <w:t>）</w:t>
                  </w:r>
                  <w:r>
                    <w:rPr>
                      <w:color w:val="000000"/>
                      <w:sz w:val="21"/>
                      <w:szCs w:val="21"/>
                    </w:rPr>
                    <w:t>，重污染天数持续减少，沙尘影响严重地区做好防风固沙、生态环境保护修复等工作；全州土壤环境质量保持稳定，受污染耕地安全利用率达到98%以上，污染地块安全利用率不低于93%，土壤环境风险得到进一步管控</w:t>
                  </w:r>
                </w:p>
              </w:tc>
              <w:tc>
                <w:tcPr>
                  <w:tcW w:w="1225" w:type="pct"/>
                  <w:vAlign w:val="center"/>
                </w:tcPr>
                <w:p w14:paraId="4E141DB9">
                  <w:pPr>
                    <w:spacing w:line="240" w:lineRule="auto"/>
                    <w:ind w:firstLine="0" w:firstLineChars="0"/>
                    <w:contextualSpacing/>
                    <w:rPr>
                      <w:color w:val="000000"/>
                      <w:sz w:val="21"/>
                      <w:szCs w:val="21"/>
                    </w:rPr>
                  </w:pPr>
                  <w:r>
                    <w:rPr>
                      <w:rFonts w:hint="eastAsia"/>
                      <w:sz w:val="21"/>
                      <w:szCs w:val="21"/>
                    </w:rPr>
                    <w:t>本</w:t>
                  </w:r>
                  <w:r>
                    <w:rPr>
                      <w:sz w:val="21"/>
                      <w:szCs w:val="21"/>
                    </w:rPr>
                    <w:t>项目施工期污染防治措施如下：土石方采用防尘网或篷布覆盖，运输车辆限速行驶并洒水降尘；柴油发电机及运输车辆定期维护保养，使用正品燃油以减少尾气排放；钻孔施工废水经简易沉淀池（单座5m³，采用防渗膜塑料布及支架组装）沉淀后</w:t>
                  </w:r>
                  <w:r>
                    <w:rPr>
                      <w:rFonts w:hint="eastAsia"/>
                      <w:sz w:val="21"/>
                      <w:szCs w:val="21"/>
                    </w:rPr>
                    <w:t>回用于钻探</w:t>
                  </w:r>
                  <w:r>
                    <w:rPr>
                      <w:sz w:val="21"/>
                      <w:szCs w:val="21"/>
                    </w:rPr>
                    <w:t>，不外排；生活污水经一体化污水处理</w:t>
                  </w:r>
                  <w:r>
                    <w:rPr>
                      <w:rFonts w:hint="eastAsia"/>
                      <w:sz w:val="21"/>
                      <w:szCs w:val="21"/>
                    </w:rPr>
                    <w:t>设备</w:t>
                  </w:r>
                  <w:r>
                    <w:rPr>
                      <w:sz w:val="21"/>
                      <w:szCs w:val="21"/>
                    </w:rPr>
                    <w:t>处理达到《农村生活污水处理排放标准》（DB65</w:t>
                  </w:r>
                  <w:r>
                    <w:rPr>
                      <w:rFonts w:hint="eastAsia"/>
                      <w:sz w:val="21"/>
                      <w:szCs w:val="21"/>
                    </w:rPr>
                    <w:t xml:space="preserve"> </w:t>
                  </w:r>
                  <w:r>
                    <w:rPr>
                      <w:sz w:val="21"/>
                      <w:szCs w:val="21"/>
                    </w:rPr>
                    <w:t>4275-2019）表2中C级标准后用于</w:t>
                  </w:r>
                  <w:r>
                    <w:rPr>
                      <w:rFonts w:hint="eastAsia"/>
                      <w:sz w:val="21"/>
                      <w:szCs w:val="21"/>
                    </w:rPr>
                    <w:t>周边植被绿化</w:t>
                  </w:r>
                  <w:r>
                    <w:rPr>
                      <w:sz w:val="21"/>
                      <w:szCs w:val="21"/>
                    </w:rPr>
                    <w:t>，不外排。通过以上措施</w:t>
                  </w:r>
                  <w:r>
                    <w:rPr>
                      <w:rFonts w:hint="eastAsia"/>
                      <w:sz w:val="21"/>
                      <w:szCs w:val="21"/>
                    </w:rPr>
                    <w:t>，施工期各类污染物均得到有效处置，环境风险可控，在正常工况下不会增加土壤环境污染风险</w:t>
                  </w:r>
                </w:p>
              </w:tc>
              <w:tc>
                <w:tcPr>
                  <w:tcW w:w="540" w:type="pct"/>
                  <w:vAlign w:val="center"/>
                </w:tcPr>
                <w:p w14:paraId="74C52077">
                  <w:pPr>
                    <w:spacing w:line="240" w:lineRule="auto"/>
                    <w:ind w:firstLine="0" w:firstLineChars="0"/>
                    <w:contextualSpacing/>
                    <w:jc w:val="center"/>
                    <w:rPr>
                      <w:sz w:val="21"/>
                      <w:szCs w:val="21"/>
                    </w:rPr>
                  </w:pPr>
                  <w:r>
                    <w:rPr>
                      <w:sz w:val="21"/>
                      <w:szCs w:val="21"/>
                    </w:rPr>
                    <w:t>符合</w:t>
                  </w:r>
                </w:p>
              </w:tc>
            </w:tr>
            <w:tr w14:paraId="4081A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517" w:type="pct"/>
                  <w:vAlign w:val="center"/>
                </w:tcPr>
                <w:p w14:paraId="1D7AD5EC">
                  <w:pPr>
                    <w:spacing w:line="240" w:lineRule="auto"/>
                    <w:ind w:firstLine="0" w:firstLineChars="0"/>
                    <w:contextualSpacing/>
                    <w:jc w:val="center"/>
                    <w:rPr>
                      <w:sz w:val="21"/>
                      <w:szCs w:val="21"/>
                    </w:rPr>
                  </w:pPr>
                  <w:r>
                    <w:rPr>
                      <w:sz w:val="21"/>
                      <w:szCs w:val="21"/>
                    </w:rPr>
                    <w:t>资源利用上线</w:t>
                  </w:r>
                </w:p>
              </w:tc>
              <w:tc>
                <w:tcPr>
                  <w:tcW w:w="2718" w:type="pct"/>
                  <w:vAlign w:val="center"/>
                </w:tcPr>
                <w:p w14:paraId="0C6D83AC">
                  <w:pPr>
                    <w:spacing w:line="240" w:lineRule="auto"/>
                    <w:ind w:firstLine="0" w:firstLineChars="0"/>
                    <w:contextualSpacing/>
                    <w:rPr>
                      <w:sz w:val="21"/>
                      <w:szCs w:val="21"/>
                    </w:rPr>
                  </w:pPr>
                  <w:r>
                    <w:rPr>
                      <w:sz w:val="21"/>
                      <w:szCs w:val="21"/>
                    </w:rPr>
                    <w:t>强化节约集约利用，持续提升资源能源利用效率，水资源、土地资源、能源消耗等达到国家、自治区下达的总量和强度控制目标，加快低碳发展，提升碳汇能力，做好碳达峰和碳中和工作</w:t>
                  </w:r>
                </w:p>
              </w:tc>
              <w:tc>
                <w:tcPr>
                  <w:tcW w:w="1225" w:type="pct"/>
                  <w:vAlign w:val="center"/>
                </w:tcPr>
                <w:p w14:paraId="60611528">
                  <w:pPr>
                    <w:spacing w:line="240" w:lineRule="auto"/>
                    <w:ind w:firstLine="0" w:firstLineChars="0"/>
                    <w:contextualSpacing/>
                    <w:rPr>
                      <w:sz w:val="21"/>
                      <w:szCs w:val="21"/>
                    </w:rPr>
                  </w:pPr>
                  <w:r>
                    <w:rPr>
                      <w:rFonts w:hint="eastAsia" w:eastAsiaTheme="minorEastAsia"/>
                      <w:color w:val="000000"/>
                      <w:sz w:val="21"/>
                      <w:szCs w:val="21"/>
                      <w:lang w:bidi="ar"/>
                    </w:rPr>
                    <w:t>施工用水由水车从附近城镇拉运至勘查区；工作人员生活用水为自带的纯净水，用水量较小；临时用地面积</w:t>
                  </w:r>
                  <w:r>
                    <w:rPr>
                      <w:rFonts w:eastAsiaTheme="minorEastAsia"/>
                      <w:color w:val="000000"/>
                      <w:sz w:val="21"/>
                      <w:szCs w:val="21"/>
                      <w:lang w:bidi="ar"/>
                    </w:rPr>
                    <w:t>9.8337hm²</w:t>
                  </w:r>
                  <w:r>
                    <w:rPr>
                      <w:rFonts w:hint="eastAsia" w:eastAsiaTheme="minorEastAsia"/>
                      <w:color w:val="000000"/>
                      <w:sz w:val="21"/>
                      <w:szCs w:val="21"/>
                      <w:lang w:bidi="ar"/>
                    </w:rPr>
                    <w:t>，已取得和静县自然资源局选址意见复函批复；施工期主要能耗为柴油，总消耗量约20t，由附近乡镇加油站购买，于勘查区内设柴油储存点进行暂存。项目能耗及用地规模均较小，符合绿色勘查要求</w:t>
                  </w:r>
                </w:p>
              </w:tc>
              <w:tc>
                <w:tcPr>
                  <w:tcW w:w="540" w:type="pct"/>
                  <w:vAlign w:val="center"/>
                </w:tcPr>
                <w:p w14:paraId="077577CD">
                  <w:pPr>
                    <w:spacing w:line="240" w:lineRule="auto"/>
                    <w:ind w:firstLine="0" w:firstLineChars="0"/>
                    <w:contextualSpacing/>
                    <w:jc w:val="center"/>
                    <w:rPr>
                      <w:sz w:val="21"/>
                      <w:szCs w:val="21"/>
                    </w:rPr>
                  </w:pPr>
                  <w:r>
                    <w:rPr>
                      <w:sz w:val="21"/>
                      <w:szCs w:val="21"/>
                    </w:rPr>
                    <w:t>符合</w:t>
                  </w:r>
                </w:p>
              </w:tc>
            </w:tr>
            <w:tr w14:paraId="1419F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5" w:hRule="atLeast"/>
                <w:jc w:val="center"/>
              </w:trPr>
              <w:tc>
                <w:tcPr>
                  <w:tcW w:w="517" w:type="pct"/>
                  <w:vAlign w:val="center"/>
                </w:tcPr>
                <w:p w14:paraId="48C64BC2">
                  <w:pPr>
                    <w:spacing w:line="240" w:lineRule="auto"/>
                    <w:ind w:firstLine="0" w:firstLineChars="0"/>
                    <w:contextualSpacing/>
                    <w:jc w:val="center"/>
                    <w:rPr>
                      <w:sz w:val="21"/>
                      <w:szCs w:val="21"/>
                    </w:rPr>
                  </w:pPr>
                  <w:r>
                    <w:rPr>
                      <w:spacing w:val="-10"/>
                      <w:kern w:val="0"/>
                      <w:sz w:val="21"/>
                      <w:szCs w:val="21"/>
                    </w:rPr>
                    <w:t>环境管控单元</w:t>
                  </w:r>
                </w:p>
              </w:tc>
              <w:tc>
                <w:tcPr>
                  <w:tcW w:w="2718" w:type="pct"/>
                  <w:vAlign w:val="center"/>
                </w:tcPr>
                <w:p w14:paraId="7A553E32">
                  <w:pPr>
                    <w:autoSpaceDE w:val="0"/>
                    <w:autoSpaceDN w:val="0"/>
                    <w:adjustRightInd w:val="0"/>
                    <w:spacing w:line="240" w:lineRule="auto"/>
                    <w:ind w:firstLine="420"/>
                    <w:rPr>
                      <w:color w:val="000000"/>
                      <w:sz w:val="21"/>
                      <w:szCs w:val="21"/>
                    </w:rPr>
                  </w:pPr>
                  <w:r>
                    <w:rPr>
                      <w:color w:val="000000"/>
                      <w:sz w:val="21"/>
                      <w:szCs w:val="21"/>
                    </w:rPr>
                    <w:t>自治州划定154个环境管控单元，分为优先保护单元、重点管控单元和一般管控单元等三个管控类别。</w:t>
                  </w:r>
                </w:p>
                <w:p w14:paraId="333FF382">
                  <w:pPr>
                    <w:autoSpaceDE w:val="0"/>
                    <w:autoSpaceDN w:val="0"/>
                    <w:adjustRightInd w:val="0"/>
                    <w:spacing w:line="240" w:lineRule="auto"/>
                    <w:ind w:firstLine="420"/>
                    <w:rPr>
                      <w:color w:val="000000"/>
                      <w:sz w:val="21"/>
                      <w:szCs w:val="21"/>
                    </w:rPr>
                  </w:pPr>
                  <w:r>
                    <w:rPr>
                      <w:color w:val="000000"/>
                      <w:sz w:val="21"/>
                      <w:szCs w:val="21"/>
                    </w:rPr>
                    <w:t>优先保护类单元66个。主要包括生态保护红线区和生态保护红线区以外的饮用水水源保护区、水源涵养区、防风固沙区、土地沙化防控区、水土流失防控区等一般生态空间管控区。生态保护红线区执行生态保护红线管理办法的有关要求；一般生态空间管控区应以生态环境保护优先为原则，开发建设活动应严格执行相关法律、法规要求，严守生态环境质量底线，确保生态功能不降低。</w:t>
                  </w:r>
                </w:p>
                <w:p w14:paraId="376D9912">
                  <w:pPr>
                    <w:autoSpaceDE w:val="0"/>
                    <w:autoSpaceDN w:val="0"/>
                    <w:adjustRightInd w:val="0"/>
                    <w:spacing w:line="240" w:lineRule="auto"/>
                    <w:ind w:firstLine="420"/>
                    <w:rPr>
                      <w:color w:val="000000"/>
                      <w:sz w:val="21"/>
                      <w:szCs w:val="21"/>
                    </w:rPr>
                  </w:pPr>
                  <w:r>
                    <w:rPr>
                      <w:color w:val="000000"/>
                      <w:sz w:val="21"/>
                      <w:szCs w:val="21"/>
                    </w:rPr>
                    <w:t>重点管控单元79个。主要包括城镇建成区、工业园区和开发强度大、污染物排放强度高的工业聚集区等。要着力优化空间布局，不断提升资源利用效率，有针对性地加强污染物排放管控和环境风险防控，解决生态环境质量不达标、生态环境风险高等问题。</w:t>
                  </w:r>
                </w:p>
                <w:p w14:paraId="02960F06">
                  <w:pPr>
                    <w:spacing w:line="240" w:lineRule="auto"/>
                    <w:ind w:firstLine="420"/>
                    <w:contextualSpacing/>
                    <w:rPr>
                      <w:sz w:val="21"/>
                      <w:szCs w:val="21"/>
                    </w:rPr>
                  </w:pPr>
                  <w:r>
                    <w:rPr>
                      <w:color w:val="000000"/>
                      <w:sz w:val="21"/>
                      <w:szCs w:val="21"/>
                    </w:rPr>
                    <w:t>一般管控单元共9个。主要包括优先保护单元和重点管控单元之外的其它区域。一般管控单元以沙漠、荒漠、戈壁、一般农业生产等为主的管控单元，主要落实生态环境保护基本要求，推动区域环境质量持续改善。</w:t>
                  </w:r>
                </w:p>
              </w:tc>
              <w:tc>
                <w:tcPr>
                  <w:tcW w:w="1225" w:type="pct"/>
                  <w:vAlign w:val="center"/>
                </w:tcPr>
                <w:p w14:paraId="51CB1798">
                  <w:pPr>
                    <w:spacing w:line="240" w:lineRule="auto"/>
                    <w:ind w:firstLine="0" w:firstLineChars="0"/>
                    <w:contextualSpacing/>
                    <w:rPr>
                      <w:color w:val="000000"/>
                      <w:sz w:val="21"/>
                      <w:szCs w:val="21"/>
                    </w:rPr>
                  </w:pPr>
                  <w:r>
                    <w:rPr>
                      <w:rFonts w:hint="eastAsia"/>
                      <w:sz w:val="21"/>
                      <w:szCs w:val="21"/>
                    </w:rPr>
                    <w:t>勘查区范围主体位于一般管控单元，另有部分区域涉及和静县大气弱扩散重点管控区。针对上述管控要求，项目坚持生态优先，施工过程严格执行环保法规，严守生态环境质量底线；在落实有效的污染防治和生态保护措施后，污染物均得到有效处置，环境影响可控</w:t>
                  </w:r>
                </w:p>
              </w:tc>
              <w:tc>
                <w:tcPr>
                  <w:tcW w:w="540" w:type="pct"/>
                  <w:vAlign w:val="center"/>
                </w:tcPr>
                <w:p w14:paraId="775507D2">
                  <w:pPr>
                    <w:spacing w:line="240" w:lineRule="auto"/>
                    <w:ind w:firstLine="0" w:firstLineChars="0"/>
                    <w:contextualSpacing/>
                    <w:jc w:val="center"/>
                    <w:rPr>
                      <w:sz w:val="21"/>
                      <w:szCs w:val="21"/>
                    </w:rPr>
                  </w:pPr>
                  <w:r>
                    <w:rPr>
                      <w:sz w:val="21"/>
                      <w:szCs w:val="21"/>
                    </w:rPr>
                    <w:t>符合</w:t>
                  </w:r>
                </w:p>
              </w:tc>
            </w:tr>
          </w:tbl>
          <w:p w14:paraId="4477F0EF">
            <w:pPr>
              <w:adjustRightInd w:val="0"/>
              <w:spacing w:before="156" w:beforeLines="50" w:line="240" w:lineRule="auto"/>
              <w:ind w:firstLine="0" w:firstLineChars="0"/>
              <w:jc w:val="center"/>
              <w:rPr>
                <w:b/>
                <w:kern w:val="0"/>
                <w:sz w:val="21"/>
                <w:szCs w:val="20"/>
              </w:rPr>
            </w:pPr>
            <w:r>
              <w:rPr>
                <w:rFonts w:hint="eastAsia"/>
                <w:b/>
                <w:kern w:val="0"/>
                <w:sz w:val="21"/>
                <w:szCs w:val="20"/>
              </w:rPr>
              <w:t>表</w:t>
            </w:r>
            <w:r>
              <w:rPr>
                <w:b/>
                <w:kern w:val="0"/>
                <w:sz w:val="21"/>
                <w:szCs w:val="20"/>
              </w:rPr>
              <w:t>1-</w:t>
            </w:r>
            <w:r>
              <w:rPr>
                <w:rFonts w:hint="eastAsia"/>
                <w:b/>
                <w:kern w:val="0"/>
                <w:sz w:val="21"/>
                <w:szCs w:val="20"/>
              </w:rPr>
              <w:t>6</w:t>
            </w:r>
            <w:r>
              <w:rPr>
                <w:b/>
                <w:kern w:val="0"/>
                <w:sz w:val="21"/>
                <w:szCs w:val="20"/>
              </w:rPr>
              <w:t xml:space="preserve">  </w:t>
            </w:r>
            <w:r>
              <w:rPr>
                <w:rFonts w:hint="eastAsia"/>
                <w:b/>
                <w:bCs/>
                <w:color w:val="000000"/>
                <w:sz w:val="21"/>
                <w:szCs w:val="21"/>
              </w:rPr>
              <w:t>和静县一般管控单元（Z</w:t>
            </w:r>
            <w:r>
              <w:rPr>
                <w:b/>
                <w:bCs/>
                <w:color w:val="000000"/>
                <w:sz w:val="21"/>
                <w:szCs w:val="21"/>
              </w:rPr>
              <w:t>H65282730001</w:t>
            </w:r>
            <w:r>
              <w:rPr>
                <w:rFonts w:hint="eastAsia"/>
                <w:b/>
                <w:bCs/>
                <w:color w:val="000000"/>
                <w:sz w:val="21"/>
                <w:szCs w:val="21"/>
              </w:rPr>
              <w:t>）生态环境管控要求</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4468"/>
              <w:gridCol w:w="2130"/>
              <w:gridCol w:w="532"/>
            </w:tblGrid>
            <w:tr w14:paraId="7F7D7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5" w:type="pct"/>
                  <w:tcBorders>
                    <w:top w:val="single" w:color="auto" w:sz="12" w:space="0"/>
                    <w:left w:val="single" w:color="auto" w:sz="12" w:space="0"/>
                    <w:bottom w:val="single" w:color="auto" w:sz="6" w:space="0"/>
                    <w:right w:val="single" w:color="auto" w:sz="6" w:space="0"/>
                  </w:tcBorders>
                  <w:vAlign w:val="center"/>
                </w:tcPr>
                <w:p w14:paraId="4862CBE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管控类型</w:t>
                  </w:r>
                </w:p>
              </w:tc>
              <w:tc>
                <w:tcPr>
                  <w:tcW w:w="3108" w:type="pct"/>
                  <w:tcBorders>
                    <w:top w:val="single" w:color="auto" w:sz="12" w:space="0"/>
                    <w:left w:val="single" w:color="auto" w:sz="12" w:space="0"/>
                    <w:bottom w:val="single" w:color="auto" w:sz="6" w:space="0"/>
                    <w:right w:val="single" w:color="auto" w:sz="6" w:space="0"/>
                  </w:tcBorders>
                  <w:vAlign w:val="center"/>
                </w:tcPr>
                <w:p w14:paraId="113536E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管控要求</w:t>
                  </w:r>
                </w:p>
              </w:tc>
              <w:tc>
                <w:tcPr>
                  <w:tcW w:w="1148" w:type="pct"/>
                  <w:tcBorders>
                    <w:top w:val="single" w:color="auto" w:sz="12" w:space="0"/>
                    <w:left w:val="single" w:color="auto" w:sz="6" w:space="0"/>
                    <w:bottom w:val="single" w:color="auto" w:sz="6" w:space="0"/>
                    <w:right w:val="single" w:color="auto" w:sz="6" w:space="0"/>
                  </w:tcBorders>
                  <w:vAlign w:val="center"/>
                </w:tcPr>
                <w:p w14:paraId="418841E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p>
              </w:tc>
              <w:tc>
                <w:tcPr>
                  <w:tcW w:w="439" w:type="pct"/>
                  <w:tcBorders>
                    <w:top w:val="single" w:color="auto" w:sz="12" w:space="0"/>
                    <w:left w:val="single" w:color="auto" w:sz="6" w:space="0"/>
                    <w:bottom w:val="single" w:color="auto" w:sz="6" w:space="0"/>
                    <w:right w:val="single" w:color="auto" w:sz="12" w:space="0"/>
                  </w:tcBorders>
                  <w:vAlign w:val="center"/>
                </w:tcPr>
                <w:p w14:paraId="235498F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符合性</w:t>
                  </w:r>
                </w:p>
              </w:tc>
            </w:tr>
            <w:tr w14:paraId="749D98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05" w:type="pct"/>
                  <w:tcBorders>
                    <w:top w:val="single" w:color="auto" w:sz="6" w:space="0"/>
                    <w:left w:val="single" w:color="auto" w:sz="12" w:space="0"/>
                    <w:bottom w:val="single" w:color="auto" w:sz="12" w:space="0"/>
                    <w:right w:val="single" w:color="auto" w:sz="6" w:space="0"/>
                  </w:tcBorders>
                  <w:vAlign w:val="center"/>
                </w:tcPr>
                <w:p w14:paraId="0C4FBFD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空间布局约束</w:t>
                  </w:r>
                </w:p>
              </w:tc>
              <w:tc>
                <w:tcPr>
                  <w:tcW w:w="3108" w:type="pct"/>
                  <w:tcBorders>
                    <w:top w:val="single" w:color="auto" w:sz="6" w:space="0"/>
                    <w:left w:val="single" w:color="auto" w:sz="6" w:space="0"/>
                    <w:bottom w:val="single" w:color="auto" w:sz="6" w:space="0"/>
                    <w:right w:val="single" w:color="auto" w:sz="6" w:space="0"/>
                  </w:tcBorders>
                  <w:vAlign w:val="center"/>
                </w:tcPr>
                <w:p w14:paraId="6A7EA47E">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1.强化畜禽粪污资源化利用，改善养殖场通风环境，提高畜禽粪污综合利用率，减少氨挥发排放。鼓励和支持散养密集区实行畜禽粪污分户收集、集中处理。</w:t>
                  </w:r>
                </w:p>
                <w:p w14:paraId="17796160">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2.严格控制林地、草地、园地农药使用量，禁止使用高毒、高残留农药。</w:t>
                  </w:r>
                </w:p>
                <w:p w14:paraId="26994D0F">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3.加强种植业污染防治。推广应用科学施肥、病虫害绿色防控和综合防治等技术；加强农药包装废弃物管理；实施农膜回收行动，推进农作物秸秆综合利用，健全回收利用体系，提高废旧地膜回收率。</w:t>
                  </w:r>
                </w:p>
                <w:p w14:paraId="622E003B">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4.对化学品生产企业、工业集聚区、尾矿库、矿山开采区、危险废物处置场、垃圾填埋场等地下水污染源及周边区域，逐步开展地下水环境状况调查评估，加强风险管控。</w:t>
                  </w:r>
                </w:p>
                <w:p w14:paraId="19CBB1BA">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5.严控土壤重金属污染，加强油（气）田开发土壤污染防治，以历史遗留工业企业污染场地为重点，开展土壤污染风险管控与修复工程。</w:t>
                  </w:r>
                </w:p>
                <w:p w14:paraId="366DDB54">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p w14:paraId="2F83E62E">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7.金属和非金属矿山采选企业新建、改建、扩建执行《新疆维吾尔自治区重点行业环境准入条件（修订）》相关要求</w:t>
                  </w:r>
                </w:p>
              </w:tc>
              <w:tc>
                <w:tcPr>
                  <w:tcW w:w="1148" w:type="pct"/>
                  <w:tcBorders>
                    <w:top w:val="single" w:color="auto" w:sz="6" w:space="0"/>
                    <w:left w:val="single" w:color="auto" w:sz="6" w:space="0"/>
                    <w:bottom w:val="single" w:color="auto" w:sz="6" w:space="0"/>
                    <w:right w:val="single" w:color="auto" w:sz="6" w:space="0"/>
                  </w:tcBorders>
                  <w:vAlign w:val="center"/>
                </w:tcPr>
                <w:p w14:paraId="7222432E">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项目不占用生态保护红线，不涉及自然保护区、风景名胜区、饮用水水源保护区等法定敏感区，但位于相关生态功能区，且距生态保护红线最近约775.57m，应落实生态功能区保护目标和红线周边施工管控要求</w:t>
                  </w:r>
                </w:p>
                <w:p w14:paraId="27783F10">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2、本项目为固体矿产地质勘探，不属于重点排污单位，且各项污染物均可达标排放</w:t>
                  </w:r>
                </w:p>
              </w:tc>
              <w:tc>
                <w:tcPr>
                  <w:tcW w:w="439" w:type="pct"/>
                  <w:tcBorders>
                    <w:top w:val="single" w:color="auto" w:sz="6" w:space="0"/>
                    <w:left w:val="single" w:color="auto" w:sz="6" w:space="0"/>
                    <w:bottom w:val="single" w:color="auto" w:sz="6" w:space="0"/>
                    <w:right w:val="single" w:color="auto" w:sz="12" w:space="0"/>
                  </w:tcBorders>
                  <w:vAlign w:val="center"/>
                </w:tcPr>
                <w:p w14:paraId="4B180C5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14230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atLeast"/>
              </w:trPr>
              <w:tc>
                <w:tcPr>
                  <w:tcW w:w="305" w:type="pct"/>
                  <w:tcBorders>
                    <w:top w:val="single" w:color="auto" w:sz="6" w:space="0"/>
                    <w:left w:val="single" w:color="auto" w:sz="12" w:space="0"/>
                    <w:bottom w:val="single" w:color="auto" w:sz="12" w:space="0"/>
                    <w:right w:val="single" w:color="auto" w:sz="6" w:space="0"/>
                  </w:tcBorders>
                  <w:vAlign w:val="center"/>
                </w:tcPr>
                <w:p w14:paraId="5CFEC99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污染物排放管控</w:t>
                  </w:r>
                </w:p>
              </w:tc>
              <w:tc>
                <w:tcPr>
                  <w:tcW w:w="3108" w:type="pct"/>
                  <w:tcBorders>
                    <w:top w:val="single" w:color="auto" w:sz="6" w:space="0"/>
                    <w:left w:val="single" w:color="auto" w:sz="6" w:space="0"/>
                    <w:bottom w:val="single" w:color="auto" w:sz="6" w:space="0"/>
                    <w:right w:val="single" w:color="auto" w:sz="6" w:space="0"/>
                  </w:tcBorders>
                  <w:vAlign w:val="center"/>
                </w:tcPr>
                <w:p w14:paraId="35880483">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1.加强对矿山、油田等矿产资源开采影响区域内未利用地的环境监管，发现土壤污染问题的，要坚决查处，并及时督促有关单位采取有效防治措施消除或减轻污染。</w:t>
                  </w:r>
                </w:p>
                <w:p w14:paraId="3E21F5F3">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2.对排查出的危库和病库以及风险评估有严重环境安全隐患的尾矿库，要求企业完善污染治理设施、进行治理和修复。全面整治历史遗留尾矿库，完善覆膜、压土、排洪、堤坝加固等隐患治理和闭库措施。</w:t>
                  </w:r>
                </w:p>
                <w:p w14:paraId="37E53562">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3.依法推行农用地分类管理制度，强化受污染耕地安全利用和风险管控。因地制宜制定实施 安全利用方案，鼓励采取种植结构调整等措施，确保受污染耕地全部实现安全利用。</w:t>
                  </w:r>
                </w:p>
                <w:p w14:paraId="6F3DBCBA">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一般工业固体废物贮存、处置场污染控制标准》（GB18599）进行管理，属危险废物的按危险废物相关要求依法进行管理，其贮存设施须符合《危险废物贮存污染控制标准》（GB18597）。矿山生态环境保护和恢复要达到《矿山生态环境保护与恢复治理技术规范》（HJ651）及其他有关环保法律法规的相关要求。</w:t>
                  </w:r>
                </w:p>
              </w:tc>
              <w:tc>
                <w:tcPr>
                  <w:tcW w:w="1148" w:type="pct"/>
                  <w:tcBorders>
                    <w:top w:val="single" w:color="auto" w:sz="6" w:space="0"/>
                    <w:left w:val="single" w:color="auto" w:sz="6" w:space="0"/>
                    <w:bottom w:val="single" w:color="auto" w:sz="6" w:space="0"/>
                    <w:right w:val="single" w:color="auto" w:sz="6" w:space="0"/>
                  </w:tcBorders>
                  <w:vAlign w:val="center"/>
                </w:tcPr>
                <w:p w14:paraId="2E7E1A64">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采用绿色勘查技术（按照《固体矿产地质勘查规范总则》（GB/T13908-2020）中绿色勘查的要求，将生态环境保护贯穿于勘查设计、施工、验收全过程，设计中选用适宜的勘查方法、技术手段和设备，勘查施工过程中尽量避开对耕地的占用和压实，以及对植被的损毁，对勘查过程产生的固废进行有效管控，勘查工作结束后对施工造成的临时占地等进行生态恢复）；临时用地通过覆土、种植等措施开展复垦还绿；项目废水、固废均采取了合理的处置措施，防止对水体和土壤造成污染。建设单位将严格落实本报告提出的生态环境保护措施。采取上述措施后，项目产生的污染物均能得到妥善处置，因此对环境影响较小</w:t>
                  </w:r>
                </w:p>
              </w:tc>
              <w:tc>
                <w:tcPr>
                  <w:tcW w:w="439" w:type="pct"/>
                  <w:tcBorders>
                    <w:top w:val="single" w:color="auto" w:sz="6" w:space="0"/>
                    <w:left w:val="single" w:color="auto" w:sz="6" w:space="0"/>
                    <w:bottom w:val="single" w:color="auto" w:sz="6" w:space="0"/>
                    <w:right w:val="single" w:color="auto" w:sz="12" w:space="0"/>
                  </w:tcBorders>
                  <w:vAlign w:val="center"/>
                </w:tcPr>
                <w:p w14:paraId="36C73AA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32A26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8" w:hRule="atLeast"/>
              </w:trPr>
              <w:tc>
                <w:tcPr>
                  <w:tcW w:w="305" w:type="pct"/>
                  <w:tcBorders>
                    <w:top w:val="single" w:color="auto" w:sz="6" w:space="0"/>
                    <w:left w:val="single" w:color="auto" w:sz="12" w:space="0"/>
                    <w:bottom w:val="single" w:color="auto" w:sz="12" w:space="0"/>
                    <w:right w:val="single" w:color="auto" w:sz="6" w:space="0"/>
                  </w:tcBorders>
                  <w:vAlign w:val="center"/>
                </w:tcPr>
                <w:p w14:paraId="1E26815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环境风险防控</w:t>
                  </w:r>
                </w:p>
              </w:tc>
              <w:tc>
                <w:tcPr>
                  <w:tcW w:w="3108" w:type="pct"/>
                  <w:tcBorders>
                    <w:top w:val="single" w:color="auto" w:sz="6" w:space="0"/>
                    <w:left w:val="single" w:color="auto" w:sz="6" w:space="0"/>
                    <w:bottom w:val="single" w:color="auto" w:sz="6" w:space="0"/>
                    <w:right w:val="single" w:color="auto" w:sz="6" w:space="0"/>
                  </w:tcBorders>
                  <w:vAlign w:val="center"/>
                </w:tcPr>
                <w:p w14:paraId="463BD7F1">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1.推广渠道防渗、管道输水、喷灌、微灌等节水灌溉技术，完善灌溉用水计量设施。推进规模化高效节水灌溉，推广农作物节水抗旱技术。建立灌区墒情测报网络，提高农业用水效率，降低农业用水比重。</w:t>
                  </w:r>
                </w:p>
                <w:p w14:paraId="00D81863">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定期对企业及周边土壤进行监测；对不符合法律法规和相关标准要求的，应当根据监测结果，要求运营单位采取相应改进措施。土壤环境监管重点行业企业拆除生产设施设备、构筑物和污染治理设施，要事先制定残留污染物清理和安全处置方案，并报所在地县级生态环境、工业和信息化部门备案；要严格按照有关规定实施安全处理处置，防范拆除活动污染土壤</w:t>
                  </w:r>
                  <w:r>
                    <w:rPr>
                      <w:rFonts w:hint="eastAsia"/>
                      <w:color w:val="000000" w:themeColor="text1"/>
                      <w:sz w:val="21"/>
                      <w:szCs w:val="21"/>
                      <w14:textFill>
                        <w14:solidFill>
                          <w14:schemeClr w14:val="tx1"/>
                        </w14:solidFill>
                      </w14:textFill>
                    </w:rPr>
                    <w:t>。</w:t>
                  </w:r>
                </w:p>
              </w:tc>
              <w:tc>
                <w:tcPr>
                  <w:tcW w:w="1148" w:type="pct"/>
                  <w:tcBorders>
                    <w:top w:val="single" w:color="auto" w:sz="6" w:space="0"/>
                    <w:left w:val="single" w:color="auto" w:sz="6" w:space="0"/>
                    <w:bottom w:val="single" w:color="auto" w:sz="6" w:space="0"/>
                    <w:right w:val="single" w:color="auto" w:sz="6" w:space="0"/>
                  </w:tcBorders>
                  <w:vAlign w:val="center"/>
                </w:tcPr>
                <w:p w14:paraId="21A5FEBE">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①本项目为探矿项目，属于矿产资源勘查活动，不属于有色金属冶炼、石油加工、化工、焦化、电镀、制革等应当纳入排污许可重点管理的行业</w:t>
                  </w:r>
                </w:p>
                <w:p w14:paraId="27ABE8A5">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②本项目施工期生产废水经沉淀处理后全部回用，不外排；固体废物分类收集处置，危险废物委托有资质单位处置，不存在土壤污染途径。同时，项目勘查活动结束后，及时对勘查区域进行清理，清除可能危害公共安全的设施、设备，对废弃钻孔、坑探、探槽等进行回填或封堵，恢复区域地貌</w:t>
                  </w:r>
                </w:p>
              </w:tc>
              <w:tc>
                <w:tcPr>
                  <w:tcW w:w="439" w:type="pct"/>
                  <w:tcBorders>
                    <w:top w:val="single" w:color="auto" w:sz="6" w:space="0"/>
                    <w:left w:val="single" w:color="auto" w:sz="6" w:space="0"/>
                    <w:bottom w:val="single" w:color="auto" w:sz="6" w:space="0"/>
                    <w:right w:val="single" w:color="auto" w:sz="12" w:space="0"/>
                  </w:tcBorders>
                  <w:vAlign w:val="center"/>
                </w:tcPr>
                <w:p w14:paraId="0908D36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18515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5" w:hRule="atLeast"/>
              </w:trPr>
              <w:tc>
                <w:tcPr>
                  <w:tcW w:w="305" w:type="pct"/>
                  <w:tcBorders>
                    <w:top w:val="single" w:color="auto" w:sz="6" w:space="0"/>
                    <w:left w:val="single" w:color="auto" w:sz="12" w:space="0"/>
                    <w:bottom w:val="single" w:color="auto" w:sz="12" w:space="0"/>
                    <w:right w:val="single" w:color="auto" w:sz="6" w:space="0"/>
                  </w:tcBorders>
                  <w:vAlign w:val="center"/>
                </w:tcPr>
                <w:p w14:paraId="1B75712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资源利用效率</w:t>
                  </w:r>
                </w:p>
              </w:tc>
              <w:tc>
                <w:tcPr>
                  <w:tcW w:w="3108" w:type="pct"/>
                  <w:tcBorders>
                    <w:top w:val="single" w:color="auto" w:sz="6" w:space="0"/>
                    <w:left w:val="single" w:color="auto" w:sz="6" w:space="0"/>
                    <w:bottom w:val="single" w:color="auto" w:sz="12" w:space="0"/>
                    <w:right w:val="single" w:color="auto" w:sz="6" w:space="0"/>
                  </w:tcBorders>
                  <w:vAlign w:val="center"/>
                </w:tcPr>
                <w:p w14:paraId="0382AFCD">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1.强化畜禽粪污资源化利用，改善养殖场通风环境，提高畜禽粪污综合利用率，减少氨挥发排放。鼓励和支持散养密集区实行畜禽粪污分户收集、集中处理。</w:t>
                  </w:r>
                </w:p>
                <w:p w14:paraId="479EFBA7">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2.严格控制林地、草地、园地农药使用量，禁止使用高毒、高残留农药。</w:t>
                  </w:r>
                </w:p>
                <w:p w14:paraId="392907A4">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3.对化学品生产企业、工业集聚区、尾矿库、矿山开采区、危险废物处置场、垃圾填埋场等地下水污染源及周边区域，逐步开展地下水环境状况调查评估，加强风险管控。</w:t>
                  </w:r>
                </w:p>
                <w:p w14:paraId="7616ED7A">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4.严控土壤重金属污染，加强油（气）田开发土壤污染防治，以历史遗留工业企业污染场地为重点，开展土壤污染风险管控与修复工程。</w:t>
                  </w:r>
                </w:p>
                <w:p w14:paraId="68A1456C">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p w14:paraId="0DF133DA">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6.废石综合回用、尾矿砂利用率参考《新疆维吾尔自治区重点行业环境准入条件（修订）》等相关文件要求</w:t>
                  </w:r>
                  <w:r>
                    <w:rPr>
                      <w:rFonts w:hint="eastAsia"/>
                      <w:color w:val="000000" w:themeColor="text1"/>
                      <w:sz w:val="21"/>
                      <w:szCs w:val="21"/>
                      <w14:textFill>
                        <w14:solidFill>
                          <w14:schemeClr w14:val="tx1"/>
                        </w14:solidFill>
                      </w14:textFill>
                    </w:rPr>
                    <w:t>。</w:t>
                  </w:r>
                </w:p>
              </w:tc>
              <w:tc>
                <w:tcPr>
                  <w:tcW w:w="1148" w:type="pct"/>
                  <w:tcBorders>
                    <w:top w:val="single" w:color="auto" w:sz="6" w:space="0"/>
                    <w:left w:val="single" w:color="auto" w:sz="6" w:space="0"/>
                    <w:bottom w:val="single" w:color="auto" w:sz="12" w:space="0"/>
                    <w:right w:val="single" w:color="auto" w:sz="6" w:space="0"/>
                  </w:tcBorders>
                  <w:vAlign w:val="center"/>
                </w:tcPr>
                <w:p w14:paraId="795EF015">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①本项目施工废水经沉淀后全部回用，不外排，实现水资源循环利用，用水效率高</w:t>
                  </w:r>
                </w:p>
                <w:p w14:paraId="4A2D572E">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②施工用电采用柴油发电机，施工结束后拆除，不占用永久电力资源</w:t>
                  </w:r>
                </w:p>
                <w:p w14:paraId="48765BCC">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③本项目不涉及畜禽粪污、农药、重金属、尾矿砂等管控内容，符合资源利用效率要求</w:t>
                  </w:r>
                </w:p>
              </w:tc>
              <w:tc>
                <w:tcPr>
                  <w:tcW w:w="439" w:type="pct"/>
                  <w:tcBorders>
                    <w:top w:val="single" w:color="auto" w:sz="6" w:space="0"/>
                    <w:left w:val="single" w:color="auto" w:sz="6" w:space="0"/>
                    <w:bottom w:val="single" w:color="auto" w:sz="12" w:space="0"/>
                    <w:right w:val="single" w:color="auto" w:sz="12" w:space="0"/>
                  </w:tcBorders>
                  <w:vAlign w:val="center"/>
                </w:tcPr>
                <w:p w14:paraId="7FAC840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bl>
          <w:p w14:paraId="049B8984">
            <w:pPr>
              <w:adjustRightInd w:val="0"/>
              <w:spacing w:before="156" w:beforeLines="50" w:line="240" w:lineRule="auto"/>
              <w:ind w:firstLine="0" w:firstLineChars="0"/>
              <w:jc w:val="center"/>
              <w:rPr>
                <w:b/>
                <w:kern w:val="0"/>
                <w:sz w:val="21"/>
                <w:szCs w:val="20"/>
              </w:rPr>
            </w:pPr>
            <w:r>
              <w:rPr>
                <w:rFonts w:hint="eastAsia"/>
                <w:b/>
                <w:kern w:val="0"/>
                <w:sz w:val="21"/>
                <w:szCs w:val="20"/>
              </w:rPr>
              <w:t>表</w:t>
            </w:r>
            <w:r>
              <w:rPr>
                <w:b/>
                <w:kern w:val="0"/>
                <w:sz w:val="21"/>
                <w:szCs w:val="20"/>
              </w:rPr>
              <w:t xml:space="preserve">1-7  </w:t>
            </w:r>
            <w:r>
              <w:rPr>
                <w:rFonts w:hint="eastAsia"/>
                <w:b/>
                <w:bCs/>
                <w:color w:val="000000"/>
                <w:sz w:val="21"/>
                <w:szCs w:val="21"/>
              </w:rPr>
              <w:t>和静县大气弱扩散区（</w:t>
            </w:r>
            <w:r>
              <w:rPr>
                <w:b/>
                <w:bCs/>
                <w:color w:val="000000"/>
                <w:sz w:val="21"/>
                <w:szCs w:val="21"/>
              </w:rPr>
              <w:t>ZH65282720002</w:t>
            </w:r>
            <w:r>
              <w:rPr>
                <w:rFonts w:hint="eastAsia"/>
                <w:b/>
                <w:bCs/>
                <w:color w:val="000000"/>
                <w:sz w:val="21"/>
                <w:szCs w:val="21"/>
              </w:rPr>
              <w:t>）生态环境管控要求</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701"/>
              <w:gridCol w:w="2626"/>
              <w:gridCol w:w="3566"/>
              <w:gridCol w:w="663"/>
            </w:tblGrid>
            <w:tr w14:paraId="34563E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0" w:hRule="atLeast"/>
              </w:trPr>
              <w:tc>
                <w:tcPr>
                  <w:tcW w:w="464" w:type="pct"/>
                  <w:vAlign w:val="center"/>
                </w:tcPr>
                <w:p w14:paraId="5DF742C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管控类型</w:t>
                  </w:r>
                </w:p>
              </w:tc>
              <w:tc>
                <w:tcPr>
                  <w:tcW w:w="1738" w:type="pct"/>
                  <w:vAlign w:val="center"/>
                </w:tcPr>
                <w:p w14:paraId="71C8A99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管控要求</w:t>
                  </w:r>
                </w:p>
              </w:tc>
              <w:tc>
                <w:tcPr>
                  <w:tcW w:w="2360" w:type="pct"/>
                  <w:vAlign w:val="center"/>
                </w:tcPr>
                <w:p w14:paraId="3A202BD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p>
              </w:tc>
              <w:tc>
                <w:tcPr>
                  <w:tcW w:w="438" w:type="pct"/>
                  <w:vAlign w:val="center"/>
                </w:tcPr>
                <w:p w14:paraId="7F3F240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符合性</w:t>
                  </w:r>
                </w:p>
              </w:tc>
            </w:tr>
            <w:tr w14:paraId="34C05F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464" w:type="pct"/>
                  <w:vAlign w:val="center"/>
                </w:tcPr>
                <w:p w14:paraId="6BB97D1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空间布局约束</w:t>
                  </w:r>
                </w:p>
              </w:tc>
              <w:tc>
                <w:tcPr>
                  <w:tcW w:w="1738" w:type="pct"/>
                  <w:vAlign w:val="center"/>
                </w:tcPr>
                <w:p w14:paraId="4600B784">
                  <w:pPr>
                    <w:spacing w:line="240" w:lineRule="auto"/>
                    <w:ind w:firstLine="0" w:firstLineChars="0"/>
                    <w:rPr>
                      <w:color w:val="000000" w:themeColor="text1"/>
                      <w:sz w:val="21"/>
                      <w:szCs w:val="21"/>
                      <w14:textFill>
                        <w14:solidFill>
                          <w14:schemeClr w14:val="tx1"/>
                        </w14:solidFill>
                      </w14:textFill>
                    </w:rPr>
                  </w:pPr>
                  <w:r>
                    <w:rPr>
                      <w:rFonts w:hint="eastAsia"/>
                      <w:color w:val="000000"/>
                      <w:sz w:val="21"/>
                      <w:szCs w:val="21"/>
                    </w:rPr>
                    <w:t>严格建设项目节能环保准入，涉及大气污染物排放的，执行国家大气污染物排放限值，待地方大气污染物排放标准出台后一并执行。</w:t>
                  </w:r>
                </w:p>
              </w:tc>
              <w:tc>
                <w:tcPr>
                  <w:tcW w:w="2360" w:type="pct"/>
                  <w:vAlign w:val="center"/>
                </w:tcPr>
                <w:p w14:paraId="248D2CFB">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施工期间，针对土石方作业产生的扬尘，要求采用防尘网苫盖，并对运输车辆限速行驶，同时采取洒水措施以进一步抑制扬尘。对于燃油废气，通过对柴油发电机及运输车辆定期维护保养，提高燃烧效率，从而减少尾气排放。</w:t>
                  </w:r>
                  <w:r>
                    <w:rPr>
                      <w:color w:val="000000" w:themeColor="text1"/>
                      <w:sz w:val="21"/>
                      <w:szCs w:val="21"/>
                      <w14:textFill>
                        <w14:solidFill>
                          <w14:schemeClr w14:val="tx1"/>
                        </w14:solidFill>
                      </w14:textFill>
                    </w:rPr>
                    <w:t>执行《大气污染物综合排放标准》（GB16297-</w:t>
                  </w:r>
                  <w:r>
                    <w:rPr>
                      <w:rFonts w:hint="eastAsia"/>
                      <w:color w:val="000000" w:themeColor="text1"/>
                      <w:sz w:val="21"/>
                      <w:szCs w:val="21"/>
                      <w14:textFill>
                        <w14:solidFill>
                          <w14:schemeClr w14:val="tx1"/>
                        </w14:solidFill>
                      </w14:textFill>
                    </w:rPr>
                    <w:t>19</w:t>
                  </w:r>
                  <w:r>
                    <w:rPr>
                      <w:color w:val="000000" w:themeColor="text1"/>
                      <w:sz w:val="21"/>
                      <w:szCs w:val="21"/>
                      <w14:textFill>
                        <w14:solidFill>
                          <w14:schemeClr w14:val="tx1"/>
                        </w14:solidFill>
                      </w14:textFill>
                    </w:rPr>
                    <w:t>96）</w:t>
                  </w:r>
                  <w:r>
                    <w:rPr>
                      <w:rFonts w:hint="eastAsia"/>
                      <w:color w:val="000000" w:themeColor="text1"/>
                      <w:sz w:val="21"/>
                      <w:szCs w:val="21"/>
                      <w14:textFill>
                        <w14:solidFill>
                          <w14:schemeClr w14:val="tx1"/>
                        </w14:solidFill>
                      </w14:textFill>
                    </w:rPr>
                    <w:t>中表2无组织排放监控浓度限值</w:t>
                  </w:r>
                </w:p>
              </w:tc>
              <w:tc>
                <w:tcPr>
                  <w:tcW w:w="438" w:type="pct"/>
                  <w:vAlign w:val="center"/>
                </w:tcPr>
                <w:p w14:paraId="57034D7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232016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 w:hRule="atLeast"/>
              </w:trPr>
              <w:tc>
                <w:tcPr>
                  <w:tcW w:w="464" w:type="pct"/>
                  <w:vAlign w:val="center"/>
                </w:tcPr>
                <w:p w14:paraId="53220F5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污染物排放管控</w:t>
                  </w:r>
                </w:p>
              </w:tc>
              <w:tc>
                <w:tcPr>
                  <w:tcW w:w="1738" w:type="pct"/>
                  <w:vAlign w:val="center"/>
                </w:tcPr>
                <w:p w14:paraId="5CB43521">
                  <w:pPr>
                    <w:spacing w:line="240" w:lineRule="auto"/>
                    <w:ind w:firstLine="0" w:firstLineChars="0"/>
                    <w:rPr>
                      <w:color w:val="000000" w:themeColor="text1"/>
                      <w:sz w:val="21"/>
                      <w:szCs w:val="21"/>
                      <w14:textFill>
                        <w14:solidFill>
                          <w14:schemeClr w14:val="tx1"/>
                        </w14:solidFill>
                      </w14:textFill>
                    </w:rPr>
                  </w:pPr>
                  <w:r>
                    <w:rPr>
                      <w:rFonts w:hint="eastAsia"/>
                      <w:color w:val="000000"/>
                      <w:sz w:val="21"/>
                      <w:szCs w:val="21"/>
                    </w:rPr>
                    <w:t>执行环境空气质量二级标准。</w:t>
                  </w:r>
                </w:p>
              </w:tc>
              <w:tc>
                <w:tcPr>
                  <w:tcW w:w="2360" w:type="pct"/>
                  <w:vAlign w:val="center"/>
                </w:tcPr>
                <w:p w14:paraId="086724BC">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本次评价采用和静县空气自动监测站</w:t>
                  </w:r>
                  <w:r>
                    <w:rPr>
                      <w:color w:val="000000" w:themeColor="text1"/>
                      <w:sz w:val="21"/>
                      <w:szCs w:val="21"/>
                      <w14:textFill>
                        <w14:solidFill>
                          <w14:schemeClr w14:val="tx1"/>
                        </w14:solidFill>
                      </w14:textFill>
                    </w:rPr>
                    <w:t>2024</w:t>
                  </w:r>
                  <w:r>
                    <w:rPr>
                      <w:rFonts w:hint="eastAsia"/>
                      <w:color w:val="000000" w:themeColor="text1"/>
                      <w:sz w:val="21"/>
                      <w:szCs w:val="21"/>
                      <w14:textFill>
                        <w14:solidFill>
                          <w14:schemeClr w14:val="tx1"/>
                        </w14:solidFill>
                      </w14:textFill>
                    </w:rPr>
                    <w:t>年全年监测数据。受沙尘天气影响，</w:t>
                  </w:r>
                  <w:r>
                    <w:rPr>
                      <w:color w:val="000000" w:themeColor="text1"/>
                      <w:sz w:val="21"/>
                      <w:szCs w:val="21"/>
                      <w14:textFill>
                        <w14:solidFill>
                          <w14:schemeClr w14:val="tx1"/>
                        </w14:solidFill>
                      </w14:textFill>
                    </w:rPr>
                    <w:t>PM</w:t>
                  </w:r>
                  <w:r>
                    <w:rPr>
                      <w:color w:val="000000" w:themeColor="text1"/>
                      <w:sz w:val="21"/>
                      <w:szCs w:val="21"/>
                      <w:vertAlign w:val="subscript"/>
                      <w14:textFill>
                        <w14:solidFill>
                          <w14:schemeClr w14:val="tx1"/>
                        </w14:solidFill>
                      </w14:textFill>
                    </w:rPr>
                    <w:t>2.5</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PM</w:t>
                  </w:r>
                  <w:r>
                    <w:rPr>
                      <w:color w:val="000000" w:themeColor="text1"/>
                      <w:sz w:val="21"/>
                      <w:szCs w:val="21"/>
                      <w:vertAlign w:val="subscript"/>
                      <w14:textFill>
                        <w14:solidFill>
                          <w14:schemeClr w14:val="tx1"/>
                        </w14:solidFill>
                      </w14:textFill>
                    </w:rPr>
                    <w:t>10</w:t>
                  </w:r>
                  <w:r>
                    <w:rPr>
                      <w:rFonts w:hint="eastAsia"/>
                      <w:color w:val="000000" w:themeColor="text1"/>
                      <w:sz w:val="21"/>
                      <w:szCs w:val="21"/>
                      <w14:textFill>
                        <w14:solidFill>
                          <w14:schemeClr w14:val="tx1"/>
                        </w14:solidFill>
                      </w14:textFill>
                    </w:rPr>
                    <w:t>的年平均浓度及</w:t>
                  </w:r>
                  <w:r>
                    <w:rPr>
                      <w:color w:val="000000" w:themeColor="text1"/>
                      <w:sz w:val="21"/>
                      <w:szCs w:val="21"/>
                      <w14:textFill>
                        <w14:solidFill>
                          <w14:schemeClr w14:val="tx1"/>
                        </w14:solidFill>
                      </w14:textFill>
                    </w:rPr>
                    <w:t>24</w:t>
                  </w:r>
                  <w:r>
                    <w:rPr>
                      <w:rFonts w:hint="eastAsia"/>
                      <w:color w:val="000000" w:themeColor="text1"/>
                      <w:sz w:val="21"/>
                      <w:szCs w:val="21"/>
                      <w14:textFill>
                        <w14:solidFill>
                          <w14:schemeClr w14:val="tx1"/>
                        </w14:solidFill>
                      </w14:textFill>
                    </w:rPr>
                    <w:t>小时平均质量浓度第</w:t>
                  </w:r>
                  <w:r>
                    <w:rPr>
                      <w:color w:val="000000" w:themeColor="text1"/>
                      <w:sz w:val="21"/>
                      <w:szCs w:val="21"/>
                      <w14:textFill>
                        <w14:solidFill>
                          <w14:schemeClr w14:val="tx1"/>
                        </w14:solidFill>
                      </w14:textFill>
                    </w:rPr>
                    <w:t>95</w:t>
                  </w:r>
                  <w:r>
                    <w:rPr>
                      <w:rFonts w:hint="eastAsia"/>
                      <w:color w:val="000000" w:themeColor="text1"/>
                      <w:sz w:val="21"/>
                      <w:szCs w:val="21"/>
                      <w14:textFill>
                        <w14:solidFill>
                          <w14:schemeClr w14:val="tx1"/>
                        </w14:solidFill>
                      </w14:textFill>
                    </w:rPr>
                    <w:t>百分位数均超过《环境空气质量标准》（</w:t>
                  </w:r>
                  <w:r>
                    <w:rPr>
                      <w:color w:val="000000" w:themeColor="text1"/>
                      <w:sz w:val="21"/>
                      <w:szCs w:val="21"/>
                      <w14:textFill>
                        <w14:solidFill>
                          <w14:schemeClr w14:val="tx1"/>
                        </w14:solidFill>
                      </w14:textFill>
                    </w:rPr>
                    <w:t>GB3095-2026</w:t>
                  </w:r>
                  <w:r>
                    <w:rPr>
                      <w:rFonts w:hint="eastAsia"/>
                      <w:color w:val="000000" w:themeColor="text1"/>
                      <w:sz w:val="21"/>
                      <w:szCs w:val="21"/>
                      <w14:textFill>
                        <w14:solidFill>
                          <w14:schemeClr w14:val="tx1"/>
                        </w14:solidFill>
                      </w14:textFill>
                    </w:rPr>
                    <w:t>）二级标准要求；</w:t>
                  </w:r>
                  <w:r>
                    <w:rPr>
                      <w:color w:val="000000" w:themeColor="text1"/>
                      <w:sz w:val="21"/>
                      <w:szCs w:val="21"/>
                      <w14:textFill>
                        <w14:solidFill>
                          <w14:schemeClr w14:val="tx1"/>
                        </w14:solidFill>
                      </w14:textFill>
                    </w:rPr>
                    <w:t>SO₂</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NO₂</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CO</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O₃</w:t>
                  </w:r>
                  <w:r>
                    <w:rPr>
                      <w:rFonts w:hint="eastAsia"/>
                      <w:color w:val="000000" w:themeColor="text1"/>
                      <w:sz w:val="21"/>
                      <w:szCs w:val="21"/>
                      <w14:textFill>
                        <w14:solidFill>
                          <w14:schemeClr w14:val="tx1"/>
                        </w14:solidFill>
                      </w14:textFill>
                    </w:rPr>
                    <w:t>等其他监测指标均满足二级标准。根据《环境影响评价技术导则</w:t>
                  </w:r>
                  <w:r>
                    <w:rPr>
                      <w:color w:val="000000" w:themeColor="text1"/>
                      <w:sz w:val="21"/>
                      <w:szCs w:val="21"/>
                      <w14:textFill>
                        <w14:solidFill>
                          <w14:schemeClr w14:val="tx1"/>
                        </w14:solidFill>
                      </w14:textFill>
                    </w:rPr>
                    <w:t xml:space="preserve"> </w:t>
                  </w:r>
                  <w:r>
                    <w:rPr>
                      <w:rFonts w:hint="eastAsia"/>
                      <w:color w:val="000000" w:themeColor="text1"/>
                      <w:sz w:val="21"/>
                      <w:szCs w:val="21"/>
                      <w14:textFill>
                        <w14:solidFill>
                          <w14:schemeClr w14:val="tx1"/>
                        </w14:solidFill>
                      </w14:textFill>
                    </w:rPr>
                    <w:t>大气环境》（</w:t>
                  </w:r>
                  <w:r>
                    <w:rPr>
                      <w:color w:val="000000" w:themeColor="text1"/>
                      <w:sz w:val="21"/>
                      <w:szCs w:val="21"/>
                      <w14:textFill>
                        <w14:solidFill>
                          <w14:schemeClr w14:val="tx1"/>
                        </w14:solidFill>
                      </w14:textFill>
                    </w:rPr>
                    <w:t>HJ2.2-2018</w:t>
                  </w:r>
                  <w:r>
                    <w:rPr>
                      <w:rFonts w:hint="eastAsia"/>
                      <w:color w:val="000000" w:themeColor="text1"/>
                      <w:sz w:val="21"/>
                      <w:szCs w:val="21"/>
                      <w14:textFill>
                        <w14:solidFill>
                          <w14:schemeClr w14:val="tx1"/>
                        </w14:solidFill>
                      </w14:textFill>
                    </w:rPr>
                    <w:t>），判定本项目所在区域为不达标区</w:t>
                  </w:r>
                </w:p>
              </w:tc>
              <w:tc>
                <w:tcPr>
                  <w:tcW w:w="438" w:type="pct"/>
                  <w:vAlign w:val="center"/>
                </w:tcPr>
                <w:p w14:paraId="77F8E96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070D43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59" w:hRule="atLeast"/>
              </w:trPr>
              <w:tc>
                <w:tcPr>
                  <w:tcW w:w="464" w:type="pct"/>
                  <w:vAlign w:val="center"/>
                </w:tcPr>
                <w:p w14:paraId="210A0C6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环境风险防控</w:t>
                  </w:r>
                </w:p>
              </w:tc>
              <w:tc>
                <w:tcPr>
                  <w:tcW w:w="1738" w:type="pct"/>
                  <w:vAlign w:val="center"/>
                </w:tcPr>
                <w:p w14:paraId="198B727D">
                  <w:pPr>
                    <w:spacing w:line="240" w:lineRule="auto"/>
                    <w:ind w:firstLine="0" w:firstLineChars="0"/>
                    <w:rPr>
                      <w:color w:val="000000"/>
                      <w:sz w:val="21"/>
                      <w:szCs w:val="21"/>
                    </w:rPr>
                  </w:pPr>
                  <w:r>
                    <w:rPr>
                      <w:rFonts w:ascii="TimesNewRomanPSMT" w:hAnsi="TimesNewRomanPSMT"/>
                      <w:color w:val="000000"/>
                      <w:sz w:val="21"/>
                      <w:szCs w:val="21"/>
                    </w:rPr>
                    <w:t>1.</w:t>
                  </w:r>
                  <w:r>
                    <w:rPr>
                      <w:rFonts w:hint="eastAsia"/>
                      <w:color w:val="000000"/>
                      <w:sz w:val="21"/>
                      <w:szCs w:val="21"/>
                    </w:rPr>
                    <w:t>生态环境主管部门应当会同气象部门建立重污染天气监测预警、会商和信息通报等机制，进行大气环境质量预报。</w:t>
                  </w:r>
                </w:p>
                <w:p w14:paraId="15B3E46E">
                  <w:pPr>
                    <w:spacing w:line="240" w:lineRule="auto"/>
                    <w:ind w:firstLine="0" w:firstLineChars="0"/>
                    <w:rPr>
                      <w:color w:val="000000" w:themeColor="text1"/>
                      <w:sz w:val="21"/>
                      <w:szCs w:val="21"/>
                      <w14:textFill>
                        <w14:solidFill>
                          <w14:schemeClr w14:val="tx1"/>
                        </w14:solidFill>
                      </w14:textFill>
                    </w:rPr>
                  </w:pPr>
                  <w:r>
                    <w:rPr>
                      <w:rFonts w:ascii="TimesNewRomanPSMT" w:hAnsi="TimesNewRomanPSMT"/>
                      <w:color w:val="000000"/>
                      <w:sz w:val="21"/>
                      <w:szCs w:val="21"/>
                    </w:rPr>
                    <w:t>2.</w:t>
                  </w:r>
                  <w:r>
                    <w:rPr>
                      <w:rFonts w:hint="eastAsia"/>
                      <w:color w:val="000000"/>
                      <w:sz w:val="21"/>
                      <w:szCs w:val="21"/>
                    </w:rPr>
                    <w:t>政府应当根据重污染天气的预警等级，及时启动重污染天气应急预案，并采取与预警等级对应的响应措施，相关单位和个人应当配合。</w:t>
                  </w:r>
                </w:p>
              </w:tc>
              <w:tc>
                <w:tcPr>
                  <w:tcW w:w="2360" w:type="pct"/>
                  <w:vAlign w:val="center"/>
                </w:tcPr>
                <w:p w14:paraId="314EFA39">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①施工期采取防尘网苫盖、洒水降尘、运输车辆限速行驶等措施控制扬尘；对柴油发电机及运输车辆定期维护保养，减少尾气排放。施工期大气污染物排放具有局部性和临时性，施工结束后即消失</w:t>
                  </w:r>
                </w:p>
                <w:p w14:paraId="3DE22144">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②运营期无持续大气污染物排放③施工期间如遇重污染天气，将积极配合当地政府落实应急响应措施</w:t>
                  </w:r>
                </w:p>
              </w:tc>
              <w:tc>
                <w:tcPr>
                  <w:tcW w:w="438" w:type="pct"/>
                  <w:vAlign w:val="center"/>
                </w:tcPr>
                <w:p w14:paraId="27230F4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28F00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12" w:hRule="atLeast"/>
              </w:trPr>
              <w:tc>
                <w:tcPr>
                  <w:tcW w:w="464" w:type="pct"/>
                  <w:vAlign w:val="center"/>
                </w:tcPr>
                <w:p w14:paraId="22F0B2C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资源利用效率</w:t>
                  </w:r>
                </w:p>
              </w:tc>
              <w:tc>
                <w:tcPr>
                  <w:tcW w:w="1738" w:type="pct"/>
                  <w:vAlign w:val="center"/>
                </w:tcPr>
                <w:p w14:paraId="07063E34">
                  <w:pPr>
                    <w:spacing w:line="240" w:lineRule="auto"/>
                    <w:ind w:firstLine="0" w:firstLineChars="0"/>
                    <w:rPr>
                      <w:color w:val="000000" w:themeColor="text1"/>
                      <w:sz w:val="21"/>
                      <w:szCs w:val="21"/>
                      <w14:textFill>
                        <w14:solidFill>
                          <w14:schemeClr w14:val="tx1"/>
                        </w14:solidFill>
                      </w14:textFill>
                    </w:rPr>
                  </w:pPr>
                  <w:r>
                    <w:rPr>
                      <w:rFonts w:hint="eastAsia"/>
                      <w:color w:val="000000"/>
                      <w:sz w:val="21"/>
                      <w:szCs w:val="21"/>
                    </w:rPr>
                    <w:t>在集中供热未覆盖的区域，鼓励使用清洁能源替代，推广使用高效节能环保型锅炉。</w:t>
                  </w:r>
                </w:p>
              </w:tc>
              <w:tc>
                <w:tcPr>
                  <w:tcW w:w="2360" w:type="pct"/>
                  <w:vAlign w:val="center"/>
                </w:tcPr>
                <w:p w14:paraId="158D0B30">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使用锅炉。施工期采用柴油发电机供电，施工结束后即拆除；施工期对柴油发电机及运输车辆进行定期维护保养，提高燃烧效率，减少能耗和排放。施工期生活用水量较小，施工废水经沉淀后全部回用于钻探工序，实现水资源循环利用，用水效率高。运营期无任何能源消耗</w:t>
                  </w:r>
                </w:p>
              </w:tc>
              <w:tc>
                <w:tcPr>
                  <w:tcW w:w="438" w:type="pct"/>
                  <w:vAlign w:val="center"/>
                </w:tcPr>
                <w:p w14:paraId="5EF2F00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bl>
          <w:p w14:paraId="08CD4368">
            <w:pPr>
              <w:autoSpaceDE w:val="0"/>
              <w:autoSpaceDN w:val="0"/>
              <w:adjustRightInd w:val="0"/>
              <w:snapToGrid w:val="0"/>
              <w:rPr>
                <w:szCs w:val="21"/>
              </w:rPr>
            </w:pPr>
            <w:r>
              <w:rPr>
                <w:rFonts w:hint="eastAsia"/>
                <w:szCs w:val="21"/>
              </w:rPr>
              <w:t>综上所述，本项目符合《关于印发巴音郭楞蒙古自治州生态环境分区管控动态更新成果（2023年）的通知》（巴政办发〔2024〕32号）所在管控单元管控要求。</w:t>
            </w:r>
          </w:p>
          <w:p w14:paraId="459F982A">
            <w:pPr>
              <w:pStyle w:val="19"/>
              <w:jc w:val="both"/>
            </w:pPr>
            <w:r>
              <w:t>5</w:t>
            </w:r>
            <w:r>
              <w:rPr>
                <w:rFonts w:hint="eastAsia"/>
              </w:rPr>
              <w:t>.与其他符合性分析</w:t>
            </w:r>
          </w:p>
          <w:p w14:paraId="1268A7EB">
            <w:pPr>
              <w:pStyle w:val="34"/>
              <w:spacing w:before="156"/>
              <w:rPr>
                <w:rFonts w:ascii="Times New Roman" w:hAnsi="Times New Roman"/>
                <w:snapToGrid/>
                <w:color w:val="auto"/>
                <w:spacing w:val="0"/>
              </w:rPr>
            </w:pPr>
            <w:r>
              <w:rPr>
                <w:rFonts w:hint="eastAsia" w:ascii="Times New Roman" w:hAnsi="Times New Roman"/>
                <w:snapToGrid/>
                <w:color w:val="auto"/>
                <w:spacing w:val="0"/>
              </w:rPr>
              <w:t>表</w:t>
            </w:r>
            <w:r>
              <w:rPr>
                <w:rFonts w:ascii="Times New Roman" w:hAnsi="Times New Roman"/>
                <w:snapToGrid/>
                <w:color w:val="auto"/>
                <w:spacing w:val="0"/>
              </w:rPr>
              <w:t xml:space="preserve">1-8  </w:t>
            </w:r>
            <w:r>
              <w:rPr>
                <w:rFonts w:hint="eastAsia" w:ascii="Times New Roman" w:hAnsi="Times New Roman"/>
                <w:snapToGrid/>
                <w:color w:val="auto"/>
                <w:spacing w:val="0"/>
              </w:rPr>
              <w:t>环境规划符合性分析</w:t>
            </w:r>
          </w:p>
          <w:tbl>
            <w:tblPr>
              <w:tblStyle w:val="23"/>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82"/>
              <w:gridCol w:w="2417"/>
              <w:gridCol w:w="2334"/>
              <w:gridCol w:w="712"/>
            </w:tblGrid>
            <w:tr w14:paraId="6C103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0" w:type="pct"/>
                  <w:vAlign w:val="center"/>
                </w:tcPr>
                <w:p w14:paraId="53FE953F">
                  <w:pPr>
                    <w:adjustRightInd w:val="0"/>
                    <w:snapToGrid w:val="0"/>
                    <w:spacing w:line="240" w:lineRule="auto"/>
                    <w:ind w:firstLine="0" w:firstLineChars="0"/>
                    <w:jc w:val="center"/>
                    <w:rPr>
                      <w:sz w:val="21"/>
                      <w:szCs w:val="21"/>
                    </w:rPr>
                  </w:pPr>
                  <w:bookmarkStart w:id="1" w:name="_Hlk97245357"/>
                  <w:r>
                    <w:rPr>
                      <w:sz w:val="21"/>
                      <w:szCs w:val="21"/>
                    </w:rPr>
                    <w:t>规划</w:t>
                  </w:r>
                </w:p>
              </w:tc>
              <w:tc>
                <w:tcPr>
                  <w:tcW w:w="1602" w:type="pct"/>
                  <w:vAlign w:val="center"/>
                </w:tcPr>
                <w:p w14:paraId="68B07889">
                  <w:pPr>
                    <w:adjustRightInd w:val="0"/>
                    <w:snapToGrid w:val="0"/>
                    <w:spacing w:line="240" w:lineRule="auto"/>
                    <w:ind w:firstLine="0" w:firstLineChars="0"/>
                    <w:jc w:val="center"/>
                    <w:rPr>
                      <w:sz w:val="21"/>
                      <w:szCs w:val="21"/>
                    </w:rPr>
                  </w:pPr>
                  <w:r>
                    <w:rPr>
                      <w:sz w:val="21"/>
                      <w:szCs w:val="21"/>
                    </w:rPr>
                    <w:t>规划要求</w:t>
                  </w:r>
                </w:p>
              </w:tc>
              <w:tc>
                <w:tcPr>
                  <w:tcW w:w="1547" w:type="pct"/>
                  <w:vAlign w:val="center"/>
                </w:tcPr>
                <w:p w14:paraId="550D1A20">
                  <w:pPr>
                    <w:adjustRightInd w:val="0"/>
                    <w:snapToGrid w:val="0"/>
                    <w:spacing w:line="240" w:lineRule="auto"/>
                    <w:ind w:firstLine="0" w:firstLineChars="0"/>
                    <w:jc w:val="center"/>
                    <w:rPr>
                      <w:sz w:val="21"/>
                      <w:szCs w:val="21"/>
                    </w:rPr>
                  </w:pPr>
                  <w:r>
                    <w:rPr>
                      <w:sz w:val="21"/>
                      <w:szCs w:val="21"/>
                    </w:rPr>
                    <w:t>本项目情况</w:t>
                  </w:r>
                </w:p>
              </w:tc>
              <w:tc>
                <w:tcPr>
                  <w:tcW w:w="471" w:type="pct"/>
                  <w:vAlign w:val="center"/>
                </w:tcPr>
                <w:p w14:paraId="72B02F37">
                  <w:pPr>
                    <w:adjustRightInd w:val="0"/>
                    <w:snapToGrid w:val="0"/>
                    <w:spacing w:line="240" w:lineRule="auto"/>
                    <w:ind w:firstLine="0" w:firstLineChars="0"/>
                    <w:jc w:val="center"/>
                    <w:rPr>
                      <w:sz w:val="21"/>
                      <w:szCs w:val="21"/>
                    </w:rPr>
                  </w:pPr>
                  <w:r>
                    <w:rPr>
                      <w:sz w:val="21"/>
                      <w:szCs w:val="21"/>
                    </w:rPr>
                    <w:t>符合性</w:t>
                  </w:r>
                </w:p>
              </w:tc>
            </w:tr>
            <w:tr w14:paraId="69881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80" w:type="pct"/>
                  <w:vAlign w:val="center"/>
                </w:tcPr>
                <w:p w14:paraId="4563F3B9">
                  <w:pPr>
                    <w:spacing w:line="240" w:lineRule="auto"/>
                    <w:ind w:firstLine="0" w:firstLineChars="0"/>
                    <w:jc w:val="center"/>
                    <w:textAlignment w:val="center"/>
                    <w:rPr>
                      <w:sz w:val="21"/>
                      <w:szCs w:val="21"/>
                    </w:rPr>
                  </w:pPr>
                  <w:r>
                    <w:rPr>
                      <w:rFonts w:hint="eastAsia"/>
                      <w:color w:val="000000"/>
                      <w:sz w:val="21"/>
                      <w:szCs w:val="22"/>
                    </w:rPr>
                    <w:t>新疆维吾尔自治区国民经济和社会发展第十四个五年规划和</w:t>
                  </w:r>
                  <w:r>
                    <w:rPr>
                      <w:color w:val="000000"/>
                      <w:sz w:val="21"/>
                      <w:szCs w:val="22"/>
                    </w:rPr>
                    <w:t>2035</w:t>
                  </w:r>
                  <w:r>
                    <w:rPr>
                      <w:rFonts w:hint="eastAsia"/>
                      <w:color w:val="000000"/>
                      <w:sz w:val="21"/>
                      <w:szCs w:val="22"/>
                    </w:rPr>
                    <w:t>年远景目标纲要</w:t>
                  </w:r>
                </w:p>
              </w:tc>
              <w:tc>
                <w:tcPr>
                  <w:tcW w:w="1602" w:type="pct"/>
                  <w:vAlign w:val="center"/>
                </w:tcPr>
                <w:p w14:paraId="2689D926">
                  <w:pPr>
                    <w:spacing w:line="240" w:lineRule="auto"/>
                    <w:ind w:firstLine="0" w:firstLineChars="0"/>
                    <w:textAlignment w:val="center"/>
                    <w:rPr>
                      <w:sz w:val="21"/>
                      <w:szCs w:val="21"/>
                    </w:rPr>
                  </w:pPr>
                  <w:r>
                    <w:rPr>
                      <w:rFonts w:hint="eastAsia"/>
                      <w:color w:val="000000"/>
                      <w:sz w:val="21"/>
                      <w:szCs w:val="22"/>
                    </w:rPr>
                    <w:t>按照“深化北疆东疆，加快南疆勘查”的总体思路，开展重点成矿区带地质调查和矿产勘查，做好矿产资源开发利用储备。贯彻新发展理念，建设绿色矿山，实现可持续发展。</w:t>
                  </w:r>
                </w:p>
              </w:tc>
              <w:tc>
                <w:tcPr>
                  <w:tcW w:w="1547" w:type="pct"/>
                  <w:vAlign w:val="center"/>
                </w:tcPr>
                <w:p w14:paraId="115C5196">
                  <w:pPr>
                    <w:spacing w:line="240" w:lineRule="auto"/>
                    <w:ind w:firstLine="0" w:firstLineChars="0"/>
                    <w:textAlignment w:val="center"/>
                    <w:rPr>
                      <w:sz w:val="21"/>
                      <w:szCs w:val="21"/>
                    </w:rPr>
                  </w:pPr>
                  <w:r>
                    <w:rPr>
                      <w:rFonts w:hint="eastAsia"/>
                      <w:color w:val="000000"/>
                      <w:sz w:val="21"/>
                      <w:szCs w:val="22"/>
                    </w:rPr>
                    <w:t>本项目为固体矿产地质勘探，符合新疆维吾尔自治区国民经济和社会发展第十四个五年规划和</w:t>
                  </w:r>
                  <w:r>
                    <w:rPr>
                      <w:color w:val="000000"/>
                      <w:sz w:val="21"/>
                      <w:szCs w:val="22"/>
                    </w:rPr>
                    <w:t>2035</w:t>
                  </w:r>
                  <w:r>
                    <w:rPr>
                      <w:rFonts w:hint="eastAsia"/>
                      <w:color w:val="000000"/>
                      <w:sz w:val="21"/>
                      <w:szCs w:val="22"/>
                    </w:rPr>
                    <w:t>年远景目标纲要</w:t>
                  </w:r>
                </w:p>
              </w:tc>
              <w:tc>
                <w:tcPr>
                  <w:tcW w:w="471" w:type="pct"/>
                  <w:vAlign w:val="center"/>
                </w:tcPr>
                <w:p w14:paraId="1DB2A59C">
                  <w:pPr>
                    <w:spacing w:line="240" w:lineRule="auto"/>
                    <w:ind w:firstLine="0" w:firstLineChars="0"/>
                    <w:jc w:val="center"/>
                    <w:textAlignment w:val="center"/>
                    <w:rPr>
                      <w:sz w:val="21"/>
                      <w:szCs w:val="21"/>
                    </w:rPr>
                  </w:pPr>
                  <w:r>
                    <w:rPr>
                      <w:rFonts w:hint="eastAsia"/>
                      <w:color w:val="000000"/>
                      <w:sz w:val="21"/>
                      <w:szCs w:val="22"/>
                    </w:rPr>
                    <w:t>符合</w:t>
                  </w:r>
                </w:p>
              </w:tc>
            </w:tr>
            <w:tr w14:paraId="18884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12" w:hRule="atLeast"/>
              </w:trPr>
              <w:tc>
                <w:tcPr>
                  <w:tcW w:w="1380" w:type="pct"/>
                  <w:vAlign w:val="center"/>
                </w:tcPr>
                <w:p w14:paraId="25900E12">
                  <w:pPr>
                    <w:adjustRightInd w:val="0"/>
                    <w:snapToGrid w:val="0"/>
                    <w:spacing w:line="240" w:lineRule="auto"/>
                    <w:ind w:firstLine="0" w:firstLineChars="0"/>
                    <w:rPr>
                      <w:sz w:val="21"/>
                      <w:szCs w:val="21"/>
                    </w:rPr>
                  </w:pPr>
                  <w:r>
                    <w:rPr>
                      <w:sz w:val="21"/>
                      <w:szCs w:val="21"/>
                    </w:rPr>
                    <w:t>《新疆生态环境保护</w:t>
                  </w:r>
                  <w:r>
                    <w:rPr>
                      <w:rFonts w:hint="eastAsia"/>
                      <w:sz w:val="21"/>
                      <w:szCs w:val="21"/>
                    </w:rPr>
                    <w:t>“</w:t>
                  </w:r>
                  <w:r>
                    <w:rPr>
                      <w:sz w:val="21"/>
                      <w:szCs w:val="21"/>
                    </w:rPr>
                    <w:t>十四五</w:t>
                  </w:r>
                  <w:r>
                    <w:rPr>
                      <w:rFonts w:hint="eastAsia"/>
                      <w:sz w:val="21"/>
                      <w:szCs w:val="21"/>
                    </w:rPr>
                    <w:t>”</w:t>
                  </w:r>
                  <w:r>
                    <w:rPr>
                      <w:sz w:val="21"/>
                      <w:szCs w:val="21"/>
                    </w:rPr>
                    <w:t>规划》（2021年12月24日）</w:t>
                  </w:r>
                </w:p>
              </w:tc>
              <w:tc>
                <w:tcPr>
                  <w:tcW w:w="1602" w:type="pct"/>
                  <w:vAlign w:val="center"/>
                </w:tcPr>
                <w:p w14:paraId="22787F3D">
                  <w:pPr>
                    <w:adjustRightInd w:val="0"/>
                    <w:snapToGrid w:val="0"/>
                    <w:spacing w:line="240" w:lineRule="auto"/>
                    <w:ind w:firstLine="0" w:firstLineChars="0"/>
                    <w:rPr>
                      <w:sz w:val="21"/>
                      <w:szCs w:val="21"/>
                    </w:rPr>
                  </w:pPr>
                  <w:r>
                    <w:rPr>
                      <w:rFonts w:hint="eastAsia"/>
                      <w:color w:val="000000"/>
                      <w:sz w:val="21"/>
                      <w:szCs w:val="22"/>
                    </w:rPr>
                    <w:t>全面推进绿色矿山建设，规范绿色矿山第三方评估，推广矿产资源节约与综合利用先进技术；充分运用新型、高效的防尘、降尘、除尘技术，加强矿山粉尘治理。</w:t>
                  </w:r>
                </w:p>
              </w:tc>
              <w:tc>
                <w:tcPr>
                  <w:tcW w:w="1547" w:type="pct"/>
                  <w:vAlign w:val="center"/>
                </w:tcPr>
                <w:p w14:paraId="03B61191">
                  <w:pPr>
                    <w:adjustRightInd w:val="0"/>
                    <w:snapToGrid w:val="0"/>
                    <w:spacing w:line="240" w:lineRule="auto"/>
                    <w:ind w:firstLine="0" w:firstLineChars="0"/>
                    <w:rPr>
                      <w:sz w:val="21"/>
                      <w:szCs w:val="21"/>
                    </w:rPr>
                  </w:pPr>
                  <w:r>
                    <w:rPr>
                      <w:rFonts w:hint="eastAsia"/>
                      <w:color w:val="000000"/>
                      <w:sz w:val="21"/>
                      <w:szCs w:val="22"/>
                    </w:rPr>
                    <w:t>本项目主要为固体矿产地质勘探，在严格落实各项污染防治措施的前提下，项目建设对环境影响较小。项目符合新疆生态环境保护“十四五”规划</w:t>
                  </w:r>
                </w:p>
              </w:tc>
              <w:tc>
                <w:tcPr>
                  <w:tcW w:w="471" w:type="pct"/>
                  <w:vAlign w:val="center"/>
                </w:tcPr>
                <w:p w14:paraId="7ACCA94F">
                  <w:pPr>
                    <w:adjustRightInd w:val="0"/>
                    <w:snapToGrid w:val="0"/>
                    <w:spacing w:line="240" w:lineRule="auto"/>
                    <w:ind w:firstLine="0" w:firstLineChars="0"/>
                    <w:jc w:val="center"/>
                    <w:rPr>
                      <w:sz w:val="21"/>
                      <w:szCs w:val="21"/>
                    </w:rPr>
                  </w:pPr>
                  <w:r>
                    <w:rPr>
                      <w:sz w:val="21"/>
                      <w:szCs w:val="21"/>
                    </w:rPr>
                    <w:t>符合</w:t>
                  </w:r>
                </w:p>
              </w:tc>
            </w:tr>
            <w:tr w14:paraId="7C139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3" w:hRule="atLeast"/>
              </w:trPr>
              <w:tc>
                <w:tcPr>
                  <w:tcW w:w="1380" w:type="pct"/>
                  <w:vAlign w:val="center"/>
                </w:tcPr>
                <w:p w14:paraId="3E1B56E8">
                  <w:pPr>
                    <w:adjustRightInd w:val="0"/>
                    <w:snapToGrid w:val="0"/>
                    <w:spacing w:line="240" w:lineRule="auto"/>
                    <w:ind w:firstLine="0" w:firstLineChars="0"/>
                    <w:rPr>
                      <w:color w:val="000000" w:themeColor="text1"/>
                      <w:sz w:val="21"/>
                      <w:szCs w:val="21"/>
                      <w14:textFill>
                        <w14:solidFill>
                          <w14:schemeClr w14:val="tx1"/>
                        </w14:solidFill>
                      </w14:textFill>
                    </w:rPr>
                  </w:pPr>
                  <w:r>
                    <w:rPr>
                      <w:sz w:val="21"/>
                      <w:szCs w:val="21"/>
                    </w:rPr>
                    <w:t>《巴音郭楞蒙古自治州生态环境</w:t>
                  </w:r>
                  <w:r>
                    <w:rPr>
                      <w:rFonts w:hint="eastAsia"/>
                      <w:sz w:val="21"/>
                      <w:szCs w:val="21"/>
                    </w:rPr>
                    <w:t>“</w:t>
                  </w:r>
                  <w:r>
                    <w:rPr>
                      <w:sz w:val="21"/>
                      <w:szCs w:val="21"/>
                    </w:rPr>
                    <w:t>十四五</w:t>
                  </w:r>
                  <w:r>
                    <w:rPr>
                      <w:rFonts w:hint="eastAsia"/>
                      <w:sz w:val="21"/>
                      <w:szCs w:val="21"/>
                    </w:rPr>
                    <w:t>”</w:t>
                  </w:r>
                  <w:r>
                    <w:rPr>
                      <w:sz w:val="21"/>
                      <w:szCs w:val="21"/>
                    </w:rPr>
                    <w:t>规划（修订版）》（巴党发〔2025〕2号）</w:t>
                  </w:r>
                </w:p>
              </w:tc>
              <w:tc>
                <w:tcPr>
                  <w:tcW w:w="1602" w:type="pct"/>
                  <w:vAlign w:val="center"/>
                </w:tcPr>
                <w:p w14:paraId="39E1D18E">
                  <w:pPr>
                    <w:adjustRightInd w:val="0"/>
                    <w:snapToGrid w:val="0"/>
                    <w:spacing w:line="240" w:lineRule="auto"/>
                    <w:ind w:firstLine="0" w:firstLineChars="0"/>
                    <w:rPr>
                      <w:sz w:val="21"/>
                      <w:szCs w:val="21"/>
                    </w:rPr>
                  </w:pPr>
                  <w:r>
                    <w:rPr>
                      <w:rFonts w:hint="eastAsia"/>
                      <w:sz w:val="21"/>
                      <w:szCs w:val="21"/>
                    </w:rPr>
                    <w:t>生态保护修复扎实开展，生态环境质量不断改善。兵地统筹开展区域空间生态环境评价，发布“三线一单”成果。积极推进以国家公园为主体的自然保护地体系建设，推动完成保护地整合优化预案。坚持山水林田湖草沙多要素系统治理，加大重点区域治理修复。积极推进国土空间绿化行动，实施塔里木河流域胡杨林拯救行动，积极组织开展“绿盾”自然保护地强化监督。大力开展农村环境整治，稳步推进厕所革命、农村生活垃圾和生活污水治理，村容村貌进一步提升。</w:t>
                  </w:r>
                </w:p>
              </w:tc>
              <w:tc>
                <w:tcPr>
                  <w:tcW w:w="1547" w:type="pct"/>
                  <w:vAlign w:val="center"/>
                </w:tcPr>
                <w:p w14:paraId="2731152C">
                  <w:pPr>
                    <w:adjustRightInd w:val="0"/>
                    <w:snapToGrid w:val="0"/>
                    <w:spacing w:line="240" w:lineRule="auto"/>
                    <w:ind w:firstLine="0" w:firstLineChars="0"/>
                    <w:rPr>
                      <w:sz w:val="21"/>
                      <w:szCs w:val="21"/>
                    </w:rPr>
                  </w:pPr>
                  <w:r>
                    <w:rPr>
                      <w:rFonts w:hint="eastAsia"/>
                      <w:sz w:val="21"/>
                      <w:szCs w:val="21"/>
                    </w:rPr>
                    <w:t>本项目为矿产地质勘查项目，勘查区范围不涉及生态保护红线和自然保护地等敏感区域。采用槽探、钻探和坑探等绿色勘查手段，施工范围小、扰动轻，不涉及自然保护地核心区，不占用湿地，临时占用少量草地但施工结束后及时进行植被恢复，不排放工业废水。因此，项目建设不影响区域生态保护修复成效，符合相关生态环保要求</w:t>
                  </w:r>
                </w:p>
              </w:tc>
              <w:tc>
                <w:tcPr>
                  <w:tcW w:w="471" w:type="pct"/>
                  <w:vAlign w:val="center"/>
                </w:tcPr>
                <w:p w14:paraId="2105F1A2">
                  <w:pPr>
                    <w:adjustRightInd w:val="0"/>
                    <w:snapToGrid w:val="0"/>
                    <w:spacing w:line="240" w:lineRule="auto"/>
                    <w:ind w:firstLine="0" w:firstLineChars="0"/>
                    <w:jc w:val="center"/>
                    <w:rPr>
                      <w:sz w:val="21"/>
                      <w:szCs w:val="21"/>
                    </w:rPr>
                  </w:pPr>
                  <w:r>
                    <w:rPr>
                      <w:sz w:val="21"/>
                      <w:szCs w:val="21"/>
                    </w:rPr>
                    <w:t>符合</w:t>
                  </w:r>
                </w:p>
              </w:tc>
            </w:tr>
            <w:tr w14:paraId="15136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1" w:hRule="atLeast"/>
              </w:trPr>
              <w:tc>
                <w:tcPr>
                  <w:tcW w:w="1380" w:type="pct"/>
                  <w:vMerge w:val="restart"/>
                  <w:vAlign w:val="center"/>
                </w:tcPr>
                <w:p w14:paraId="1612DDFB">
                  <w:pPr>
                    <w:adjustRightInd w:val="0"/>
                    <w:snapToGrid w:val="0"/>
                    <w:spacing w:line="240" w:lineRule="auto"/>
                    <w:ind w:firstLine="0" w:firstLineChars="0"/>
                    <w:rPr>
                      <w:sz w:val="21"/>
                      <w:szCs w:val="21"/>
                    </w:rPr>
                  </w:pPr>
                  <w:r>
                    <w:rPr>
                      <w:sz w:val="21"/>
                      <w:szCs w:val="21"/>
                    </w:rPr>
                    <w:t>《</w:t>
                  </w:r>
                  <w:r>
                    <w:rPr>
                      <w:rFonts w:hint="eastAsia"/>
                      <w:sz w:val="21"/>
                      <w:szCs w:val="21"/>
                    </w:rPr>
                    <w:t>中华人民共和国生态环境法典</w:t>
                  </w:r>
                  <w:r>
                    <w:rPr>
                      <w:sz w:val="21"/>
                      <w:szCs w:val="21"/>
                    </w:rPr>
                    <w:t>》</w:t>
                  </w:r>
                </w:p>
              </w:tc>
              <w:tc>
                <w:tcPr>
                  <w:tcW w:w="1602" w:type="pct"/>
                  <w:vAlign w:val="center"/>
                </w:tcPr>
                <w:p w14:paraId="47A42625">
                  <w:pPr>
                    <w:adjustRightInd w:val="0"/>
                    <w:snapToGrid w:val="0"/>
                    <w:spacing w:line="240" w:lineRule="auto"/>
                    <w:ind w:firstLine="0" w:firstLineChars="0"/>
                    <w:rPr>
                      <w:sz w:val="21"/>
                      <w:szCs w:val="21"/>
                    </w:rPr>
                  </w:pPr>
                  <w:r>
                    <w:rPr>
                      <w:rFonts w:hint="eastAsia"/>
                      <w:sz w:val="21"/>
                      <w:szCs w:val="21"/>
                    </w:rPr>
                    <w:t>第一条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tc>
              <w:tc>
                <w:tcPr>
                  <w:tcW w:w="1547" w:type="pct"/>
                  <w:vAlign w:val="center"/>
                </w:tcPr>
                <w:p w14:paraId="7F582650">
                  <w:pPr>
                    <w:adjustRightInd w:val="0"/>
                    <w:snapToGrid w:val="0"/>
                    <w:spacing w:line="240" w:lineRule="auto"/>
                    <w:ind w:firstLine="0" w:firstLineChars="0"/>
                    <w:rPr>
                      <w:sz w:val="21"/>
                      <w:szCs w:val="21"/>
                    </w:rPr>
                  </w:pPr>
                  <w:r>
                    <w:rPr>
                      <w:rFonts w:hint="eastAsia"/>
                      <w:sz w:val="21"/>
                      <w:szCs w:val="21"/>
                    </w:rPr>
                    <w:t>本项目正在编制环境影响报告表，依法开展生态环境影响评价；施工期污染物均有效处置；临时用地已取得选址意见复函，符合资源利用上线要求</w:t>
                  </w:r>
                </w:p>
              </w:tc>
              <w:tc>
                <w:tcPr>
                  <w:tcW w:w="471" w:type="pct"/>
                  <w:vAlign w:val="center"/>
                </w:tcPr>
                <w:p w14:paraId="73C2D933">
                  <w:pPr>
                    <w:adjustRightInd w:val="0"/>
                    <w:snapToGrid w:val="0"/>
                    <w:spacing w:line="240" w:lineRule="auto"/>
                    <w:ind w:firstLine="0" w:firstLineChars="0"/>
                    <w:rPr>
                      <w:sz w:val="21"/>
                      <w:szCs w:val="21"/>
                    </w:rPr>
                  </w:pPr>
                  <w:r>
                    <w:rPr>
                      <w:sz w:val="21"/>
                      <w:szCs w:val="21"/>
                    </w:rPr>
                    <w:t>符合</w:t>
                  </w:r>
                </w:p>
              </w:tc>
            </w:tr>
            <w:tr w14:paraId="2A92E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1" w:hRule="atLeast"/>
              </w:trPr>
              <w:tc>
                <w:tcPr>
                  <w:tcW w:w="1380" w:type="pct"/>
                  <w:vMerge w:val="continue"/>
                  <w:vAlign w:val="center"/>
                </w:tcPr>
                <w:p w14:paraId="0C689A0F">
                  <w:pPr>
                    <w:adjustRightInd w:val="0"/>
                    <w:snapToGrid w:val="0"/>
                    <w:spacing w:line="240" w:lineRule="auto"/>
                    <w:ind w:firstLine="0" w:firstLineChars="0"/>
                    <w:rPr>
                      <w:sz w:val="21"/>
                      <w:szCs w:val="21"/>
                    </w:rPr>
                  </w:pPr>
                </w:p>
              </w:tc>
              <w:tc>
                <w:tcPr>
                  <w:tcW w:w="1602" w:type="pct"/>
                </w:tcPr>
                <w:p w14:paraId="23EAD844">
                  <w:pPr>
                    <w:adjustRightInd w:val="0"/>
                    <w:snapToGrid w:val="0"/>
                    <w:spacing w:line="240" w:lineRule="auto"/>
                    <w:ind w:firstLine="0" w:firstLineChars="0"/>
                    <w:rPr>
                      <w:sz w:val="21"/>
                      <w:szCs w:val="21"/>
                    </w:rPr>
                  </w:pPr>
                  <w:r>
                    <w:rPr>
                      <w:rFonts w:hint="eastAsia"/>
                      <w:sz w:val="21"/>
                      <w:szCs w:val="21"/>
                    </w:rPr>
                    <w:t>第八十三条 编制有关开发利用规划，建设对生态环境有影响的项目，应当依法进行生态环境影响评价。未依法进行生态环境影响评价的开发利用规划，不得组织实施；未依法进行生态环境影响评价的建设项目，不得开工建设</w:t>
                  </w:r>
                </w:p>
              </w:tc>
              <w:tc>
                <w:tcPr>
                  <w:tcW w:w="1547" w:type="pct"/>
                </w:tcPr>
                <w:p w14:paraId="03775FA1">
                  <w:pPr>
                    <w:adjustRightInd w:val="0"/>
                    <w:snapToGrid w:val="0"/>
                    <w:spacing w:line="240" w:lineRule="auto"/>
                    <w:ind w:firstLine="0" w:firstLineChars="0"/>
                    <w:rPr>
                      <w:sz w:val="21"/>
                      <w:szCs w:val="21"/>
                    </w:rPr>
                  </w:pPr>
                  <w:r>
                    <w:rPr>
                      <w:rFonts w:hint="eastAsia"/>
                      <w:sz w:val="21"/>
                      <w:szCs w:val="21"/>
                    </w:rPr>
                    <w:t>本项目已委托编制环境影响报告表，依法开展环境影响评价</w:t>
                  </w:r>
                </w:p>
              </w:tc>
              <w:tc>
                <w:tcPr>
                  <w:tcW w:w="471" w:type="pct"/>
                </w:tcPr>
                <w:p w14:paraId="159C5C70">
                  <w:pPr>
                    <w:adjustRightInd w:val="0"/>
                    <w:snapToGrid w:val="0"/>
                    <w:spacing w:line="240" w:lineRule="auto"/>
                    <w:ind w:firstLine="0" w:firstLineChars="0"/>
                    <w:rPr>
                      <w:sz w:val="21"/>
                      <w:szCs w:val="21"/>
                    </w:rPr>
                  </w:pPr>
                  <w:r>
                    <w:rPr>
                      <w:rFonts w:hint="eastAsia"/>
                    </w:rPr>
                    <w:t>符合</w:t>
                  </w:r>
                </w:p>
              </w:tc>
            </w:tr>
            <w:tr w14:paraId="15DE4C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1" w:hRule="atLeast"/>
              </w:trPr>
              <w:tc>
                <w:tcPr>
                  <w:tcW w:w="1380" w:type="pct"/>
                  <w:vMerge w:val="continue"/>
                  <w:vAlign w:val="center"/>
                </w:tcPr>
                <w:p w14:paraId="4C2B7A0B">
                  <w:pPr>
                    <w:adjustRightInd w:val="0"/>
                    <w:snapToGrid w:val="0"/>
                    <w:spacing w:line="240" w:lineRule="auto"/>
                    <w:ind w:firstLine="0" w:firstLineChars="0"/>
                    <w:rPr>
                      <w:sz w:val="21"/>
                      <w:szCs w:val="21"/>
                    </w:rPr>
                  </w:pPr>
                </w:p>
              </w:tc>
              <w:tc>
                <w:tcPr>
                  <w:tcW w:w="1602" w:type="pct"/>
                </w:tcPr>
                <w:p w14:paraId="3AF5E697">
                  <w:pPr>
                    <w:adjustRightInd w:val="0"/>
                    <w:snapToGrid w:val="0"/>
                    <w:spacing w:line="240" w:lineRule="auto"/>
                    <w:ind w:firstLine="0" w:firstLineChars="0"/>
                    <w:rPr>
                      <w:sz w:val="21"/>
                      <w:szCs w:val="21"/>
                    </w:rPr>
                  </w:pPr>
                  <w:r>
                    <w:rPr>
                      <w:rFonts w:hint="eastAsia"/>
                      <w:sz w:val="21"/>
                      <w:szCs w:val="21"/>
                    </w:rPr>
                    <w:t>第九十五条 国家根据建设项目对生态环境的影响程度，对建设项目的生态环境影响评价实行分类管理</w:t>
                  </w:r>
                </w:p>
              </w:tc>
              <w:tc>
                <w:tcPr>
                  <w:tcW w:w="1547" w:type="pct"/>
                  <w:vAlign w:val="center"/>
                </w:tcPr>
                <w:p w14:paraId="069C0C98">
                  <w:pPr>
                    <w:adjustRightInd w:val="0"/>
                    <w:snapToGrid w:val="0"/>
                    <w:spacing w:line="240" w:lineRule="auto"/>
                    <w:ind w:firstLine="0" w:firstLineChars="0"/>
                    <w:rPr>
                      <w:sz w:val="21"/>
                      <w:szCs w:val="21"/>
                    </w:rPr>
                  </w:pPr>
                  <w:r>
                    <w:rPr>
                      <w:rFonts w:hint="eastAsia"/>
                      <w:sz w:val="21"/>
                      <w:szCs w:val="21"/>
                    </w:rPr>
                    <w:t>根据《建设项目环境影响评价分类管理名录》，本项目属于“四十六、专业技术服务业”中的“99、陆地矿产资源地质勘查（含油气资源勘探）；二氧化碳地质封存”，应编制环境影响报告表，本次评价按此执行</w:t>
                  </w:r>
                </w:p>
              </w:tc>
              <w:tc>
                <w:tcPr>
                  <w:tcW w:w="471" w:type="pct"/>
                  <w:vAlign w:val="center"/>
                </w:tcPr>
                <w:p w14:paraId="2B9BDF9D">
                  <w:pPr>
                    <w:adjustRightInd w:val="0"/>
                    <w:snapToGrid w:val="0"/>
                    <w:spacing w:line="240" w:lineRule="auto"/>
                    <w:ind w:firstLine="0" w:firstLineChars="0"/>
                    <w:rPr>
                      <w:sz w:val="21"/>
                      <w:szCs w:val="21"/>
                    </w:rPr>
                  </w:pPr>
                  <w:r>
                    <w:rPr>
                      <w:rFonts w:hint="eastAsia"/>
                      <w:sz w:val="21"/>
                      <w:szCs w:val="21"/>
                    </w:rPr>
                    <w:t>符合</w:t>
                  </w:r>
                </w:p>
              </w:tc>
            </w:tr>
            <w:tr w14:paraId="0EC5A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380" w:type="pct"/>
                  <w:vMerge w:val="continue"/>
                  <w:vAlign w:val="center"/>
                </w:tcPr>
                <w:p w14:paraId="2B5874EE">
                  <w:pPr>
                    <w:adjustRightInd w:val="0"/>
                    <w:snapToGrid w:val="0"/>
                    <w:spacing w:line="240" w:lineRule="auto"/>
                    <w:ind w:firstLine="0" w:firstLineChars="0"/>
                    <w:rPr>
                      <w:sz w:val="21"/>
                      <w:szCs w:val="21"/>
                    </w:rPr>
                  </w:pPr>
                </w:p>
              </w:tc>
              <w:tc>
                <w:tcPr>
                  <w:tcW w:w="1602" w:type="pct"/>
                  <w:vAlign w:val="center"/>
                </w:tcPr>
                <w:p w14:paraId="7B8A8C20">
                  <w:pPr>
                    <w:adjustRightInd w:val="0"/>
                    <w:snapToGrid w:val="0"/>
                    <w:spacing w:line="240" w:lineRule="auto"/>
                    <w:ind w:firstLine="0" w:firstLineChars="0"/>
                    <w:rPr>
                      <w:sz w:val="21"/>
                      <w:szCs w:val="21"/>
                    </w:rPr>
                  </w:pPr>
                  <w:r>
                    <w:rPr>
                      <w:sz w:val="21"/>
                      <w:szCs w:val="21"/>
                    </w:rPr>
                    <w:t>第七百七十一条</w:t>
                  </w:r>
                  <w:r>
                    <w:rPr>
                      <w:rFonts w:hint="eastAsia"/>
                      <w:sz w:val="21"/>
                      <w:szCs w:val="21"/>
                    </w:rPr>
                    <w:t xml:space="preserve"> 矿产资源的勘查、开采以及矿区生态修复，应当坚持开发利用与保护并重，实现绿色发展</w:t>
                  </w:r>
                </w:p>
              </w:tc>
              <w:tc>
                <w:tcPr>
                  <w:tcW w:w="1547" w:type="pct"/>
                  <w:vAlign w:val="center"/>
                </w:tcPr>
                <w:p w14:paraId="0D2E9446">
                  <w:pPr>
                    <w:adjustRightInd w:val="0"/>
                    <w:snapToGrid w:val="0"/>
                    <w:spacing w:line="240" w:lineRule="auto"/>
                    <w:ind w:firstLine="0" w:firstLineChars="0"/>
                    <w:rPr>
                      <w:sz w:val="21"/>
                      <w:szCs w:val="21"/>
                    </w:rPr>
                  </w:pPr>
                  <w:r>
                    <w:rPr>
                      <w:rFonts w:hint="eastAsia"/>
                      <w:sz w:val="21"/>
                      <w:szCs w:val="21"/>
                    </w:rPr>
                    <w:t>项目占用天然牧草地，已启动草原征占审核审批手续；勘查结束后及时进行植被恢复，不改变草地用途</w:t>
                  </w:r>
                </w:p>
              </w:tc>
              <w:tc>
                <w:tcPr>
                  <w:tcW w:w="471" w:type="pct"/>
                  <w:vAlign w:val="center"/>
                </w:tcPr>
                <w:p w14:paraId="4EFB0397">
                  <w:pPr>
                    <w:adjustRightInd w:val="0"/>
                    <w:snapToGrid w:val="0"/>
                    <w:spacing w:line="240" w:lineRule="auto"/>
                    <w:ind w:firstLine="0" w:firstLineChars="0"/>
                    <w:rPr>
                      <w:sz w:val="21"/>
                      <w:szCs w:val="21"/>
                    </w:rPr>
                  </w:pPr>
                  <w:r>
                    <w:rPr>
                      <w:sz w:val="21"/>
                      <w:szCs w:val="21"/>
                    </w:rPr>
                    <w:t>符合</w:t>
                  </w:r>
                </w:p>
              </w:tc>
            </w:tr>
            <w:tr w14:paraId="6C9185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380" w:type="pct"/>
                  <w:vMerge w:val="continue"/>
                  <w:vAlign w:val="center"/>
                </w:tcPr>
                <w:p w14:paraId="7EA96D67">
                  <w:pPr>
                    <w:adjustRightInd w:val="0"/>
                    <w:snapToGrid w:val="0"/>
                    <w:spacing w:line="240" w:lineRule="auto"/>
                    <w:ind w:firstLine="0" w:firstLineChars="0"/>
                    <w:rPr>
                      <w:sz w:val="21"/>
                      <w:szCs w:val="21"/>
                    </w:rPr>
                  </w:pPr>
                </w:p>
              </w:tc>
              <w:tc>
                <w:tcPr>
                  <w:tcW w:w="1602" w:type="pct"/>
                  <w:vAlign w:val="center"/>
                </w:tcPr>
                <w:p w14:paraId="44D6FB95">
                  <w:pPr>
                    <w:adjustRightInd w:val="0"/>
                    <w:snapToGrid w:val="0"/>
                    <w:spacing w:line="240" w:lineRule="auto"/>
                    <w:ind w:firstLine="0" w:firstLineChars="0"/>
                    <w:rPr>
                      <w:sz w:val="21"/>
                      <w:szCs w:val="21"/>
                    </w:rPr>
                  </w:pPr>
                  <w:r>
                    <w:rPr>
                      <w:sz w:val="21"/>
                      <w:szCs w:val="21"/>
                    </w:rPr>
                    <w:t>第七百七十四条</w:t>
                  </w:r>
                  <w:r>
                    <w:rPr>
                      <w:rFonts w:hint="eastAsia"/>
                      <w:sz w:val="21"/>
                      <w:szCs w:val="21"/>
                    </w:rPr>
                    <w:t xml:space="preserve"> 勘查活动结束后，探矿权人应当及时对勘查区域进行清理；破坏地表植被的，应当及时恢复</w:t>
                  </w:r>
                </w:p>
              </w:tc>
              <w:tc>
                <w:tcPr>
                  <w:tcW w:w="1547" w:type="pct"/>
                  <w:vAlign w:val="center"/>
                </w:tcPr>
                <w:p w14:paraId="067E6404">
                  <w:pPr>
                    <w:adjustRightInd w:val="0"/>
                    <w:snapToGrid w:val="0"/>
                    <w:spacing w:line="240" w:lineRule="auto"/>
                    <w:ind w:firstLine="0" w:firstLineChars="0"/>
                    <w:rPr>
                      <w:sz w:val="21"/>
                      <w:szCs w:val="21"/>
                    </w:rPr>
                  </w:pPr>
                  <w:r>
                    <w:rPr>
                      <w:sz w:val="21"/>
                      <w:szCs w:val="21"/>
                    </w:rPr>
                    <w:t>施工结束后对全部临时占地进行场地平整，播撒乡土草种恢复植被，恢复至与周边天然牧草地基本一致</w:t>
                  </w:r>
                </w:p>
              </w:tc>
              <w:tc>
                <w:tcPr>
                  <w:tcW w:w="471" w:type="pct"/>
                  <w:vAlign w:val="center"/>
                </w:tcPr>
                <w:p w14:paraId="39CF9B9C">
                  <w:pPr>
                    <w:adjustRightInd w:val="0"/>
                    <w:snapToGrid w:val="0"/>
                    <w:spacing w:line="240" w:lineRule="auto"/>
                    <w:ind w:firstLine="0" w:firstLineChars="0"/>
                    <w:rPr>
                      <w:sz w:val="21"/>
                      <w:szCs w:val="21"/>
                    </w:rPr>
                  </w:pPr>
                  <w:r>
                    <w:rPr>
                      <w:sz w:val="21"/>
                      <w:szCs w:val="21"/>
                    </w:rPr>
                    <w:t>符合</w:t>
                  </w:r>
                </w:p>
              </w:tc>
            </w:tr>
            <w:tr w14:paraId="1FDB3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380" w:type="pct"/>
                  <w:vMerge w:val="continue"/>
                  <w:vAlign w:val="center"/>
                </w:tcPr>
                <w:p w14:paraId="4D179C4D">
                  <w:pPr>
                    <w:adjustRightInd w:val="0"/>
                    <w:snapToGrid w:val="0"/>
                    <w:spacing w:line="240" w:lineRule="auto"/>
                    <w:ind w:firstLine="0" w:firstLineChars="0"/>
                    <w:rPr>
                      <w:sz w:val="21"/>
                      <w:szCs w:val="21"/>
                    </w:rPr>
                  </w:pPr>
                </w:p>
              </w:tc>
              <w:tc>
                <w:tcPr>
                  <w:tcW w:w="1602" w:type="pct"/>
                  <w:vAlign w:val="center"/>
                </w:tcPr>
                <w:p w14:paraId="1DD4259E">
                  <w:pPr>
                    <w:adjustRightInd w:val="0"/>
                    <w:snapToGrid w:val="0"/>
                    <w:spacing w:line="240" w:lineRule="auto"/>
                    <w:ind w:firstLine="0" w:firstLineChars="0"/>
                    <w:rPr>
                      <w:sz w:val="21"/>
                      <w:szCs w:val="21"/>
                    </w:rPr>
                  </w:pPr>
                  <w:r>
                    <w:rPr>
                      <w:rFonts w:hint="eastAsia"/>
                      <w:sz w:val="21"/>
                      <w:szCs w:val="21"/>
                    </w:rPr>
                    <w:t>第八百八十九条 水土保持工作实行预防为主、保护优先、全面规划、综合治理、因地制宜、突出重点、科学管理、注重效益的方针</w:t>
                  </w:r>
                </w:p>
              </w:tc>
              <w:tc>
                <w:tcPr>
                  <w:tcW w:w="1547" w:type="pct"/>
                  <w:vAlign w:val="center"/>
                </w:tcPr>
                <w:p w14:paraId="6EB3EA99">
                  <w:pPr>
                    <w:adjustRightInd w:val="0"/>
                    <w:snapToGrid w:val="0"/>
                    <w:spacing w:line="240" w:lineRule="auto"/>
                    <w:ind w:firstLine="0" w:firstLineChars="0"/>
                    <w:rPr>
                      <w:sz w:val="21"/>
                      <w:szCs w:val="21"/>
                    </w:rPr>
                  </w:pPr>
                  <w:r>
                    <w:rPr>
                      <w:rFonts w:hint="eastAsia"/>
                      <w:sz w:val="21"/>
                      <w:szCs w:val="21"/>
                    </w:rPr>
                    <w:t>项目区属于天山山区水土流失重点预防区，施工期通过控制作业带宽度、临时堆土苫盖、避开恶劣天气施工等措施控制水土流失</w:t>
                  </w:r>
                </w:p>
              </w:tc>
              <w:tc>
                <w:tcPr>
                  <w:tcW w:w="471" w:type="pct"/>
                  <w:vAlign w:val="center"/>
                </w:tcPr>
                <w:p w14:paraId="073BE560">
                  <w:pPr>
                    <w:adjustRightInd w:val="0"/>
                    <w:snapToGrid w:val="0"/>
                    <w:spacing w:line="240" w:lineRule="auto"/>
                    <w:ind w:firstLine="0" w:firstLineChars="0"/>
                    <w:rPr>
                      <w:sz w:val="21"/>
                      <w:szCs w:val="21"/>
                    </w:rPr>
                  </w:pPr>
                  <w:r>
                    <w:rPr>
                      <w:sz w:val="21"/>
                      <w:szCs w:val="21"/>
                    </w:rPr>
                    <w:t>符合</w:t>
                  </w:r>
                </w:p>
              </w:tc>
            </w:tr>
            <w:tr w14:paraId="20798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5" w:hRule="atLeast"/>
              </w:trPr>
              <w:tc>
                <w:tcPr>
                  <w:tcW w:w="1380" w:type="pct"/>
                  <w:vAlign w:val="center"/>
                </w:tcPr>
                <w:p w14:paraId="24BF28E0">
                  <w:pPr>
                    <w:adjustRightInd w:val="0"/>
                    <w:snapToGrid w:val="0"/>
                    <w:spacing w:line="240" w:lineRule="auto"/>
                    <w:ind w:firstLine="0" w:firstLineChars="0"/>
                    <w:rPr>
                      <w:sz w:val="21"/>
                      <w:szCs w:val="21"/>
                    </w:rPr>
                  </w:pPr>
                  <w:r>
                    <w:rPr>
                      <w:rFonts w:hint="eastAsia"/>
                      <w:sz w:val="21"/>
                      <w:szCs w:val="21"/>
                    </w:rPr>
                    <w:t>新疆维吾尔自治区林业草原保护发展“十四五”规划</w:t>
                  </w:r>
                </w:p>
              </w:tc>
              <w:tc>
                <w:tcPr>
                  <w:tcW w:w="1602" w:type="pct"/>
                  <w:vAlign w:val="center"/>
                </w:tcPr>
                <w:p w14:paraId="548FE367">
                  <w:pPr>
                    <w:adjustRightInd w:val="0"/>
                    <w:snapToGrid w:val="0"/>
                    <w:spacing w:line="240" w:lineRule="auto"/>
                    <w:ind w:firstLine="0" w:firstLineChars="0"/>
                    <w:rPr>
                      <w:sz w:val="21"/>
                      <w:szCs w:val="21"/>
                    </w:rPr>
                  </w:pPr>
                  <w:r>
                    <w:rPr>
                      <w:rFonts w:hint="eastAsia"/>
                      <w:sz w:val="21"/>
                      <w:szCs w:val="21"/>
                    </w:rPr>
                    <w:t>一、坚持保护优先、绿色发展</w:t>
                  </w:r>
                </w:p>
                <w:p w14:paraId="2F13D1F1">
                  <w:pPr>
                    <w:adjustRightInd w:val="0"/>
                    <w:snapToGrid w:val="0"/>
                    <w:spacing w:line="240" w:lineRule="auto"/>
                    <w:ind w:firstLine="0" w:firstLineChars="0"/>
                    <w:rPr>
                      <w:sz w:val="21"/>
                      <w:szCs w:val="21"/>
                    </w:rPr>
                  </w:pPr>
                  <w:r>
                    <w:rPr>
                      <w:rFonts w:hint="eastAsia"/>
                      <w:sz w:val="21"/>
                      <w:szCs w:val="21"/>
                    </w:rPr>
                    <w:t>尊重自然、顺应自然、保护自然，将保护林草资源摆在优先位置，探索自然保护与资源利用新模式，严格保护自然生态系统，积极推动生态产业化和产业生态化，推动林草事业绿色发展。</w:t>
                  </w:r>
                </w:p>
                <w:p w14:paraId="2669D721">
                  <w:pPr>
                    <w:adjustRightInd w:val="0"/>
                    <w:snapToGrid w:val="0"/>
                    <w:spacing w:line="240" w:lineRule="auto"/>
                    <w:ind w:firstLine="0" w:firstLineChars="0"/>
                    <w:rPr>
                      <w:sz w:val="21"/>
                      <w:szCs w:val="21"/>
                    </w:rPr>
                  </w:pPr>
                  <w:r>
                    <w:rPr>
                      <w:rFonts w:hint="eastAsia"/>
                      <w:sz w:val="21"/>
                      <w:szCs w:val="21"/>
                    </w:rPr>
                    <w:t>二、坚持统筹谋划、综合治理</w:t>
                  </w:r>
                </w:p>
                <w:p w14:paraId="456ED8E4">
                  <w:pPr>
                    <w:adjustRightInd w:val="0"/>
                    <w:snapToGrid w:val="0"/>
                    <w:spacing w:line="240" w:lineRule="auto"/>
                    <w:ind w:firstLine="0" w:firstLineChars="0"/>
                    <w:rPr>
                      <w:sz w:val="21"/>
                      <w:szCs w:val="21"/>
                    </w:rPr>
                  </w:pPr>
                  <w:r>
                    <w:rPr>
                      <w:rFonts w:hint="eastAsia"/>
                      <w:sz w:val="21"/>
                      <w:szCs w:val="21"/>
                    </w:rPr>
                    <w:t>运用系统思维和整体思维加强顶层设计，统筹谋划重大工程、重大改革和重大制度，与国家战略有效衔接;把握全局性、普遍性生态突出问题，注重林草系统修复和综合治理，注重林草产业结构调整优化，注重林草质量效益提升。</w:t>
                  </w:r>
                </w:p>
                <w:p w14:paraId="48837CBE">
                  <w:pPr>
                    <w:adjustRightInd w:val="0"/>
                    <w:snapToGrid w:val="0"/>
                    <w:spacing w:line="240" w:lineRule="auto"/>
                    <w:ind w:firstLine="0" w:firstLineChars="0"/>
                    <w:rPr>
                      <w:sz w:val="21"/>
                      <w:szCs w:val="21"/>
                    </w:rPr>
                  </w:pPr>
                  <w:r>
                    <w:rPr>
                      <w:rFonts w:hint="eastAsia"/>
                      <w:sz w:val="21"/>
                      <w:szCs w:val="21"/>
                    </w:rPr>
                    <w:t>三、坚持因地制宜、突出特色</w:t>
                  </w:r>
                </w:p>
                <w:p w14:paraId="77555DA9">
                  <w:pPr>
                    <w:adjustRightInd w:val="0"/>
                    <w:snapToGrid w:val="0"/>
                    <w:spacing w:line="240" w:lineRule="auto"/>
                    <w:ind w:firstLine="0" w:firstLineChars="0"/>
                    <w:rPr>
                      <w:sz w:val="21"/>
                      <w:szCs w:val="21"/>
                    </w:rPr>
                  </w:pPr>
                  <w:r>
                    <w:rPr>
                      <w:rFonts w:hint="eastAsia"/>
                      <w:sz w:val="21"/>
                      <w:szCs w:val="21"/>
                    </w:rPr>
                    <w:t>根据不同区域自然条件和生态承载力科学推进生态建设，宜封则封、宜造则造、宜林则林、宜灌则灌、宜草则草、宜荒则荒、宜沙则沙。大力培育林草优势产业、特色产业和新兴产业，形成区位突出、特色鲜明、融合发展的林草产业新格局。</w:t>
                  </w:r>
                </w:p>
              </w:tc>
              <w:tc>
                <w:tcPr>
                  <w:tcW w:w="1547" w:type="pct"/>
                  <w:vAlign w:val="center"/>
                </w:tcPr>
                <w:p w14:paraId="20F71807">
                  <w:pPr>
                    <w:adjustRightInd w:val="0"/>
                    <w:snapToGrid w:val="0"/>
                    <w:spacing w:line="240" w:lineRule="auto"/>
                    <w:ind w:firstLine="0" w:firstLineChars="0"/>
                    <w:rPr>
                      <w:sz w:val="21"/>
                      <w:szCs w:val="21"/>
                    </w:rPr>
                  </w:pPr>
                  <w:r>
                    <w:rPr>
                      <w:rFonts w:hint="eastAsia"/>
                      <w:sz w:val="21"/>
                      <w:szCs w:val="21"/>
                    </w:rPr>
                    <w:fldChar w:fldCharType="begin"/>
                  </w:r>
                  <w:r>
                    <w:rPr>
                      <w:rFonts w:hint="eastAsia"/>
                      <w:sz w:val="21"/>
                      <w:szCs w:val="21"/>
                    </w:rPr>
                    <w:instrText xml:space="preserve"> = 1 \* GB3 </w:instrText>
                  </w:r>
                  <w:r>
                    <w:rPr>
                      <w:rFonts w:hint="eastAsia"/>
                      <w:sz w:val="21"/>
                      <w:szCs w:val="21"/>
                    </w:rPr>
                    <w:fldChar w:fldCharType="separate"/>
                  </w:r>
                  <w:r>
                    <w:rPr>
                      <w:rFonts w:hint="eastAsia"/>
                      <w:sz w:val="21"/>
                      <w:szCs w:val="21"/>
                    </w:rPr>
                    <w:t>①</w:t>
                  </w:r>
                  <w:r>
                    <w:rPr>
                      <w:rFonts w:hint="eastAsia"/>
                      <w:sz w:val="21"/>
                      <w:szCs w:val="21"/>
                    </w:rPr>
                    <w:fldChar w:fldCharType="end"/>
                  </w:r>
                  <w:r>
                    <w:rPr>
                      <w:rFonts w:hint="eastAsia"/>
                      <w:sz w:val="21"/>
                      <w:szCs w:val="21"/>
                    </w:rPr>
                    <w:t>本项目为矿产地质勘查项目，占用天然草原，已启动草原征占审核审批手续，正在办理中。未取得草原行政主管部门正式批复前，本项目不得开工建设，确保符合“先审批、后占用”的法律要求，做到草原资源保护优先</w:t>
                  </w:r>
                </w:p>
                <w:p w14:paraId="4261934B">
                  <w:pPr>
                    <w:adjustRightInd w:val="0"/>
                    <w:snapToGrid w:val="0"/>
                    <w:spacing w:line="240" w:lineRule="auto"/>
                    <w:ind w:firstLine="0" w:firstLineChars="0"/>
                    <w:rPr>
                      <w:sz w:val="21"/>
                      <w:szCs w:val="21"/>
                    </w:rPr>
                  </w:pPr>
                  <w:r>
                    <w:rPr>
                      <w:rFonts w:hint="eastAsia"/>
                      <w:sz w:val="21"/>
                      <w:szCs w:val="21"/>
                    </w:rPr>
                    <w:fldChar w:fldCharType="begin"/>
                  </w:r>
                  <w:r>
                    <w:rPr>
                      <w:rFonts w:hint="eastAsia"/>
                      <w:sz w:val="21"/>
                      <w:szCs w:val="21"/>
                    </w:rPr>
                    <w:instrText xml:space="preserve"> = 2 \* GB3 </w:instrText>
                  </w:r>
                  <w:r>
                    <w:rPr>
                      <w:rFonts w:hint="eastAsia"/>
                      <w:sz w:val="21"/>
                      <w:szCs w:val="21"/>
                    </w:rPr>
                    <w:fldChar w:fldCharType="separate"/>
                  </w:r>
                  <w:r>
                    <w:rPr>
                      <w:rFonts w:hint="eastAsia"/>
                      <w:sz w:val="21"/>
                      <w:szCs w:val="21"/>
                    </w:rPr>
                    <w:t>②</w:t>
                  </w:r>
                  <w:r>
                    <w:rPr>
                      <w:rFonts w:hint="eastAsia"/>
                      <w:sz w:val="21"/>
                      <w:szCs w:val="21"/>
                    </w:rPr>
                    <w:fldChar w:fldCharType="end"/>
                  </w:r>
                  <w:r>
                    <w:rPr>
                      <w:rFonts w:hint="eastAsia"/>
                      <w:sz w:val="21"/>
                      <w:szCs w:val="21"/>
                    </w:rPr>
                    <w:t>勘查区严格划定施工范围，设置彩条旗限界，严禁超范围碾压草地；临时占地尽量避让植被相对较好的草地区域，槽探、钻探等点状工程结束后及时进行场地平整、回填覆土和植被恢复</w:t>
                  </w:r>
                </w:p>
                <w:p w14:paraId="345C7A6A">
                  <w:pPr>
                    <w:adjustRightInd w:val="0"/>
                    <w:snapToGrid w:val="0"/>
                    <w:spacing w:line="240" w:lineRule="auto"/>
                    <w:ind w:firstLine="0" w:firstLineChars="0"/>
                    <w:rPr>
                      <w:sz w:val="21"/>
                      <w:szCs w:val="21"/>
                    </w:rPr>
                  </w:pPr>
                  <w:r>
                    <w:rPr>
                      <w:rFonts w:hint="eastAsia"/>
                      <w:sz w:val="21"/>
                      <w:szCs w:val="21"/>
                    </w:rPr>
                    <w:fldChar w:fldCharType="begin"/>
                  </w:r>
                  <w:r>
                    <w:rPr>
                      <w:rFonts w:hint="eastAsia"/>
                      <w:sz w:val="21"/>
                      <w:szCs w:val="21"/>
                    </w:rPr>
                    <w:instrText xml:space="preserve"> = 3 \* GB3 </w:instrText>
                  </w:r>
                  <w:r>
                    <w:rPr>
                      <w:rFonts w:hint="eastAsia"/>
                      <w:sz w:val="21"/>
                      <w:szCs w:val="21"/>
                    </w:rPr>
                    <w:fldChar w:fldCharType="separate"/>
                  </w:r>
                  <w:r>
                    <w:rPr>
                      <w:rFonts w:hint="eastAsia"/>
                      <w:sz w:val="21"/>
                      <w:szCs w:val="21"/>
                    </w:rPr>
                    <w:t>③</w:t>
                  </w:r>
                  <w:r>
                    <w:rPr>
                      <w:rFonts w:hint="eastAsia"/>
                      <w:sz w:val="21"/>
                      <w:szCs w:val="21"/>
                    </w:rPr>
                    <w:fldChar w:fldCharType="end"/>
                  </w:r>
                  <w:r>
                    <w:rPr>
                      <w:rFonts w:hint="eastAsia"/>
                      <w:sz w:val="21"/>
                      <w:szCs w:val="21"/>
                    </w:rPr>
                    <w:t>本项目施工范围小、扰动面积有限，施工结束后对临时占地进行全面植被恢复，不改变草地用途，不影响草地生态功能。项目建设不涉及自然保护区、生态保护红线等禁止开发区域</w:t>
                  </w:r>
                </w:p>
              </w:tc>
              <w:tc>
                <w:tcPr>
                  <w:tcW w:w="471" w:type="pct"/>
                  <w:vAlign w:val="center"/>
                </w:tcPr>
                <w:p w14:paraId="5AD10A00">
                  <w:pPr>
                    <w:adjustRightInd w:val="0"/>
                    <w:snapToGrid w:val="0"/>
                    <w:spacing w:line="240" w:lineRule="auto"/>
                    <w:ind w:firstLine="0" w:firstLineChars="0"/>
                    <w:rPr>
                      <w:sz w:val="21"/>
                      <w:szCs w:val="21"/>
                    </w:rPr>
                  </w:pPr>
                  <w:r>
                    <w:rPr>
                      <w:rFonts w:hint="eastAsia"/>
                      <w:sz w:val="21"/>
                      <w:szCs w:val="21"/>
                    </w:rPr>
                    <w:t>符合</w:t>
                  </w:r>
                </w:p>
              </w:tc>
            </w:tr>
            <w:tr w14:paraId="3FFC09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3" w:hRule="atLeast"/>
              </w:trPr>
              <w:tc>
                <w:tcPr>
                  <w:tcW w:w="1380" w:type="pct"/>
                  <w:vAlign w:val="center"/>
                </w:tcPr>
                <w:p w14:paraId="71038817">
                  <w:pPr>
                    <w:adjustRightInd w:val="0"/>
                    <w:snapToGrid w:val="0"/>
                    <w:spacing w:line="240" w:lineRule="auto"/>
                    <w:ind w:firstLine="0" w:firstLineChars="0"/>
                    <w:rPr>
                      <w:sz w:val="21"/>
                      <w:szCs w:val="21"/>
                    </w:rPr>
                  </w:pPr>
                  <w:r>
                    <w:rPr>
                      <w:rFonts w:hint="eastAsia"/>
                      <w:sz w:val="21"/>
                      <w:szCs w:val="21"/>
                    </w:rPr>
                    <w:t>和静县国土空间总体规划（2021-2035年）</w:t>
                  </w:r>
                </w:p>
              </w:tc>
              <w:tc>
                <w:tcPr>
                  <w:tcW w:w="1602" w:type="pct"/>
                  <w:vAlign w:val="center"/>
                </w:tcPr>
                <w:p w14:paraId="2F88DF94">
                  <w:pPr>
                    <w:adjustRightInd w:val="0"/>
                    <w:snapToGrid w:val="0"/>
                    <w:spacing w:line="240" w:lineRule="auto"/>
                    <w:ind w:firstLine="0" w:firstLineChars="0"/>
                    <w:rPr>
                      <w:sz w:val="21"/>
                      <w:szCs w:val="21"/>
                    </w:rPr>
                  </w:pPr>
                  <w:r>
                    <w:rPr>
                      <w:rFonts w:hint="eastAsia"/>
                      <w:sz w:val="21"/>
                      <w:szCs w:val="21"/>
                    </w:rPr>
                    <w:t>建立绿色矿山，基本形成绿色矿山建设新格局。在矿山勘查、设计、建设、生产、闭坑等阶段遵循创建“绿色矿山”的标准，至2035年，6家大中型矿山升级或创建为国家级绿色矿山；位于城镇周边、生态脆弱区域的19家小型矿山建成自治区级绿色矿山。</w:t>
                  </w:r>
                </w:p>
              </w:tc>
              <w:tc>
                <w:tcPr>
                  <w:tcW w:w="1547" w:type="pct"/>
                  <w:vAlign w:val="center"/>
                </w:tcPr>
                <w:p w14:paraId="30F6091B">
                  <w:pPr>
                    <w:adjustRightInd w:val="0"/>
                    <w:snapToGrid w:val="0"/>
                    <w:spacing w:line="240" w:lineRule="auto"/>
                    <w:ind w:firstLine="0" w:firstLineChars="0"/>
                    <w:rPr>
                      <w:sz w:val="21"/>
                      <w:szCs w:val="21"/>
                    </w:rPr>
                  </w:pPr>
                  <w:r>
                    <w:rPr>
                      <w:rFonts w:hint="eastAsia"/>
                      <w:sz w:val="21"/>
                      <w:szCs w:val="21"/>
                    </w:rPr>
                    <w:t>本项目为矿产地质调查项目，属于矿产资源勘查阶段。项目实施过程中严格遵循绿色勘查理念，采用槽探、钻探、坑探等低扰动勘查手段，严格控制施工作业范围，坑探工程尽量缩小断面尺寸、控制开挖深度，施工结束后及时回填槽探与坑探、平整场地、恢复植被，最大程度减少对生态环境的影响。各项勘查工程均符合绿色矿山建设中关于“勘查阶段”的环保要求</w:t>
                  </w:r>
                </w:p>
              </w:tc>
              <w:tc>
                <w:tcPr>
                  <w:tcW w:w="471" w:type="pct"/>
                  <w:vAlign w:val="center"/>
                </w:tcPr>
                <w:p w14:paraId="69C83091">
                  <w:pPr>
                    <w:adjustRightInd w:val="0"/>
                    <w:snapToGrid w:val="0"/>
                    <w:spacing w:line="240" w:lineRule="auto"/>
                    <w:ind w:firstLine="0" w:firstLineChars="0"/>
                    <w:rPr>
                      <w:sz w:val="21"/>
                      <w:szCs w:val="21"/>
                    </w:rPr>
                  </w:pPr>
                  <w:r>
                    <w:rPr>
                      <w:rFonts w:hint="eastAsia"/>
                      <w:sz w:val="21"/>
                      <w:szCs w:val="21"/>
                    </w:rPr>
                    <w:t>符合</w:t>
                  </w:r>
                </w:p>
              </w:tc>
            </w:tr>
            <w:tr w14:paraId="0EAB5E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restart"/>
                  <w:vAlign w:val="center"/>
                </w:tcPr>
                <w:p w14:paraId="430F4493">
                  <w:pPr>
                    <w:adjustRightInd w:val="0"/>
                    <w:snapToGrid w:val="0"/>
                    <w:spacing w:line="240" w:lineRule="auto"/>
                    <w:ind w:firstLine="0" w:firstLineChars="0"/>
                    <w:rPr>
                      <w:sz w:val="21"/>
                      <w:szCs w:val="21"/>
                    </w:rPr>
                  </w:pPr>
                  <w:r>
                    <w:rPr>
                      <w:rFonts w:hint="eastAsia"/>
                      <w:sz w:val="21"/>
                      <w:szCs w:val="21"/>
                    </w:rPr>
                    <w:t>《新疆生态环境保护“十四五”规划》</w:t>
                  </w:r>
                </w:p>
              </w:tc>
              <w:tc>
                <w:tcPr>
                  <w:tcW w:w="1602" w:type="pct"/>
                  <w:vAlign w:val="center"/>
                </w:tcPr>
                <w:p w14:paraId="3BC680DD">
                  <w:pPr>
                    <w:adjustRightInd w:val="0"/>
                    <w:snapToGrid w:val="0"/>
                    <w:spacing w:line="240" w:lineRule="auto"/>
                    <w:ind w:firstLine="0" w:firstLineChars="0"/>
                    <w:rPr>
                      <w:sz w:val="21"/>
                      <w:szCs w:val="21"/>
                    </w:rPr>
                  </w:pPr>
                  <w:r>
                    <w:rPr>
                      <w:rFonts w:hint="eastAsia"/>
                      <w:sz w:val="21"/>
                      <w:szCs w:val="21"/>
                    </w:rPr>
                    <w:t>严格执行能源、矿产资源开发自治区人民政府“一支笔”审批制度、环境保护“一票否决”制度</w:t>
                  </w:r>
                </w:p>
              </w:tc>
              <w:tc>
                <w:tcPr>
                  <w:tcW w:w="1547" w:type="pct"/>
                  <w:vAlign w:val="center"/>
                </w:tcPr>
                <w:p w14:paraId="494A605F">
                  <w:pPr>
                    <w:adjustRightInd w:val="0"/>
                    <w:snapToGrid w:val="0"/>
                    <w:spacing w:line="240" w:lineRule="auto"/>
                    <w:ind w:firstLine="0" w:firstLineChars="0"/>
                    <w:rPr>
                      <w:sz w:val="21"/>
                      <w:szCs w:val="21"/>
                    </w:rPr>
                  </w:pPr>
                  <w:r>
                    <w:rPr>
                      <w:color w:val="000000"/>
                      <w:kern w:val="0"/>
                      <w:sz w:val="21"/>
                      <w:szCs w:val="21"/>
                    </w:rPr>
                    <w:t>本项目持有合法有效的探矿权证，属矿产地质勘查工程，</w:t>
                  </w:r>
                  <w:r>
                    <w:rPr>
                      <w:rFonts w:hint="eastAsia"/>
                      <w:sz w:val="21"/>
                      <w:szCs w:val="21"/>
                    </w:rPr>
                    <w:t>依法依规推进实施</w:t>
                  </w:r>
                </w:p>
              </w:tc>
              <w:tc>
                <w:tcPr>
                  <w:tcW w:w="471" w:type="pct"/>
                  <w:vAlign w:val="center"/>
                </w:tcPr>
                <w:p w14:paraId="455FFE4B">
                  <w:pPr>
                    <w:adjustRightInd w:val="0"/>
                    <w:snapToGrid w:val="0"/>
                    <w:spacing w:line="240" w:lineRule="auto"/>
                    <w:ind w:firstLine="0" w:firstLineChars="0"/>
                    <w:rPr>
                      <w:sz w:val="21"/>
                      <w:szCs w:val="21"/>
                    </w:rPr>
                  </w:pPr>
                  <w:r>
                    <w:rPr>
                      <w:rFonts w:hint="eastAsia"/>
                      <w:sz w:val="21"/>
                      <w:szCs w:val="21"/>
                    </w:rPr>
                    <w:t>符合</w:t>
                  </w:r>
                </w:p>
              </w:tc>
            </w:tr>
            <w:tr w14:paraId="15B4C7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5F5B43F2">
                  <w:pPr>
                    <w:adjustRightInd w:val="0"/>
                    <w:snapToGrid w:val="0"/>
                    <w:spacing w:line="240" w:lineRule="auto"/>
                    <w:ind w:firstLine="0" w:firstLineChars="0"/>
                    <w:rPr>
                      <w:sz w:val="21"/>
                      <w:szCs w:val="21"/>
                    </w:rPr>
                  </w:pPr>
                </w:p>
              </w:tc>
              <w:tc>
                <w:tcPr>
                  <w:tcW w:w="1602" w:type="pct"/>
                  <w:vAlign w:val="center"/>
                </w:tcPr>
                <w:p w14:paraId="4B4A90DA">
                  <w:pPr>
                    <w:adjustRightInd w:val="0"/>
                    <w:snapToGrid w:val="0"/>
                    <w:spacing w:line="240" w:lineRule="auto"/>
                    <w:ind w:firstLine="0" w:firstLineChars="0"/>
                    <w:rPr>
                      <w:sz w:val="21"/>
                      <w:szCs w:val="21"/>
                    </w:rPr>
                  </w:pPr>
                  <w:r>
                    <w:rPr>
                      <w:rFonts w:hint="eastAsia"/>
                      <w:sz w:val="21"/>
                      <w:szCs w:val="21"/>
                    </w:rPr>
                    <w:t>全面推进绿色矿山建设，推广矿产资源节约与综合利用先进技术</w:t>
                  </w:r>
                </w:p>
              </w:tc>
              <w:tc>
                <w:tcPr>
                  <w:tcW w:w="1547" w:type="pct"/>
                  <w:vAlign w:val="center"/>
                </w:tcPr>
                <w:p w14:paraId="06A3D14B">
                  <w:pPr>
                    <w:adjustRightInd w:val="0"/>
                    <w:snapToGrid w:val="0"/>
                    <w:spacing w:line="240" w:lineRule="auto"/>
                    <w:ind w:firstLine="0" w:firstLineChars="0"/>
                    <w:rPr>
                      <w:sz w:val="21"/>
                      <w:szCs w:val="21"/>
                    </w:rPr>
                  </w:pPr>
                  <w:r>
                    <w:rPr>
                      <w:rFonts w:hint="eastAsia"/>
                      <w:sz w:val="21"/>
                      <w:szCs w:val="21"/>
                    </w:rPr>
                    <w:t>本项目为勘查阶段，严格遵循绿色勘查理念，采用槽探、钻探、坑探等低扰动手段，施工结束后及时回填探槽、平整场地、恢复植被，最大限度减少对生态环境的扰动</w:t>
                  </w:r>
                </w:p>
              </w:tc>
              <w:tc>
                <w:tcPr>
                  <w:tcW w:w="471" w:type="pct"/>
                  <w:vAlign w:val="center"/>
                </w:tcPr>
                <w:p w14:paraId="55A0D268">
                  <w:pPr>
                    <w:adjustRightInd w:val="0"/>
                    <w:snapToGrid w:val="0"/>
                    <w:spacing w:line="240" w:lineRule="auto"/>
                    <w:ind w:firstLine="0" w:firstLineChars="0"/>
                    <w:jc w:val="center"/>
                    <w:rPr>
                      <w:sz w:val="21"/>
                      <w:szCs w:val="21"/>
                    </w:rPr>
                  </w:pPr>
                  <w:r>
                    <w:rPr>
                      <w:rFonts w:hint="eastAsia"/>
                      <w:sz w:val="21"/>
                      <w:szCs w:val="21"/>
                    </w:rPr>
                    <w:t>符合</w:t>
                  </w:r>
                </w:p>
              </w:tc>
            </w:tr>
            <w:tr w14:paraId="408EA7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restart"/>
                  <w:vAlign w:val="center"/>
                </w:tcPr>
                <w:p w14:paraId="5352C2A3">
                  <w:pPr>
                    <w:adjustRightInd w:val="0"/>
                    <w:snapToGrid w:val="0"/>
                    <w:spacing w:line="240" w:lineRule="auto"/>
                    <w:ind w:firstLine="0" w:firstLineChars="0"/>
                    <w:rPr>
                      <w:sz w:val="21"/>
                      <w:szCs w:val="21"/>
                    </w:rPr>
                  </w:pPr>
                  <w:r>
                    <w:rPr>
                      <w:rFonts w:hint="eastAsia"/>
                      <w:sz w:val="21"/>
                      <w:szCs w:val="21"/>
                    </w:rPr>
                    <w:t>《绿色地质勘查工作规范》（DZ/T0374-2021）</w:t>
                  </w:r>
                </w:p>
              </w:tc>
              <w:tc>
                <w:tcPr>
                  <w:tcW w:w="1602" w:type="pct"/>
                  <w:vAlign w:val="center"/>
                </w:tcPr>
                <w:p w14:paraId="2901C999">
                  <w:pPr>
                    <w:adjustRightInd w:val="0"/>
                    <w:snapToGrid w:val="0"/>
                    <w:spacing w:line="240" w:lineRule="auto"/>
                    <w:ind w:firstLine="0" w:firstLineChars="0"/>
                    <w:rPr>
                      <w:sz w:val="21"/>
                      <w:szCs w:val="21"/>
                    </w:rPr>
                  </w:pPr>
                  <w:r>
                    <w:rPr>
                      <w:color w:val="000000"/>
                      <w:sz w:val="21"/>
                      <w:szCs w:val="22"/>
                      <w:shd w:val="clear" w:color="auto" w:fill="FFFFFF"/>
                    </w:rPr>
                    <w:t>在满足地质工作目的和质量的情况下，作业点和作业路线应避开珍稀、濒危野生动植物自然分布区域。必须穿行此区域时，开车时不应鸣笛，行走时不应恐吓、伤害野生动物；不应采摘、踩踏珍稀野生植物</w:t>
                  </w:r>
                </w:p>
              </w:tc>
              <w:tc>
                <w:tcPr>
                  <w:tcW w:w="1547" w:type="pct"/>
                  <w:vAlign w:val="center"/>
                </w:tcPr>
                <w:p w14:paraId="449FB904">
                  <w:pPr>
                    <w:adjustRightInd w:val="0"/>
                    <w:snapToGrid w:val="0"/>
                    <w:spacing w:line="240" w:lineRule="auto"/>
                    <w:ind w:firstLine="0" w:firstLineChars="0"/>
                    <w:rPr>
                      <w:sz w:val="21"/>
                      <w:szCs w:val="21"/>
                    </w:rPr>
                  </w:pPr>
                  <w:r>
                    <w:rPr>
                      <w:color w:val="000000"/>
                      <w:sz w:val="21"/>
                      <w:szCs w:val="22"/>
                      <w:shd w:val="clear" w:color="auto" w:fill="FFFFFF"/>
                    </w:rPr>
                    <w:t>本次勘查区域内不涉及珍稀、濒危野生动植物自然分布区域，同时本次环评已提出相关的野生动植物保护措施</w:t>
                  </w:r>
                </w:p>
              </w:tc>
              <w:tc>
                <w:tcPr>
                  <w:tcW w:w="471" w:type="pct"/>
                  <w:vAlign w:val="center"/>
                </w:tcPr>
                <w:p w14:paraId="3E899E67">
                  <w:pPr>
                    <w:adjustRightInd w:val="0"/>
                    <w:snapToGrid w:val="0"/>
                    <w:spacing w:line="240" w:lineRule="auto"/>
                    <w:ind w:firstLine="0" w:firstLineChars="0"/>
                    <w:rPr>
                      <w:sz w:val="21"/>
                      <w:szCs w:val="21"/>
                    </w:rPr>
                  </w:pPr>
                  <w:r>
                    <w:rPr>
                      <w:rFonts w:hint="eastAsia"/>
                      <w:sz w:val="21"/>
                      <w:szCs w:val="21"/>
                    </w:rPr>
                    <w:t>符合</w:t>
                  </w:r>
                </w:p>
              </w:tc>
            </w:tr>
            <w:tr w14:paraId="5C455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3BCF7532">
                  <w:pPr>
                    <w:adjustRightInd w:val="0"/>
                    <w:snapToGrid w:val="0"/>
                    <w:spacing w:line="240" w:lineRule="auto"/>
                    <w:ind w:firstLine="0" w:firstLineChars="0"/>
                    <w:rPr>
                      <w:sz w:val="21"/>
                      <w:szCs w:val="21"/>
                    </w:rPr>
                  </w:pPr>
                </w:p>
              </w:tc>
              <w:tc>
                <w:tcPr>
                  <w:tcW w:w="1602" w:type="pct"/>
                  <w:vAlign w:val="center"/>
                </w:tcPr>
                <w:p w14:paraId="20CFC24D">
                  <w:pPr>
                    <w:adjustRightInd w:val="0"/>
                    <w:snapToGrid w:val="0"/>
                    <w:spacing w:line="240" w:lineRule="auto"/>
                    <w:ind w:firstLine="0" w:firstLineChars="0"/>
                    <w:rPr>
                      <w:sz w:val="21"/>
                      <w:szCs w:val="21"/>
                    </w:rPr>
                  </w:pPr>
                  <w:r>
                    <w:rPr>
                      <w:color w:val="000000"/>
                      <w:sz w:val="21"/>
                      <w:szCs w:val="22"/>
                      <w:shd w:val="clear" w:color="auto" w:fill="FFFFFF"/>
                    </w:rPr>
                    <w:t>作业时要标记点位的应使用环保材料标记。作业中和作业后产生的废纸、金属、玻璃、塑料袋（瓶）、包装袋等垃圾和废电池、化学试剂等有害废弃物应带回驻地，分类后按规定处置，避免污染水、土壤和大气环境</w:t>
                  </w:r>
                </w:p>
              </w:tc>
              <w:tc>
                <w:tcPr>
                  <w:tcW w:w="1547" w:type="pct"/>
                  <w:vAlign w:val="center"/>
                </w:tcPr>
                <w:p w14:paraId="5D5DD438">
                  <w:pPr>
                    <w:adjustRightInd w:val="0"/>
                    <w:snapToGrid w:val="0"/>
                    <w:spacing w:line="240" w:lineRule="auto"/>
                    <w:ind w:firstLine="0" w:firstLineChars="0"/>
                    <w:rPr>
                      <w:sz w:val="21"/>
                      <w:szCs w:val="21"/>
                    </w:rPr>
                  </w:pPr>
                  <w:r>
                    <w:rPr>
                      <w:color w:val="000000"/>
                      <w:sz w:val="21"/>
                      <w:szCs w:val="22"/>
                      <w:shd w:val="clear" w:color="auto" w:fill="FFFFFF"/>
                    </w:rPr>
                    <w:t>本次勘探所使用的标记材料均为环保材料。作业中和作业后产</w:t>
                  </w:r>
                  <w:r>
                    <w:rPr>
                      <w:rFonts w:hint="eastAsia"/>
                      <w:color w:val="000000"/>
                      <w:sz w:val="21"/>
                      <w:szCs w:val="22"/>
                      <w:shd w:val="clear" w:color="auto" w:fill="FFFFFF"/>
                    </w:rPr>
                    <w:t>生</w:t>
                  </w:r>
                  <w:r>
                    <w:rPr>
                      <w:color w:val="000000"/>
                      <w:sz w:val="21"/>
                      <w:szCs w:val="22"/>
                      <w:shd w:val="clear" w:color="auto" w:fill="FFFFFF"/>
                    </w:rPr>
                    <w:t>的垃圾均带回</w:t>
                  </w:r>
                  <w:r>
                    <w:rPr>
                      <w:rFonts w:hint="eastAsia"/>
                      <w:color w:val="000000"/>
                      <w:sz w:val="21"/>
                      <w:szCs w:val="22"/>
                      <w:shd w:val="clear" w:color="auto" w:fill="FFFFFF"/>
                    </w:rPr>
                    <w:t>生活区</w:t>
                  </w:r>
                  <w:r>
                    <w:rPr>
                      <w:color w:val="000000"/>
                      <w:sz w:val="21"/>
                      <w:szCs w:val="22"/>
                      <w:shd w:val="clear" w:color="auto" w:fill="FFFFFF"/>
                    </w:rPr>
                    <w:t>设置的垃圾桶中，按规定处置，避免污染水、土壤和大气环境。项目样品采集及化验等均委托第三方有相关资质的检测单位进行，不在项目区域实施，故项目不涉及使用相关的化学试剂</w:t>
                  </w:r>
                </w:p>
              </w:tc>
              <w:tc>
                <w:tcPr>
                  <w:tcW w:w="471" w:type="pct"/>
                  <w:vAlign w:val="center"/>
                </w:tcPr>
                <w:p w14:paraId="73A356C9">
                  <w:pPr>
                    <w:adjustRightInd w:val="0"/>
                    <w:snapToGrid w:val="0"/>
                    <w:spacing w:line="240" w:lineRule="auto"/>
                    <w:ind w:firstLine="0" w:firstLineChars="0"/>
                    <w:rPr>
                      <w:sz w:val="21"/>
                      <w:szCs w:val="21"/>
                    </w:rPr>
                  </w:pPr>
                  <w:r>
                    <w:rPr>
                      <w:rFonts w:hint="eastAsia"/>
                      <w:sz w:val="21"/>
                      <w:szCs w:val="21"/>
                    </w:rPr>
                    <w:t>符合</w:t>
                  </w:r>
                </w:p>
              </w:tc>
            </w:tr>
            <w:tr w14:paraId="30E3D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6A94F6C8">
                  <w:pPr>
                    <w:adjustRightInd w:val="0"/>
                    <w:snapToGrid w:val="0"/>
                    <w:spacing w:line="240" w:lineRule="auto"/>
                    <w:ind w:firstLine="0" w:firstLineChars="0"/>
                    <w:rPr>
                      <w:sz w:val="21"/>
                      <w:szCs w:val="21"/>
                    </w:rPr>
                  </w:pPr>
                </w:p>
              </w:tc>
              <w:tc>
                <w:tcPr>
                  <w:tcW w:w="1602" w:type="pct"/>
                  <w:vAlign w:val="center"/>
                </w:tcPr>
                <w:p w14:paraId="6FCC4626">
                  <w:pPr>
                    <w:adjustRightInd w:val="0"/>
                    <w:snapToGrid w:val="0"/>
                    <w:spacing w:line="240" w:lineRule="auto"/>
                    <w:ind w:firstLine="0" w:firstLineChars="0"/>
                    <w:rPr>
                      <w:sz w:val="21"/>
                      <w:szCs w:val="21"/>
                    </w:rPr>
                  </w:pPr>
                  <w:r>
                    <w:rPr>
                      <w:color w:val="000000"/>
                      <w:sz w:val="21"/>
                      <w:szCs w:val="22"/>
                      <w:shd w:val="clear" w:color="auto" w:fill="FFFFFF"/>
                    </w:rPr>
                    <w:t>穿行工作区域无道路时，车辆应尽量避开植被行驶；人员穿行茂密山林时，尽量避免砍伐树木，同行人应走同一条道路；穿越农作物种植区或果园时，不应随意踩踏和采摘。确实无法开展工作时，可修剪少量枝叶</w:t>
                  </w:r>
                </w:p>
              </w:tc>
              <w:tc>
                <w:tcPr>
                  <w:tcW w:w="1547" w:type="pct"/>
                  <w:vAlign w:val="center"/>
                </w:tcPr>
                <w:p w14:paraId="0AAC0470">
                  <w:pPr>
                    <w:adjustRightInd w:val="0"/>
                    <w:snapToGrid w:val="0"/>
                    <w:spacing w:line="240" w:lineRule="auto"/>
                    <w:ind w:firstLine="0" w:firstLineChars="0"/>
                    <w:rPr>
                      <w:sz w:val="21"/>
                      <w:szCs w:val="21"/>
                    </w:rPr>
                  </w:pPr>
                  <w:r>
                    <w:rPr>
                      <w:color w:val="000000"/>
                      <w:sz w:val="21"/>
                      <w:szCs w:val="22"/>
                      <w:shd w:val="clear" w:color="auto" w:fill="FFFFFF"/>
                    </w:rPr>
                    <w:t>根据现场调查，</w:t>
                  </w:r>
                  <w:r>
                    <w:rPr>
                      <w:rFonts w:hint="eastAsia"/>
                      <w:color w:val="000000"/>
                      <w:sz w:val="21"/>
                      <w:szCs w:val="22"/>
                      <w:shd w:val="clear" w:color="auto" w:fill="FFFFFF"/>
                    </w:rPr>
                    <w:t>项目区植被覆盖率较高，勘探期间严格要求工作人员走同一路线，减少对天然牧草地的碾压，落实绿色勘查要求</w:t>
                  </w:r>
                </w:p>
              </w:tc>
              <w:tc>
                <w:tcPr>
                  <w:tcW w:w="471" w:type="pct"/>
                  <w:vAlign w:val="center"/>
                </w:tcPr>
                <w:p w14:paraId="0432EE12">
                  <w:pPr>
                    <w:adjustRightInd w:val="0"/>
                    <w:snapToGrid w:val="0"/>
                    <w:spacing w:line="240" w:lineRule="auto"/>
                    <w:ind w:firstLine="0" w:firstLineChars="0"/>
                    <w:rPr>
                      <w:sz w:val="21"/>
                      <w:szCs w:val="21"/>
                    </w:rPr>
                  </w:pPr>
                  <w:r>
                    <w:rPr>
                      <w:rFonts w:hint="eastAsia"/>
                      <w:sz w:val="21"/>
                      <w:szCs w:val="21"/>
                    </w:rPr>
                    <w:t>符合</w:t>
                  </w:r>
                </w:p>
              </w:tc>
            </w:tr>
            <w:tr w14:paraId="3F7B9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2EC48AEA">
                  <w:pPr>
                    <w:adjustRightInd w:val="0"/>
                    <w:snapToGrid w:val="0"/>
                    <w:spacing w:line="240" w:lineRule="auto"/>
                    <w:ind w:firstLine="0" w:firstLineChars="0"/>
                    <w:rPr>
                      <w:sz w:val="21"/>
                      <w:szCs w:val="21"/>
                    </w:rPr>
                  </w:pPr>
                </w:p>
              </w:tc>
              <w:tc>
                <w:tcPr>
                  <w:tcW w:w="1602" w:type="pct"/>
                  <w:vAlign w:val="center"/>
                </w:tcPr>
                <w:p w14:paraId="4511F6BE">
                  <w:pPr>
                    <w:adjustRightInd w:val="0"/>
                    <w:snapToGrid w:val="0"/>
                    <w:spacing w:line="240" w:lineRule="auto"/>
                    <w:ind w:firstLine="0" w:firstLineChars="0"/>
                    <w:rPr>
                      <w:sz w:val="21"/>
                      <w:szCs w:val="21"/>
                    </w:rPr>
                  </w:pPr>
                  <w:r>
                    <w:rPr>
                      <w:color w:val="000000"/>
                      <w:sz w:val="21"/>
                      <w:szCs w:val="22"/>
                      <w:shd w:val="clear" w:color="auto" w:fill="FFFFFF"/>
                    </w:rPr>
                    <w:t>槽探施工可采用机械施工和人工开挖两种方式。交通方便，不需新修施工运输道路的地段，可采用机械施工</w:t>
                  </w:r>
                  <w:r>
                    <w:rPr>
                      <w:rFonts w:hint="eastAsia"/>
                      <w:color w:val="000000"/>
                      <w:sz w:val="21"/>
                      <w:szCs w:val="22"/>
                      <w:shd w:val="clear" w:color="auto" w:fill="FFFFFF"/>
                    </w:rPr>
                    <w:t>；</w:t>
                  </w:r>
                  <w:r>
                    <w:rPr>
                      <w:color w:val="000000"/>
                      <w:sz w:val="21"/>
                      <w:szCs w:val="22"/>
                      <w:shd w:val="clear" w:color="auto" w:fill="FFFFFF"/>
                    </w:rPr>
                    <w:t>交通不便、植被茂密的地段，宜采用人工开挖，以避免修路及机械施工造成土地、植被景观的破坏</w:t>
                  </w:r>
                </w:p>
              </w:tc>
              <w:tc>
                <w:tcPr>
                  <w:tcW w:w="1547" w:type="pct"/>
                  <w:vAlign w:val="center"/>
                </w:tcPr>
                <w:p w14:paraId="5D33B8A7">
                  <w:pPr>
                    <w:adjustRightInd w:val="0"/>
                    <w:snapToGrid w:val="0"/>
                    <w:spacing w:line="240" w:lineRule="auto"/>
                    <w:ind w:firstLine="0" w:firstLineChars="0"/>
                    <w:rPr>
                      <w:sz w:val="21"/>
                      <w:szCs w:val="21"/>
                    </w:rPr>
                  </w:pPr>
                  <w:r>
                    <w:rPr>
                      <w:rFonts w:hint="eastAsia"/>
                      <w:color w:val="000000"/>
                      <w:sz w:val="21"/>
                      <w:szCs w:val="22"/>
                      <w:shd w:val="clear" w:color="auto" w:fill="FFFFFF"/>
                    </w:rPr>
                    <w:t>本项目</w:t>
                  </w:r>
                  <w:r>
                    <w:rPr>
                      <w:color w:val="000000"/>
                      <w:sz w:val="21"/>
                      <w:szCs w:val="22"/>
                      <w:shd w:val="clear" w:color="auto" w:fill="FFFFFF"/>
                    </w:rPr>
                    <w:t>槽探施工采用机械施工和人工开挖两种方式。</w:t>
                  </w:r>
                  <w:r>
                    <w:rPr>
                      <w:rFonts w:hint="eastAsia"/>
                      <w:color w:val="000000"/>
                      <w:sz w:val="21"/>
                      <w:szCs w:val="22"/>
                      <w:shd w:val="clear" w:color="auto" w:fill="FFFFFF"/>
                    </w:rPr>
                    <w:t>施工按照设计要求控制施工场地界限，避免超过规划的施工占地范围，对土地、植被景观造成破坏</w:t>
                  </w:r>
                </w:p>
              </w:tc>
              <w:tc>
                <w:tcPr>
                  <w:tcW w:w="471" w:type="pct"/>
                  <w:vAlign w:val="center"/>
                </w:tcPr>
                <w:p w14:paraId="243FD282">
                  <w:pPr>
                    <w:adjustRightInd w:val="0"/>
                    <w:snapToGrid w:val="0"/>
                    <w:spacing w:line="240" w:lineRule="auto"/>
                    <w:ind w:firstLine="0" w:firstLineChars="0"/>
                    <w:rPr>
                      <w:sz w:val="21"/>
                      <w:szCs w:val="21"/>
                    </w:rPr>
                  </w:pPr>
                  <w:r>
                    <w:rPr>
                      <w:rFonts w:hint="eastAsia"/>
                      <w:sz w:val="21"/>
                      <w:szCs w:val="21"/>
                    </w:rPr>
                    <w:t>符合</w:t>
                  </w:r>
                </w:p>
              </w:tc>
            </w:tr>
            <w:tr w14:paraId="44A5E2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0383ED02">
                  <w:pPr>
                    <w:adjustRightInd w:val="0"/>
                    <w:snapToGrid w:val="0"/>
                    <w:spacing w:line="240" w:lineRule="auto"/>
                    <w:ind w:firstLine="0" w:firstLineChars="0"/>
                    <w:rPr>
                      <w:sz w:val="21"/>
                      <w:szCs w:val="21"/>
                    </w:rPr>
                  </w:pPr>
                </w:p>
              </w:tc>
              <w:tc>
                <w:tcPr>
                  <w:tcW w:w="1602" w:type="pct"/>
                  <w:vAlign w:val="center"/>
                </w:tcPr>
                <w:p w14:paraId="77281C7F">
                  <w:pPr>
                    <w:adjustRightInd w:val="0"/>
                    <w:snapToGrid w:val="0"/>
                    <w:spacing w:line="240" w:lineRule="auto"/>
                    <w:ind w:firstLine="0" w:firstLineChars="0"/>
                    <w:rPr>
                      <w:sz w:val="21"/>
                      <w:szCs w:val="21"/>
                    </w:rPr>
                  </w:pPr>
                  <w:r>
                    <w:rPr>
                      <w:color w:val="000000"/>
                      <w:sz w:val="21"/>
                      <w:szCs w:val="22"/>
                      <w:shd w:val="clear" w:color="auto" w:fill="FFFFFF"/>
                    </w:rPr>
                    <w:t>在陡斜地段开挖探槽产生的岩土，应采用可降解材料编织袋装袋，依次堆码于探槽两侧2m~5m范围内较平缓稳定区域，堆放高度不宜超过2m，确保堆填边坡稳定。探槽上方禁止堆放土石，预防形成滑塌或坡面泥石流等次生灾害</w:t>
                  </w:r>
                </w:p>
              </w:tc>
              <w:tc>
                <w:tcPr>
                  <w:tcW w:w="1547" w:type="pct"/>
                  <w:vAlign w:val="center"/>
                </w:tcPr>
                <w:p w14:paraId="58DA2BDF">
                  <w:pPr>
                    <w:adjustRightInd w:val="0"/>
                    <w:snapToGrid w:val="0"/>
                    <w:spacing w:line="240" w:lineRule="auto"/>
                    <w:ind w:firstLine="0" w:firstLineChars="0"/>
                    <w:rPr>
                      <w:sz w:val="21"/>
                      <w:szCs w:val="21"/>
                    </w:rPr>
                  </w:pPr>
                  <w:r>
                    <w:rPr>
                      <w:rFonts w:hint="eastAsia"/>
                      <w:color w:val="000000"/>
                      <w:sz w:val="21"/>
                      <w:szCs w:val="22"/>
                      <w:shd w:val="clear" w:color="auto" w:fill="FFFFFF"/>
                    </w:rPr>
                    <w:t>本次槽探施工产生的岩土采用可降解材料编织袋装袋后，依次堆码于探槽两侧2m~5m范围内的较平缓稳定区域，堆放高度不超过2m，确保堆填边坡稳定。探槽上方严禁堆放土石，以防引发滑塌或坡面泥石流等次生灾害</w:t>
                  </w:r>
                </w:p>
              </w:tc>
              <w:tc>
                <w:tcPr>
                  <w:tcW w:w="471" w:type="pct"/>
                  <w:vAlign w:val="center"/>
                </w:tcPr>
                <w:p w14:paraId="44D1EE0B">
                  <w:pPr>
                    <w:adjustRightInd w:val="0"/>
                    <w:snapToGrid w:val="0"/>
                    <w:spacing w:line="240" w:lineRule="auto"/>
                    <w:ind w:firstLine="0" w:firstLineChars="0"/>
                    <w:rPr>
                      <w:sz w:val="21"/>
                      <w:szCs w:val="21"/>
                    </w:rPr>
                  </w:pPr>
                  <w:r>
                    <w:rPr>
                      <w:rFonts w:hint="eastAsia"/>
                      <w:sz w:val="21"/>
                      <w:szCs w:val="21"/>
                    </w:rPr>
                    <w:t>符合</w:t>
                  </w:r>
                </w:p>
              </w:tc>
            </w:tr>
            <w:tr w14:paraId="68BE5D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2AE6A62B">
                  <w:pPr>
                    <w:adjustRightInd w:val="0"/>
                    <w:snapToGrid w:val="0"/>
                    <w:spacing w:line="240" w:lineRule="auto"/>
                    <w:ind w:firstLine="0" w:firstLineChars="0"/>
                    <w:rPr>
                      <w:sz w:val="21"/>
                      <w:szCs w:val="21"/>
                    </w:rPr>
                  </w:pPr>
                </w:p>
              </w:tc>
              <w:tc>
                <w:tcPr>
                  <w:tcW w:w="1602" w:type="pct"/>
                  <w:vAlign w:val="center"/>
                </w:tcPr>
                <w:p w14:paraId="6D819A6F">
                  <w:pPr>
                    <w:adjustRightInd w:val="0"/>
                    <w:snapToGrid w:val="0"/>
                    <w:spacing w:line="240" w:lineRule="auto"/>
                    <w:ind w:firstLine="0" w:firstLineChars="0"/>
                    <w:rPr>
                      <w:sz w:val="21"/>
                      <w:szCs w:val="21"/>
                    </w:rPr>
                  </w:pPr>
                  <w:r>
                    <w:rPr>
                      <w:color w:val="000000"/>
                      <w:sz w:val="21"/>
                      <w:szCs w:val="22"/>
                      <w:shd w:val="clear" w:color="auto" w:fill="FFFFFF"/>
                    </w:rPr>
                    <w:t>槽探施工应自上而下顺序开挖，并做好沟槽边坡安全管控，按规定放坡，及时清除坡体上的松散土石，不稳定边坡应进行临时支护，预防滑塌安全事故</w:t>
                  </w:r>
                </w:p>
              </w:tc>
              <w:tc>
                <w:tcPr>
                  <w:tcW w:w="1547" w:type="pct"/>
                  <w:vAlign w:val="center"/>
                </w:tcPr>
                <w:p w14:paraId="200E73DC">
                  <w:pPr>
                    <w:adjustRightInd w:val="0"/>
                    <w:snapToGrid w:val="0"/>
                    <w:spacing w:line="240" w:lineRule="auto"/>
                    <w:ind w:firstLine="0" w:firstLineChars="0"/>
                    <w:rPr>
                      <w:sz w:val="21"/>
                      <w:szCs w:val="21"/>
                    </w:rPr>
                  </w:pPr>
                  <w:r>
                    <w:rPr>
                      <w:rFonts w:hint="eastAsia"/>
                      <w:color w:val="000000"/>
                      <w:sz w:val="21"/>
                      <w:szCs w:val="22"/>
                      <w:shd w:val="clear" w:color="auto" w:fill="FFFFFF"/>
                    </w:rPr>
                    <w:t>槽探工程采用自上而下分层循序开挖施工，施工期间严格落实沟槽边坡安全管控措施，按设计及规范要求合理放坡，及时清理坡体松动、危浮土石；对地质条件较差、稳定性不足的边坡及时采取临时支护加固处理，全过程严控边坡滑塌、坍塌安全风险</w:t>
                  </w:r>
                </w:p>
              </w:tc>
              <w:tc>
                <w:tcPr>
                  <w:tcW w:w="471" w:type="pct"/>
                  <w:vAlign w:val="center"/>
                </w:tcPr>
                <w:p w14:paraId="657F892D">
                  <w:pPr>
                    <w:adjustRightInd w:val="0"/>
                    <w:snapToGrid w:val="0"/>
                    <w:spacing w:line="240" w:lineRule="auto"/>
                    <w:ind w:firstLine="0" w:firstLineChars="0"/>
                    <w:rPr>
                      <w:sz w:val="21"/>
                      <w:szCs w:val="21"/>
                    </w:rPr>
                  </w:pPr>
                  <w:r>
                    <w:rPr>
                      <w:rFonts w:hint="eastAsia"/>
                      <w:sz w:val="21"/>
                      <w:szCs w:val="21"/>
                    </w:rPr>
                    <w:t>符合</w:t>
                  </w:r>
                </w:p>
              </w:tc>
            </w:tr>
            <w:tr w14:paraId="01DA4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6A126BB8">
                  <w:pPr>
                    <w:adjustRightInd w:val="0"/>
                    <w:snapToGrid w:val="0"/>
                    <w:spacing w:line="240" w:lineRule="auto"/>
                    <w:ind w:firstLine="0" w:firstLineChars="0"/>
                    <w:rPr>
                      <w:sz w:val="21"/>
                      <w:szCs w:val="21"/>
                    </w:rPr>
                  </w:pPr>
                </w:p>
              </w:tc>
              <w:tc>
                <w:tcPr>
                  <w:tcW w:w="1602" w:type="pct"/>
                  <w:vAlign w:val="center"/>
                </w:tcPr>
                <w:p w14:paraId="5FBB653B">
                  <w:pPr>
                    <w:adjustRightInd w:val="0"/>
                    <w:snapToGrid w:val="0"/>
                    <w:spacing w:line="240" w:lineRule="auto"/>
                    <w:ind w:firstLine="0" w:firstLineChars="0"/>
                    <w:rPr>
                      <w:sz w:val="21"/>
                      <w:szCs w:val="21"/>
                    </w:rPr>
                  </w:pPr>
                  <w:r>
                    <w:rPr>
                      <w:color w:val="000000"/>
                      <w:sz w:val="21"/>
                      <w:szCs w:val="22"/>
                      <w:shd w:val="clear" w:color="auto" w:fill="FFFFFF"/>
                    </w:rPr>
                    <w:t>探槽经地质观测、编录、采样及验收等工作结束后，不需保留的探槽应及时逆序回填压实，应保留回填前后的探槽照片</w:t>
                  </w:r>
                  <w:r>
                    <w:rPr>
                      <w:rFonts w:hint="eastAsia"/>
                      <w:color w:val="000000"/>
                      <w:sz w:val="21"/>
                      <w:szCs w:val="22"/>
                      <w:shd w:val="clear" w:color="auto" w:fill="FFFFFF"/>
                    </w:rPr>
                    <w:t>；</w:t>
                  </w:r>
                  <w:r>
                    <w:rPr>
                      <w:color w:val="000000"/>
                      <w:sz w:val="21"/>
                      <w:szCs w:val="22"/>
                      <w:shd w:val="clear" w:color="auto" w:fill="FFFFFF"/>
                    </w:rPr>
                    <w:t>确需保留的探槽应设立明显标识，对深度较大又确需保留的探槽，应做好围挡设施防止人畜</w:t>
                  </w:r>
                  <w:r>
                    <w:rPr>
                      <w:rFonts w:hint="eastAsia"/>
                      <w:color w:val="000000"/>
                      <w:sz w:val="21"/>
                      <w:szCs w:val="22"/>
                      <w:shd w:val="clear" w:color="auto" w:fill="FFFFFF"/>
                    </w:rPr>
                    <w:t>误入</w:t>
                  </w:r>
                  <w:r>
                    <w:rPr>
                      <w:color w:val="000000"/>
                      <w:sz w:val="21"/>
                      <w:szCs w:val="22"/>
                      <w:shd w:val="clear" w:color="auto" w:fill="FFFFFF"/>
                    </w:rPr>
                    <w:t>造成伤害</w:t>
                  </w:r>
                </w:p>
              </w:tc>
              <w:tc>
                <w:tcPr>
                  <w:tcW w:w="1547" w:type="pct"/>
                  <w:vAlign w:val="center"/>
                </w:tcPr>
                <w:p w14:paraId="33277E26">
                  <w:pPr>
                    <w:adjustRightInd w:val="0"/>
                    <w:snapToGrid w:val="0"/>
                    <w:spacing w:line="240" w:lineRule="auto"/>
                    <w:ind w:firstLine="0" w:firstLineChars="0"/>
                    <w:rPr>
                      <w:sz w:val="21"/>
                      <w:szCs w:val="21"/>
                    </w:rPr>
                  </w:pPr>
                  <w:r>
                    <w:rPr>
                      <w:color w:val="000000"/>
                      <w:sz w:val="21"/>
                      <w:szCs w:val="22"/>
                      <w:shd w:val="clear" w:color="auto" w:fill="FFFFFF"/>
                    </w:rPr>
                    <w:t>探槽完成地质观测、编录、采样及竣工验收工作后，不</w:t>
                  </w:r>
                  <w:r>
                    <w:rPr>
                      <w:rFonts w:hint="eastAsia"/>
                      <w:color w:val="000000"/>
                      <w:sz w:val="21"/>
                      <w:szCs w:val="22"/>
                      <w:shd w:val="clear" w:color="auto" w:fill="FFFFFF"/>
                    </w:rPr>
                    <w:t>需</w:t>
                  </w:r>
                  <w:r>
                    <w:rPr>
                      <w:color w:val="000000"/>
                      <w:sz w:val="21"/>
                      <w:szCs w:val="22"/>
                      <w:shd w:val="clear" w:color="auto" w:fill="FFFFFF"/>
                    </w:rPr>
                    <w:t>保留的探槽及时按逆序分层回填夯实，并留存回填前、回填后影像资料；确需保留的探槽设置醒目安全警示标志，对于开挖深度较大、存在安全隐患的保留探槽，必须规范设置防护围挡，严防人畜误入槽内引发坠落伤害事故</w:t>
                  </w:r>
                </w:p>
              </w:tc>
              <w:tc>
                <w:tcPr>
                  <w:tcW w:w="471" w:type="pct"/>
                  <w:vAlign w:val="center"/>
                </w:tcPr>
                <w:p w14:paraId="0D1F38FF">
                  <w:pPr>
                    <w:adjustRightInd w:val="0"/>
                    <w:snapToGrid w:val="0"/>
                    <w:spacing w:line="240" w:lineRule="auto"/>
                    <w:ind w:firstLine="0" w:firstLineChars="0"/>
                    <w:rPr>
                      <w:sz w:val="21"/>
                      <w:szCs w:val="21"/>
                    </w:rPr>
                  </w:pPr>
                  <w:r>
                    <w:rPr>
                      <w:rFonts w:hint="eastAsia"/>
                      <w:sz w:val="21"/>
                      <w:szCs w:val="21"/>
                    </w:rPr>
                    <w:t>符合</w:t>
                  </w:r>
                </w:p>
              </w:tc>
            </w:tr>
            <w:tr w14:paraId="5DB71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2D4F6266">
                  <w:pPr>
                    <w:adjustRightInd w:val="0"/>
                    <w:snapToGrid w:val="0"/>
                    <w:spacing w:line="240" w:lineRule="auto"/>
                    <w:ind w:firstLine="0" w:firstLineChars="0"/>
                    <w:rPr>
                      <w:sz w:val="21"/>
                      <w:szCs w:val="21"/>
                    </w:rPr>
                  </w:pPr>
                </w:p>
              </w:tc>
              <w:tc>
                <w:tcPr>
                  <w:tcW w:w="1602" w:type="pct"/>
                  <w:vAlign w:val="center"/>
                </w:tcPr>
                <w:p w14:paraId="597EA91D">
                  <w:pPr>
                    <w:adjustRightInd w:val="0"/>
                    <w:snapToGrid w:val="0"/>
                    <w:spacing w:line="240" w:lineRule="auto"/>
                    <w:ind w:firstLine="0" w:firstLineChars="0"/>
                    <w:rPr>
                      <w:sz w:val="21"/>
                      <w:szCs w:val="21"/>
                    </w:rPr>
                  </w:pPr>
                  <w:r>
                    <w:rPr>
                      <w:color w:val="000000"/>
                      <w:sz w:val="21"/>
                      <w:szCs w:val="22"/>
                      <w:shd w:val="clear" w:color="auto" w:fill="FFFFFF"/>
                    </w:rPr>
                    <w:t>钻探施工应采用先进的钻进工艺，在满足地质调查目的的前提下，倾斜矿床宜采用定向钻进技术，实现“一基多孔、一孔多支”，减少设备搬迁；采用液动冲击回转钻进、多工艺潜孔锤空气钻进等提高钻进效率，减少作业时间</w:t>
                  </w:r>
                </w:p>
              </w:tc>
              <w:tc>
                <w:tcPr>
                  <w:tcW w:w="1547" w:type="pct"/>
                  <w:vAlign w:val="center"/>
                </w:tcPr>
                <w:p w14:paraId="6B2AA802">
                  <w:pPr>
                    <w:adjustRightInd w:val="0"/>
                    <w:snapToGrid w:val="0"/>
                    <w:spacing w:line="240" w:lineRule="auto"/>
                    <w:ind w:firstLine="0" w:firstLineChars="0"/>
                    <w:rPr>
                      <w:sz w:val="21"/>
                      <w:szCs w:val="21"/>
                    </w:rPr>
                  </w:pPr>
                  <w:r>
                    <w:rPr>
                      <w:color w:val="000000"/>
                      <w:sz w:val="21"/>
                      <w:szCs w:val="22"/>
                      <w:shd w:val="clear" w:color="auto" w:fill="FFFFFF"/>
                    </w:rPr>
                    <w:t>本次勘探钻探施工属于目前地质矿产勘查、工程地质勘</w:t>
                  </w:r>
                  <w:r>
                    <w:rPr>
                      <w:rFonts w:hint="eastAsia"/>
                      <w:color w:val="000000"/>
                      <w:sz w:val="21"/>
                      <w:szCs w:val="22"/>
                      <w:shd w:val="clear" w:color="auto" w:fill="FFFFFF"/>
                    </w:rPr>
                    <w:t>查</w:t>
                  </w:r>
                  <w:r>
                    <w:rPr>
                      <w:color w:val="000000"/>
                      <w:sz w:val="21"/>
                      <w:szCs w:val="22"/>
                      <w:shd w:val="clear" w:color="auto" w:fill="FFFFFF"/>
                    </w:rPr>
                    <w:t>行业成熟、可靠、先进适用的主流常规钻进工艺。在满足地质调查目的的前提下，减少设备搬迁</w:t>
                  </w:r>
                </w:p>
              </w:tc>
              <w:tc>
                <w:tcPr>
                  <w:tcW w:w="471" w:type="pct"/>
                  <w:vAlign w:val="center"/>
                </w:tcPr>
                <w:p w14:paraId="5E7C32D6">
                  <w:pPr>
                    <w:adjustRightInd w:val="0"/>
                    <w:snapToGrid w:val="0"/>
                    <w:spacing w:line="240" w:lineRule="auto"/>
                    <w:ind w:firstLine="0" w:firstLineChars="0"/>
                    <w:rPr>
                      <w:sz w:val="21"/>
                      <w:szCs w:val="21"/>
                    </w:rPr>
                  </w:pPr>
                  <w:r>
                    <w:rPr>
                      <w:rFonts w:hint="eastAsia"/>
                      <w:sz w:val="21"/>
                      <w:szCs w:val="21"/>
                    </w:rPr>
                    <w:t>符合</w:t>
                  </w:r>
                </w:p>
              </w:tc>
            </w:tr>
            <w:tr w14:paraId="70BD2D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5492BD7D">
                  <w:pPr>
                    <w:adjustRightInd w:val="0"/>
                    <w:snapToGrid w:val="0"/>
                    <w:spacing w:line="240" w:lineRule="auto"/>
                    <w:ind w:firstLine="0" w:firstLineChars="0"/>
                    <w:rPr>
                      <w:sz w:val="21"/>
                      <w:szCs w:val="21"/>
                    </w:rPr>
                  </w:pPr>
                </w:p>
              </w:tc>
              <w:tc>
                <w:tcPr>
                  <w:tcW w:w="1602" w:type="pct"/>
                  <w:vAlign w:val="center"/>
                </w:tcPr>
                <w:p w14:paraId="1C7C47FE">
                  <w:pPr>
                    <w:adjustRightInd w:val="0"/>
                    <w:snapToGrid w:val="0"/>
                    <w:spacing w:line="240" w:lineRule="auto"/>
                    <w:ind w:firstLine="0" w:firstLineChars="0"/>
                    <w:rPr>
                      <w:sz w:val="21"/>
                      <w:szCs w:val="21"/>
                    </w:rPr>
                  </w:pPr>
                  <w:r>
                    <w:rPr>
                      <w:color w:val="000000"/>
                      <w:sz w:val="21"/>
                      <w:szCs w:val="22"/>
                      <w:shd w:val="clear" w:color="auto" w:fill="FFFFFF"/>
                    </w:rPr>
                    <w:t>施工操作场地材料物资存放场地等地面应铺设防渗材料如厚度大于或等于3mm的工布等。油料存放地、循环沟、浆液池、垃圾池等易发生渗漏污染的表面，应采用防渗土工布（一膜一布或两膜夹一布的土工布，厚度大于或等于5mm）或高密度聚乙烯（HDPE）土工膜作防渗铺垫进行防渗处理预防渗漏污染。在机台下方和设备检修区域，须铺设吸油毡</w:t>
                  </w:r>
                </w:p>
              </w:tc>
              <w:tc>
                <w:tcPr>
                  <w:tcW w:w="1547" w:type="pct"/>
                  <w:vAlign w:val="center"/>
                </w:tcPr>
                <w:p w14:paraId="66E29E1C">
                  <w:pPr>
                    <w:adjustRightInd w:val="0"/>
                    <w:snapToGrid w:val="0"/>
                    <w:spacing w:line="240" w:lineRule="auto"/>
                    <w:ind w:firstLine="0" w:firstLineChars="0"/>
                    <w:rPr>
                      <w:sz w:val="21"/>
                      <w:szCs w:val="21"/>
                    </w:rPr>
                  </w:pPr>
                  <w:r>
                    <w:rPr>
                      <w:color w:val="000000"/>
                      <w:sz w:val="21"/>
                      <w:szCs w:val="22"/>
                      <w:shd w:val="clear" w:color="auto" w:fill="FFFFFF"/>
                    </w:rPr>
                    <w:t>本次勘探施工操作场地材料物资存放场地等地面将铺设防渗材料</w:t>
                  </w:r>
                </w:p>
              </w:tc>
              <w:tc>
                <w:tcPr>
                  <w:tcW w:w="471" w:type="pct"/>
                  <w:vAlign w:val="center"/>
                </w:tcPr>
                <w:p w14:paraId="1ED872EA">
                  <w:pPr>
                    <w:adjustRightInd w:val="0"/>
                    <w:snapToGrid w:val="0"/>
                    <w:spacing w:line="240" w:lineRule="auto"/>
                    <w:ind w:firstLine="0" w:firstLineChars="0"/>
                    <w:rPr>
                      <w:sz w:val="21"/>
                      <w:szCs w:val="21"/>
                    </w:rPr>
                  </w:pPr>
                  <w:r>
                    <w:rPr>
                      <w:rFonts w:hint="eastAsia"/>
                      <w:sz w:val="21"/>
                      <w:szCs w:val="21"/>
                    </w:rPr>
                    <w:t>符合</w:t>
                  </w:r>
                </w:p>
              </w:tc>
            </w:tr>
            <w:tr w14:paraId="736CEC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247C3EEB">
                  <w:pPr>
                    <w:adjustRightInd w:val="0"/>
                    <w:snapToGrid w:val="0"/>
                    <w:spacing w:line="240" w:lineRule="auto"/>
                    <w:ind w:firstLine="0" w:firstLineChars="0"/>
                    <w:rPr>
                      <w:sz w:val="21"/>
                      <w:szCs w:val="21"/>
                    </w:rPr>
                  </w:pPr>
                </w:p>
              </w:tc>
              <w:tc>
                <w:tcPr>
                  <w:tcW w:w="1602" w:type="pct"/>
                  <w:vAlign w:val="center"/>
                </w:tcPr>
                <w:p w14:paraId="4D86902B">
                  <w:pPr>
                    <w:adjustRightInd w:val="0"/>
                    <w:snapToGrid w:val="0"/>
                    <w:spacing w:line="240" w:lineRule="auto"/>
                    <w:ind w:firstLine="0" w:firstLineChars="0"/>
                    <w:rPr>
                      <w:color w:val="000000"/>
                      <w:sz w:val="21"/>
                      <w:szCs w:val="22"/>
                      <w:shd w:val="clear" w:color="auto" w:fill="FFFFFF"/>
                    </w:rPr>
                  </w:pPr>
                  <w:r>
                    <w:rPr>
                      <w:color w:val="000000"/>
                      <w:sz w:val="21"/>
                      <w:szCs w:val="22"/>
                      <w:shd w:val="clear" w:color="auto" w:fill="FFFFFF"/>
                    </w:rPr>
                    <w:t>钻探液循环系统宜采用移动式泥浆箱及管道尽量避免现场开挖；确需开挖，其容积应按钻孔设计深度进行计算，底部应铺设防渗材料进行防渗处理</w:t>
                  </w:r>
                </w:p>
              </w:tc>
              <w:tc>
                <w:tcPr>
                  <w:tcW w:w="1547" w:type="pct"/>
                  <w:vAlign w:val="center"/>
                </w:tcPr>
                <w:p w14:paraId="3E559072">
                  <w:pPr>
                    <w:adjustRightInd w:val="0"/>
                    <w:snapToGrid w:val="0"/>
                    <w:spacing w:line="240" w:lineRule="auto"/>
                    <w:ind w:firstLine="0" w:firstLineChars="0"/>
                    <w:rPr>
                      <w:sz w:val="21"/>
                      <w:szCs w:val="21"/>
                    </w:rPr>
                  </w:pPr>
                  <w:r>
                    <w:rPr>
                      <w:rFonts w:hint="eastAsia"/>
                      <w:color w:val="000000"/>
                      <w:sz w:val="21"/>
                      <w:szCs w:val="22"/>
                      <w:shd w:val="clear" w:color="auto" w:fill="FFFFFF"/>
                    </w:rPr>
                    <w:t>本项目</w:t>
                  </w:r>
                  <w:r>
                    <w:rPr>
                      <w:color w:val="000000"/>
                      <w:sz w:val="21"/>
                      <w:szCs w:val="22"/>
                      <w:shd w:val="clear" w:color="auto" w:fill="FFFFFF"/>
                    </w:rPr>
                    <w:t>采用防渗膜塑料布及支架组装成简易沉淀池</w:t>
                  </w:r>
                </w:p>
              </w:tc>
              <w:tc>
                <w:tcPr>
                  <w:tcW w:w="471" w:type="pct"/>
                  <w:vAlign w:val="center"/>
                </w:tcPr>
                <w:p w14:paraId="7393428C">
                  <w:pPr>
                    <w:adjustRightInd w:val="0"/>
                    <w:snapToGrid w:val="0"/>
                    <w:spacing w:line="240" w:lineRule="auto"/>
                    <w:ind w:firstLine="0" w:firstLineChars="0"/>
                    <w:rPr>
                      <w:sz w:val="21"/>
                      <w:szCs w:val="21"/>
                    </w:rPr>
                  </w:pPr>
                  <w:r>
                    <w:rPr>
                      <w:rFonts w:hint="eastAsia"/>
                      <w:sz w:val="21"/>
                      <w:szCs w:val="21"/>
                    </w:rPr>
                    <w:t>符合</w:t>
                  </w:r>
                </w:p>
              </w:tc>
            </w:tr>
            <w:tr w14:paraId="797D0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34BD6740">
                  <w:pPr>
                    <w:adjustRightInd w:val="0"/>
                    <w:snapToGrid w:val="0"/>
                    <w:spacing w:line="240" w:lineRule="auto"/>
                    <w:ind w:firstLine="0" w:firstLineChars="0"/>
                    <w:rPr>
                      <w:sz w:val="21"/>
                      <w:szCs w:val="21"/>
                    </w:rPr>
                  </w:pPr>
                </w:p>
              </w:tc>
              <w:tc>
                <w:tcPr>
                  <w:tcW w:w="1602" w:type="pct"/>
                  <w:vAlign w:val="center"/>
                </w:tcPr>
                <w:p w14:paraId="612EC89B">
                  <w:pPr>
                    <w:adjustRightInd w:val="0"/>
                    <w:snapToGrid w:val="0"/>
                    <w:spacing w:line="240" w:lineRule="auto"/>
                    <w:ind w:firstLine="0" w:firstLineChars="0"/>
                    <w:rPr>
                      <w:color w:val="000000"/>
                      <w:sz w:val="21"/>
                      <w:szCs w:val="22"/>
                      <w:shd w:val="clear" w:color="auto" w:fill="FFFFFF"/>
                    </w:rPr>
                  </w:pPr>
                  <w:r>
                    <w:rPr>
                      <w:color w:val="000000"/>
                      <w:sz w:val="21"/>
                      <w:szCs w:val="22"/>
                      <w:shd w:val="clear" w:color="auto" w:fill="FFFFFF"/>
                    </w:rPr>
                    <w:t>钻探施工冲洗液使用泥浆时，应采用优质环保浆液。钻探材料及处理剂应符合GB/T5005的规定</w:t>
                  </w:r>
                </w:p>
              </w:tc>
              <w:tc>
                <w:tcPr>
                  <w:tcW w:w="1547" w:type="pct"/>
                  <w:vAlign w:val="center"/>
                </w:tcPr>
                <w:p w14:paraId="5AD2D1A7">
                  <w:pPr>
                    <w:adjustRightInd w:val="0"/>
                    <w:snapToGrid w:val="0"/>
                    <w:spacing w:line="240" w:lineRule="auto"/>
                    <w:ind w:firstLine="0" w:firstLineChars="0"/>
                    <w:rPr>
                      <w:sz w:val="21"/>
                      <w:szCs w:val="21"/>
                    </w:rPr>
                  </w:pPr>
                  <w:r>
                    <w:rPr>
                      <w:rFonts w:hint="eastAsia"/>
                      <w:color w:val="000000"/>
                      <w:sz w:val="21"/>
                      <w:szCs w:val="22"/>
                      <w:shd w:val="clear" w:color="auto" w:fill="FFFFFF"/>
                    </w:rPr>
                    <w:t>项目钻探施工过程采用水基泥浆作为冲洗液，选用优质环保泥浆材料，钻探材料及处理剂符合GB/T5005的规定</w:t>
                  </w:r>
                </w:p>
              </w:tc>
              <w:tc>
                <w:tcPr>
                  <w:tcW w:w="471" w:type="pct"/>
                  <w:vAlign w:val="center"/>
                </w:tcPr>
                <w:p w14:paraId="64C1CA5C">
                  <w:pPr>
                    <w:adjustRightInd w:val="0"/>
                    <w:snapToGrid w:val="0"/>
                    <w:spacing w:line="240" w:lineRule="auto"/>
                    <w:ind w:firstLine="0" w:firstLineChars="0"/>
                    <w:rPr>
                      <w:sz w:val="21"/>
                      <w:szCs w:val="21"/>
                    </w:rPr>
                  </w:pPr>
                  <w:r>
                    <w:rPr>
                      <w:rFonts w:hint="eastAsia"/>
                      <w:sz w:val="21"/>
                      <w:szCs w:val="21"/>
                    </w:rPr>
                    <w:t>符合</w:t>
                  </w:r>
                </w:p>
              </w:tc>
            </w:tr>
            <w:tr w14:paraId="28288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4D288289">
                  <w:pPr>
                    <w:adjustRightInd w:val="0"/>
                    <w:snapToGrid w:val="0"/>
                    <w:spacing w:line="240" w:lineRule="auto"/>
                    <w:ind w:firstLine="0" w:firstLineChars="0"/>
                    <w:rPr>
                      <w:sz w:val="21"/>
                      <w:szCs w:val="21"/>
                    </w:rPr>
                  </w:pPr>
                </w:p>
              </w:tc>
              <w:tc>
                <w:tcPr>
                  <w:tcW w:w="1602" w:type="pct"/>
                  <w:vAlign w:val="center"/>
                </w:tcPr>
                <w:p w14:paraId="2624A6B3">
                  <w:pPr>
                    <w:adjustRightInd w:val="0"/>
                    <w:snapToGrid w:val="0"/>
                    <w:spacing w:line="240" w:lineRule="auto"/>
                    <w:ind w:firstLine="0" w:firstLineChars="0"/>
                    <w:rPr>
                      <w:color w:val="000000"/>
                      <w:sz w:val="21"/>
                      <w:szCs w:val="22"/>
                      <w:shd w:val="clear" w:color="auto" w:fill="FFFFFF"/>
                    </w:rPr>
                  </w:pPr>
                  <w:r>
                    <w:rPr>
                      <w:color w:val="000000"/>
                      <w:sz w:val="21"/>
                      <w:szCs w:val="22"/>
                      <w:shd w:val="clear" w:color="auto" w:fill="FFFFFF"/>
                    </w:rPr>
                    <w:t>施工过程中发现孔内严重漏失和施工现场周边泉点的水质水量颜色有变化时，应分析原因确认漏失层（段），并采用环保材料堵漏或下</w:t>
                  </w:r>
                  <w:r>
                    <w:rPr>
                      <w:rFonts w:hint="eastAsia"/>
                      <w:color w:val="000000"/>
                      <w:sz w:val="21"/>
                      <w:szCs w:val="22"/>
                      <w:shd w:val="clear" w:color="auto" w:fill="FFFFFF"/>
                    </w:rPr>
                    <w:t>入</w:t>
                  </w:r>
                  <w:r>
                    <w:rPr>
                      <w:color w:val="000000"/>
                      <w:sz w:val="21"/>
                      <w:szCs w:val="22"/>
                      <w:shd w:val="clear" w:color="auto" w:fill="FFFFFF"/>
                    </w:rPr>
                    <w:t>套管等方法进行封堵；当发现孔内涌水时，应对钻孔中接触的承压水进行控制，防止浪费和不同含水层间的交叉污染</w:t>
                  </w:r>
                </w:p>
              </w:tc>
              <w:tc>
                <w:tcPr>
                  <w:tcW w:w="1547" w:type="pct"/>
                  <w:vAlign w:val="center"/>
                </w:tcPr>
                <w:p w14:paraId="671BEE34">
                  <w:pPr>
                    <w:adjustRightInd w:val="0"/>
                    <w:snapToGrid w:val="0"/>
                    <w:spacing w:line="240" w:lineRule="auto"/>
                    <w:ind w:firstLine="0" w:firstLineChars="0"/>
                    <w:rPr>
                      <w:sz w:val="21"/>
                      <w:szCs w:val="21"/>
                    </w:rPr>
                  </w:pPr>
                  <w:r>
                    <w:rPr>
                      <w:rFonts w:hint="eastAsia"/>
                      <w:color w:val="000000"/>
                      <w:sz w:val="21"/>
                      <w:szCs w:val="22"/>
                      <w:shd w:val="clear" w:color="auto" w:fill="FFFFFF"/>
                    </w:rPr>
                    <w:t>要求</w:t>
                  </w:r>
                  <w:r>
                    <w:rPr>
                      <w:color w:val="000000"/>
                      <w:sz w:val="21"/>
                      <w:szCs w:val="22"/>
                      <w:shd w:val="clear" w:color="auto" w:fill="FFFFFF"/>
                    </w:rPr>
                    <w:t>项目施工单位加强施工管理，若发现孔内严重漏失，应分析原因确认漏失层（段），并采用环保材料堵漏或下人套管等方法进行封堵；当发现孔内涌水时，应对钻孔中接触的承压水进行控制</w:t>
                  </w:r>
                </w:p>
              </w:tc>
              <w:tc>
                <w:tcPr>
                  <w:tcW w:w="471" w:type="pct"/>
                  <w:vAlign w:val="center"/>
                </w:tcPr>
                <w:p w14:paraId="358E1E2D">
                  <w:pPr>
                    <w:adjustRightInd w:val="0"/>
                    <w:snapToGrid w:val="0"/>
                    <w:spacing w:line="240" w:lineRule="auto"/>
                    <w:ind w:firstLine="0" w:firstLineChars="0"/>
                    <w:rPr>
                      <w:sz w:val="21"/>
                      <w:szCs w:val="21"/>
                    </w:rPr>
                  </w:pPr>
                  <w:r>
                    <w:rPr>
                      <w:rFonts w:hint="eastAsia"/>
                      <w:sz w:val="21"/>
                      <w:szCs w:val="21"/>
                    </w:rPr>
                    <w:t>符合</w:t>
                  </w:r>
                </w:p>
              </w:tc>
            </w:tr>
            <w:tr w14:paraId="614D1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354F9FAB">
                  <w:pPr>
                    <w:adjustRightInd w:val="0"/>
                    <w:snapToGrid w:val="0"/>
                    <w:spacing w:line="240" w:lineRule="auto"/>
                    <w:ind w:firstLine="0" w:firstLineChars="0"/>
                    <w:rPr>
                      <w:sz w:val="21"/>
                      <w:szCs w:val="21"/>
                    </w:rPr>
                  </w:pPr>
                </w:p>
              </w:tc>
              <w:tc>
                <w:tcPr>
                  <w:tcW w:w="1602" w:type="pct"/>
                  <w:vAlign w:val="center"/>
                </w:tcPr>
                <w:p w14:paraId="4AAD4294">
                  <w:pPr>
                    <w:spacing w:line="240" w:lineRule="auto"/>
                    <w:ind w:firstLine="0" w:firstLineChars="0"/>
                    <w:textAlignment w:val="center"/>
                    <w:rPr>
                      <w:color w:val="000000"/>
                      <w:sz w:val="21"/>
                      <w:szCs w:val="22"/>
                      <w:shd w:val="clear" w:color="auto" w:fill="FFFFFF"/>
                    </w:rPr>
                  </w:pPr>
                  <w:r>
                    <w:rPr>
                      <w:color w:val="000000"/>
                      <w:sz w:val="21"/>
                      <w:szCs w:val="22"/>
                      <w:shd w:val="clear" w:color="auto" w:fill="FFFFFF"/>
                    </w:rPr>
                    <w:t>钻探施工中产生的废水无法循环利用需排放的，应处理至符合GB8978要求，以免污染土壤和地表（下）水。</w:t>
                  </w:r>
                </w:p>
              </w:tc>
              <w:tc>
                <w:tcPr>
                  <w:tcW w:w="1547" w:type="pct"/>
                  <w:vAlign w:val="center"/>
                </w:tcPr>
                <w:p w14:paraId="73E01156">
                  <w:pPr>
                    <w:adjustRightInd w:val="0"/>
                    <w:snapToGrid w:val="0"/>
                    <w:spacing w:line="240" w:lineRule="auto"/>
                    <w:ind w:firstLine="0" w:firstLineChars="0"/>
                    <w:rPr>
                      <w:sz w:val="21"/>
                      <w:szCs w:val="21"/>
                    </w:rPr>
                  </w:pPr>
                  <w:r>
                    <w:rPr>
                      <w:color w:val="000000"/>
                      <w:sz w:val="21"/>
                      <w:szCs w:val="22"/>
                      <w:shd w:val="clear" w:color="auto" w:fill="FFFFFF"/>
                    </w:rPr>
                    <w:t>项目钻探施工过程产生的废水循环利用，不外排</w:t>
                  </w:r>
                </w:p>
              </w:tc>
              <w:tc>
                <w:tcPr>
                  <w:tcW w:w="471" w:type="pct"/>
                  <w:vAlign w:val="center"/>
                </w:tcPr>
                <w:p w14:paraId="76060DD2">
                  <w:pPr>
                    <w:adjustRightInd w:val="0"/>
                    <w:snapToGrid w:val="0"/>
                    <w:spacing w:line="240" w:lineRule="auto"/>
                    <w:ind w:firstLine="0" w:firstLineChars="0"/>
                    <w:rPr>
                      <w:sz w:val="21"/>
                      <w:szCs w:val="21"/>
                    </w:rPr>
                  </w:pPr>
                  <w:r>
                    <w:rPr>
                      <w:rFonts w:hint="eastAsia"/>
                      <w:sz w:val="21"/>
                      <w:szCs w:val="21"/>
                    </w:rPr>
                    <w:t>符合</w:t>
                  </w:r>
                </w:p>
              </w:tc>
            </w:tr>
            <w:tr w14:paraId="35CBD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66292648">
                  <w:pPr>
                    <w:adjustRightInd w:val="0"/>
                    <w:snapToGrid w:val="0"/>
                    <w:spacing w:line="240" w:lineRule="auto"/>
                    <w:ind w:firstLine="0" w:firstLineChars="0"/>
                    <w:rPr>
                      <w:sz w:val="21"/>
                      <w:szCs w:val="21"/>
                    </w:rPr>
                  </w:pPr>
                </w:p>
              </w:tc>
              <w:tc>
                <w:tcPr>
                  <w:tcW w:w="1602" w:type="pct"/>
                  <w:vAlign w:val="center"/>
                </w:tcPr>
                <w:p w14:paraId="53AE869A">
                  <w:pPr>
                    <w:spacing w:line="240" w:lineRule="auto"/>
                    <w:ind w:firstLine="0" w:firstLineChars="0"/>
                    <w:textAlignment w:val="center"/>
                    <w:rPr>
                      <w:color w:val="000000"/>
                      <w:sz w:val="21"/>
                      <w:szCs w:val="22"/>
                      <w:shd w:val="clear" w:color="auto" w:fill="FFFFFF"/>
                    </w:rPr>
                  </w:pPr>
                  <w:r>
                    <w:rPr>
                      <w:color w:val="000000"/>
                      <w:sz w:val="21"/>
                      <w:szCs w:val="22"/>
                      <w:shd w:val="clear" w:color="auto" w:fill="FFFFFF"/>
                    </w:rPr>
                    <w:t>钻探施工中产生的沉渣、废浆应设置专用存储池，经沉淀和固化处理后，应满足GB18599要求；未达到要求的严禁向外排放。</w:t>
                  </w:r>
                </w:p>
              </w:tc>
              <w:tc>
                <w:tcPr>
                  <w:tcW w:w="1547" w:type="pct"/>
                  <w:vAlign w:val="center"/>
                </w:tcPr>
                <w:p w14:paraId="696E91BE">
                  <w:pPr>
                    <w:adjustRightInd w:val="0"/>
                    <w:snapToGrid w:val="0"/>
                    <w:spacing w:line="240" w:lineRule="auto"/>
                    <w:ind w:firstLine="0" w:firstLineChars="0"/>
                    <w:rPr>
                      <w:sz w:val="21"/>
                      <w:szCs w:val="21"/>
                    </w:rPr>
                  </w:pPr>
                  <w:r>
                    <w:rPr>
                      <w:color w:val="000000"/>
                      <w:sz w:val="21"/>
                      <w:szCs w:val="22"/>
                      <w:shd w:val="clear" w:color="auto" w:fill="FFFFFF"/>
                    </w:rPr>
                    <w:t>目钻探平台各设置1个沉淀池，钻探废水经沉淀池收集沉淀后</w:t>
                  </w:r>
                  <w:r>
                    <w:rPr>
                      <w:rFonts w:hint="eastAsia"/>
                      <w:color w:val="000000"/>
                      <w:sz w:val="21"/>
                      <w:szCs w:val="22"/>
                      <w:shd w:val="clear" w:color="auto" w:fill="FFFFFF"/>
                    </w:rPr>
                    <w:t>回用于钻探，</w:t>
                  </w:r>
                  <w:r>
                    <w:rPr>
                      <w:color w:val="000000"/>
                      <w:sz w:val="21"/>
                      <w:szCs w:val="22"/>
                      <w:shd w:val="clear" w:color="auto" w:fill="FFFFFF"/>
                    </w:rPr>
                    <w:t>不外排</w:t>
                  </w:r>
                </w:p>
              </w:tc>
              <w:tc>
                <w:tcPr>
                  <w:tcW w:w="471" w:type="pct"/>
                  <w:vAlign w:val="center"/>
                </w:tcPr>
                <w:p w14:paraId="51DA1105">
                  <w:pPr>
                    <w:adjustRightInd w:val="0"/>
                    <w:snapToGrid w:val="0"/>
                    <w:spacing w:line="240" w:lineRule="auto"/>
                    <w:ind w:firstLine="0" w:firstLineChars="0"/>
                    <w:rPr>
                      <w:sz w:val="21"/>
                      <w:szCs w:val="21"/>
                    </w:rPr>
                  </w:pPr>
                  <w:r>
                    <w:rPr>
                      <w:rFonts w:hint="eastAsia"/>
                      <w:sz w:val="21"/>
                      <w:szCs w:val="21"/>
                    </w:rPr>
                    <w:t>符合</w:t>
                  </w:r>
                </w:p>
              </w:tc>
            </w:tr>
            <w:tr w14:paraId="6D617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67C4535A">
                  <w:pPr>
                    <w:adjustRightInd w:val="0"/>
                    <w:snapToGrid w:val="0"/>
                    <w:spacing w:line="240" w:lineRule="auto"/>
                    <w:ind w:firstLine="0" w:firstLineChars="0"/>
                    <w:rPr>
                      <w:sz w:val="21"/>
                      <w:szCs w:val="21"/>
                    </w:rPr>
                  </w:pPr>
                </w:p>
              </w:tc>
              <w:tc>
                <w:tcPr>
                  <w:tcW w:w="1602" w:type="pct"/>
                  <w:vAlign w:val="center"/>
                </w:tcPr>
                <w:p w14:paraId="71BEA159">
                  <w:pPr>
                    <w:spacing w:line="240" w:lineRule="auto"/>
                    <w:ind w:firstLine="0" w:firstLineChars="0"/>
                    <w:textAlignment w:val="center"/>
                    <w:rPr>
                      <w:color w:val="000000"/>
                      <w:sz w:val="21"/>
                      <w:szCs w:val="22"/>
                      <w:shd w:val="clear" w:color="auto" w:fill="FFFFFF"/>
                    </w:rPr>
                  </w:pPr>
                  <w:r>
                    <w:rPr>
                      <w:color w:val="000000"/>
                      <w:sz w:val="21"/>
                      <w:szCs w:val="22"/>
                      <w:shd w:val="clear" w:color="auto" w:fill="FFFFFF"/>
                    </w:rPr>
                    <w:t>施工中产生的废料、生活垃圾，钻孔渣土等固体废弃物应及时清理，分类存储，回收利用，按相关管理规定进行现场处置及外运。</w:t>
                  </w:r>
                </w:p>
              </w:tc>
              <w:tc>
                <w:tcPr>
                  <w:tcW w:w="1547" w:type="pct"/>
                  <w:vAlign w:val="center"/>
                </w:tcPr>
                <w:p w14:paraId="3940C4A0">
                  <w:pPr>
                    <w:adjustRightInd w:val="0"/>
                    <w:snapToGrid w:val="0"/>
                    <w:spacing w:line="240" w:lineRule="auto"/>
                    <w:ind w:firstLine="0" w:firstLineChars="0"/>
                    <w:rPr>
                      <w:sz w:val="21"/>
                      <w:szCs w:val="21"/>
                      <w:highlight w:val="yellow"/>
                    </w:rPr>
                  </w:pPr>
                  <w:r>
                    <w:rPr>
                      <w:rFonts w:hint="eastAsia"/>
                      <w:color w:val="000000"/>
                      <w:sz w:val="21"/>
                      <w:szCs w:val="22"/>
                      <w:shd w:val="clear" w:color="auto" w:fill="FFFFFF"/>
                    </w:rPr>
                    <w:t>施工期产生的生活垃圾采用垃圾桶集中收集后运出勘查区由环卫部门统一清运</w:t>
                  </w:r>
                </w:p>
              </w:tc>
              <w:tc>
                <w:tcPr>
                  <w:tcW w:w="471" w:type="pct"/>
                  <w:vAlign w:val="center"/>
                </w:tcPr>
                <w:p w14:paraId="04C3FA2E">
                  <w:pPr>
                    <w:adjustRightInd w:val="0"/>
                    <w:snapToGrid w:val="0"/>
                    <w:spacing w:line="240" w:lineRule="auto"/>
                    <w:ind w:firstLine="0" w:firstLineChars="0"/>
                    <w:rPr>
                      <w:sz w:val="21"/>
                      <w:szCs w:val="21"/>
                    </w:rPr>
                  </w:pPr>
                  <w:r>
                    <w:rPr>
                      <w:rFonts w:hint="eastAsia"/>
                      <w:sz w:val="21"/>
                      <w:szCs w:val="21"/>
                    </w:rPr>
                    <w:t>符合</w:t>
                  </w:r>
                </w:p>
              </w:tc>
            </w:tr>
            <w:tr w14:paraId="6D25B3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4F4D0CED">
                  <w:pPr>
                    <w:adjustRightInd w:val="0"/>
                    <w:snapToGrid w:val="0"/>
                    <w:spacing w:line="240" w:lineRule="auto"/>
                    <w:ind w:firstLine="0" w:firstLineChars="0"/>
                    <w:rPr>
                      <w:sz w:val="21"/>
                      <w:szCs w:val="21"/>
                    </w:rPr>
                  </w:pPr>
                </w:p>
              </w:tc>
              <w:tc>
                <w:tcPr>
                  <w:tcW w:w="1602" w:type="pct"/>
                  <w:vAlign w:val="center"/>
                </w:tcPr>
                <w:p w14:paraId="59F5B630">
                  <w:pPr>
                    <w:spacing w:line="240" w:lineRule="auto"/>
                    <w:ind w:firstLine="0" w:firstLineChars="0"/>
                    <w:textAlignment w:val="center"/>
                    <w:rPr>
                      <w:color w:val="000000"/>
                      <w:sz w:val="21"/>
                      <w:szCs w:val="22"/>
                      <w:shd w:val="clear" w:color="auto" w:fill="FFFFFF"/>
                    </w:rPr>
                  </w:pPr>
                  <w:r>
                    <w:rPr>
                      <w:color w:val="000000"/>
                      <w:sz w:val="21"/>
                      <w:szCs w:val="22"/>
                      <w:shd w:val="clear" w:color="auto" w:fill="FFFFFF"/>
                    </w:rPr>
                    <w:t>在居民区、动物养殖区、野生动物栖息地等附近施工，施工噪声应符合GB3096要求。</w:t>
                  </w:r>
                </w:p>
              </w:tc>
              <w:tc>
                <w:tcPr>
                  <w:tcW w:w="1547" w:type="pct"/>
                  <w:vAlign w:val="center"/>
                </w:tcPr>
                <w:p w14:paraId="425B4453">
                  <w:pPr>
                    <w:adjustRightInd w:val="0"/>
                    <w:snapToGrid w:val="0"/>
                    <w:spacing w:line="240" w:lineRule="auto"/>
                    <w:ind w:firstLine="0" w:firstLineChars="0"/>
                    <w:rPr>
                      <w:sz w:val="21"/>
                      <w:szCs w:val="21"/>
                    </w:rPr>
                  </w:pPr>
                  <w:r>
                    <w:rPr>
                      <w:color w:val="000000"/>
                      <w:sz w:val="21"/>
                      <w:szCs w:val="22"/>
                      <w:shd w:val="clear" w:color="auto" w:fill="FFFFFF"/>
                    </w:rPr>
                    <w:t>本项目</w:t>
                  </w:r>
                  <w:r>
                    <w:rPr>
                      <w:rFonts w:hint="eastAsia"/>
                      <w:color w:val="000000"/>
                      <w:sz w:val="21"/>
                      <w:szCs w:val="22"/>
                      <w:shd w:val="clear" w:color="auto" w:fill="FFFFFF"/>
                    </w:rPr>
                    <w:t>区及周边无</w:t>
                  </w:r>
                  <w:r>
                    <w:rPr>
                      <w:color w:val="000000"/>
                      <w:sz w:val="21"/>
                      <w:szCs w:val="22"/>
                      <w:shd w:val="clear" w:color="auto" w:fill="FFFFFF"/>
                    </w:rPr>
                    <w:t>居民区、动物养殖区、野生动物栖息地等</w:t>
                  </w:r>
                </w:p>
              </w:tc>
              <w:tc>
                <w:tcPr>
                  <w:tcW w:w="471" w:type="pct"/>
                  <w:vAlign w:val="center"/>
                </w:tcPr>
                <w:p w14:paraId="42590BC7">
                  <w:pPr>
                    <w:adjustRightInd w:val="0"/>
                    <w:snapToGrid w:val="0"/>
                    <w:spacing w:line="240" w:lineRule="auto"/>
                    <w:ind w:firstLine="0" w:firstLineChars="0"/>
                    <w:rPr>
                      <w:sz w:val="21"/>
                      <w:szCs w:val="21"/>
                    </w:rPr>
                  </w:pPr>
                  <w:r>
                    <w:rPr>
                      <w:rFonts w:hint="eastAsia"/>
                      <w:sz w:val="21"/>
                      <w:szCs w:val="21"/>
                    </w:rPr>
                    <w:t>符合</w:t>
                  </w:r>
                </w:p>
              </w:tc>
            </w:tr>
            <w:tr w14:paraId="4C0EA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5A569B2F">
                  <w:pPr>
                    <w:adjustRightInd w:val="0"/>
                    <w:snapToGrid w:val="0"/>
                    <w:spacing w:line="240" w:lineRule="auto"/>
                    <w:ind w:firstLine="0" w:firstLineChars="0"/>
                    <w:rPr>
                      <w:sz w:val="21"/>
                      <w:szCs w:val="21"/>
                    </w:rPr>
                  </w:pPr>
                </w:p>
              </w:tc>
              <w:tc>
                <w:tcPr>
                  <w:tcW w:w="1602" w:type="pct"/>
                  <w:vAlign w:val="center"/>
                </w:tcPr>
                <w:p w14:paraId="478C46F2">
                  <w:pPr>
                    <w:spacing w:line="240" w:lineRule="auto"/>
                    <w:ind w:firstLine="0" w:firstLineChars="0"/>
                    <w:textAlignment w:val="center"/>
                    <w:rPr>
                      <w:color w:val="000000"/>
                      <w:sz w:val="21"/>
                      <w:szCs w:val="22"/>
                      <w:shd w:val="clear" w:color="auto" w:fill="FFFFFF"/>
                    </w:rPr>
                  </w:pPr>
                  <w:r>
                    <w:rPr>
                      <w:color w:val="000000"/>
                      <w:sz w:val="21"/>
                      <w:szCs w:val="22"/>
                      <w:shd w:val="clear" w:color="auto" w:fill="FFFFFF"/>
                    </w:rPr>
                    <w:t>钻孔终孔后应按照相关设计做好封孔工作，实行全孔封闭，并设置永久性标志，确保封孔质量，以恢复地下水环境或减轻钻探施工对地下水环境造成的扰动影响。</w:t>
                  </w:r>
                </w:p>
              </w:tc>
              <w:tc>
                <w:tcPr>
                  <w:tcW w:w="1547" w:type="pct"/>
                  <w:vAlign w:val="center"/>
                </w:tcPr>
                <w:p w14:paraId="6B8A88D4">
                  <w:pPr>
                    <w:adjustRightInd w:val="0"/>
                    <w:snapToGrid w:val="0"/>
                    <w:spacing w:line="240" w:lineRule="auto"/>
                    <w:ind w:firstLine="0" w:firstLineChars="0"/>
                    <w:rPr>
                      <w:sz w:val="21"/>
                      <w:szCs w:val="21"/>
                    </w:rPr>
                  </w:pPr>
                  <w:r>
                    <w:rPr>
                      <w:rFonts w:hint="eastAsia"/>
                      <w:color w:val="000000"/>
                      <w:sz w:val="21"/>
                      <w:szCs w:val="22"/>
                      <w:shd w:val="clear" w:color="auto" w:fill="FFFFFF"/>
                    </w:rPr>
                    <w:t>要求</w:t>
                  </w:r>
                  <w:r>
                    <w:rPr>
                      <w:color w:val="000000"/>
                      <w:sz w:val="21"/>
                      <w:szCs w:val="22"/>
                      <w:shd w:val="clear" w:color="auto" w:fill="FFFFFF"/>
                    </w:rPr>
                    <w:t>施工结束后，施工单位按照相关设计做好封孔工作，实行全孔封闭，并设置永久性标志，确保封孔质量，以恢复地下水环境或减轻钻探施工对地下水环境造成的扰动影响</w:t>
                  </w:r>
                </w:p>
              </w:tc>
              <w:tc>
                <w:tcPr>
                  <w:tcW w:w="471" w:type="pct"/>
                  <w:vAlign w:val="center"/>
                </w:tcPr>
                <w:p w14:paraId="3CB021D4">
                  <w:pPr>
                    <w:adjustRightInd w:val="0"/>
                    <w:snapToGrid w:val="0"/>
                    <w:spacing w:line="240" w:lineRule="auto"/>
                    <w:ind w:firstLine="0" w:firstLineChars="0"/>
                    <w:rPr>
                      <w:sz w:val="21"/>
                      <w:szCs w:val="21"/>
                    </w:rPr>
                  </w:pPr>
                  <w:r>
                    <w:rPr>
                      <w:rFonts w:hint="eastAsia"/>
                      <w:sz w:val="21"/>
                      <w:szCs w:val="21"/>
                    </w:rPr>
                    <w:t>符合</w:t>
                  </w:r>
                </w:p>
              </w:tc>
            </w:tr>
            <w:tr w14:paraId="0FF11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restart"/>
                  <w:vAlign w:val="center"/>
                </w:tcPr>
                <w:p w14:paraId="68866655">
                  <w:pPr>
                    <w:adjustRightInd w:val="0"/>
                    <w:snapToGrid w:val="0"/>
                    <w:spacing w:line="240" w:lineRule="auto"/>
                    <w:ind w:firstLine="0" w:firstLineChars="0"/>
                    <w:rPr>
                      <w:sz w:val="21"/>
                      <w:szCs w:val="21"/>
                    </w:rPr>
                  </w:pPr>
                  <w:r>
                    <w:rPr>
                      <w:rFonts w:hint="eastAsia"/>
                      <w:sz w:val="21"/>
                      <w:szCs w:val="21"/>
                    </w:rPr>
                    <w:t>《矿山生态环境保护与恢复治理技术规范（试行）》（HJ651-2013）</w:t>
                  </w:r>
                </w:p>
              </w:tc>
              <w:tc>
                <w:tcPr>
                  <w:tcW w:w="1602" w:type="pct"/>
                  <w:vAlign w:val="center"/>
                </w:tcPr>
                <w:p w14:paraId="0710A8C5">
                  <w:pPr>
                    <w:adjustRightInd w:val="0"/>
                    <w:snapToGrid w:val="0"/>
                    <w:spacing w:line="240" w:lineRule="auto"/>
                    <w:ind w:firstLine="0" w:firstLineChars="0"/>
                    <w:rPr>
                      <w:sz w:val="21"/>
                      <w:szCs w:val="21"/>
                    </w:rPr>
                  </w:pPr>
                  <w:r>
                    <w:rPr>
                      <w:rFonts w:hint="eastAsia"/>
                      <w:sz w:val="21"/>
                      <w:szCs w:val="21"/>
                    </w:rPr>
                    <w:t>勘查活动结束后，应根据景观相似原则，对勘查活动造成的土壤、植被和地表景观破坏进行恢复</w:t>
                  </w:r>
                </w:p>
              </w:tc>
              <w:tc>
                <w:tcPr>
                  <w:tcW w:w="1547" w:type="pct"/>
                  <w:vAlign w:val="center"/>
                </w:tcPr>
                <w:p w14:paraId="25273189">
                  <w:pPr>
                    <w:adjustRightInd w:val="0"/>
                    <w:snapToGrid w:val="0"/>
                    <w:spacing w:line="240" w:lineRule="auto"/>
                    <w:ind w:firstLine="0" w:firstLineChars="0"/>
                    <w:rPr>
                      <w:sz w:val="21"/>
                      <w:szCs w:val="21"/>
                    </w:rPr>
                  </w:pPr>
                  <w:r>
                    <w:rPr>
                      <w:rFonts w:hint="eastAsia"/>
                      <w:sz w:val="21"/>
                      <w:szCs w:val="21"/>
                    </w:rPr>
                    <w:t>本项目实施过程注意减少对土壤、植被、地表景观的破坏，勘查期结束后，对遗留地面的施工迹地进行恢复，对探井进行回填封闭并设置警示标识</w:t>
                  </w:r>
                </w:p>
              </w:tc>
              <w:tc>
                <w:tcPr>
                  <w:tcW w:w="471" w:type="pct"/>
                  <w:vAlign w:val="center"/>
                </w:tcPr>
                <w:p w14:paraId="6BA40F70">
                  <w:pPr>
                    <w:adjustRightInd w:val="0"/>
                    <w:snapToGrid w:val="0"/>
                    <w:spacing w:line="240" w:lineRule="auto"/>
                    <w:ind w:firstLine="0" w:firstLineChars="0"/>
                    <w:rPr>
                      <w:sz w:val="21"/>
                      <w:szCs w:val="21"/>
                    </w:rPr>
                  </w:pPr>
                  <w:r>
                    <w:rPr>
                      <w:rFonts w:hint="eastAsia"/>
                      <w:sz w:val="21"/>
                      <w:szCs w:val="21"/>
                    </w:rPr>
                    <w:t>符合</w:t>
                  </w:r>
                </w:p>
              </w:tc>
            </w:tr>
            <w:tr w14:paraId="274FC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Merge w:val="continue"/>
                  <w:vAlign w:val="center"/>
                </w:tcPr>
                <w:p w14:paraId="301E3EFE">
                  <w:pPr>
                    <w:adjustRightInd w:val="0"/>
                    <w:snapToGrid w:val="0"/>
                    <w:spacing w:line="240" w:lineRule="auto"/>
                    <w:ind w:firstLine="0" w:firstLineChars="0"/>
                    <w:rPr>
                      <w:sz w:val="21"/>
                      <w:szCs w:val="21"/>
                    </w:rPr>
                  </w:pPr>
                </w:p>
              </w:tc>
              <w:tc>
                <w:tcPr>
                  <w:tcW w:w="1602" w:type="pct"/>
                  <w:vAlign w:val="center"/>
                </w:tcPr>
                <w:p w14:paraId="1363700A">
                  <w:pPr>
                    <w:adjustRightInd w:val="0"/>
                    <w:snapToGrid w:val="0"/>
                    <w:spacing w:line="240" w:lineRule="auto"/>
                    <w:ind w:firstLine="0" w:firstLineChars="0"/>
                    <w:rPr>
                      <w:sz w:val="21"/>
                      <w:szCs w:val="21"/>
                    </w:rPr>
                  </w:pPr>
                  <w:r>
                    <w:rPr>
                      <w:rFonts w:hint="eastAsia"/>
                      <w:sz w:val="21"/>
                      <w:szCs w:val="21"/>
                    </w:rPr>
                    <w:t>对水文地质条件、土地耕作及道路安全有影响或位于江、河、湖、海防护堤或重要建筑物附近的钻孔或坑井应予回填封闭，并恢复其原有生态功能</w:t>
                  </w:r>
                </w:p>
              </w:tc>
              <w:tc>
                <w:tcPr>
                  <w:tcW w:w="1547" w:type="pct"/>
                  <w:vAlign w:val="center"/>
                </w:tcPr>
                <w:p w14:paraId="68CDFA56">
                  <w:pPr>
                    <w:adjustRightInd w:val="0"/>
                    <w:snapToGrid w:val="0"/>
                    <w:spacing w:line="240" w:lineRule="auto"/>
                    <w:ind w:firstLine="0" w:firstLineChars="0"/>
                    <w:rPr>
                      <w:sz w:val="21"/>
                      <w:szCs w:val="21"/>
                    </w:rPr>
                  </w:pPr>
                  <w:r>
                    <w:rPr>
                      <w:rFonts w:hint="eastAsia"/>
                      <w:sz w:val="21"/>
                      <w:szCs w:val="21"/>
                    </w:rPr>
                    <w:t>本次勘探不涉及重要土地耕作及道路安全有影响的区域，同时不涉及江、河、湖、海防护堤或其他重要建筑物，钻孔进行回填和封闭，恢复其原有生态功能，同时设置警示标识</w:t>
                  </w:r>
                </w:p>
              </w:tc>
              <w:tc>
                <w:tcPr>
                  <w:tcW w:w="471" w:type="pct"/>
                  <w:vAlign w:val="center"/>
                </w:tcPr>
                <w:p w14:paraId="410992C1">
                  <w:pPr>
                    <w:adjustRightInd w:val="0"/>
                    <w:snapToGrid w:val="0"/>
                    <w:spacing w:line="240" w:lineRule="auto"/>
                    <w:ind w:firstLine="0" w:firstLineChars="0"/>
                    <w:rPr>
                      <w:sz w:val="21"/>
                      <w:szCs w:val="21"/>
                    </w:rPr>
                  </w:pPr>
                  <w:r>
                    <w:rPr>
                      <w:rFonts w:hint="eastAsia"/>
                      <w:sz w:val="21"/>
                      <w:szCs w:val="21"/>
                    </w:rPr>
                    <w:t>符合</w:t>
                  </w:r>
                </w:p>
              </w:tc>
            </w:tr>
            <w:tr w14:paraId="6AE4D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trPr>
              <w:tc>
                <w:tcPr>
                  <w:tcW w:w="1380" w:type="pct"/>
                  <w:vAlign w:val="center"/>
                </w:tcPr>
                <w:p w14:paraId="3A1DAA01">
                  <w:pPr>
                    <w:adjustRightInd w:val="0"/>
                    <w:snapToGrid w:val="0"/>
                    <w:spacing w:line="240" w:lineRule="auto"/>
                    <w:ind w:firstLine="0" w:firstLineChars="0"/>
                    <w:rPr>
                      <w:sz w:val="21"/>
                      <w:szCs w:val="21"/>
                    </w:rPr>
                  </w:pPr>
                  <w:r>
                    <w:rPr>
                      <w:rFonts w:hint="eastAsia"/>
                      <w:sz w:val="21"/>
                      <w:szCs w:val="21"/>
                    </w:rPr>
                    <w:t>《矿山生态环境保护与污染防治技术政策》</w:t>
                  </w:r>
                </w:p>
              </w:tc>
              <w:tc>
                <w:tcPr>
                  <w:tcW w:w="1602" w:type="pct"/>
                  <w:vAlign w:val="center"/>
                </w:tcPr>
                <w:p w14:paraId="1F0FC8F3">
                  <w:pPr>
                    <w:adjustRightInd w:val="0"/>
                    <w:snapToGrid w:val="0"/>
                    <w:spacing w:line="240" w:lineRule="auto"/>
                    <w:ind w:firstLine="0" w:firstLineChars="0"/>
                    <w:rPr>
                      <w:sz w:val="21"/>
                      <w:szCs w:val="21"/>
                    </w:rPr>
                  </w:pPr>
                  <w:r>
                    <w:rPr>
                      <w:rFonts w:hint="eastAsia"/>
                      <w:sz w:val="21"/>
                      <w:szCs w:val="21"/>
                    </w:rPr>
                    <w:t>对矿山勘探性钻孔应采取封闭等措施进行处理，以确保生产安全；对矿山基建可能影响的具有保护价值的动、植物资源，应优先采取就地、就近保护措施；对表土、底土和适于植物生长的地层物质均应进行保护性堆存和利用，可优先用作废弃地复垦时的土壤重构用土</w:t>
                  </w:r>
                </w:p>
              </w:tc>
              <w:tc>
                <w:tcPr>
                  <w:tcW w:w="1547" w:type="pct"/>
                  <w:vAlign w:val="center"/>
                </w:tcPr>
                <w:p w14:paraId="3B9CCAEC">
                  <w:pPr>
                    <w:adjustRightInd w:val="0"/>
                    <w:snapToGrid w:val="0"/>
                    <w:spacing w:line="240" w:lineRule="auto"/>
                    <w:ind w:firstLine="0" w:firstLineChars="0"/>
                    <w:rPr>
                      <w:sz w:val="21"/>
                      <w:szCs w:val="21"/>
                    </w:rPr>
                  </w:pPr>
                  <w:r>
                    <w:rPr>
                      <w:rFonts w:hint="eastAsia"/>
                      <w:sz w:val="21"/>
                      <w:szCs w:val="21"/>
                    </w:rPr>
                    <w:t>本项目主要为固体矿产地质勘探，在严格落实各项污染防治措施的前提下，项目建设对环境影响较小，钻孔进行回填和封闭，恢复其原有生态功能</w:t>
                  </w:r>
                </w:p>
              </w:tc>
              <w:tc>
                <w:tcPr>
                  <w:tcW w:w="471" w:type="pct"/>
                  <w:vAlign w:val="center"/>
                </w:tcPr>
                <w:p w14:paraId="0921A5DE">
                  <w:pPr>
                    <w:adjustRightInd w:val="0"/>
                    <w:snapToGrid w:val="0"/>
                    <w:spacing w:line="240" w:lineRule="auto"/>
                    <w:ind w:firstLine="0" w:firstLineChars="0"/>
                    <w:rPr>
                      <w:sz w:val="21"/>
                      <w:szCs w:val="21"/>
                    </w:rPr>
                  </w:pPr>
                  <w:r>
                    <w:rPr>
                      <w:rFonts w:hint="eastAsia"/>
                      <w:sz w:val="21"/>
                      <w:szCs w:val="21"/>
                    </w:rPr>
                    <w:t>符合</w:t>
                  </w:r>
                </w:p>
              </w:tc>
            </w:tr>
            <w:bookmarkEnd w:id="1"/>
          </w:tbl>
          <w:p w14:paraId="70A1E1B0">
            <w:pPr>
              <w:pStyle w:val="34"/>
              <w:spacing w:before="156"/>
            </w:pPr>
          </w:p>
        </w:tc>
      </w:tr>
    </w:tbl>
    <w:p w14:paraId="1E3369BB">
      <w:r>
        <w:br w:type="page"/>
      </w:r>
    </w:p>
    <w:p w14:paraId="356BDD70">
      <w:pPr>
        <w:pStyle w:val="2"/>
      </w:pPr>
      <w:r>
        <w:rPr>
          <w:rFonts w:hint="eastAsia"/>
        </w:rPr>
        <w:t>二、建设内容</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6"/>
        <w:gridCol w:w="8076"/>
      </w:tblGrid>
      <w:tr w14:paraId="3593E6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9" w:hRule="atLeast"/>
          <w:jc w:val="center"/>
        </w:trPr>
        <w:tc>
          <w:tcPr>
            <w:tcW w:w="260" w:type="pct"/>
            <w:vAlign w:val="center"/>
          </w:tcPr>
          <w:p w14:paraId="061AD580">
            <w:pPr>
              <w:ind w:firstLine="0" w:firstLineChars="0"/>
              <w:jc w:val="center"/>
            </w:pPr>
            <w:r>
              <w:rPr>
                <w:rFonts w:hint="eastAsia"/>
              </w:rPr>
              <w:t>地理位置</w:t>
            </w:r>
          </w:p>
        </w:tc>
        <w:tc>
          <w:tcPr>
            <w:tcW w:w="4740" w:type="pct"/>
          </w:tcPr>
          <w:p w14:paraId="4E7D51BC">
            <w:pPr>
              <w:rPr>
                <w:color w:val="000000" w:themeColor="text1"/>
                <w14:textFill>
                  <w14:solidFill>
                    <w14:schemeClr w14:val="tx1"/>
                  </w14:solidFill>
                </w14:textFill>
              </w:rPr>
            </w:pPr>
            <w:r>
              <w:rPr>
                <w:rFonts w:hint="eastAsia"/>
                <w:color w:val="000000" w:themeColor="text1"/>
                <w14:textFill>
                  <w14:solidFill>
                    <w14:schemeClr w14:val="tx1"/>
                  </w14:solidFill>
                </w14:textFill>
              </w:rPr>
              <w:t>本项目勘查区位于</w:t>
            </w:r>
            <w:r>
              <w:rPr>
                <w:rFonts w:hint="eastAsia"/>
              </w:rPr>
              <w:t>和静县察汗乌苏北方向约</w:t>
            </w:r>
            <w:r>
              <w:t>359.4</w:t>
            </w:r>
            <w:r>
              <w:rPr>
                <w:rFonts w:hint="eastAsia"/>
              </w:rPr>
              <w:t>°直距约</w:t>
            </w:r>
            <w:r>
              <w:t>6.422</w:t>
            </w:r>
            <w:r>
              <w:rPr>
                <w:rFonts w:hint="eastAsia"/>
              </w:rPr>
              <w:t>千米处</w:t>
            </w:r>
            <w:r>
              <w:rPr>
                <w:rFonts w:hint="eastAsia"/>
                <w:color w:val="000000" w:themeColor="text1"/>
                <w14:textFill>
                  <w14:solidFill>
                    <w14:schemeClr w14:val="tx1"/>
                  </w14:solidFill>
                </w14:textFill>
              </w:rPr>
              <w:t>，行政区划属巴音郭楞蒙古自治州和静县管辖。沿县级柏油公路自</w:t>
            </w:r>
            <w:r>
              <w:t>哈尔莫敦镇</w:t>
            </w:r>
            <w:r>
              <w:rPr>
                <w:rFonts w:hint="eastAsia"/>
                <w:color w:val="000000" w:themeColor="text1"/>
                <w14:textFill>
                  <w14:solidFill>
                    <w14:schemeClr w14:val="tx1"/>
                  </w14:solidFill>
                </w14:textFill>
              </w:rPr>
              <w:t>可达勘查区南部的察汗乌苏水电站，由水电站至勘查区为12千米简易公路，外部交通较为便利。勘查区内部有少量砂石路通行，但陡崖峭壁较多，区内交通较为困难。</w:t>
            </w:r>
          </w:p>
          <w:p w14:paraId="38B58904">
            <w:r>
              <w:rPr>
                <w:rFonts w:hint="eastAsia"/>
                <w:color w:val="000000" w:themeColor="text1"/>
                <w14:textFill>
                  <w14:solidFill>
                    <w14:schemeClr w14:val="tx1"/>
                  </w14:solidFill>
                </w14:textFill>
              </w:rPr>
              <w:t>根据建设单位取得的探矿证（证号：XT6500002009013010023767），项目探矿范围拐点坐标如下表所示</w:t>
            </w:r>
            <w:r>
              <w:rPr>
                <w:rFonts w:hint="eastAsia"/>
              </w:rPr>
              <w:t>。</w:t>
            </w:r>
          </w:p>
          <w:p w14:paraId="275631A0">
            <w:pPr>
              <w:pStyle w:val="34"/>
              <w:spacing w:before="156"/>
              <w:rPr>
                <w:rFonts w:ascii="Times New Roman" w:hAnsi="Times New Roman"/>
              </w:rPr>
            </w:pPr>
            <w:r>
              <w:rPr>
                <w:rFonts w:ascii="Times New Roman" w:hAnsi="Times New Roman"/>
              </w:rPr>
              <w:t>表2-1  本项目探矿权范围拐点坐标</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48"/>
              <w:gridCol w:w="3337"/>
              <w:gridCol w:w="3345"/>
            </w:tblGrid>
            <w:tr w14:paraId="3B200B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Merge w:val="restart"/>
                  <w:vAlign w:val="center"/>
                </w:tcPr>
                <w:p w14:paraId="30BA926E">
                  <w:pPr>
                    <w:pStyle w:val="32"/>
                    <w:rPr>
                      <w:szCs w:val="21"/>
                    </w:rPr>
                  </w:pPr>
                  <w:r>
                    <w:rPr>
                      <w:szCs w:val="21"/>
                    </w:rPr>
                    <w:t>拐点序号</w:t>
                  </w:r>
                </w:p>
              </w:tc>
              <w:tc>
                <w:tcPr>
                  <w:tcW w:w="4267" w:type="pct"/>
                  <w:gridSpan w:val="2"/>
                  <w:vAlign w:val="center"/>
                </w:tcPr>
                <w:p w14:paraId="00904E7F">
                  <w:pPr>
                    <w:pStyle w:val="32"/>
                    <w:rPr>
                      <w:szCs w:val="21"/>
                    </w:rPr>
                  </w:pPr>
                  <w:r>
                    <w:rPr>
                      <w:szCs w:val="21"/>
                    </w:rPr>
                    <w:t>地理坐标（CGCS2000坐标系）</w:t>
                  </w:r>
                </w:p>
              </w:tc>
            </w:tr>
            <w:tr w14:paraId="27841B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733" w:type="pct"/>
                  <w:vMerge w:val="continue"/>
                  <w:vAlign w:val="center"/>
                </w:tcPr>
                <w:p w14:paraId="57539116">
                  <w:pPr>
                    <w:pStyle w:val="32"/>
                    <w:rPr>
                      <w:szCs w:val="21"/>
                    </w:rPr>
                  </w:pPr>
                </w:p>
              </w:tc>
              <w:tc>
                <w:tcPr>
                  <w:tcW w:w="2131" w:type="pct"/>
                  <w:vAlign w:val="center"/>
                </w:tcPr>
                <w:p w14:paraId="3BF1EF3B">
                  <w:pPr>
                    <w:pStyle w:val="32"/>
                    <w:rPr>
                      <w:szCs w:val="21"/>
                    </w:rPr>
                  </w:pPr>
                  <w:r>
                    <w:rPr>
                      <w:szCs w:val="21"/>
                    </w:rPr>
                    <w:t>经度</w:t>
                  </w:r>
                </w:p>
              </w:tc>
              <w:tc>
                <w:tcPr>
                  <w:tcW w:w="2136" w:type="pct"/>
                  <w:vAlign w:val="center"/>
                </w:tcPr>
                <w:p w14:paraId="4B737609">
                  <w:pPr>
                    <w:pStyle w:val="32"/>
                    <w:rPr>
                      <w:szCs w:val="21"/>
                    </w:rPr>
                  </w:pPr>
                  <w:r>
                    <w:rPr>
                      <w:szCs w:val="21"/>
                    </w:rPr>
                    <w:t>纬度</w:t>
                  </w:r>
                </w:p>
              </w:tc>
            </w:tr>
            <w:tr w14:paraId="7E1F29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733" w:type="pct"/>
                  <w:vAlign w:val="center"/>
                </w:tcPr>
                <w:p w14:paraId="12267E9D">
                  <w:pPr>
                    <w:pStyle w:val="32"/>
                    <w:rPr>
                      <w:szCs w:val="21"/>
                    </w:rPr>
                  </w:pPr>
                  <w:r>
                    <w:rPr>
                      <w:color w:val="000000"/>
                      <w:kern w:val="0"/>
                      <w:szCs w:val="21"/>
                    </w:rPr>
                    <w:t>1</w:t>
                  </w:r>
                </w:p>
              </w:tc>
              <w:tc>
                <w:tcPr>
                  <w:tcW w:w="2131" w:type="pct"/>
                </w:tcPr>
                <w:p w14:paraId="69D3FA71">
                  <w:pPr>
                    <w:spacing w:line="240" w:lineRule="auto"/>
                    <w:ind w:firstLine="0" w:firstLineChars="0"/>
                    <w:jc w:val="center"/>
                    <w:rPr>
                      <w:sz w:val="21"/>
                      <w:szCs w:val="21"/>
                    </w:rPr>
                  </w:pPr>
                  <w:r>
                    <w:rPr>
                      <w:color w:val="000000"/>
                      <w:kern w:val="0"/>
                      <w:sz w:val="21"/>
                      <w:szCs w:val="21"/>
                    </w:rPr>
                    <w:t>85°30′00.000"</w:t>
                  </w:r>
                </w:p>
              </w:tc>
              <w:tc>
                <w:tcPr>
                  <w:tcW w:w="2136" w:type="pct"/>
                </w:tcPr>
                <w:p w14:paraId="043B9DBE">
                  <w:pPr>
                    <w:spacing w:line="240" w:lineRule="auto"/>
                    <w:ind w:firstLine="0" w:firstLineChars="0"/>
                    <w:jc w:val="center"/>
                    <w:rPr>
                      <w:sz w:val="21"/>
                      <w:szCs w:val="21"/>
                    </w:rPr>
                  </w:pPr>
                  <w:r>
                    <w:rPr>
                      <w:color w:val="000000"/>
                      <w:kern w:val="0"/>
                      <w:sz w:val="21"/>
                      <w:szCs w:val="21"/>
                    </w:rPr>
                    <w:t>42°26′36.000"</w:t>
                  </w:r>
                </w:p>
              </w:tc>
            </w:tr>
            <w:tr w14:paraId="66B622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Align w:val="center"/>
                </w:tcPr>
                <w:p w14:paraId="0C8B35BD">
                  <w:pPr>
                    <w:pStyle w:val="32"/>
                    <w:rPr>
                      <w:szCs w:val="21"/>
                    </w:rPr>
                  </w:pPr>
                  <w:r>
                    <w:rPr>
                      <w:color w:val="000000"/>
                      <w:kern w:val="0"/>
                      <w:szCs w:val="21"/>
                    </w:rPr>
                    <w:t>2</w:t>
                  </w:r>
                </w:p>
              </w:tc>
              <w:tc>
                <w:tcPr>
                  <w:tcW w:w="2131" w:type="pct"/>
                </w:tcPr>
                <w:p w14:paraId="539949D5">
                  <w:pPr>
                    <w:spacing w:line="240" w:lineRule="auto"/>
                    <w:ind w:firstLine="0" w:firstLineChars="0"/>
                    <w:jc w:val="center"/>
                    <w:rPr>
                      <w:sz w:val="21"/>
                      <w:szCs w:val="21"/>
                    </w:rPr>
                  </w:pPr>
                  <w:r>
                    <w:rPr>
                      <w:color w:val="000000"/>
                      <w:kern w:val="0"/>
                      <w:sz w:val="21"/>
                      <w:szCs w:val="21"/>
                    </w:rPr>
                    <w:t>85°33′32.000"</w:t>
                  </w:r>
                </w:p>
              </w:tc>
              <w:tc>
                <w:tcPr>
                  <w:tcW w:w="2136" w:type="pct"/>
                </w:tcPr>
                <w:p w14:paraId="3AB256BB">
                  <w:pPr>
                    <w:spacing w:line="240" w:lineRule="auto"/>
                    <w:ind w:firstLine="0" w:firstLineChars="0"/>
                    <w:jc w:val="center"/>
                    <w:rPr>
                      <w:sz w:val="21"/>
                      <w:szCs w:val="21"/>
                    </w:rPr>
                  </w:pPr>
                  <w:r>
                    <w:rPr>
                      <w:color w:val="000000"/>
                      <w:kern w:val="0"/>
                      <w:sz w:val="21"/>
                      <w:szCs w:val="21"/>
                    </w:rPr>
                    <w:t>42°26′36.000"</w:t>
                  </w:r>
                </w:p>
              </w:tc>
            </w:tr>
            <w:tr w14:paraId="07B45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Align w:val="center"/>
                </w:tcPr>
                <w:p w14:paraId="74533E95">
                  <w:pPr>
                    <w:pStyle w:val="32"/>
                    <w:rPr>
                      <w:szCs w:val="21"/>
                    </w:rPr>
                  </w:pPr>
                  <w:r>
                    <w:rPr>
                      <w:color w:val="000000"/>
                      <w:kern w:val="0"/>
                      <w:szCs w:val="21"/>
                    </w:rPr>
                    <w:t>3</w:t>
                  </w:r>
                </w:p>
              </w:tc>
              <w:tc>
                <w:tcPr>
                  <w:tcW w:w="2131" w:type="pct"/>
                </w:tcPr>
                <w:p w14:paraId="3894C08F">
                  <w:pPr>
                    <w:spacing w:line="240" w:lineRule="auto"/>
                    <w:ind w:firstLine="0" w:firstLineChars="0"/>
                    <w:jc w:val="center"/>
                    <w:rPr>
                      <w:sz w:val="21"/>
                      <w:szCs w:val="21"/>
                    </w:rPr>
                  </w:pPr>
                  <w:r>
                    <w:rPr>
                      <w:color w:val="000000"/>
                      <w:kern w:val="0"/>
                      <w:sz w:val="21"/>
                      <w:szCs w:val="21"/>
                    </w:rPr>
                    <w:t>85°34′55.886"</w:t>
                  </w:r>
                </w:p>
              </w:tc>
              <w:tc>
                <w:tcPr>
                  <w:tcW w:w="2136" w:type="pct"/>
                </w:tcPr>
                <w:p w14:paraId="3DABED1D">
                  <w:pPr>
                    <w:spacing w:line="240" w:lineRule="auto"/>
                    <w:ind w:firstLine="0" w:firstLineChars="0"/>
                    <w:jc w:val="center"/>
                    <w:rPr>
                      <w:sz w:val="21"/>
                      <w:szCs w:val="21"/>
                    </w:rPr>
                  </w:pPr>
                  <w:r>
                    <w:rPr>
                      <w:color w:val="000000"/>
                      <w:kern w:val="0"/>
                      <w:sz w:val="21"/>
                      <w:szCs w:val="21"/>
                    </w:rPr>
                    <w:t>42°25′36.520"</w:t>
                  </w:r>
                </w:p>
              </w:tc>
            </w:tr>
            <w:tr w14:paraId="326E78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Align w:val="center"/>
                </w:tcPr>
                <w:p w14:paraId="2B718B67">
                  <w:pPr>
                    <w:pStyle w:val="32"/>
                    <w:rPr>
                      <w:szCs w:val="21"/>
                    </w:rPr>
                  </w:pPr>
                  <w:r>
                    <w:rPr>
                      <w:color w:val="000000"/>
                      <w:kern w:val="0"/>
                      <w:szCs w:val="21"/>
                    </w:rPr>
                    <w:t>4</w:t>
                  </w:r>
                </w:p>
              </w:tc>
              <w:tc>
                <w:tcPr>
                  <w:tcW w:w="2131" w:type="pct"/>
                </w:tcPr>
                <w:p w14:paraId="3DFDAA5C">
                  <w:pPr>
                    <w:spacing w:line="240" w:lineRule="auto"/>
                    <w:ind w:firstLine="0" w:firstLineChars="0"/>
                    <w:jc w:val="center"/>
                    <w:rPr>
                      <w:sz w:val="21"/>
                      <w:szCs w:val="21"/>
                    </w:rPr>
                  </w:pPr>
                  <w:r>
                    <w:rPr>
                      <w:color w:val="000000"/>
                      <w:kern w:val="0"/>
                      <w:sz w:val="21"/>
                      <w:szCs w:val="21"/>
                    </w:rPr>
                    <w:t>85°34′56.000"</w:t>
                  </w:r>
                </w:p>
              </w:tc>
              <w:tc>
                <w:tcPr>
                  <w:tcW w:w="2136" w:type="pct"/>
                </w:tcPr>
                <w:p w14:paraId="477D7140">
                  <w:pPr>
                    <w:spacing w:line="240" w:lineRule="auto"/>
                    <w:ind w:firstLine="0" w:firstLineChars="0"/>
                    <w:jc w:val="center"/>
                    <w:rPr>
                      <w:sz w:val="21"/>
                      <w:szCs w:val="21"/>
                    </w:rPr>
                  </w:pPr>
                  <w:r>
                    <w:rPr>
                      <w:color w:val="000000"/>
                      <w:kern w:val="0"/>
                      <w:sz w:val="21"/>
                      <w:szCs w:val="21"/>
                    </w:rPr>
                    <w:t>42°25′20.000"</w:t>
                  </w:r>
                </w:p>
              </w:tc>
            </w:tr>
            <w:tr w14:paraId="3943B9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Align w:val="center"/>
                </w:tcPr>
                <w:p w14:paraId="530AB3FC">
                  <w:pPr>
                    <w:pStyle w:val="32"/>
                    <w:rPr>
                      <w:szCs w:val="21"/>
                    </w:rPr>
                  </w:pPr>
                  <w:r>
                    <w:rPr>
                      <w:color w:val="000000"/>
                      <w:kern w:val="0"/>
                      <w:szCs w:val="21"/>
                    </w:rPr>
                    <w:t>5</w:t>
                  </w:r>
                </w:p>
              </w:tc>
              <w:tc>
                <w:tcPr>
                  <w:tcW w:w="2131" w:type="pct"/>
                </w:tcPr>
                <w:p w14:paraId="5CA7AE5A">
                  <w:pPr>
                    <w:spacing w:line="240" w:lineRule="auto"/>
                    <w:ind w:firstLine="0" w:firstLineChars="0"/>
                    <w:jc w:val="center"/>
                    <w:rPr>
                      <w:sz w:val="21"/>
                      <w:szCs w:val="21"/>
                    </w:rPr>
                  </w:pPr>
                  <w:r>
                    <w:rPr>
                      <w:color w:val="000000"/>
                      <w:kern w:val="0"/>
                      <w:sz w:val="21"/>
                      <w:szCs w:val="21"/>
                    </w:rPr>
                    <w:t>85°33′00.000"</w:t>
                  </w:r>
                </w:p>
              </w:tc>
              <w:tc>
                <w:tcPr>
                  <w:tcW w:w="2136" w:type="pct"/>
                </w:tcPr>
                <w:p w14:paraId="27D88A70">
                  <w:pPr>
                    <w:spacing w:line="240" w:lineRule="auto"/>
                    <w:ind w:firstLine="0" w:firstLineChars="0"/>
                    <w:jc w:val="center"/>
                    <w:rPr>
                      <w:sz w:val="21"/>
                      <w:szCs w:val="21"/>
                    </w:rPr>
                  </w:pPr>
                  <w:r>
                    <w:rPr>
                      <w:color w:val="000000"/>
                      <w:kern w:val="0"/>
                      <w:sz w:val="21"/>
                      <w:szCs w:val="21"/>
                    </w:rPr>
                    <w:t>42°25′20.000"</w:t>
                  </w:r>
                </w:p>
              </w:tc>
            </w:tr>
            <w:tr w14:paraId="2AF95A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Align w:val="center"/>
                </w:tcPr>
                <w:p w14:paraId="761F7480">
                  <w:pPr>
                    <w:pStyle w:val="32"/>
                    <w:rPr>
                      <w:szCs w:val="21"/>
                    </w:rPr>
                  </w:pPr>
                  <w:r>
                    <w:rPr>
                      <w:color w:val="000000"/>
                      <w:kern w:val="0"/>
                      <w:szCs w:val="21"/>
                    </w:rPr>
                    <w:t>6</w:t>
                  </w:r>
                </w:p>
              </w:tc>
              <w:tc>
                <w:tcPr>
                  <w:tcW w:w="2131" w:type="pct"/>
                </w:tcPr>
                <w:p w14:paraId="2FC53C9A">
                  <w:pPr>
                    <w:spacing w:line="240" w:lineRule="auto"/>
                    <w:ind w:firstLine="0" w:firstLineChars="0"/>
                    <w:jc w:val="center"/>
                    <w:rPr>
                      <w:sz w:val="21"/>
                      <w:szCs w:val="21"/>
                    </w:rPr>
                  </w:pPr>
                  <w:r>
                    <w:rPr>
                      <w:color w:val="000000"/>
                      <w:kern w:val="0"/>
                      <w:sz w:val="21"/>
                      <w:szCs w:val="21"/>
                    </w:rPr>
                    <w:t>85°33′00.000"</w:t>
                  </w:r>
                </w:p>
              </w:tc>
              <w:tc>
                <w:tcPr>
                  <w:tcW w:w="2136" w:type="pct"/>
                </w:tcPr>
                <w:p w14:paraId="3CB29B37">
                  <w:pPr>
                    <w:spacing w:line="240" w:lineRule="auto"/>
                    <w:ind w:firstLine="0" w:firstLineChars="0"/>
                    <w:jc w:val="center"/>
                    <w:rPr>
                      <w:sz w:val="21"/>
                      <w:szCs w:val="21"/>
                    </w:rPr>
                  </w:pPr>
                  <w:r>
                    <w:rPr>
                      <w:color w:val="000000"/>
                      <w:kern w:val="0"/>
                      <w:sz w:val="21"/>
                      <w:szCs w:val="21"/>
                    </w:rPr>
                    <w:t>42°25′50.000"</w:t>
                  </w:r>
                </w:p>
              </w:tc>
            </w:tr>
            <w:tr w14:paraId="3BE4E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Align w:val="center"/>
                </w:tcPr>
                <w:p w14:paraId="3B100D4D">
                  <w:pPr>
                    <w:pStyle w:val="32"/>
                    <w:rPr>
                      <w:szCs w:val="21"/>
                    </w:rPr>
                  </w:pPr>
                  <w:r>
                    <w:rPr>
                      <w:color w:val="000000"/>
                      <w:kern w:val="0"/>
                      <w:szCs w:val="21"/>
                    </w:rPr>
                    <w:t>7</w:t>
                  </w:r>
                </w:p>
              </w:tc>
              <w:tc>
                <w:tcPr>
                  <w:tcW w:w="2131" w:type="pct"/>
                </w:tcPr>
                <w:p w14:paraId="71DB11CB">
                  <w:pPr>
                    <w:spacing w:line="240" w:lineRule="auto"/>
                    <w:ind w:firstLine="0" w:firstLineChars="0"/>
                    <w:jc w:val="center"/>
                    <w:rPr>
                      <w:sz w:val="21"/>
                      <w:szCs w:val="21"/>
                    </w:rPr>
                  </w:pPr>
                  <w:r>
                    <w:rPr>
                      <w:color w:val="000000"/>
                      <w:kern w:val="0"/>
                      <w:sz w:val="21"/>
                      <w:szCs w:val="21"/>
                    </w:rPr>
                    <w:t>85°31′46.000"</w:t>
                  </w:r>
                </w:p>
              </w:tc>
              <w:tc>
                <w:tcPr>
                  <w:tcW w:w="2136" w:type="pct"/>
                </w:tcPr>
                <w:p w14:paraId="7C469C3E">
                  <w:pPr>
                    <w:spacing w:line="240" w:lineRule="auto"/>
                    <w:ind w:firstLine="0" w:firstLineChars="0"/>
                    <w:jc w:val="center"/>
                    <w:rPr>
                      <w:sz w:val="21"/>
                      <w:szCs w:val="21"/>
                    </w:rPr>
                  </w:pPr>
                  <w:r>
                    <w:rPr>
                      <w:color w:val="000000"/>
                      <w:kern w:val="0"/>
                      <w:sz w:val="21"/>
                      <w:szCs w:val="21"/>
                    </w:rPr>
                    <w:t>42°25′50.013"</w:t>
                  </w:r>
                </w:p>
              </w:tc>
            </w:tr>
            <w:tr w14:paraId="66B4A9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Align w:val="center"/>
                </w:tcPr>
                <w:p w14:paraId="58981DCD">
                  <w:pPr>
                    <w:pStyle w:val="32"/>
                    <w:rPr>
                      <w:szCs w:val="21"/>
                    </w:rPr>
                  </w:pPr>
                  <w:r>
                    <w:rPr>
                      <w:color w:val="000000"/>
                      <w:kern w:val="0"/>
                      <w:szCs w:val="21"/>
                    </w:rPr>
                    <w:t>8</w:t>
                  </w:r>
                </w:p>
              </w:tc>
              <w:tc>
                <w:tcPr>
                  <w:tcW w:w="2131" w:type="pct"/>
                </w:tcPr>
                <w:p w14:paraId="5EBC2307">
                  <w:pPr>
                    <w:spacing w:line="240" w:lineRule="auto"/>
                    <w:ind w:firstLine="0" w:firstLineChars="0"/>
                    <w:jc w:val="center"/>
                    <w:rPr>
                      <w:sz w:val="21"/>
                      <w:szCs w:val="21"/>
                    </w:rPr>
                  </w:pPr>
                  <w:r>
                    <w:rPr>
                      <w:color w:val="000000"/>
                      <w:kern w:val="0"/>
                      <w:sz w:val="21"/>
                      <w:szCs w:val="21"/>
                    </w:rPr>
                    <w:t>85°31′46.000"</w:t>
                  </w:r>
                </w:p>
              </w:tc>
              <w:tc>
                <w:tcPr>
                  <w:tcW w:w="2136" w:type="pct"/>
                </w:tcPr>
                <w:p w14:paraId="7298B069">
                  <w:pPr>
                    <w:spacing w:line="240" w:lineRule="auto"/>
                    <w:ind w:firstLine="0" w:firstLineChars="0"/>
                    <w:jc w:val="center"/>
                    <w:rPr>
                      <w:sz w:val="21"/>
                      <w:szCs w:val="21"/>
                    </w:rPr>
                  </w:pPr>
                  <w:r>
                    <w:rPr>
                      <w:color w:val="000000"/>
                      <w:kern w:val="0"/>
                      <w:sz w:val="21"/>
                      <w:szCs w:val="21"/>
                    </w:rPr>
                    <w:t>42°26′00.000"</w:t>
                  </w:r>
                </w:p>
              </w:tc>
            </w:tr>
            <w:tr w14:paraId="384C0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33" w:type="pct"/>
                  <w:vAlign w:val="center"/>
                </w:tcPr>
                <w:p w14:paraId="3BD4890C">
                  <w:pPr>
                    <w:pStyle w:val="32"/>
                    <w:rPr>
                      <w:szCs w:val="21"/>
                    </w:rPr>
                  </w:pPr>
                  <w:r>
                    <w:rPr>
                      <w:color w:val="000000"/>
                      <w:kern w:val="0"/>
                      <w:szCs w:val="21"/>
                    </w:rPr>
                    <w:t>9</w:t>
                  </w:r>
                </w:p>
              </w:tc>
              <w:tc>
                <w:tcPr>
                  <w:tcW w:w="2131" w:type="pct"/>
                </w:tcPr>
                <w:p w14:paraId="639A7204">
                  <w:pPr>
                    <w:spacing w:line="240" w:lineRule="auto"/>
                    <w:ind w:firstLine="0" w:firstLineChars="0"/>
                    <w:jc w:val="center"/>
                    <w:rPr>
                      <w:sz w:val="21"/>
                      <w:szCs w:val="21"/>
                    </w:rPr>
                  </w:pPr>
                  <w:r>
                    <w:rPr>
                      <w:color w:val="000000"/>
                      <w:kern w:val="0"/>
                      <w:sz w:val="21"/>
                      <w:szCs w:val="21"/>
                    </w:rPr>
                    <w:t>85°30′00.004"</w:t>
                  </w:r>
                </w:p>
              </w:tc>
              <w:tc>
                <w:tcPr>
                  <w:tcW w:w="2136" w:type="pct"/>
                </w:tcPr>
                <w:p w14:paraId="3714E96E">
                  <w:pPr>
                    <w:spacing w:line="240" w:lineRule="auto"/>
                    <w:ind w:firstLine="0" w:firstLineChars="0"/>
                    <w:jc w:val="center"/>
                    <w:rPr>
                      <w:sz w:val="21"/>
                      <w:szCs w:val="21"/>
                    </w:rPr>
                  </w:pPr>
                  <w:r>
                    <w:rPr>
                      <w:color w:val="000000"/>
                      <w:kern w:val="0"/>
                      <w:sz w:val="21"/>
                      <w:szCs w:val="21"/>
                    </w:rPr>
                    <w:t>42°25′58.000"</w:t>
                  </w:r>
                </w:p>
              </w:tc>
            </w:tr>
          </w:tbl>
          <w:p w14:paraId="571AAE0C">
            <w:pPr>
              <w:ind w:firstLine="0" w:firstLineChars="0"/>
            </w:pPr>
          </w:p>
        </w:tc>
      </w:tr>
      <w:tr w14:paraId="55B557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60" w:type="pct"/>
            <w:vAlign w:val="center"/>
          </w:tcPr>
          <w:p w14:paraId="060E6FB6">
            <w:pPr>
              <w:ind w:firstLine="0" w:firstLineChars="0"/>
              <w:jc w:val="center"/>
            </w:pPr>
            <w:r>
              <w:rPr>
                <w:rFonts w:hint="eastAsia"/>
              </w:rPr>
              <w:t>项目组成及规模</w:t>
            </w:r>
          </w:p>
        </w:tc>
        <w:tc>
          <w:tcPr>
            <w:tcW w:w="4740" w:type="pct"/>
          </w:tcPr>
          <w:p w14:paraId="72E03E47">
            <w:pPr>
              <w:pStyle w:val="19"/>
            </w:pPr>
            <w:r>
              <w:t>2.1</w:t>
            </w:r>
            <w:r>
              <w:rPr>
                <w:rFonts w:hint="eastAsia"/>
              </w:rPr>
              <w:t>项目基本概况</w:t>
            </w:r>
          </w:p>
          <w:p w14:paraId="1FC22D98">
            <w:r>
              <w:rPr>
                <w:rFonts w:hint="eastAsia"/>
              </w:rPr>
              <w:t>（</w:t>
            </w:r>
            <w:r>
              <w:t>1</w:t>
            </w:r>
            <w:r>
              <w:rPr>
                <w:rFonts w:hint="eastAsia"/>
              </w:rPr>
              <w:t>）项目名称：</w:t>
            </w:r>
            <w:bookmarkStart w:id="2" w:name="_Hlk236998062"/>
            <w:r>
              <w:rPr>
                <w:rFonts w:hint="eastAsia" w:ascii="宋体" w:hAnsi="宋体" w:cs="宋体"/>
              </w:rPr>
              <w:t>新疆和静县察汗乌苏铜</w:t>
            </w:r>
            <w:r>
              <w:rPr>
                <w:rFonts w:hint="eastAsia" w:ascii="宋体" w:hAnsi="宋体" w:cs="仿宋"/>
                <w:bCs/>
                <w:color w:val="000000"/>
              </w:rPr>
              <w:t>矿</w:t>
            </w:r>
            <w:r>
              <w:rPr>
                <w:rFonts w:hint="eastAsia"/>
              </w:rPr>
              <w:t>勘探</w:t>
            </w:r>
            <w:r>
              <w:t>项目</w:t>
            </w:r>
            <w:bookmarkEnd w:id="2"/>
            <w:r>
              <w:rPr>
                <w:rFonts w:hint="eastAsia"/>
              </w:rPr>
              <w:t>；</w:t>
            </w:r>
          </w:p>
          <w:p w14:paraId="775BE72C">
            <w:r>
              <w:rPr>
                <w:rFonts w:hint="eastAsia"/>
              </w:rPr>
              <w:t>（</w:t>
            </w:r>
            <w:r>
              <w:t>2</w:t>
            </w:r>
            <w:r>
              <w:rPr>
                <w:rFonts w:hint="eastAsia"/>
              </w:rPr>
              <w:t>）项目性质：新建；</w:t>
            </w:r>
          </w:p>
          <w:p w14:paraId="1BC083B7">
            <w:r>
              <w:rPr>
                <w:rFonts w:hint="eastAsia"/>
              </w:rPr>
              <w:t>（</w:t>
            </w:r>
            <w:r>
              <w:t>3</w:t>
            </w:r>
            <w:r>
              <w:rPr>
                <w:rFonts w:hint="eastAsia"/>
              </w:rPr>
              <w:t>）建设单位：</w:t>
            </w:r>
            <w:r>
              <w:rPr>
                <w:rFonts w:hint="eastAsia" w:ascii="宋体" w:hAnsi="宋体" w:cs="宋体"/>
              </w:rPr>
              <w:t>西安地质矿产勘查开发院有限公司</w:t>
            </w:r>
            <w:r>
              <w:rPr>
                <w:rFonts w:hint="eastAsia"/>
              </w:rPr>
              <w:t>；</w:t>
            </w:r>
          </w:p>
          <w:p w14:paraId="4389B95B">
            <w:pPr>
              <w:rPr>
                <w:lang w:val="zh-CN"/>
              </w:rPr>
            </w:pPr>
            <w:r>
              <w:rPr>
                <w:rFonts w:hint="eastAsia"/>
              </w:rPr>
              <w:t>（</w:t>
            </w:r>
            <w:r>
              <w:t>4</w:t>
            </w:r>
            <w:r>
              <w:rPr>
                <w:rFonts w:hint="eastAsia"/>
              </w:rPr>
              <w:t>）建设地点：和静县察汗乌苏北方向约</w:t>
            </w:r>
            <w:r>
              <w:t>359.4</w:t>
            </w:r>
            <w:r>
              <w:rPr>
                <w:rFonts w:hint="eastAsia"/>
              </w:rPr>
              <w:t>°直距约</w:t>
            </w:r>
            <w:r>
              <w:t>6.422</w:t>
            </w:r>
            <w:r>
              <w:rPr>
                <w:rFonts w:hint="eastAsia"/>
              </w:rPr>
              <w:t>千米处</w:t>
            </w:r>
            <w:r>
              <w:rPr>
                <w:rFonts w:hint="eastAsia"/>
                <w:lang w:val="zh-CN"/>
              </w:rPr>
              <w:t>；</w:t>
            </w:r>
          </w:p>
          <w:p w14:paraId="1598A28A">
            <w:r>
              <w:rPr>
                <w:rFonts w:hint="eastAsia"/>
              </w:rPr>
              <w:t>（5）探矿权有效期：2026年2月2</w:t>
            </w:r>
            <w:r>
              <w:t>4</w:t>
            </w:r>
            <w:r>
              <w:rPr>
                <w:rFonts w:hint="eastAsia"/>
              </w:rPr>
              <w:t>日至2031年2月2</w:t>
            </w:r>
            <w:r>
              <w:t>3</w:t>
            </w:r>
            <w:r>
              <w:rPr>
                <w:rFonts w:hint="eastAsia"/>
              </w:rPr>
              <w:t>日；</w:t>
            </w:r>
          </w:p>
          <w:p w14:paraId="1BA050BE">
            <w:r>
              <w:rPr>
                <w:rFonts w:hint="eastAsia"/>
              </w:rPr>
              <w:t>（6）工程投资：</w:t>
            </w:r>
            <w:r>
              <w:t>500</w:t>
            </w:r>
            <w:r>
              <w:rPr>
                <w:rFonts w:hint="eastAsia"/>
              </w:rPr>
              <w:t>万元；</w:t>
            </w:r>
          </w:p>
          <w:p w14:paraId="70463CDF">
            <w:r>
              <w:rPr>
                <w:rFonts w:hint="eastAsia"/>
              </w:rPr>
              <w:t>（7）勘查许可证号：</w:t>
            </w:r>
            <w:r>
              <w:t>XT6500002009013010023767</w:t>
            </w:r>
            <w:r>
              <w:rPr>
                <w:rFonts w:hint="eastAsia"/>
              </w:rPr>
              <w:t>；</w:t>
            </w:r>
          </w:p>
          <w:p w14:paraId="519A2B86">
            <w:r>
              <w:rPr>
                <w:rFonts w:hint="eastAsia"/>
              </w:rPr>
              <w:t>（8）勘查面积：9.6192km</w:t>
            </w:r>
            <w:r>
              <w:rPr>
                <w:rFonts w:hint="eastAsia"/>
                <w:vertAlign w:val="superscript"/>
              </w:rPr>
              <w:t>2</w:t>
            </w:r>
            <w:r>
              <w:rPr>
                <w:rFonts w:hint="eastAsia"/>
              </w:rPr>
              <w:t>。</w:t>
            </w:r>
          </w:p>
          <w:p w14:paraId="22849EE7">
            <w:pPr>
              <w:pStyle w:val="19"/>
            </w:pPr>
            <w:r>
              <w:rPr>
                <w:rFonts w:hint="eastAsia"/>
              </w:rPr>
              <w:t>2</w:t>
            </w:r>
            <w:r>
              <w:t>.2</w:t>
            </w:r>
            <w:r>
              <w:rPr>
                <w:rFonts w:hint="eastAsia"/>
              </w:rPr>
              <w:t>建设内容及规模</w:t>
            </w:r>
          </w:p>
          <w:p w14:paraId="54D0DAFC">
            <w:r>
              <w:t>本项目</w:t>
            </w:r>
            <w:r>
              <w:rPr>
                <w:rFonts w:hint="eastAsia"/>
              </w:rPr>
              <w:t>为矿产资源勘探工程，不涉及采矿，因此</w:t>
            </w:r>
            <w:r>
              <w:t>只有施工期，不存在运营期。本项目组成及主要环境问题见表2-2。</w:t>
            </w:r>
          </w:p>
          <w:p w14:paraId="6B6DD1EE">
            <w:pPr>
              <w:pStyle w:val="34"/>
              <w:spacing w:before="156"/>
              <w:rPr>
                <w:rFonts w:ascii="Times New Roman" w:hAnsi="Times New Roman"/>
                <w:bCs/>
                <w:snapToGrid/>
                <w:color w:val="auto"/>
                <w:spacing w:val="0"/>
                <w:kern w:val="2"/>
                <w:szCs w:val="21"/>
              </w:rPr>
            </w:pPr>
            <w:r>
              <w:rPr>
                <w:rFonts w:ascii="Times New Roman" w:hAnsi="Times New Roman"/>
                <w:bCs/>
                <w:snapToGrid/>
                <w:color w:val="auto"/>
                <w:spacing w:val="0"/>
                <w:kern w:val="2"/>
                <w:szCs w:val="21"/>
              </w:rPr>
              <w:t>表2-</w:t>
            </w:r>
            <w:r>
              <w:rPr>
                <w:rFonts w:hint="eastAsia" w:ascii="Times New Roman" w:hAnsi="Times New Roman"/>
                <w:bCs/>
                <w:snapToGrid/>
                <w:color w:val="auto"/>
                <w:spacing w:val="0"/>
                <w:kern w:val="2"/>
                <w:szCs w:val="21"/>
              </w:rPr>
              <w:t>2</w:t>
            </w:r>
            <w:r>
              <w:rPr>
                <w:rFonts w:ascii="Times New Roman" w:hAnsi="Times New Roman"/>
                <w:bCs/>
                <w:snapToGrid/>
                <w:color w:val="auto"/>
                <w:spacing w:val="0"/>
                <w:kern w:val="2"/>
                <w:szCs w:val="21"/>
              </w:rPr>
              <w:t xml:space="preserve">  建设项目组成一览表</w:t>
            </w:r>
          </w:p>
          <w:tbl>
            <w:tblPr>
              <w:tblStyle w:val="23"/>
              <w:tblW w:w="7650"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34"/>
              <w:gridCol w:w="1573"/>
              <w:gridCol w:w="4783"/>
              <w:gridCol w:w="860"/>
            </w:tblGrid>
            <w:tr w14:paraId="4AAAEDF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25" w:hRule="atLeast"/>
                <w:jc w:val="center"/>
              </w:trPr>
              <w:tc>
                <w:tcPr>
                  <w:tcW w:w="1312" w:type="pct"/>
                  <w:gridSpan w:val="2"/>
                  <w:tcBorders>
                    <w:top w:val="single" w:color="auto" w:sz="12" w:space="0"/>
                    <w:left w:val="single" w:color="auto" w:sz="12" w:space="0"/>
                  </w:tcBorders>
                  <w:vAlign w:val="center"/>
                </w:tcPr>
                <w:p w14:paraId="6F1B963D">
                  <w:pPr>
                    <w:pStyle w:val="32"/>
                  </w:pPr>
                  <w:r>
                    <w:t>项目组成</w:t>
                  </w:r>
                </w:p>
              </w:tc>
              <w:tc>
                <w:tcPr>
                  <w:tcW w:w="3126" w:type="pct"/>
                  <w:tcBorders>
                    <w:top w:val="single" w:color="auto" w:sz="12" w:space="0"/>
                    <w:bottom w:val="single" w:color="auto" w:sz="4" w:space="0"/>
                  </w:tcBorders>
                  <w:vAlign w:val="center"/>
                </w:tcPr>
                <w:p w14:paraId="105F88E4">
                  <w:pPr>
                    <w:pStyle w:val="32"/>
                  </w:pPr>
                  <w:r>
                    <w:t>工程内容与规模</w:t>
                  </w:r>
                </w:p>
              </w:tc>
              <w:tc>
                <w:tcPr>
                  <w:tcW w:w="562" w:type="pct"/>
                  <w:tcBorders>
                    <w:top w:val="single" w:color="auto" w:sz="12" w:space="0"/>
                    <w:bottom w:val="single" w:color="auto" w:sz="4" w:space="0"/>
                    <w:right w:val="single" w:color="auto" w:sz="12" w:space="0"/>
                  </w:tcBorders>
                  <w:vAlign w:val="center"/>
                </w:tcPr>
                <w:p w14:paraId="3C134781">
                  <w:pPr>
                    <w:pStyle w:val="32"/>
                  </w:pPr>
                  <w:r>
                    <w:t>备注</w:t>
                  </w:r>
                </w:p>
              </w:tc>
            </w:tr>
            <w:tr w14:paraId="12A6485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000" w:hRule="atLeast"/>
                <w:jc w:val="center"/>
              </w:trPr>
              <w:tc>
                <w:tcPr>
                  <w:tcW w:w="284" w:type="pct"/>
                  <w:vMerge w:val="restart"/>
                  <w:tcBorders>
                    <w:left w:val="single" w:color="auto" w:sz="12" w:space="0"/>
                  </w:tcBorders>
                  <w:vAlign w:val="center"/>
                </w:tcPr>
                <w:p w14:paraId="1A76F45F">
                  <w:pPr>
                    <w:pStyle w:val="32"/>
                  </w:pPr>
                  <w:r>
                    <w:t>主体工程</w:t>
                  </w:r>
                </w:p>
              </w:tc>
              <w:tc>
                <w:tcPr>
                  <w:tcW w:w="1028" w:type="pct"/>
                  <w:vAlign w:val="center"/>
                </w:tcPr>
                <w:p w14:paraId="60898E5E">
                  <w:pPr>
                    <w:pStyle w:val="32"/>
                  </w:pPr>
                  <w:r>
                    <w:rPr>
                      <w:rFonts w:hint="eastAsia"/>
                    </w:rPr>
                    <w:t>地质测</w:t>
                  </w:r>
                  <w:r>
                    <w:t>量</w:t>
                  </w:r>
                </w:p>
              </w:tc>
              <w:tc>
                <w:tcPr>
                  <w:tcW w:w="3126" w:type="pct"/>
                  <w:tcBorders>
                    <w:bottom w:val="single" w:color="auto" w:sz="4" w:space="0"/>
                  </w:tcBorders>
                  <w:vAlign w:val="center"/>
                </w:tcPr>
                <w:p w14:paraId="18278C49">
                  <w:pPr>
                    <w:spacing w:line="240" w:lineRule="auto"/>
                    <w:ind w:firstLine="0" w:firstLineChars="0"/>
                    <w:rPr>
                      <w:sz w:val="21"/>
                      <w:szCs w:val="21"/>
                    </w:rPr>
                  </w:pPr>
                  <w:r>
                    <w:rPr>
                      <w:rFonts w:hint="eastAsia"/>
                      <w:sz w:val="21"/>
                      <w:szCs w:val="21"/>
                    </w:rPr>
                    <w:t>开展1：10000水工环调查</w:t>
                  </w:r>
                  <w:r>
                    <w:rPr>
                      <w:sz w:val="21"/>
                      <w:szCs w:val="21"/>
                    </w:rPr>
                    <w:t>9.6192</w:t>
                  </w:r>
                  <w:r>
                    <w:rPr>
                      <w:rFonts w:hint="eastAsia"/>
                      <w:sz w:val="21"/>
                      <w:szCs w:val="21"/>
                    </w:rPr>
                    <w:t>km²、1：2000地质测量3.05km²、1：2000水工环调查3.05km²、1：1000勘探线剖面测量9.56km、1：2000地质岩石剖面测量4.5km</w:t>
                  </w:r>
                </w:p>
              </w:tc>
              <w:tc>
                <w:tcPr>
                  <w:tcW w:w="562" w:type="pct"/>
                  <w:tcBorders>
                    <w:right w:val="single" w:color="auto" w:sz="12" w:space="0"/>
                  </w:tcBorders>
                  <w:vAlign w:val="center"/>
                </w:tcPr>
                <w:p w14:paraId="403D81B8">
                  <w:pPr>
                    <w:pStyle w:val="32"/>
                  </w:pPr>
                  <w:r>
                    <w:t>/</w:t>
                  </w:r>
                </w:p>
              </w:tc>
            </w:tr>
            <w:tr w14:paraId="2C2BFBB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5" w:hRule="atLeast"/>
                <w:jc w:val="center"/>
              </w:trPr>
              <w:tc>
                <w:tcPr>
                  <w:tcW w:w="284" w:type="pct"/>
                  <w:vMerge w:val="continue"/>
                  <w:tcBorders>
                    <w:left w:val="single" w:color="auto" w:sz="12" w:space="0"/>
                  </w:tcBorders>
                  <w:vAlign w:val="center"/>
                </w:tcPr>
                <w:p w14:paraId="1031D294">
                  <w:pPr>
                    <w:pStyle w:val="32"/>
                  </w:pPr>
                </w:p>
              </w:tc>
              <w:tc>
                <w:tcPr>
                  <w:tcW w:w="1028" w:type="pct"/>
                  <w:vAlign w:val="center"/>
                </w:tcPr>
                <w:p w14:paraId="6268283E">
                  <w:pPr>
                    <w:pStyle w:val="32"/>
                  </w:pPr>
                  <w:r>
                    <w:rPr>
                      <w:rFonts w:hint="eastAsia"/>
                    </w:rPr>
                    <w:t>槽探</w:t>
                  </w:r>
                </w:p>
              </w:tc>
              <w:tc>
                <w:tcPr>
                  <w:tcW w:w="3126" w:type="pct"/>
                  <w:tcBorders>
                    <w:bottom w:val="single" w:color="auto" w:sz="4" w:space="0"/>
                  </w:tcBorders>
                  <w:vAlign w:val="center"/>
                </w:tcPr>
                <w:p w14:paraId="50DCC05E">
                  <w:pPr>
                    <w:pStyle w:val="32"/>
                    <w:jc w:val="both"/>
                    <w:rPr>
                      <w:szCs w:val="21"/>
                    </w:rPr>
                  </w:pPr>
                  <w:r>
                    <w:t>共</w:t>
                  </w:r>
                  <w:r>
                    <w:rPr>
                      <w:rFonts w:hint="eastAsia"/>
                    </w:rPr>
                    <w:t>布</w:t>
                  </w:r>
                  <w:r>
                    <w:t>设探槽35处，设计工作量4000m³</w:t>
                  </w:r>
                </w:p>
              </w:tc>
              <w:tc>
                <w:tcPr>
                  <w:tcW w:w="562" w:type="pct"/>
                  <w:tcBorders>
                    <w:right w:val="single" w:color="auto" w:sz="12" w:space="0"/>
                  </w:tcBorders>
                  <w:vAlign w:val="center"/>
                </w:tcPr>
                <w:p w14:paraId="3FCCBAED">
                  <w:pPr>
                    <w:pStyle w:val="32"/>
                  </w:pPr>
                  <w:r>
                    <w:t>/</w:t>
                  </w:r>
                </w:p>
              </w:tc>
            </w:tr>
            <w:tr w14:paraId="72145E8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0" w:hRule="atLeast"/>
                <w:jc w:val="center"/>
              </w:trPr>
              <w:tc>
                <w:tcPr>
                  <w:tcW w:w="284" w:type="pct"/>
                  <w:vMerge w:val="continue"/>
                  <w:tcBorders>
                    <w:left w:val="single" w:color="auto" w:sz="12" w:space="0"/>
                  </w:tcBorders>
                  <w:vAlign w:val="center"/>
                </w:tcPr>
                <w:p w14:paraId="2E63E78E">
                  <w:pPr>
                    <w:pStyle w:val="32"/>
                  </w:pPr>
                </w:p>
              </w:tc>
              <w:tc>
                <w:tcPr>
                  <w:tcW w:w="1028" w:type="pct"/>
                  <w:vAlign w:val="center"/>
                </w:tcPr>
                <w:p w14:paraId="49B71125">
                  <w:pPr>
                    <w:pStyle w:val="32"/>
                  </w:pPr>
                  <w:r>
                    <w:rPr>
                      <w:rFonts w:hint="eastAsia"/>
                    </w:rPr>
                    <w:t>钻探</w:t>
                  </w:r>
                </w:p>
              </w:tc>
              <w:tc>
                <w:tcPr>
                  <w:tcW w:w="3126" w:type="pct"/>
                  <w:tcBorders>
                    <w:bottom w:val="single" w:color="auto" w:sz="4" w:space="0"/>
                  </w:tcBorders>
                  <w:vAlign w:val="center"/>
                </w:tcPr>
                <w:p w14:paraId="0F199B20">
                  <w:pPr>
                    <w:pStyle w:val="32"/>
                    <w:jc w:val="both"/>
                  </w:pPr>
                  <w:r>
                    <w:rPr>
                      <w:szCs w:val="21"/>
                    </w:rPr>
                    <w:t>共布设22个钻孔，总钻探工作量为7378</w:t>
                  </w:r>
                  <w:r>
                    <w:rPr>
                      <w:rFonts w:hint="eastAsia"/>
                      <w:szCs w:val="21"/>
                    </w:rPr>
                    <w:t>m</w:t>
                  </w:r>
                </w:p>
              </w:tc>
              <w:tc>
                <w:tcPr>
                  <w:tcW w:w="562" w:type="pct"/>
                  <w:tcBorders>
                    <w:right w:val="single" w:color="auto" w:sz="12" w:space="0"/>
                  </w:tcBorders>
                  <w:vAlign w:val="center"/>
                </w:tcPr>
                <w:p w14:paraId="6460D691">
                  <w:pPr>
                    <w:pStyle w:val="32"/>
                  </w:pPr>
                  <w:r>
                    <w:rPr>
                      <w:rFonts w:hint="eastAsia"/>
                    </w:rPr>
                    <w:t>/</w:t>
                  </w:r>
                </w:p>
              </w:tc>
            </w:tr>
            <w:tr w14:paraId="47057A6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78" w:hRule="atLeast"/>
                <w:jc w:val="center"/>
              </w:trPr>
              <w:tc>
                <w:tcPr>
                  <w:tcW w:w="284" w:type="pct"/>
                  <w:vMerge w:val="continue"/>
                  <w:tcBorders>
                    <w:left w:val="single" w:color="auto" w:sz="12" w:space="0"/>
                  </w:tcBorders>
                  <w:vAlign w:val="center"/>
                </w:tcPr>
                <w:p w14:paraId="127A4EF0">
                  <w:pPr>
                    <w:pStyle w:val="32"/>
                  </w:pPr>
                </w:p>
              </w:tc>
              <w:tc>
                <w:tcPr>
                  <w:tcW w:w="1028" w:type="pct"/>
                  <w:vAlign w:val="center"/>
                </w:tcPr>
                <w:p w14:paraId="7932F92B">
                  <w:pPr>
                    <w:pStyle w:val="32"/>
                  </w:pPr>
                  <w:r>
                    <w:rPr>
                      <w:rFonts w:hint="eastAsia"/>
                    </w:rPr>
                    <w:t>坑探</w:t>
                  </w:r>
                </w:p>
              </w:tc>
              <w:tc>
                <w:tcPr>
                  <w:tcW w:w="3126" w:type="pct"/>
                  <w:tcBorders>
                    <w:bottom w:val="single" w:color="auto" w:sz="4" w:space="0"/>
                  </w:tcBorders>
                  <w:vAlign w:val="center"/>
                </w:tcPr>
                <w:p w14:paraId="338DD85D">
                  <w:pPr>
                    <w:pStyle w:val="32"/>
                    <w:jc w:val="both"/>
                  </w:pPr>
                  <w:r>
                    <w:rPr>
                      <w:rFonts w:hint="eastAsia"/>
                    </w:rPr>
                    <w:t>坑探工作量为</w:t>
                  </w:r>
                  <w:r>
                    <w:t>3934m</w:t>
                  </w:r>
                </w:p>
              </w:tc>
              <w:tc>
                <w:tcPr>
                  <w:tcW w:w="562" w:type="pct"/>
                  <w:tcBorders>
                    <w:right w:val="single" w:color="auto" w:sz="12" w:space="0"/>
                  </w:tcBorders>
                  <w:vAlign w:val="center"/>
                </w:tcPr>
                <w:p w14:paraId="63B2376F">
                  <w:pPr>
                    <w:pStyle w:val="32"/>
                  </w:pPr>
                  <w:r>
                    <w:rPr>
                      <w:rFonts w:hint="eastAsia"/>
                    </w:rPr>
                    <w:t>/</w:t>
                  </w:r>
                </w:p>
              </w:tc>
            </w:tr>
            <w:tr w14:paraId="72A75BD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882" w:hRule="atLeast"/>
                <w:jc w:val="center"/>
              </w:trPr>
              <w:tc>
                <w:tcPr>
                  <w:tcW w:w="284" w:type="pct"/>
                  <w:vMerge w:val="continue"/>
                  <w:tcBorders>
                    <w:left w:val="single" w:color="auto" w:sz="12" w:space="0"/>
                  </w:tcBorders>
                  <w:vAlign w:val="center"/>
                </w:tcPr>
                <w:p w14:paraId="3834F25F">
                  <w:pPr>
                    <w:pStyle w:val="32"/>
                  </w:pPr>
                </w:p>
              </w:tc>
              <w:tc>
                <w:tcPr>
                  <w:tcW w:w="1028" w:type="pct"/>
                  <w:vAlign w:val="center"/>
                </w:tcPr>
                <w:p w14:paraId="6242E826">
                  <w:pPr>
                    <w:pStyle w:val="32"/>
                  </w:pPr>
                  <w:r>
                    <w:t>样品采集</w:t>
                  </w:r>
                </w:p>
              </w:tc>
              <w:tc>
                <w:tcPr>
                  <w:tcW w:w="3126" w:type="pct"/>
                  <w:tcBorders>
                    <w:bottom w:val="single" w:color="auto" w:sz="4" w:space="0"/>
                  </w:tcBorders>
                  <w:vAlign w:val="center"/>
                </w:tcPr>
                <w:p w14:paraId="3BD0D824">
                  <w:pPr>
                    <w:pStyle w:val="32"/>
                    <w:jc w:val="both"/>
                  </w:pPr>
                  <w:r>
                    <w:rPr>
                      <w:rFonts w:hint="eastAsia"/>
                    </w:rPr>
                    <w:t>设计基本分析化学样2000件（含内检180件、外检90件）、组合分析样50件、化学全分析样6件、物相分析样30件、小体重样60件、光薄片样120件、力学样10件、水质分析样6件、选矿试验样1件、放射性样品2件。基本分析样在槽探、坑探中采用刻槽法（10×5cm），钻探中采用劈芯法；组合分析样由基本分析副样组合而成。所有样品送有资质实验室测试，按要求进行内检和外检</w:t>
                  </w:r>
                </w:p>
              </w:tc>
              <w:tc>
                <w:tcPr>
                  <w:tcW w:w="562" w:type="pct"/>
                  <w:tcBorders>
                    <w:right w:val="single" w:color="auto" w:sz="12" w:space="0"/>
                  </w:tcBorders>
                  <w:vAlign w:val="center"/>
                </w:tcPr>
                <w:p w14:paraId="5600AADA">
                  <w:pPr>
                    <w:pStyle w:val="32"/>
                  </w:pPr>
                  <w:r>
                    <w:rPr>
                      <w:rFonts w:hint="eastAsia"/>
                    </w:rPr>
                    <w:t>/</w:t>
                  </w:r>
                </w:p>
              </w:tc>
            </w:tr>
            <w:tr w14:paraId="0A8DFC5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515" w:hRule="atLeast"/>
                <w:jc w:val="center"/>
              </w:trPr>
              <w:tc>
                <w:tcPr>
                  <w:tcW w:w="284" w:type="pct"/>
                  <w:vMerge w:val="restart"/>
                  <w:tcBorders>
                    <w:left w:val="single" w:color="auto" w:sz="12" w:space="0"/>
                  </w:tcBorders>
                  <w:vAlign w:val="center"/>
                </w:tcPr>
                <w:p w14:paraId="197C11FE">
                  <w:pPr>
                    <w:pStyle w:val="32"/>
                  </w:pPr>
                  <w:r>
                    <w:t>辅助工程</w:t>
                  </w:r>
                </w:p>
              </w:tc>
              <w:tc>
                <w:tcPr>
                  <w:tcW w:w="1028" w:type="pct"/>
                  <w:vAlign w:val="center"/>
                </w:tcPr>
                <w:p w14:paraId="47CAF58B">
                  <w:pPr>
                    <w:pStyle w:val="32"/>
                  </w:pPr>
                  <w:r>
                    <w:t>施工营地</w:t>
                  </w:r>
                </w:p>
              </w:tc>
              <w:tc>
                <w:tcPr>
                  <w:tcW w:w="3126" w:type="pct"/>
                  <w:tcBorders>
                    <w:bottom w:val="single" w:color="auto" w:sz="4" w:space="0"/>
                  </w:tcBorders>
                  <w:vAlign w:val="center"/>
                </w:tcPr>
                <w:p w14:paraId="503ABF25">
                  <w:pPr>
                    <w:pStyle w:val="32"/>
                    <w:jc w:val="both"/>
                    <w:rPr>
                      <w:bCs/>
                    </w:rPr>
                  </w:pPr>
                  <w:r>
                    <w:rPr>
                      <w:rFonts w:ascii="宋体" w:hAnsi="宋体" w:cs="宋体"/>
                      <w:szCs w:val="21"/>
                    </w:rPr>
                    <w:t>本次探矿活动在探矿作业区内搭设临时帐篷</w:t>
                  </w:r>
                  <w:r>
                    <w:rPr>
                      <w:rFonts w:hint="eastAsia" w:ascii="宋体" w:hAnsi="宋体" w:cs="宋体"/>
                      <w:szCs w:val="21"/>
                    </w:rPr>
                    <w:t>用于施工人员休息使用</w:t>
                  </w:r>
                </w:p>
              </w:tc>
              <w:tc>
                <w:tcPr>
                  <w:tcW w:w="562" w:type="pct"/>
                  <w:tcBorders>
                    <w:right w:val="single" w:color="auto" w:sz="12" w:space="0"/>
                  </w:tcBorders>
                  <w:vAlign w:val="center"/>
                </w:tcPr>
                <w:p w14:paraId="78C3CCA0">
                  <w:pPr>
                    <w:pStyle w:val="32"/>
                  </w:pPr>
                  <w:r>
                    <w:rPr>
                      <w:rFonts w:hint="eastAsia"/>
                    </w:rPr>
                    <w:t>临时</w:t>
                  </w:r>
                </w:p>
              </w:tc>
            </w:tr>
            <w:tr w14:paraId="59C7A03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39" w:hRule="atLeast"/>
                <w:jc w:val="center"/>
              </w:trPr>
              <w:tc>
                <w:tcPr>
                  <w:tcW w:w="284" w:type="pct"/>
                  <w:vMerge w:val="continue"/>
                  <w:tcBorders>
                    <w:left w:val="single" w:color="auto" w:sz="12" w:space="0"/>
                  </w:tcBorders>
                  <w:vAlign w:val="center"/>
                </w:tcPr>
                <w:p w14:paraId="0415F311">
                  <w:pPr>
                    <w:pStyle w:val="32"/>
                  </w:pPr>
                </w:p>
              </w:tc>
              <w:tc>
                <w:tcPr>
                  <w:tcW w:w="1028" w:type="pct"/>
                  <w:vAlign w:val="center"/>
                </w:tcPr>
                <w:p w14:paraId="591A90C4">
                  <w:pPr>
                    <w:pStyle w:val="32"/>
                  </w:pPr>
                  <w:r>
                    <w:t>施工道路</w:t>
                  </w:r>
                </w:p>
              </w:tc>
              <w:tc>
                <w:tcPr>
                  <w:tcW w:w="3126" w:type="pct"/>
                  <w:tcBorders>
                    <w:bottom w:val="single" w:color="auto" w:sz="4" w:space="0"/>
                  </w:tcBorders>
                  <w:vAlign w:val="center"/>
                </w:tcPr>
                <w:p w14:paraId="6B3094E1">
                  <w:pPr>
                    <w:pStyle w:val="32"/>
                    <w:jc w:val="both"/>
                    <w:rPr>
                      <w:rFonts w:ascii="宋体" w:hAnsi="宋体" w:cs="宋体"/>
                      <w:szCs w:val="21"/>
                    </w:rPr>
                  </w:pPr>
                  <w:r>
                    <w:rPr>
                      <w:szCs w:val="21"/>
                      <w:lang w:val="zh-CN"/>
                    </w:rPr>
                    <w:t>修建简易道路4条</w:t>
                  </w:r>
                  <w:r>
                    <w:rPr>
                      <w:rFonts w:hint="eastAsia"/>
                      <w:color w:val="000000"/>
                      <w:shd w:val="clear" w:color="auto" w:fill="FFFFFF"/>
                    </w:rPr>
                    <w:t>，长1</w:t>
                  </w:r>
                  <w:r>
                    <w:rPr>
                      <w:color w:val="000000"/>
                      <w:shd w:val="clear" w:color="auto" w:fill="FFFFFF"/>
                    </w:rPr>
                    <w:t>6.703</w:t>
                  </w:r>
                  <w:r>
                    <w:rPr>
                      <w:rFonts w:hint="eastAsia"/>
                      <w:color w:val="000000"/>
                      <w:shd w:val="clear" w:color="auto" w:fill="FFFFFF"/>
                    </w:rPr>
                    <w:t>公里，宽5米左右</w:t>
                  </w:r>
                </w:p>
              </w:tc>
              <w:tc>
                <w:tcPr>
                  <w:tcW w:w="562" w:type="pct"/>
                  <w:tcBorders>
                    <w:right w:val="single" w:color="auto" w:sz="12" w:space="0"/>
                  </w:tcBorders>
                  <w:vAlign w:val="center"/>
                </w:tcPr>
                <w:p w14:paraId="41CC683C">
                  <w:pPr>
                    <w:pStyle w:val="32"/>
                  </w:pPr>
                  <w:r>
                    <w:rPr>
                      <w:rFonts w:hint="eastAsia"/>
                    </w:rPr>
                    <w:t>临时</w:t>
                  </w:r>
                </w:p>
              </w:tc>
            </w:tr>
            <w:tr w14:paraId="3B628A2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restart"/>
                  <w:tcBorders>
                    <w:left w:val="single" w:color="auto" w:sz="12" w:space="0"/>
                  </w:tcBorders>
                  <w:vAlign w:val="center"/>
                </w:tcPr>
                <w:p w14:paraId="5A5B00DA">
                  <w:pPr>
                    <w:pStyle w:val="32"/>
                  </w:pPr>
                  <w:r>
                    <w:t>储运工程</w:t>
                  </w:r>
                </w:p>
              </w:tc>
              <w:tc>
                <w:tcPr>
                  <w:tcW w:w="1028" w:type="pct"/>
                  <w:vAlign w:val="center"/>
                </w:tcPr>
                <w:p w14:paraId="703C89FA">
                  <w:pPr>
                    <w:pStyle w:val="32"/>
                  </w:pPr>
                  <w:r>
                    <w:rPr>
                      <w:rFonts w:hint="eastAsia"/>
                    </w:rPr>
                    <w:t>柴油临时存放点</w:t>
                  </w:r>
                </w:p>
              </w:tc>
              <w:tc>
                <w:tcPr>
                  <w:tcW w:w="3126" w:type="pct"/>
                  <w:tcBorders>
                    <w:bottom w:val="single" w:color="auto" w:sz="4" w:space="0"/>
                  </w:tcBorders>
                  <w:vAlign w:val="center"/>
                </w:tcPr>
                <w:p w14:paraId="5D863368">
                  <w:pPr>
                    <w:pStyle w:val="32"/>
                    <w:jc w:val="both"/>
                    <w:rPr>
                      <w:color w:val="000000"/>
                      <w:shd w:val="clear" w:color="auto" w:fill="FFFFFF"/>
                    </w:rPr>
                  </w:pPr>
                  <w:r>
                    <w:rPr>
                      <w:rFonts w:hint="eastAsia"/>
                      <w:color w:val="000000"/>
                    </w:rPr>
                    <w:t>勘查</w:t>
                  </w:r>
                  <w:r>
                    <w:rPr>
                      <w:rFonts w:hint="eastAsia"/>
                      <w:color w:val="000000"/>
                      <w:shd w:val="clear" w:color="auto" w:fill="FFFFFF"/>
                    </w:rPr>
                    <w:t>区设置柴油临时存放点，柴油分期从哈尔莫敦镇购买，采用200L铁皮油桶（高0.93m，直径0.58m）装运至现场堆放。存放点地面铺设防渗膜，并采取防雨、防晒措施，油桶底部设置防渗托盘，分类规范摆放，配备吸油毡等应急物资</w:t>
                  </w:r>
                </w:p>
              </w:tc>
              <w:tc>
                <w:tcPr>
                  <w:tcW w:w="562" w:type="pct"/>
                  <w:tcBorders>
                    <w:right w:val="single" w:color="auto" w:sz="12" w:space="0"/>
                  </w:tcBorders>
                  <w:vAlign w:val="center"/>
                </w:tcPr>
                <w:p w14:paraId="006EF2BA">
                  <w:pPr>
                    <w:pStyle w:val="32"/>
                  </w:pPr>
                  <w:r>
                    <w:rPr>
                      <w:rFonts w:hint="eastAsia"/>
                    </w:rPr>
                    <w:t>临时</w:t>
                  </w:r>
                </w:p>
              </w:tc>
            </w:tr>
            <w:tr w14:paraId="2C0A34C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1550" w:hRule="atLeast"/>
                <w:jc w:val="center"/>
              </w:trPr>
              <w:tc>
                <w:tcPr>
                  <w:tcW w:w="284" w:type="pct"/>
                  <w:vMerge w:val="continue"/>
                  <w:tcBorders>
                    <w:left w:val="single" w:color="auto" w:sz="12" w:space="0"/>
                  </w:tcBorders>
                  <w:vAlign w:val="center"/>
                </w:tcPr>
                <w:p w14:paraId="4E5B1066">
                  <w:pPr>
                    <w:pStyle w:val="32"/>
                  </w:pPr>
                </w:p>
              </w:tc>
              <w:tc>
                <w:tcPr>
                  <w:tcW w:w="1028" w:type="pct"/>
                  <w:vAlign w:val="center"/>
                </w:tcPr>
                <w:p w14:paraId="169105A1">
                  <w:pPr>
                    <w:pStyle w:val="32"/>
                  </w:pPr>
                  <w:r>
                    <w:rPr>
                      <w:color w:val="000000"/>
                      <w:shd w:val="clear" w:color="auto" w:fill="FFFFFF"/>
                    </w:rPr>
                    <w:t>临时</w:t>
                  </w:r>
                  <w:r>
                    <w:rPr>
                      <w:rFonts w:hint="eastAsia"/>
                      <w:color w:val="000000"/>
                      <w:shd w:val="clear" w:color="auto" w:fill="FFFFFF"/>
                    </w:rPr>
                    <w:t>堆场</w:t>
                  </w:r>
                </w:p>
              </w:tc>
              <w:tc>
                <w:tcPr>
                  <w:tcW w:w="3126" w:type="pct"/>
                  <w:vAlign w:val="center"/>
                </w:tcPr>
                <w:p w14:paraId="5491AC88">
                  <w:pPr>
                    <w:pStyle w:val="32"/>
                    <w:jc w:val="both"/>
                    <w:rPr>
                      <w:color w:val="000000"/>
                      <w:shd w:val="clear" w:color="auto" w:fill="FFFFFF"/>
                    </w:rPr>
                  </w:pPr>
                  <w:r>
                    <w:rPr>
                      <w:rFonts w:hint="eastAsia"/>
                      <w:color w:val="000000"/>
                      <w:shd w:val="clear" w:color="auto" w:fill="FFFFFF"/>
                    </w:rPr>
                    <w:t>本项目在槽探及钻探施工点位附近设置临时堆场，用于存放施工过程挖出的土方，待施工期结束后用于回填（堆放高度不宜超过2m，确保堆填边坡稳定；探槽上方禁止堆放土石，预防形成滑塌或坡面泥石流等次生灾害）。坑探工程产生的废石在硐口临时周转后，部分用于硐口段回填封堵，其余用于场地平整及低洼处填垫</w:t>
                  </w:r>
                </w:p>
              </w:tc>
              <w:tc>
                <w:tcPr>
                  <w:tcW w:w="562" w:type="pct"/>
                  <w:tcBorders>
                    <w:right w:val="single" w:color="auto" w:sz="12" w:space="0"/>
                  </w:tcBorders>
                  <w:vAlign w:val="center"/>
                </w:tcPr>
                <w:p w14:paraId="7394BC56">
                  <w:pPr>
                    <w:pStyle w:val="32"/>
                  </w:pPr>
                  <w:r>
                    <w:rPr>
                      <w:rFonts w:hint="eastAsia"/>
                    </w:rPr>
                    <w:t>临时</w:t>
                  </w:r>
                </w:p>
              </w:tc>
            </w:tr>
            <w:tr w14:paraId="70BBD6A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continue"/>
                  <w:tcBorders>
                    <w:left w:val="single" w:color="auto" w:sz="12" w:space="0"/>
                  </w:tcBorders>
                  <w:vAlign w:val="center"/>
                </w:tcPr>
                <w:p w14:paraId="1E97110E">
                  <w:pPr>
                    <w:pStyle w:val="32"/>
                  </w:pPr>
                </w:p>
              </w:tc>
              <w:tc>
                <w:tcPr>
                  <w:tcW w:w="1028" w:type="pct"/>
                  <w:vAlign w:val="center"/>
                </w:tcPr>
                <w:p w14:paraId="2476155D">
                  <w:pPr>
                    <w:pStyle w:val="32"/>
                  </w:pPr>
                  <w:r>
                    <w:t>施工机械及材料堆放场</w:t>
                  </w:r>
                </w:p>
              </w:tc>
              <w:tc>
                <w:tcPr>
                  <w:tcW w:w="3126" w:type="pct"/>
                  <w:vAlign w:val="center"/>
                </w:tcPr>
                <w:p w14:paraId="611E4B01">
                  <w:pPr>
                    <w:pStyle w:val="32"/>
                    <w:jc w:val="both"/>
                    <w:rPr>
                      <w:color w:val="000000"/>
                      <w:shd w:val="clear" w:color="auto" w:fill="FFFFFF"/>
                    </w:rPr>
                  </w:pPr>
                  <w:r>
                    <w:rPr>
                      <w:color w:val="000000"/>
                      <w:shd w:val="clear" w:color="auto" w:fill="FFFFFF"/>
                    </w:rPr>
                    <w:t>集中储存施工所需器械与材料，保障施工效率、安全及现场管理</w:t>
                  </w:r>
                </w:p>
              </w:tc>
              <w:tc>
                <w:tcPr>
                  <w:tcW w:w="562" w:type="pct"/>
                  <w:tcBorders>
                    <w:right w:val="single" w:color="auto" w:sz="12" w:space="0"/>
                  </w:tcBorders>
                  <w:vAlign w:val="center"/>
                </w:tcPr>
                <w:p w14:paraId="6230445F">
                  <w:pPr>
                    <w:pStyle w:val="32"/>
                  </w:pPr>
                  <w:r>
                    <w:rPr>
                      <w:rFonts w:hint="eastAsia"/>
                    </w:rPr>
                    <w:t>临时</w:t>
                  </w:r>
                </w:p>
              </w:tc>
            </w:tr>
            <w:tr w14:paraId="5D5E494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continue"/>
                  <w:tcBorders>
                    <w:left w:val="single" w:color="auto" w:sz="12" w:space="0"/>
                  </w:tcBorders>
                  <w:vAlign w:val="center"/>
                </w:tcPr>
                <w:p w14:paraId="71261B28">
                  <w:pPr>
                    <w:pStyle w:val="32"/>
                  </w:pPr>
                </w:p>
              </w:tc>
              <w:tc>
                <w:tcPr>
                  <w:tcW w:w="1028" w:type="pct"/>
                  <w:vAlign w:val="center"/>
                </w:tcPr>
                <w:p w14:paraId="5DECB5C1">
                  <w:pPr>
                    <w:pStyle w:val="32"/>
                  </w:pPr>
                  <w:r>
                    <w:rPr>
                      <w:rFonts w:hint="eastAsia"/>
                    </w:rPr>
                    <w:t>危险废物贮存点</w:t>
                  </w:r>
                </w:p>
              </w:tc>
              <w:tc>
                <w:tcPr>
                  <w:tcW w:w="3126" w:type="pct"/>
                  <w:vAlign w:val="center"/>
                </w:tcPr>
                <w:p w14:paraId="5D05A06D">
                  <w:pPr>
                    <w:pStyle w:val="32"/>
                    <w:jc w:val="both"/>
                    <w:rPr>
                      <w:color w:val="000000"/>
                      <w:shd w:val="clear" w:color="auto" w:fill="FFFFFF"/>
                    </w:rPr>
                  </w:pPr>
                  <w:r>
                    <w:rPr>
                      <w:rFonts w:hint="eastAsia"/>
                      <w:color w:val="000000"/>
                    </w:rPr>
                    <w:t>勘查</w:t>
                  </w:r>
                  <w:r>
                    <w:rPr>
                      <w:rFonts w:hint="eastAsia"/>
                      <w:color w:val="000000"/>
                      <w:shd w:val="clear" w:color="auto" w:fill="FFFFFF"/>
                    </w:rPr>
                    <w:t>区</w:t>
                  </w:r>
                  <w:r>
                    <w:rPr>
                      <w:color w:val="000000"/>
                      <w:shd w:val="clear" w:color="auto" w:fill="FFFFFF"/>
                    </w:rPr>
                    <w:t>设置一座5m²的危险废物贮存点，主要用于</w:t>
                  </w:r>
                  <w:r>
                    <w:rPr>
                      <w:rFonts w:hint="eastAsia"/>
                      <w:color w:val="000000"/>
                      <w:shd w:val="clear" w:color="auto" w:fill="FFFFFF"/>
                    </w:rPr>
                    <w:t>废润滑油</w:t>
                  </w:r>
                  <w:r>
                    <w:rPr>
                      <w:color w:val="000000"/>
                      <w:shd w:val="clear" w:color="auto" w:fill="FFFFFF"/>
                    </w:rPr>
                    <w:t>等危险废物的</w:t>
                  </w:r>
                  <w:r>
                    <w:rPr>
                      <w:rFonts w:hint="eastAsia"/>
                      <w:color w:val="000000"/>
                      <w:shd w:val="clear" w:color="auto" w:fill="FFFFFF"/>
                    </w:rPr>
                    <w:t>贮</w:t>
                  </w:r>
                  <w:r>
                    <w:rPr>
                      <w:color w:val="000000"/>
                      <w:shd w:val="clear" w:color="auto" w:fill="FFFFFF"/>
                    </w:rPr>
                    <w:t>存</w:t>
                  </w:r>
                </w:p>
              </w:tc>
              <w:tc>
                <w:tcPr>
                  <w:tcW w:w="562" w:type="pct"/>
                  <w:tcBorders>
                    <w:right w:val="single" w:color="auto" w:sz="12" w:space="0"/>
                  </w:tcBorders>
                  <w:vAlign w:val="center"/>
                </w:tcPr>
                <w:p w14:paraId="3BE86458">
                  <w:pPr>
                    <w:pStyle w:val="32"/>
                  </w:pPr>
                  <w:r>
                    <w:rPr>
                      <w:rFonts w:hint="eastAsia"/>
                    </w:rPr>
                    <w:t>临时</w:t>
                  </w:r>
                </w:p>
              </w:tc>
            </w:tr>
            <w:tr w14:paraId="6EDB354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restart"/>
                  <w:tcBorders>
                    <w:left w:val="single" w:color="auto" w:sz="12" w:space="0"/>
                  </w:tcBorders>
                  <w:vAlign w:val="center"/>
                </w:tcPr>
                <w:p w14:paraId="052E034F">
                  <w:pPr>
                    <w:pStyle w:val="32"/>
                  </w:pPr>
                  <w:r>
                    <w:t>公用工程</w:t>
                  </w:r>
                </w:p>
              </w:tc>
              <w:tc>
                <w:tcPr>
                  <w:tcW w:w="1028" w:type="pct"/>
                  <w:vAlign w:val="center"/>
                </w:tcPr>
                <w:p w14:paraId="5141B15C">
                  <w:pPr>
                    <w:pStyle w:val="32"/>
                  </w:pPr>
                  <w:r>
                    <w:t>供电</w:t>
                  </w:r>
                </w:p>
              </w:tc>
              <w:tc>
                <w:tcPr>
                  <w:tcW w:w="3126" w:type="pct"/>
                  <w:vAlign w:val="center"/>
                </w:tcPr>
                <w:p w14:paraId="603DF115">
                  <w:pPr>
                    <w:pStyle w:val="32"/>
                    <w:jc w:val="both"/>
                  </w:pPr>
                  <w:r>
                    <w:rPr>
                      <w:rFonts w:hint="eastAsia"/>
                    </w:rPr>
                    <w:t>本项目设置2台柴油发电机，提供生产、生活用电</w:t>
                  </w:r>
                </w:p>
              </w:tc>
              <w:tc>
                <w:tcPr>
                  <w:tcW w:w="562" w:type="pct"/>
                  <w:tcBorders>
                    <w:right w:val="single" w:color="auto" w:sz="12" w:space="0"/>
                  </w:tcBorders>
                  <w:vAlign w:val="center"/>
                </w:tcPr>
                <w:p w14:paraId="4356AA97">
                  <w:pPr>
                    <w:pStyle w:val="32"/>
                  </w:pPr>
                  <w:r>
                    <w:t>/</w:t>
                  </w:r>
                </w:p>
              </w:tc>
            </w:tr>
            <w:tr w14:paraId="75A24E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continue"/>
                  <w:tcBorders>
                    <w:left w:val="single" w:color="auto" w:sz="12" w:space="0"/>
                  </w:tcBorders>
                  <w:vAlign w:val="center"/>
                </w:tcPr>
                <w:p w14:paraId="6A97B723">
                  <w:pPr>
                    <w:pStyle w:val="32"/>
                  </w:pPr>
                </w:p>
              </w:tc>
              <w:tc>
                <w:tcPr>
                  <w:tcW w:w="1028" w:type="pct"/>
                  <w:vAlign w:val="center"/>
                </w:tcPr>
                <w:p w14:paraId="5959AB88">
                  <w:pPr>
                    <w:pStyle w:val="32"/>
                  </w:pPr>
                  <w:r>
                    <w:t>供水</w:t>
                  </w:r>
                </w:p>
              </w:tc>
              <w:tc>
                <w:tcPr>
                  <w:tcW w:w="3126" w:type="pct"/>
                  <w:vAlign w:val="center"/>
                </w:tcPr>
                <w:p w14:paraId="601656DF">
                  <w:pPr>
                    <w:pStyle w:val="32"/>
                    <w:jc w:val="both"/>
                  </w:pPr>
                  <w:r>
                    <w:rPr>
                      <w:rFonts w:hint="eastAsia"/>
                    </w:rPr>
                    <w:t>施工用水由水车从附近城镇拉运至</w:t>
                  </w:r>
                  <w:r>
                    <w:rPr>
                      <w:rFonts w:hint="eastAsia"/>
                      <w:color w:val="000000"/>
                    </w:rPr>
                    <w:t>勘查</w:t>
                  </w:r>
                  <w:r>
                    <w:rPr>
                      <w:rFonts w:hint="eastAsia"/>
                    </w:rPr>
                    <w:t>区；工作人员生活用水为自带的纯净水</w:t>
                  </w:r>
                </w:p>
              </w:tc>
              <w:tc>
                <w:tcPr>
                  <w:tcW w:w="562" w:type="pct"/>
                  <w:tcBorders>
                    <w:right w:val="single" w:color="auto" w:sz="12" w:space="0"/>
                  </w:tcBorders>
                  <w:vAlign w:val="center"/>
                </w:tcPr>
                <w:p w14:paraId="540F9A61">
                  <w:pPr>
                    <w:pStyle w:val="32"/>
                  </w:pPr>
                  <w:r>
                    <w:t>/</w:t>
                  </w:r>
                </w:p>
              </w:tc>
            </w:tr>
            <w:tr w14:paraId="17F05A2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continue"/>
                  <w:tcBorders>
                    <w:left w:val="single" w:color="auto" w:sz="12" w:space="0"/>
                  </w:tcBorders>
                  <w:vAlign w:val="center"/>
                </w:tcPr>
                <w:p w14:paraId="6EA11DB4">
                  <w:pPr>
                    <w:pStyle w:val="32"/>
                  </w:pPr>
                </w:p>
              </w:tc>
              <w:tc>
                <w:tcPr>
                  <w:tcW w:w="1028" w:type="pct"/>
                  <w:vAlign w:val="center"/>
                </w:tcPr>
                <w:p w14:paraId="35FD799A">
                  <w:pPr>
                    <w:pStyle w:val="32"/>
                  </w:pPr>
                  <w:r>
                    <w:t>排水</w:t>
                  </w:r>
                </w:p>
              </w:tc>
              <w:tc>
                <w:tcPr>
                  <w:tcW w:w="3126" w:type="pct"/>
                  <w:vAlign w:val="center"/>
                </w:tcPr>
                <w:p w14:paraId="582EE27C">
                  <w:pPr>
                    <w:pStyle w:val="32"/>
                    <w:jc w:val="both"/>
                  </w:pPr>
                  <w:r>
                    <w:rPr>
                      <w:szCs w:val="21"/>
                    </w:rPr>
                    <w:t>生产废水经</w:t>
                  </w:r>
                  <w:r>
                    <w:rPr>
                      <w:color w:val="000000" w:themeColor="text1"/>
                      <w:szCs w:val="21"/>
                      <w14:textFill>
                        <w14:solidFill>
                          <w14:schemeClr w14:val="tx1"/>
                        </w14:solidFill>
                      </w14:textFill>
                    </w:rPr>
                    <w:t>沉淀池沉淀后</w:t>
                  </w:r>
                  <w:r>
                    <w:rPr>
                      <w:rFonts w:hint="eastAsia"/>
                      <w:color w:val="000000" w:themeColor="text1"/>
                      <w:szCs w:val="21"/>
                      <w14:textFill>
                        <w14:solidFill>
                          <w14:schemeClr w14:val="tx1"/>
                        </w14:solidFill>
                      </w14:textFill>
                    </w:rPr>
                    <w:t>回用于钻探</w:t>
                  </w:r>
                  <w:r>
                    <w:rPr>
                      <w:color w:val="000000" w:themeColor="text1"/>
                      <w:szCs w:val="21"/>
                      <w14:textFill>
                        <w14:solidFill>
                          <w14:schemeClr w14:val="tx1"/>
                        </w14:solidFill>
                      </w14:textFill>
                    </w:rPr>
                    <w:t>，不外排；生活污水</w:t>
                  </w:r>
                  <w:r>
                    <w:rPr>
                      <w:rFonts w:hint="eastAsia"/>
                      <w:color w:val="000000" w:themeColor="text1"/>
                      <w:szCs w:val="21"/>
                      <w14:textFill>
                        <w14:solidFill>
                          <w14:schemeClr w14:val="tx1"/>
                        </w14:solidFill>
                      </w14:textFill>
                    </w:rPr>
                    <w:t>排</w:t>
                  </w:r>
                  <w:r>
                    <w:rPr>
                      <w:color w:val="000000" w:themeColor="text1"/>
                      <w:szCs w:val="21"/>
                      <w14:textFill>
                        <w14:solidFill>
                          <w14:schemeClr w14:val="tx1"/>
                        </w14:solidFill>
                      </w14:textFill>
                    </w:rPr>
                    <w:t>入一体化污水处理</w:t>
                  </w:r>
                  <w:r>
                    <w:rPr>
                      <w:rFonts w:hint="eastAsia"/>
                      <w:color w:val="000000" w:themeColor="text1"/>
                      <w:szCs w:val="21"/>
                      <w14:textFill>
                        <w14:solidFill>
                          <w14:schemeClr w14:val="tx1"/>
                        </w14:solidFill>
                      </w14:textFill>
                    </w:rPr>
                    <w:t>设备</w:t>
                  </w:r>
                  <w:r>
                    <w:rPr>
                      <w:color w:val="000000" w:themeColor="text1"/>
                      <w:szCs w:val="21"/>
                      <w14:textFill>
                        <w14:solidFill>
                          <w14:schemeClr w14:val="tx1"/>
                        </w14:solidFill>
                      </w14:textFill>
                    </w:rPr>
                    <w:t>处理达标后，用于</w:t>
                  </w:r>
                  <w:r>
                    <w:rPr>
                      <w:rFonts w:hint="eastAsia"/>
                    </w:rPr>
                    <w:t>周边植被绿化</w:t>
                  </w:r>
                  <w:r>
                    <w:rPr>
                      <w:color w:val="000000" w:themeColor="text1"/>
                      <w:szCs w:val="21"/>
                      <w14:textFill>
                        <w14:solidFill>
                          <w14:schemeClr w14:val="tx1"/>
                        </w14:solidFill>
                      </w14:textFill>
                    </w:rPr>
                    <w:t>，不外排</w:t>
                  </w:r>
                </w:p>
              </w:tc>
              <w:tc>
                <w:tcPr>
                  <w:tcW w:w="562" w:type="pct"/>
                  <w:tcBorders>
                    <w:right w:val="single" w:color="auto" w:sz="12" w:space="0"/>
                  </w:tcBorders>
                  <w:vAlign w:val="center"/>
                </w:tcPr>
                <w:p w14:paraId="19B38B36">
                  <w:pPr>
                    <w:pStyle w:val="32"/>
                  </w:pPr>
                  <w:r>
                    <w:t>/</w:t>
                  </w:r>
                </w:p>
              </w:tc>
            </w:tr>
            <w:tr w14:paraId="654F650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continue"/>
                  <w:tcBorders>
                    <w:left w:val="single" w:color="auto" w:sz="12" w:space="0"/>
                  </w:tcBorders>
                  <w:vAlign w:val="center"/>
                </w:tcPr>
                <w:p w14:paraId="7ABE70B6">
                  <w:pPr>
                    <w:pStyle w:val="32"/>
                  </w:pPr>
                </w:p>
              </w:tc>
              <w:tc>
                <w:tcPr>
                  <w:tcW w:w="1028" w:type="pct"/>
                  <w:vAlign w:val="center"/>
                </w:tcPr>
                <w:p w14:paraId="76F6F651">
                  <w:pPr>
                    <w:pStyle w:val="32"/>
                  </w:pPr>
                  <w:r>
                    <w:t>供</w:t>
                  </w:r>
                  <w:r>
                    <w:rPr>
                      <w:rFonts w:hint="eastAsia"/>
                    </w:rPr>
                    <w:t>暖</w:t>
                  </w:r>
                </w:p>
              </w:tc>
              <w:tc>
                <w:tcPr>
                  <w:tcW w:w="3126" w:type="pct"/>
                  <w:vAlign w:val="center"/>
                </w:tcPr>
                <w:p w14:paraId="7B547988">
                  <w:pPr>
                    <w:pStyle w:val="32"/>
                    <w:jc w:val="both"/>
                  </w:pPr>
                  <w:r>
                    <w:t>本项目冬季不进行勘探作业，因此无需供暖</w:t>
                  </w:r>
                </w:p>
              </w:tc>
              <w:tc>
                <w:tcPr>
                  <w:tcW w:w="562" w:type="pct"/>
                  <w:tcBorders>
                    <w:right w:val="single" w:color="auto" w:sz="12" w:space="0"/>
                  </w:tcBorders>
                  <w:vAlign w:val="center"/>
                </w:tcPr>
                <w:p w14:paraId="72C75D33">
                  <w:pPr>
                    <w:pStyle w:val="32"/>
                  </w:pPr>
                  <w:r>
                    <w:t>/</w:t>
                  </w:r>
                </w:p>
              </w:tc>
            </w:tr>
            <w:tr w14:paraId="22E2F78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restart"/>
                  <w:tcBorders>
                    <w:left w:val="single" w:color="auto" w:sz="12" w:space="0"/>
                  </w:tcBorders>
                  <w:vAlign w:val="center"/>
                </w:tcPr>
                <w:p w14:paraId="31E3FFAF">
                  <w:pPr>
                    <w:pStyle w:val="32"/>
                  </w:pPr>
                  <w:r>
                    <w:t>环保工程</w:t>
                  </w:r>
                </w:p>
              </w:tc>
              <w:tc>
                <w:tcPr>
                  <w:tcW w:w="1028" w:type="pct"/>
                  <w:vAlign w:val="center"/>
                </w:tcPr>
                <w:p w14:paraId="12D4A841">
                  <w:pPr>
                    <w:pStyle w:val="32"/>
                  </w:pPr>
                  <w:bookmarkStart w:id="3" w:name="_Hlk228179486"/>
                  <w:r>
                    <w:rPr>
                      <w:rFonts w:hint="eastAsia" w:eastAsiaTheme="minorEastAsia"/>
                      <w:color w:val="000000"/>
                      <w:szCs w:val="21"/>
                      <w:lang w:bidi="ar"/>
                    </w:rPr>
                    <w:t>施工期</w:t>
                  </w:r>
                  <w:r>
                    <w:rPr>
                      <w:rFonts w:eastAsiaTheme="minorEastAsia"/>
                      <w:color w:val="000000"/>
                      <w:szCs w:val="21"/>
                      <w:lang w:bidi="ar"/>
                    </w:rPr>
                    <w:t>废气</w:t>
                  </w:r>
                  <w:r>
                    <w:rPr>
                      <w:rFonts w:hint="eastAsia" w:eastAsiaTheme="minorEastAsia"/>
                      <w:color w:val="000000"/>
                      <w:szCs w:val="21"/>
                      <w:lang w:bidi="ar"/>
                    </w:rPr>
                    <w:t>防治措施</w:t>
                  </w:r>
                  <w:bookmarkEnd w:id="3"/>
                </w:p>
              </w:tc>
              <w:tc>
                <w:tcPr>
                  <w:tcW w:w="3126" w:type="pct"/>
                  <w:vAlign w:val="center"/>
                </w:tcPr>
                <w:p w14:paraId="03478AA0">
                  <w:pPr>
                    <w:pStyle w:val="32"/>
                    <w:jc w:val="both"/>
                    <w:rPr>
                      <w:b/>
                    </w:rPr>
                  </w:pPr>
                  <w:r>
                    <w:rPr>
                      <w:b/>
                    </w:rPr>
                    <w:t>扬尘：</w:t>
                  </w:r>
                  <w:r>
                    <w:rPr>
                      <w:rFonts w:hint="eastAsia"/>
                    </w:rPr>
                    <w:t>土石方采用防尘网或篷布覆盖，运输车辆限速行驶，并洒水降尘</w:t>
                  </w:r>
                </w:p>
                <w:p w14:paraId="6A9DDAC3">
                  <w:pPr>
                    <w:pStyle w:val="32"/>
                    <w:jc w:val="both"/>
                  </w:pPr>
                  <w:r>
                    <w:rPr>
                      <w:b/>
                    </w:rPr>
                    <w:t>燃油废气</w:t>
                  </w:r>
                  <w:r>
                    <w:t>：</w:t>
                  </w:r>
                  <w:r>
                    <w:rPr>
                      <w:rFonts w:hint="eastAsia"/>
                    </w:rPr>
                    <w:t>对柴油发电机及运输车辆定期维护保养，使用正品燃油，减少尾气排放</w:t>
                  </w:r>
                </w:p>
              </w:tc>
              <w:tc>
                <w:tcPr>
                  <w:tcW w:w="562" w:type="pct"/>
                  <w:tcBorders>
                    <w:right w:val="single" w:color="auto" w:sz="12" w:space="0"/>
                  </w:tcBorders>
                  <w:vAlign w:val="center"/>
                </w:tcPr>
                <w:p w14:paraId="44DE655A">
                  <w:pPr>
                    <w:pStyle w:val="32"/>
                  </w:pPr>
                  <w:r>
                    <w:t>/</w:t>
                  </w:r>
                </w:p>
              </w:tc>
            </w:tr>
            <w:tr w14:paraId="33FDE6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84" w:type="pct"/>
                  <w:vMerge w:val="continue"/>
                  <w:tcBorders>
                    <w:left w:val="single" w:color="auto" w:sz="12" w:space="0"/>
                  </w:tcBorders>
                  <w:vAlign w:val="center"/>
                </w:tcPr>
                <w:p w14:paraId="783DC01D">
                  <w:pPr>
                    <w:pStyle w:val="32"/>
                  </w:pPr>
                </w:p>
              </w:tc>
              <w:tc>
                <w:tcPr>
                  <w:tcW w:w="1028" w:type="pct"/>
                  <w:vAlign w:val="center"/>
                </w:tcPr>
                <w:p w14:paraId="740017D6">
                  <w:pPr>
                    <w:spacing w:line="240" w:lineRule="auto"/>
                    <w:ind w:firstLine="0" w:firstLineChars="0"/>
                    <w:jc w:val="center"/>
                  </w:pPr>
                  <w:r>
                    <w:rPr>
                      <w:rFonts w:hint="eastAsia" w:eastAsiaTheme="minorEastAsia"/>
                      <w:color w:val="000000"/>
                      <w:sz w:val="21"/>
                      <w:szCs w:val="21"/>
                      <w:lang w:bidi="ar"/>
                    </w:rPr>
                    <w:t>施工期</w:t>
                  </w:r>
                  <w:r>
                    <w:rPr>
                      <w:rFonts w:eastAsiaTheme="minorEastAsia"/>
                      <w:color w:val="000000"/>
                      <w:sz w:val="21"/>
                      <w:szCs w:val="21"/>
                      <w:lang w:bidi="ar"/>
                    </w:rPr>
                    <w:t>废</w:t>
                  </w:r>
                  <w:r>
                    <w:rPr>
                      <w:rFonts w:hint="eastAsia" w:eastAsiaTheme="minorEastAsia"/>
                      <w:color w:val="000000"/>
                      <w:sz w:val="21"/>
                      <w:szCs w:val="21"/>
                      <w:lang w:bidi="ar"/>
                    </w:rPr>
                    <w:t>水防治措施</w:t>
                  </w:r>
                </w:p>
              </w:tc>
              <w:tc>
                <w:tcPr>
                  <w:tcW w:w="3126" w:type="pct"/>
                  <w:vAlign w:val="center"/>
                </w:tcPr>
                <w:p w14:paraId="429F5DF6">
                  <w:pPr>
                    <w:pStyle w:val="32"/>
                    <w:jc w:val="both"/>
                  </w:pPr>
                  <w:r>
                    <w:rPr>
                      <w:szCs w:val="21"/>
                    </w:rPr>
                    <w:t>生产废水经</w:t>
                  </w:r>
                  <w:r>
                    <w:rPr>
                      <w:color w:val="000000" w:themeColor="text1"/>
                      <w:szCs w:val="21"/>
                      <w14:textFill>
                        <w14:solidFill>
                          <w14:schemeClr w14:val="tx1"/>
                        </w14:solidFill>
                      </w14:textFill>
                    </w:rPr>
                    <w:t>沉淀池沉淀后</w:t>
                  </w:r>
                  <w:r>
                    <w:rPr>
                      <w:rFonts w:hint="eastAsia"/>
                      <w:color w:val="000000" w:themeColor="text1"/>
                      <w:szCs w:val="21"/>
                      <w14:textFill>
                        <w14:solidFill>
                          <w14:schemeClr w14:val="tx1"/>
                        </w14:solidFill>
                      </w14:textFill>
                    </w:rPr>
                    <w:t>回用于钻探</w:t>
                  </w:r>
                  <w:r>
                    <w:rPr>
                      <w:color w:val="000000" w:themeColor="text1"/>
                      <w:szCs w:val="21"/>
                      <w14:textFill>
                        <w14:solidFill>
                          <w14:schemeClr w14:val="tx1"/>
                        </w14:solidFill>
                      </w14:textFill>
                    </w:rPr>
                    <w:t>，不外排；生活污水</w:t>
                  </w:r>
                  <w:r>
                    <w:rPr>
                      <w:rFonts w:hint="eastAsia"/>
                      <w:color w:val="000000" w:themeColor="text1"/>
                      <w:szCs w:val="21"/>
                      <w14:textFill>
                        <w14:solidFill>
                          <w14:schemeClr w14:val="tx1"/>
                        </w14:solidFill>
                      </w14:textFill>
                    </w:rPr>
                    <w:t>排</w:t>
                  </w:r>
                  <w:r>
                    <w:rPr>
                      <w:color w:val="000000" w:themeColor="text1"/>
                      <w:szCs w:val="21"/>
                      <w14:textFill>
                        <w14:solidFill>
                          <w14:schemeClr w14:val="tx1"/>
                        </w14:solidFill>
                      </w14:textFill>
                    </w:rPr>
                    <w:t>入一体化污水处理</w:t>
                  </w:r>
                  <w:r>
                    <w:rPr>
                      <w:rFonts w:hint="eastAsia"/>
                      <w:color w:val="000000" w:themeColor="text1"/>
                      <w:szCs w:val="21"/>
                      <w14:textFill>
                        <w14:solidFill>
                          <w14:schemeClr w14:val="tx1"/>
                        </w14:solidFill>
                      </w14:textFill>
                    </w:rPr>
                    <w:t>设备</w:t>
                  </w:r>
                  <w:r>
                    <w:rPr>
                      <w:color w:val="000000" w:themeColor="text1"/>
                      <w:szCs w:val="21"/>
                      <w14:textFill>
                        <w14:solidFill>
                          <w14:schemeClr w14:val="tx1"/>
                        </w14:solidFill>
                      </w14:textFill>
                    </w:rPr>
                    <w:t>处理达标后，用于</w:t>
                  </w:r>
                  <w:r>
                    <w:rPr>
                      <w:rFonts w:hint="eastAsia"/>
                    </w:rPr>
                    <w:t>周边植被绿化</w:t>
                  </w:r>
                  <w:r>
                    <w:rPr>
                      <w:color w:val="000000" w:themeColor="text1"/>
                      <w:szCs w:val="21"/>
                      <w14:textFill>
                        <w14:solidFill>
                          <w14:schemeClr w14:val="tx1"/>
                        </w14:solidFill>
                      </w14:textFill>
                    </w:rPr>
                    <w:t>，不外排</w:t>
                  </w:r>
                </w:p>
              </w:tc>
              <w:tc>
                <w:tcPr>
                  <w:tcW w:w="562" w:type="pct"/>
                  <w:tcBorders>
                    <w:right w:val="single" w:color="auto" w:sz="12" w:space="0"/>
                  </w:tcBorders>
                  <w:vAlign w:val="center"/>
                </w:tcPr>
                <w:p w14:paraId="76E46B86">
                  <w:pPr>
                    <w:pStyle w:val="32"/>
                  </w:pPr>
                  <w:r>
                    <w:rPr>
                      <w:rFonts w:hint="eastAsia"/>
                    </w:rPr>
                    <w:t>临时</w:t>
                  </w:r>
                </w:p>
              </w:tc>
            </w:tr>
            <w:tr w14:paraId="22BA218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84" w:type="pct"/>
                  <w:vMerge w:val="continue"/>
                  <w:tcBorders>
                    <w:left w:val="single" w:color="auto" w:sz="12" w:space="0"/>
                  </w:tcBorders>
                  <w:vAlign w:val="center"/>
                </w:tcPr>
                <w:p w14:paraId="2E852DD1">
                  <w:pPr>
                    <w:pStyle w:val="32"/>
                  </w:pPr>
                </w:p>
              </w:tc>
              <w:tc>
                <w:tcPr>
                  <w:tcW w:w="1028" w:type="pct"/>
                  <w:vAlign w:val="center"/>
                </w:tcPr>
                <w:p w14:paraId="463B6C6A">
                  <w:pPr>
                    <w:spacing w:line="240" w:lineRule="auto"/>
                    <w:ind w:firstLine="0" w:firstLineChars="0"/>
                    <w:jc w:val="center"/>
                  </w:pPr>
                  <w:r>
                    <w:rPr>
                      <w:rFonts w:hint="eastAsia" w:eastAsiaTheme="minorEastAsia"/>
                      <w:color w:val="000000"/>
                      <w:sz w:val="21"/>
                      <w:szCs w:val="21"/>
                      <w:lang w:bidi="ar"/>
                    </w:rPr>
                    <w:t>施工期噪声防治措施</w:t>
                  </w:r>
                </w:p>
              </w:tc>
              <w:tc>
                <w:tcPr>
                  <w:tcW w:w="3126" w:type="pct"/>
                  <w:vAlign w:val="center"/>
                </w:tcPr>
                <w:p w14:paraId="70BAEEE7">
                  <w:pPr>
                    <w:pStyle w:val="32"/>
                    <w:jc w:val="both"/>
                  </w:pPr>
                  <w:r>
                    <w:t>采用低噪声设备，加强对运输车辆、钻机、柴油发电机设备的维护保养工作，保持其良好工况；空压机、钻机进行基础减震，空压机进行隔声，能减小噪声传播</w:t>
                  </w:r>
                </w:p>
              </w:tc>
              <w:tc>
                <w:tcPr>
                  <w:tcW w:w="562" w:type="pct"/>
                  <w:tcBorders>
                    <w:right w:val="single" w:color="auto" w:sz="12" w:space="0"/>
                  </w:tcBorders>
                  <w:vAlign w:val="center"/>
                </w:tcPr>
                <w:p w14:paraId="4E6C104C">
                  <w:pPr>
                    <w:pStyle w:val="32"/>
                  </w:pPr>
                  <w:r>
                    <w:t>/</w:t>
                  </w:r>
                </w:p>
              </w:tc>
            </w:tr>
            <w:tr w14:paraId="7E01D46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07" w:hRule="atLeast"/>
                <w:jc w:val="center"/>
              </w:trPr>
              <w:tc>
                <w:tcPr>
                  <w:tcW w:w="284" w:type="pct"/>
                  <w:vMerge w:val="continue"/>
                  <w:tcBorders>
                    <w:left w:val="single" w:color="auto" w:sz="12" w:space="0"/>
                  </w:tcBorders>
                  <w:vAlign w:val="center"/>
                </w:tcPr>
                <w:p w14:paraId="59A523CA">
                  <w:pPr>
                    <w:pStyle w:val="32"/>
                  </w:pPr>
                </w:p>
              </w:tc>
              <w:tc>
                <w:tcPr>
                  <w:tcW w:w="1028" w:type="pct"/>
                  <w:vAlign w:val="center"/>
                </w:tcPr>
                <w:p w14:paraId="2F5ADDDE">
                  <w:pPr>
                    <w:pStyle w:val="32"/>
                  </w:pPr>
                  <w:bookmarkStart w:id="4" w:name="_Hlk228179537"/>
                  <w:r>
                    <w:rPr>
                      <w:rFonts w:hint="eastAsia" w:eastAsiaTheme="minorEastAsia"/>
                      <w:color w:val="000000"/>
                      <w:szCs w:val="21"/>
                      <w:lang w:bidi="ar"/>
                    </w:rPr>
                    <w:t>施工期固废防治措施</w:t>
                  </w:r>
                  <w:bookmarkEnd w:id="4"/>
                </w:p>
              </w:tc>
              <w:tc>
                <w:tcPr>
                  <w:tcW w:w="3126" w:type="pct"/>
                  <w:vAlign w:val="center"/>
                </w:tcPr>
                <w:p w14:paraId="04E4B515">
                  <w:pPr>
                    <w:pStyle w:val="32"/>
                    <w:jc w:val="both"/>
                    <w:rPr>
                      <w:color w:val="000000"/>
                      <w:szCs w:val="21"/>
                    </w:rPr>
                  </w:pPr>
                  <w:r>
                    <w:rPr>
                      <w:color w:val="000000"/>
                      <w:szCs w:val="21"/>
                    </w:rPr>
                    <w:t>1、</w:t>
                  </w:r>
                  <w:r>
                    <w:rPr>
                      <w:rFonts w:hint="eastAsia"/>
                      <w:color w:val="000000"/>
                      <w:szCs w:val="21"/>
                    </w:rPr>
                    <w:t>表土单独堆存并分层回填用于复垦，废石优先回填利用，剩余妥善处置，不随意弃置；钻探岩屑人工回填</w:t>
                  </w:r>
                </w:p>
                <w:p w14:paraId="550394B5">
                  <w:pPr>
                    <w:pStyle w:val="32"/>
                    <w:jc w:val="both"/>
                    <w:rPr>
                      <w:color w:val="000000"/>
                      <w:szCs w:val="21"/>
                    </w:rPr>
                  </w:pPr>
                  <w:r>
                    <w:rPr>
                      <w:color w:val="000000"/>
                      <w:szCs w:val="21"/>
                    </w:rPr>
                    <w:t>2、</w:t>
                  </w:r>
                  <w:r>
                    <w:rPr>
                      <w:rFonts w:hint="eastAsia"/>
                      <w:color w:val="000000"/>
                      <w:szCs w:val="21"/>
                    </w:rPr>
                    <w:t>钻探泥浆待施工结束后</w:t>
                  </w:r>
                  <w:r>
                    <w:rPr>
                      <w:color w:val="000000"/>
                      <w:szCs w:val="21"/>
                    </w:rPr>
                    <w:t>统一固化填埋</w:t>
                  </w:r>
                </w:p>
                <w:p w14:paraId="056CD8CC">
                  <w:pPr>
                    <w:pStyle w:val="32"/>
                    <w:jc w:val="both"/>
                    <w:rPr>
                      <w:color w:val="000000"/>
                      <w:szCs w:val="21"/>
                    </w:rPr>
                  </w:pPr>
                  <w:r>
                    <w:rPr>
                      <w:color w:val="000000"/>
                      <w:szCs w:val="21"/>
                    </w:rPr>
                    <w:t>3、生活垃圾采用垃圾桶集中收集后运出</w:t>
                  </w:r>
                  <w:r>
                    <w:rPr>
                      <w:rFonts w:hint="eastAsia"/>
                      <w:color w:val="000000"/>
                      <w:szCs w:val="21"/>
                    </w:rPr>
                    <w:t>勘查区</w:t>
                  </w:r>
                  <w:r>
                    <w:rPr>
                      <w:color w:val="000000"/>
                      <w:szCs w:val="21"/>
                    </w:rPr>
                    <w:t>由环卫部门统一清运</w:t>
                  </w:r>
                </w:p>
                <w:p w14:paraId="3BC5B2F2">
                  <w:pPr>
                    <w:pStyle w:val="32"/>
                    <w:jc w:val="both"/>
                    <w:rPr>
                      <w:color w:val="000000"/>
                      <w:szCs w:val="21"/>
                    </w:rPr>
                  </w:pPr>
                  <w:r>
                    <w:rPr>
                      <w:color w:val="000000"/>
                      <w:szCs w:val="21"/>
                    </w:rPr>
                    <w:t>4、沉淀池沉渣就地掩埋</w:t>
                  </w:r>
                </w:p>
                <w:p w14:paraId="382EA759">
                  <w:pPr>
                    <w:pStyle w:val="32"/>
                    <w:jc w:val="both"/>
                  </w:pPr>
                  <w:r>
                    <w:rPr>
                      <w:rFonts w:hint="eastAsia"/>
                      <w:color w:val="000000"/>
                      <w:szCs w:val="21"/>
                    </w:rPr>
                    <w:t>5</w:t>
                  </w:r>
                  <w:r>
                    <w:rPr>
                      <w:color w:val="000000"/>
                      <w:szCs w:val="21"/>
                    </w:rPr>
                    <w:t>、大型设备外委维修，不在</w:t>
                  </w:r>
                  <w:r>
                    <w:rPr>
                      <w:rFonts w:hint="eastAsia"/>
                      <w:color w:val="000000"/>
                      <w:szCs w:val="21"/>
                    </w:rPr>
                    <w:t>勘查区</w:t>
                  </w:r>
                  <w:r>
                    <w:rPr>
                      <w:color w:val="000000"/>
                      <w:szCs w:val="21"/>
                    </w:rPr>
                    <w:t>内进行。</w:t>
                  </w:r>
                  <w:r>
                    <w:rPr>
                      <w:rFonts w:hint="eastAsia"/>
                    </w:rPr>
                    <w:t>日常保养产生的</w:t>
                  </w:r>
                  <w:r>
                    <w:rPr>
                      <w:rFonts w:hint="eastAsia"/>
                      <w:color w:val="000000"/>
                    </w:rPr>
                    <w:t>废润滑油</w:t>
                  </w:r>
                  <w:r>
                    <w:rPr>
                      <w:rFonts w:hint="eastAsia"/>
                    </w:rPr>
                    <w:t>收集后贮存于危险废物贮存点，交由有危废处置资质的单位处置</w:t>
                  </w:r>
                </w:p>
              </w:tc>
              <w:tc>
                <w:tcPr>
                  <w:tcW w:w="562" w:type="pct"/>
                  <w:tcBorders>
                    <w:right w:val="single" w:color="auto" w:sz="12" w:space="0"/>
                  </w:tcBorders>
                  <w:vAlign w:val="center"/>
                </w:tcPr>
                <w:p w14:paraId="70D6DDA4">
                  <w:pPr>
                    <w:pStyle w:val="32"/>
                  </w:pPr>
                  <w:r>
                    <w:t>/</w:t>
                  </w:r>
                </w:p>
              </w:tc>
            </w:tr>
            <w:tr w14:paraId="18581C3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50" w:hRule="atLeast"/>
                <w:jc w:val="center"/>
              </w:trPr>
              <w:tc>
                <w:tcPr>
                  <w:tcW w:w="284" w:type="pct"/>
                  <w:vMerge w:val="continue"/>
                  <w:tcBorders>
                    <w:left w:val="single" w:color="auto" w:sz="12" w:space="0"/>
                  </w:tcBorders>
                  <w:vAlign w:val="center"/>
                </w:tcPr>
                <w:p w14:paraId="273DC4E4">
                  <w:pPr>
                    <w:pStyle w:val="32"/>
                  </w:pPr>
                </w:p>
              </w:tc>
              <w:tc>
                <w:tcPr>
                  <w:tcW w:w="1028" w:type="pct"/>
                  <w:vAlign w:val="center"/>
                </w:tcPr>
                <w:p w14:paraId="07B71A1A">
                  <w:pPr>
                    <w:pStyle w:val="32"/>
                  </w:pPr>
                  <w:r>
                    <w:t>生态恢复措施</w:t>
                  </w:r>
                </w:p>
              </w:tc>
              <w:tc>
                <w:tcPr>
                  <w:tcW w:w="3126" w:type="pct"/>
                  <w:vAlign w:val="center"/>
                </w:tcPr>
                <w:p w14:paraId="1670FE90">
                  <w:pPr>
                    <w:widowControl/>
                    <w:spacing w:line="240" w:lineRule="auto"/>
                    <w:ind w:firstLine="0" w:firstLineChars="0"/>
                  </w:pPr>
                  <w:bookmarkStart w:id="5" w:name="_Hlk228179567"/>
                  <w:r>
                    <w:rPr>
                      <w:rFonts w:hint="eastAsia"/>
                      <w:sz w:val="21"/>
                      <w:szCs w:val="21"/>
                    </w:rPr>
                    <w:t>施工期间加强环境管理，在施工区及临时占地周边设置警示牌、宣传标语等设施，对作业人员开展生态环境保护宣传教育，提高施工人员的环保意识。</w:t>
                  </w:r>
                  <w:r>
                    <w:rPr>
                      <w:rFonts w:hint="eastAsia" w:eastAsiaTheme="minorEastAsia"/>
                      <w:color w:val="000000"/>
                      <w:sz w:val="21"/>
                      <w:szCs w:val="21"/>
                      <w:lang w:bidi="ar"/>
                    </w:rPr>
                    <w:t>施工结束后，及时对临时占地进行清理，全面清除沿线的土石方等固体废物；对扰动区域进行土地整治，并选用当地乡土植被进行植被恢复，以达到恢复植被、保护草地、减少植被破坏的目的</w:t>
                  </w:r>
                  <w:bookmarkEnd w:id="5"/>
                </w:p>
              </w:tc>
              <w:tc>
                <w:tcPr>
                  <w:tcW w:w="562" w:type="pct"/>
                  <w:tcBorders>
                    <w:right w:val="single" w:color="auto" w:sz="12" w:space="0"/>
                  </w:tcBorders>
                  <w:vAlign w:val="center"/>
                </w:tcPr>
                <w:p w14:paraId="07E286C0">
                  <w:pPr>
                    <w:pStyle w:val="32"/>
                  </w:pPr>
                  <w:r>
                    <w:t>/</w:t>
                  </w:r>
                </w:p>
              </w:tc>
            </w:tr>
          </w:tbl>
          <w:p w14:paraId="073F20C2">
            <w:pPr>
              <w:pStyle w:val="19"/>
            </w:pPr>
            <w:r>
              <w:t>2.3</w:t>
            </w:r>
            <w:r>
              <w:rPr>
                <w:rFonts w:hint="eastAsia"/>
              </w:rPr>
              <w:t>具体工作部署</w:t>
            </w:r>
          </w:p>
          <w:p w14:paraId="1BD85D7D">
            <w:pPr>
              <w:pStyle w:val="6"/>
              <w:ind w:firstLine="0" w:firstLineChars="0"/>
              <w:rPr>
                <w:b/>
                <w:bCs/>
              </w:rPr>
            </w:pPr>
            <w:r>
              <w:rPr>
                <w:b/>
                <w:bCs/>
              </w:rPr>
              <w:t>2.3.1</w:t>
            </w:r>
            <w:r>
              <w:rPr>
                <w:rFonts w:hint="eastAsia"/>
                <w:b/>
                <w:bCs/>
              </w:rPr>
              <w:t>地质测量</w:t>
            </w:r>
          </w:p>
          <w:p w14:paraId="568741ED">
            <w:pPr>
              <w:pStyle w:val="6"/>
              <w:ind w:firstLine="480"/>
            </w:pPr>
            <w:r>
              <w:t>（1）1:10000</w:t>
            </w:r>
            <w:r>
              <w:rPr>
                <w:rFonts w:hint="eastAsia"/>
              </w:rPr>
              <w:t>水工环调查</w:t>
            </w:r>
          </w:p>
          <w:p w14:paraId="1DF8FFCF">
            <w:pPr>
              <w:pStyle w:val="6"/>
              <w:ind w:firstLine="480"/>
            </w:pPr>
            <w:r>
              <w:t>开展1:10000</w:t>
            </w:r>
            <w:r>
              <w:rPr>
                <w:rFonts w:hint="eastAsia"/>
              </w:rPr>
              <w:t>水工环调查</w:t>
            </w:r>
            <w:r>
              <w:t>（正测），面积9.6192km</w:t>
            </w:r>
            <w:r>
              <w:rPr>
                <w:vertAlign w:val="superscript"/>
              </w:rPr>
              <w:t>2</w:t>
            </w:r>
            <w:r>
              <w:rPr>
                <w:rFonts w:hint="eastAsia"/>
              </w:rPr>
              <w:t>。</w:t>
            </w:r>
          </w:p>
          <w:p w14:paraId="747A7273">
            <w:pPr>
              <w:pStyle w:val="6"/>
              <w:ind w:firstLine="480"/>
            </w:pPr>
            <w:r>
              <w:rPr>
                <w:rFonts w:hint="eastAsia"/>
              </w:rPr>
              <w:t>（2）1:</w:t>
            </w:r>
            <w:r>
              <w:t>2</w:t>
            </w:r>
            <w:r>
              <w:rPr>
                <w:rFonts w:hint="eastAsia"/>
              </w:rPr>
              <w:t>000地质测量</w:t>
            </w:r>
          </w:p>
          <w:p w14:paraId="1885A635">
            <w:pPr>
              <w:pStyle w:val="6"/>
              <w:ind w:firstLine="480"/>
            </w:pPr>
            <w:r>
              <w:rPr>
                <w:rFonts w:hint="eastAsia"/>
              </w:rPr>
              <w:t>开展1:2000地质测量（正测），面积3.05km</w:t>
            </w:r>
            <w:r>
              <w:rPr>
                <w:rFonts w:hint="eastAsia"/>
                <w:vertAlign w:val="superscript"/>
              </w:rPr>
              <w:t>2</w:t>
            </w:r>
            <w:r>
              <w:rPr>
                <w:rFonts w:hint="eastAsia"/>
              </w:rPr>
              <w:t>。</w:t>
            </w:r>
          </w:p>
          <w:p w14:paraId="5A45FF9E">
            <w:pPr>
              <w:pStyle w:val="6"/>
              <w:ind w:firstLine="480"/>
            </w:pPr>
            <w:r>
              <w:rPr>
                <w:rFonts w:hint="eastAsia"/>
              </w:rPr>
              <w:t>（3）1：1000勘探线剖面测量</w:t>
            </w:r>
          </w:p>
          <w:p w14:paraId="4A6C2B5C">
            <w:pPr>
              <w:pStyle w:val="6"/>
              <w:ind w:firstLine="480"/>
              <w:jc w:val="both"/>
            </w:pPr>
            <w:r>
              <w:rPr>
                <w:rFonts w:hint="eastAsia"/>
              </w:rPr>
              <w:t>依据所确定的勘查工程间距，按80m间距系统布设勘探线。本次勘探线剖面测量共21条，总工作量9.56km。</w:t>
            </w:r>
          </w:p>
          <w:p w14:paraId="32C855E5">
            <w:pPr>
              <w:pStyle w:val="6"/>
              <w:ind w:firstLine="480"/>
            </w:pPr>
            <w:r>
              <w:rPr>
                <w:rFonts w:hint="eastAsia"/>
              </w:rPr>
              <w:t>（4）1：2000地质岩石剖面测量</w:t>
            </w:r>
          </w:p>
          <w:p w14:paraId="4A93F421">
            <w:pPr>
              <w:pStyle w:val="6"/>
              <w:ind w:firstLine="480"/>
              <w:jc w:val="both"/>
            </w:pPr>
            <w:r>
              <w:rPr>
                <w:rFonts w:hint="eastAsia"/>
              </w:rPr>
              <w:t>在K3矿体和K8矿体之间K3矿体东侧，按160m间距布设1:2000地质岩石剖面测量。共布设9条，总工作量4.5km。</w:t>
            </w:r>
          </w:p>
          <w:p w14:paraId="290969D6">
            <w:pPr>
              <w:pStyle w:val="6"/>
              <w:ind w:firstLine="0" w:firstLineChars="0"/>
              <w:rPr>
                <w:b/>
                <w:bCs/>
              </w:rPr>
            </w:pPr>
            <w:r>
              <w:rPr>
                <w:b/>
                <w:bCs/>
              </w:rPr>
              <w:t>2.3.2</w:t>
            </w:r>
            <w:r>
              <w:rPr>
                <w:rFonts w:hint="eastAsia"/>
                <w:b/>
                <w:bCs/>
              </w:rPr>
              <w:t>探矿工程</w:t>
            </w:r>
          </w:p>
          <w:p w14:paraId="692DF408">
            <w:pPr>
              <w:pStyle w:val="6"/>
              <w:ind w:firstLine="480"/>
            </w:pPr>
            <w:r>
              <w:rPr>
                <w:rFonts w:hint="eastAsia"/>
              </w:rPr>
              <w:t>（1）槽探</w:t>
            </w:r>
          </w:p>
          <w:p w14:paraId="22F7C713">
            <w:pPr>
              <w:pStyle w:val="6"/>
              <w:ind w:firstLine="480"/>
              <w:jc w:val="both"/>
            </w:pPr>
            <w:r>
              <w:rPr>
                <w:rFonts w:hint="eastAsia"/>
              </w:rPr>
              <w:t>重点工作区内槽探主要布设在K3、K8矿体走向方向，用于揭露、控制矿体。由于K3、K8矿体之间及K3矿体东侧工作程度低，地表矿化体揭露及控制主要使用槽探工程。在具体布置时，槽探工程间距160m布置3条长探槽TC4701、TC3101、TC5201，在其范围内按工程间距布置短探槽，并根据实际地形、植被特征，可进一步调整位置，在满足勘查工作需求的同时，不能破坏植被，且满足槽探施工下方位置安全等条件。施工顺序为先施工大间距长探槽工程，根据见矿情况，再施工小间距短槽探工程，按照由稀到密的顺序执行。施工完成后根据见矿情况预留800m³探槽工作量，对矿体进行加密控制。槽探总工作量4000m³。</w:t>
            </w:r>
          </w:p>
          <w:p w14:paraId="169CFA86">
            <w:pPr>
              <w:pStyle w:val="6"/>
              <w:ind w:firstLine="480"/>
            </w:pPr>
            <w:r>
              <w:rPr>
                <w:rFonts w:hint="eastAsia"/>
              </w:rPr>
              <w:t>（2）坑探</w:t>
            </w:r>
          </w:p>
          <w:p w14:paraId="1F439942">
            <w:pPr>
              <w:pStyle w:val="6"/>
              <w:ind w:firstLine="480"/>
              <w:jc w:val="both"/>
            </w:pPr>
            <w:r>
              <w:rPr>
                <w:rFonts w:hint="eastAsia"/>
              </w:rPr>
              <w:t>本次</w:t>
            </w:r>
            <w:r>
              <w:t>坑探</w:t>
            </w:r>
            <w:r>
              <w:rPr>
                <w:rFonts w:hint="eastAsia"/>
              </w:rPr>
              <w:t>工程全部部署在重点工作区中部针对K3矿体布设，首先在0号勘探线处针对见到的K3矿体向东西两侧施工平行于K3矿体的沿脉</w:t>
            </w:r>
            <w:r>
              <w:t>PD001</w:t>
            </w:r>
            <w:r>
              <w:rPr>
                <w:rFonts w:hint="eastAsia"/>
              </w:rPr>
              <w:t>YM1，沿脉向西到达15号勘探线，同时向东到达16号勘探线，沿脉施工同时按160m工程间距在00、07、15、8、16线施工穿脉</w:t>
            </w:r>
            <w:r>
              <w:t>坑道，施工完成后按80m工程间距在03、11、04、12线施工加密穿脉坑道，控制K3、K3-1、MK1矿体。所有穿脉坑道内施工坑道钻硐室。预留200m机动坑探工程，根据工作需要实施。</w:t>
            </w:r>
          </w:p>
          <w:p w14:paraId="7F5B43C0">
            <w:pPr>
              <w:pStyle w:val="6"/>
              <w:ind w:firstLine="480"/>
              <w:jc w:val="both"/>
            </w:pPr>
            <w:r>
              <w:t>平硐规格采用2.2m（宽）×2.4m（高），硐底里高外低，坡降3‰。穿脉坑道内坑道钻硐室采用6m（长）×3m（宽）×2.5m（高）规格，每个穿脉设计1个硐室，共9个硐室。</w:t>
            </w:r>
            <w:r>
              <w:rPr>
                <w:rFonts w:hint="eastAsia"/>
              </w:rPr>
              <w:t>坑探总工作量3934m。</w:t>
            </w:r>
          </w:p>
          <w:p w14:paraId="6B432797">
            <w:pPr>
              <w:pStyle w:val="6"/>
              <w:ind w:firstLine="480"/>
            </w:pPr>
            <w:r>
              <w:rPr>
                <w:rFonts w:hint="eastAsia"/>
              </w:rPr>
              <w:t>（3）钻探</w:t>
            </w:r>
          </w:p>
          <w:p w14:paraId="0A52BC07">
            <w:pPr>
              <w:pStyle w:val="6"/>
              <w:ind w:firstLine="480"/>
              <w:jc w:val="both"/>
            </w:pPr>
            <w:r>
              <w:rPr>
                <w:rFonts w:hint="eastAsia"/>
              </w:rPr>
              <w:t>设计钻孔22个，总工作量7378m（含机动工作量1000m），其中重点工作区中部（K3矿体）布设10个钻孔、重点工作区西部（K8矿体）布设12个钻孔。钻孔终孔直径不小于75mm，单孔深度98～415m。</w:t>
            </w:r>
          </w:p>
          <w:p w14:paraId="230408E0">
            <w:pPr>
              <w:pStyle w:val="6"/>
              <w:ind w:firstLine="0" w:firstLineChars="0"/>
              <w:jc w:val="both"/>
              <w:rPr>
                <w:b/>
                <w:bCs/>
              </w:rPr>
            </w:pPr>
            <w:r>
              <w:rPr>
                <w:b/>
                <w:bCs/>
              </w:rPr>
              <w:t>2.4</w:t>
            </w:r>
            <w:r>
              <w:rPr>
                <w:rFonts w:hint="eastAsia"/>
                <w:b/>
                <w:bCs/>
              </w:rPr>
              <w:t>设计的主要实物工作量</w:t>
            </w:r>
          </w:p>
          <w:p w14:paraId="6CD532EB">
            <w:pPr>
              <w:pStyle w:val="6"/>
              <w:ind w:firstLine="480"/>
              <w:jc w:val="both"/>
            </w:pPr>
            <w:r>
              <w:rPr>
                <w:rFonts w:hint="eastAsia"/>
              </w:rPr>
              <w:t>本次工作主要实物工作量以固体矿产地质勘查规范为依据，并结合勘查区实际情况，设计工作手段有地质测量、槽探、钻探、坑探等，各工作手段部署的工作量见表2</w:t>
            </w:r>
            <w:r>
              <w:t>-3。</w:t>
            </w:r>
          </w:p>
          <w:p w14:paraId="6A0444EA">
            <w:pPr>
              <w:pStyle w:val="34"/>
              <w:spacing w:before="156"/>
              <w:rPr>
                <w:rFonts w:ascii="Times New Roman" w:hAnsi="Times New Roman"/>
              </w:rPr>
            </w:pPr>
            <w:r>
              <w:rPr>
                <w:rFonts w:ascii="Times New Roman" w:hAnsi="Times New Roman"/>
              </w:rPr>
              <w:t>表2-3  主要实物工作量一览表</w:t>
            </w:r>
          </w:p>
          <w:tbl>
            <w:tblPr>
              <w:tblStyle w:val="23"/>
              <w:tblW w:w="795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2999"/>
              <w:gridCol w:w="535"/>
              <w:gridCol w:w="763"/>
              <w:gridCol w:w="614"/>
              <w:gridCol w:w="614"/>
              <w:gridCol w:w="614"/>
              <w:gridCol w:w="514"/>
              <w:gridCol w:w="763"/>
            </w:tblGrid>
            <w:tr w14:paraId="3D113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2075" w:type="pct"/>
                  <w:vMerge w:val="restart"/>
                  <w:vAlign w:val="center"/>
                </w:tcPr>
                <w:p w14:paraId="400E3322">
                  <w:pPr>
                    <w:widowControl/>
                    <w:snapToGrid w:val="0"/>
                    <w:spacing w:line="240" w:lineRule="auto"/>
                    <w:ind w:firstLine="0" w:firstLineChars="0"/>
                    <w:jc w:val="center"/>
                    <w:rPr>
                      <w:kern w:val="0"/>
                      <w:sz w:val="21"/>
                      <w:szCs w:val="21"/>
                    </w:rPr>
                  </w:pPr>
                  <w:r>
                    <w:rPr>
                      <w:kern w:val="0"/>
                      <w:sz w:val="21"/>
                      <w:szCs w:val="21"/>
                    </w:rPr>
                    <w:t>序号</w:t>
                  </w:r>
                </w:p>
              </w:tc>
              <w:tc>
                <w:tcPr>
                  <w:tcW w:w="177" w:type="pct"/>
                  <w:vMerge w:val="restart"/>
                  <w:vAlign w:val="center"/>
                </w:tcPr>
                <w:p w14:paraId="7BCC7C69">
                  <w:pPr>
                    <w:widowControl/>
                    <w:snapToGrid w:val="0"/>
                    <w:spacing w:line="240" w:lineRule="auto"/>
                    <w:ind w:firstLine="0" w:firstLineChars="0"/>
                    <w:jc w:val="center"/>
                    <w:rPr>
                      <w:kern w:val="0"/>
                      <w:sz w:val="21"/>
                      <w:szCs w:val="21"/>
                    </w:rPr>
                  </w:pPr>
                  <w:r>
                    <w:rPr>
                      <w:kern w:val="0"/>
                      <w:sz w:val="21"/>
                      <w:szCs w:val="21"/>
                    </w:rPr>
                    <w:t>工作项目</w:t>
                  </w:r>
                </w:p>
              </w:tc>
              <w:tc>
                <w:tcPr>
                  <w:tcW w:w="349" w:type="pct"/>
                  <w:vMerge w:val="restart"/>
                  <w:vAlign w:val="center"/>
                </w:tcPr>
                <w:p w14:paraId="6ECDB8E9">
                  <w:pPr>
                    <w:widowControl/>
                    <w:snapToGrid w:val="0"/>
                    <w:spacing w:line="240" w:lineRule="auto"/>
                    <w:ind w:firstLine="0" w:firstLineChars="0"/>
                    <w:jc w:val="center"/>
                    <w:rPr>
                      <w:kern w:val="0"/>
                      <w:sz w:val="21"/>
                      <w:szCs w:val="21"/>
                    </w:rPr>
                  </w:pPr>
                  <w:r>
                    <w:rPr>
                      <w:kern w:val="0"/>
                      <w:sz w:val="21"/>
                      <w:szCs w:val="21"/>
                    </w:rPr>
                    <w:t>单位</w:t>
                  </w:r>
                </w:p>
              </w:tc>
              <w:tc>
                <w:tcPr>
                  <w:tcW w:w="2399" w:type="pct"/>
                  <w:gridSpan w:val="6"/>
                  <w:vAlign w:val="center"/>
                </w:tcPr>
                <w:p w14:paraId="653BAAB8">
                  <w:pPr>
                    <w:widowControl/>
                    <w:snapToGrid w:val="0"/>
                    <w:spacing w:line="240" w:lineRule="auto"/>
                    <w:ind w:firstLine="0" w:firstLineChars="0"/>
                    <w:jc w:val="center"/>
                    <w:rPr>
                      <w:kern w:val="0"/>
                      <w:sz w:val="21"/>
                      <w:szCs w:val="21"/>
                    </w:rPr>
                  </w:pPr>
                  <w:r>
                    <w:rPr>
                      <w:kern w:val="0"/>
                      <w:sz w:val="21"/>
                      <w:szCs w:val="21"/>
                    </w:rPr>
                    <w:t>工作量</w:t>
                  </w:r>
                </w:p>
              </w:tc>
            </w:tr>
            <w:tr w14:paraId="1DCB18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2075" w:type="pct"/>
                  <w:vMerge w:val="continue"/>
                  <w:vAlign w:val="center"/>
                </w:tcPr>
                <w:p w14:paraId="58F36D54">
                  <w:pPr>
                    <w:widowControl/>
                    <w:snapToGrid w:val="0"/>
                    <w:spacing w:line="240" w:lineRule="auto"/>
                    <w:ind w:firstLine="0" w:firstLineChars="0"/>
                    <w:jc w:val="center"/>
                    <w:rPr>
                      <w:kern w:val="0"/>
                      <w:sz w:val="21"/>
                      <w:szCs w:val="21"/>
                    </w:rPr>
                  </w:pPr>
                </w:p>
              </w:tc>
              <w:tc>
                <w:tcPr>
                  <w:tcW w:w="177" w:type="pct"/>
                  <w:vMerge w:val="continue"/>
                  <w:vAlign w:val="center"/>
                </w:tcPr>
                <w:p w14:paraId="0DB61A71">
                  <w:pPr>
                    <w:widowControl/>
                    <w:snapToGrid w:val="0"/>
                    <w:spacing w:line="240" w:lineRule="auto"/>
                    <w:ind w:firstLine="0" w:firstLineChars="0"/>
                    <w:jc w:val="center"/>
                    <w:rPr>
                      <w:kern w:val="0"/>
                      <w:sz w:val="21"/>
                      <w:szCs w:val="21"/>
                    </w:rPr>
                  </w:pPr>
                </w:p>
              </w:tc>
              <w:tc>
                <w:tcPr>
                  <w:tcW w:w="349" w:type="pct"/>
                  <w:vMerge w:val="continue"/>
                  <w:vAlign w:val="center"/>
                </w:tcPr>
                <w:p w14:paraId="1E211C3F">
                  <w:pPr>
                    <w:widowControl/>
                    <w:snapToGrid w:val="0"/>
                    <w:spacing w:line="240" w:lineRule="auto"/>
                    <w:ind w:firstLine="0" w:firstLineChars="0"/>
                    <w:jc w:val="center"/>
                    <w:rPr>
                      <w:kern w:val="0"/>
                      <w:sz w:val="21"/>
                      <w:szCs w:val="21"/>
                    </w:rPr>
                  </w:pPr>
                </w:p>
              </w:tc>
              <w:tc>
                <w:tcPr>
                  <w:tcW w:w="433" w:type="pct"/>
                  <w:vAlign w:val="center"/>
                </w:tcPr>
                <w:p w14:paraId="77456364">
                  <w:pPr>
                    <w:widowControl/>
                    <w:snapToGrid w:val="0"/>
                    <w:spacing w:line="240" w:lineRule="auto"/>
                    <w:ind w:firstLine="0" w:firstLineChars="0"/>
                    <w:jc w:val="center"/>
                    <w:rPr>
                      <w:kern w:val="0"/>
                      <w:sz w:val="21"/>
                      <w:szCs w:val="21"/>
                    </w:rPr>
                  </w:pPr>
                  <w:r>
                    <w:rPr>
                      <w:kern w:val="0"/>
                      <w:sz w:val="21"/>
                      <w:szCs w:val="21"/>
                    </w:rPr>
                    <w:t>第1勘查年</w:t>
                  </w:r>
                </w:p>
              </w:tc>
              <w:tc>
                <w:tcPr>
                  <w:tcW w:w="400" w:type="pct"/>
                  <w:vAlign w:val="center"/>
                </w:tcPr>
                <w:p w14:paraId="3C02F09C">
                  <w:pPr>
                    <w:widowControl/>
                    <w:snapToGrid w:val="0"/>
                    <w:spacing w:line="240" w:lineRule="auto"/>
                    <w:ind w:firstLine="0" w:firstLineChars="0"/>
                    <w:jc w:val="center"/>
                    <w:rPr>
                      <w:kern w:val="0"/>
                      <w:sz w:val="21"/>
                      <w:szCs w:val="21"/>
                    </w:rPr>
                  </w:pPr>
                  <w:r>
                    <w:rPr>
                      <w:kern w:val="0"/>
                      <w:sz w:val="21"/>
                      <w:szCs w:val="21"/>
                    </w:rPr>
                    <w:t>第2勘查年</w:t>
                  </w:r>
                </w:p>
              </w:tc>
              <w:tc>
                <w:tcPr>
                  <w:tcW w:w="400" w:type="pct"/>
                  <w:vAlign w:val="center"/>
                </w:tcPr>
                <w:p w14:paraId="57D55F1F">
                  <w:pPr>
                    <w:widowControl/>
                    <w:snapToGrid w:val="0"/>
                    <w:spacing w:line="240" w:lineRule="auto"/>
                    <w:ind w:firstLine="0" w:firstLineChars="0"/>
                    <w:jc w:val="center"/>
                    <w:rPr>
                      <w:kern w:val="0"/>
                      <w:sz w:val="21"/>
                      <w:szCs w:val="21"/>
                    </w:rPr>
                  </w:pPr>
                  <w:r>
                    <w:rPr>
                      <w:kern w:val="0"/>
                      <w:sz w:val="21"/>
                      <w:szCs w:val="21"/>
                    </w:rPr>
                    <w:t>第3勘查年</w:t>
                  </w:r>
                </w:p>
              </w:tc>
              <w:tc>
                <w:tcPr>
                  <w:tcW w:w="400" w:type="pct"/>
                  <w:vAlign w:val="center"/>
                </w:tcPr>
                <w:p w14:paraId="2FAF08EC">
                  <w:pPr>
                    <w:widowControl/>
                    <w:snapToGrid w:val="0"/>
                    <w:spacing w:line="240" w:lineRule="auto"/>
                    <w:ind w:firstLine="0" w:firstLineChars="0"/>
                    <w:jc w:val="center"/>
                    <w:rPr>
                      <w:kern w:val="0"/>
                      <w:sz w:val="21"/>
                      <w:szCs w:val="21"/>
                    </w:rPr>
                  </w:pPr>
                  <w:r>
                    <w:rPr>
                      <w:kern w:val="0"/>
                      <w:sz w:val="21"/>
                      <w:szCs w:val="21"/>
                    </w:rPr>
                    <w:t>第4勘查年</w:t>
                  </w:r>
                </w:p>
              </w:tc>
              <w:tc>
                <w:tcPr>
                  <w:tcW w:w="334" w:type="pct"/>
                  <w:vAlign w:val="center"/>
                </w:tcPr>
                <w:p w14:paraId="68F60559">
                  <w:pPr>
                    <w:widowControl/>
                    <w:snapToGrid w:val="0"/>
                    <w:spacing w:line="240" w:lineRule="auto"/>
                    <w:ind w:firstLine="0" w:firstLineChars="0"/>
                    <w:jc w:val="center"/>
                    <w:rPr>
                      <w:kern w:val="0"/>
                      <w:sz w:val="21"/>
                      <w:szCs w:val="21"/>
                    </w:rPr>
                  </w:pPr>
                  <w:r>
                    <w:rPr>
                      <w:kern w:val="0"/>
                      <w:sz w:val="21"/>
                      <w:szCs w:val="21"/>
                    </w:rPr>
                    <w:t>第5勘查年</w:t>
                  </w:r>
                </w:p>
              </w:tc>
              <w:tc>
                <w:tcPr>
                  <w:tcW w:w="433" w:type="pct"/>
                  <w:vAlign w:val="center"/>
                </w:tcPr>
                <w:p w14:paraId="41380957">
                  <w:pPr>
                    <w:widowControl/>
                    <w:snapToGrid w:val="0"/>
                    <w:spacing w:line="240" w:lineRule="auto"/>
                    <w:ind w:firstLine="0" w:firstLineChars="0"/>
                    <w:jc w:val="center"/>
                    <w:rPr>
                      <w:kern w:val="0"/>
                      <w:sz w:val="21"/>
                      <w:szCs w:val="21"/>
                    </w:rPr>
                  </w:pPr>
                  <w:r>
                    <w:rPr>
                      <w:kern w:val="0"/>
                      <w:sz w:val="21"/>
                      <w:szCs w:val="21"/>
                    </w:rPr>
                    <w:t>总工作量</w:t>
                  </w:r>
                </w:p>
              </w:tc>
            </w:tr>
            <w:tr w14:paraId="77856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075" w:type="pct"/>
                  <w:noWrap/>
                  <w:vAlign w:val="center"/>
                </w:tcPr>
                <w:p w14:paraId="137A0A82">
                  <w:pPr>
                    <w:widowControl/>
                    <w:snapToGrid w:val="0"/>
                    <w:spacing w:line="240" w:lineRule="auto"/>
                    <w:ind w:firstLine="0" w:firstLineChars="0"/>
                    <w:jc w:val="center"/>
                    <w:rPr>
                      <w:kern w:val="0"/>
                      <w:sz w:val="21"/>
                      <w:szCs w:val="21"/>
                    </w:rPr>
                  </w:pPr>
                  <w:r>
                    <w:rPr>
                      <w:kern w:val="0"/>
                      <w:sz w:val="21"/>
                      <w:szCs w:val="21"/>
                    </w:rPr>
                    <w:t>1</w:t>
                  </w:r>
                </w:p>
              </w:tc>
              <w:tc>
                <w:tcPr>
                  <w:tcW w:w="177" w:type="pct"/>
                  <w:vAlign w:val="center"/>
                </w:tcPr>
                <w:p w14:paraId="4BF1C790">
                  <w:pPr>
                    <w:widowControl/>
                    <w:snapToGrid w:val="0"/>
                    <w:spacing w:line="240" w:lineRule="auto"/>
                    <w:ind w:firstLine="0" w:firstLineChars="0"/>
                    <w:jc w:val="center"/>
                    <w:rPr>
                      <w:kern w:val="0"/>
                      <w:sz w:val="21"/>
                      <w:szCs w:val="21"/>
                    </w:rPr>
                  </w:pPr>
                  <w:r>
                    <w:rPr>
                      <w:kern w:val="0"/>
                      <w:sz w:val="21"/>
                      <w:szCs w:val="21"/>
                    </w:rPr>
                    <w:t>1:10000地质填图</w:t>
                  </w:r>
                </w:p>
              </w:tc>
              <w:tc>
                <w:tcPr>
                  <w:tcW w:w="349" w:type="pct"/>
                  <w:vAlign w:val="center"/>
                </w:tcPr>
                <w:p w14:paraId="1581AAD8">
                  <w:pPr>
                    <w:widowControl/>
                    <w:snapToGrid w:val="0"/>
                    <w:spacing w:line="240" w:lineRule="auto"/>
                    <w:ind w:firstLine="0" w:firstLineChars="0"/>
                    <w:jc w:val="center"/>
                    <w:rPr>
                      <w:b/>
                      <w:bCs/>
                      <w:kern w:val="0"/>
                      <w:sz w:val="21"/>
                      <w:szCs w:val="21"/>
                    </w:rPr>
                  </w:pPr>
                  <w:r>
                    <w:rPr>
                      <w:kern w:val="0"/>
                      <w:sz w:val="21"/>
                      <w:szCs w:val="21"/>
                    </w:rPr>
                    <w:t>km</w:t>
                  </w:r>
                  <w:r>
                    <w:rPr>
                      <w:kern w:val="0"/>
                      <w:sz w:val="21"/>
                      <w:szCs w:val="21"/>
                      <w:vertAlign w:val="superscript"/>
                    </w:rPr>
                    <w:t>2</w:t>
                  </w:r>
                </w:p>
              </w:tc>
              <w:tc>
                <w:tcPr>
                  <w:tcW w:w="433" w:type="pct"/>
                  <w:vAlign w:val="center"/>
                </w:tcPr>
                <w:p w14:paraId="2A83D78B">
                  <w:pPr>
                    <w:widowControl/>
                    <w:snapToGrid w:val="0"/>
                    <w:spacing w:line="240" w:lineRule="auto"/>
                    <w:ind w:firstLine="0" w:firstLineChars="0"/>
                    <w:jc w:val="center"/>
                    <w:rPr>
                      <w:kern w:val="0"/>
                      <w:sz w:val="21"/>
                      <w:szCs w:val="21"/>
                    </w:rPr>
                  </w:pPr>
                  <w:r>
                    <w:rPr>
                      <w:kern w:val="0"/>
                      <w:sz w:val="21"/>
                      <w:szCs w:val="21"/>
                    </w:rPr>
                    <w:t>9.6192</w:t>
                  </w:r>
                </w:p>
              </w:tc>
              <w:tc>
                <w:tcPr>
                  <w:tcW w:w="400" w:type="pct"/>
                  <w:vAlign w:val="center"/>
                </w:tcPr>
                <w:p w14:paraId="1EF0B661">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13917AA3">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4F1A790F">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45A316FB">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1CB56F8E">
                  <w:pPr>
                    <w:widowControl/>
                    <w:snapToGrid w:val="0"/>
                    <w:spacing w:line="240" w:lineRule="auto"/>
                    <w:ind w:firstLine="0" w:firstLineChars="0"/>
                    <w:jc w:val="center"/>
                    <w:rPr>
                      <w:kern w:val="0"/>
                      <w:sz w:val="21"/>
                      <w:szCs w:val="21"/>
                    </w:rPr>
                  </w:pPr>
                  <w:r>
                    <w:rPr>
                      <w:kern w:val="0"/>
                      <w:sz w:val="21"/>
                      <w:szCs w:val="21"/>
                    </w:rPr>
                    <w:t>9.6192</w:t>
                  </w:r>
                </w:p>
              </w:tc>
            </w:tr>
            <w:tr w14:paraId="033AD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5318AA91">
                  <w:pPr>
                    <w:widowControl/>
                    <w:snapToGrid w:val="0"/>
                    <w:spacing w:line="240" w:lineRule="auto"/>
                    <w:ind w:firstLine="0" w:firstLineChars="0"/>
                    <w:jc w:val="center"/>
                    <w:rPr>
                      <w:kern w:val="0"/>
                      <w:sz w:val="21"/>
                      <w:szCs w:val="21"/>
                    </w:rPr>
                  </w:pPr>
                  <w:r>
                    <w:rPr>
                      <w:kern w:val="0"/>
                      <w:sz w:val="21"/>
                      <w:szCs w:val="21"/>
                    </w:rPr>
                    <w:t>2</w:t>
                  </w:r>
                </w:p>
              </w:tc>
              <w:tc>
                <w:tcPr>
                  <w:tcW w:w="177" w:type="pct"/>
                  <w:vAlign w:val="center"/>
                </w:tcPr>
                <w:p w14:paraId="745455EA">
                  <w:pPr>
                    <w:widowControl/>
                    <w:snapToGrid w:val="0"/>
                    <w:spacing w:line="240" w:lineRule="auto"/>
                    <w:ind w:firstLine="0" w:firstLineChars="0"/>
                    <w:jc w:val="center"/>
                    <w:rPr>
                      <w:kern w:val="0"/>
                      <w:sz w:val="21"/>
                      <w:szCs w:val="21"/>
                    </w:rPr>
                  </w:pPr>
                  <w:r>
                    <w:rPr>
                      <w:kern w:val="0"/>
                      <w:sz w:val="21"/>
                      <w:szCs w:val="21"/>
                    </w:rPr>
                    <w:t>1:2000地质填图</w:t>
                  </w:r>
                </w:p>
              </w:tc>
              <w:tc>
                <w:tcPr>
                  <w:tcW w:w="349" w:type="pct"/>
                  <w:vAlign w:val="center"/>
                </w:tcPr>
                <w:p w14:paraId="6270D8A8">
                  <w:pPr>
                    <w:widowControl/>
                    <w:snapToGrid w:val="0"/>
                    <w:spacing w:line="240" w:lineRule="auto"/>
                    <w:ind w:firstLine="0" w:firstLineChars="0"/>
                    <w:jc w:val="center"/>
                    <w:rPr>
                      <w:kern w:val="0"/>
                      <w:sz w:val="21"/>
                      <w:szCs w:val="21"/>
                    </w:rPr>
                  </w:pPr>
                  <w:r>
                    <w:rPr>
                      <w:kern w:val="0"/>
                      <w:sz w:val="21"/>
                      <w:szCs w:val="21"/>
                    </w:rPr>
                    <w:t>km</w:t>
                  </w:r>
                  <w:r>
                    <w:rPr>
                      <w:kern w:val="0"/>
                      <w:sz w:val="21"/>
                      <w:szCs w:val="21"/>
                      <w:vertAlign w:val="superscript"/>
                    </w:rPr>
                    <w:t>2</w:t>
                  </w:r>
                </w:p>
              </w:tc>
              <w:tc>
                <w:tcPr>
                  <w:tcW w:w="433" w:type="pct"/>
                  <w:vAlign w:val="center"/>
                </w:tcPr>
                <w:p w14:paraId="1E349F8B">
                  <w:pPr>
                    <w:widowControl/>
                    <w:snapToGrid w:val="0"/>
                    <w:spacing w:line="240" w:lineRule="auto"/>
                    <w:ind w:firstLine="0" w:firstLineChars="0"/>
                    <w:jc w:val="center"/>
                    <w:rPr>
                      <w:kern w:val="0"/>
                      <w:sz w:val="21"/>
                      <w:szCs w:val="21"/>
                    </w:rPr>
                  </w:pPr>
                  <w:r>
                    <w:rPr>
                      <w:kern w:val="0"/>
                      <w:sz w:val="21"/>
                      <w:szCs w:val="21"/>
                    </w:rPr>
                    <w:t>3.05</w:t>
                  </w:r>
                </w:p>
              </w:tc>
              <w:tc>
                <w:tcPr>
                  <w:tcW w:w="400" w:type="pct"/>
                  <w:vAlign w:val="center"/>
                </w:tcPr>
                <w:p w14:paraId="63D94A4C">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2204254C">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1417865D">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658A68A3">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09DD20AA">
                  <w:pPr>
                    <w:widowControl/>
                    <w:snapToGrid w:val="0"/>
                    <w:spacing w:line="240" w:lineRule="auto"/>
                    <w:ind w:firstLine="0" w:firstLineChars="0"/>
                    <w:jc w:val="center"/>
                    <w:rPr>
                      <w:kern w:val="0"/>
                      <w:sz w:val="21"/>
                      <w:szCs w:val="21"/>
                    </w:rPr>
                  </w:pPr>
                  <w:r>
                    <w:rPr>
                      <w:kern w:val="0"/>
                      <w:sz w:val="21"/>
                      <w:szCs w:val="21"/>
                    </w:rPr>
                    <w:t>3.05</w:t>
                  </w:r>
                </w:p>
              </w:tc>
            </w:tr>
            <w:tr w14:paraId="6AFE31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0497E92D">
                  <w:pPr>
                    <w:widowControl/>
                    <w:snapToGrid w:val="0"/>
                    <w:spacing w:line="240" w:lineRule="auto"/>
                    <w:ind w:firstLine="0" w:firstLineChars="0"/>
                    <w:jc w:val="center"/>
                    <w:rPr>
                      <w:kern w:val="0"/>
                      <w:sz w:val="21"/>
                      <w:szCs w:val="21"/>
                    </w:rPr>
                  </w:pPr>
                  <w:r>
                    <w:rPr>
                      <w:kern w:val="0"/>
                      <w:sz w:val="21"/>
                      <w:szCs w:val="21"/>
                    </w:rPr>
                    <w:t>3</w:t>
                  </w:r>
                </w:p>
              </w:tc>
              <w:tc>
                <w:tcPr>
                  <w:tcW w:w="177" w:type="pct"/>
                  <w:vAlign w:val="center"/>
                </w:tcPr>
                <w:p w14:paraId="52D91686">
                  <w:pPr>
                    <w:widowControl/>
                    <w:snapToGrid w:val="0"/>
                    <w:spacing w:line="240" w:lineRule="auto"/>
                    <w:ind w:firstLine="0" w:firstLineChars="0"/>
                    <w:jc w:val="center"/>
                    <w:rPr>
                      <w:kern w:val="0"/>
                      <w:sz w:val="21"/>
                      <w:szCs w:val="21"/>
                    </w:rPr>
                  </w:pPr>
                  <w:r>
                    <w:rPr>
                      <w:kern w:val="0"/>
                      <w:sz w:val="21"/>
                      <w:szCs w:val="21"/>
                    </w:rPr>
                    <w:t>1:2000水工环调查</w:t>
                  </w:r>
                </w:p>
              </w:tc>
              <w:tc>
                <w:tcPr>
                  <w:tcW w:w="349" w:type="pct"/>
                  <w:noWrap/>
                  <w:vAlign w:val="center"/>
                </w:tcPr>
                <w:p w14:paraId="6D4205D5">
                  <w:pPr>
                    <w:widowControl/>
                    <w:snapToGrid w:val="0"/>
                    <w:spacing w:line="240" w:lineRule="auto"/>
                    <w:ind w:firstLine="0" w:firstLineChars="0"/>
                    <w:jc w:val="center"/>
                    <w:rPr>
                      <w:kern w:val="0"/>
                      <w:sz w:val="21"/>
                      <w:szCs w:val="21"/>
                    </w:rPr>
                  </w:pPr>
                  <w:r>
                    <w:rPr>
                      <w:kern w:val="0"/>
                      <w:sz w:val="21"/>
                      <w:szCs w:val="21"/>
                    </w:rPr>
                    <w:t>km</w:t>
                  </w:r>
                  <w:r>
                    <w:rPr>
                      <w:kern w:val="0"/>
                      <w:sz w:val="21"/>
                      <w:szCs w:val="21"/>
                      <w:vertAlign w:val="superscript"/>
                    </w:rPr>
                    <w:t>2</w:t>
                  </w:r>
                </w:p>
              </w:tc>
              <w:tc>
                <w:tcPr>
                  <w:tcW w:w="433" w:type="pct"/>
                  <w:noWrap/>
                  <w:vAlign w:val="center"/>
                </w:tcPr>
                <w:p w14:paraId="18E6B444">
                  <w:pPr>
                    <w:widowControl/>
                    <w:snapToGrid w:val="0"/>
                    <w:spacing w:line="240" w:lineRule="auto"/>
                    <w:ind w:firstLine="0" w:firstLineChars="0"/>
                    <w:jc w:val="center"/>
                    <w:rPr>
                      <w:kern w:val="0"/>
                      <w:sz w:val="21"/>
                      <w:szCs w:val="21"/>
                    </w:rPr>
                  </w:pPr>
                  <w:r>
                    <w:rPr>
                      <w:kern w:val="0"/>
                      <w:sz w:val="21"/>
                      <w:szCs w:val="21"/>
                    </w:rPr>
                    <w:t>3.05</w:t>
                  </w:r>
                </w:p>
              </w:tc>
              <w:tc>
                <w:tcPr>
                  <w:tcW w:w="400" w:type="pct"/>
                  <w:noWrap/>
                  <w:vAlign w:val="center"/>
                </w:tcPr>
                <w:p w14:paraId="659E6027">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07DBB501">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12BB8C02">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3FF6D562">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7B64F454">
                  <w:pPr>
                    <w:widowControl/>
                    <w:snapToGrid w:val="0"/>
                    <w:spacing w:line="240" w:lineRule="auto"/>
                    <w:ind w:firstLine="0" w:firstLineChars="0"/>
                    <w:jc w:val="center"/>
                    <w:rPr>
                      <w:kern w:val="0"/>
                      <w:sz w:val="21"/>
                      <w:szCs w:val="21"/>
                    </w:rPr>
                  </w:pPr>
                  <w:r>
                    <w:rPr>
                      <w:kern w:val="0"/>
                      <w:sz w:val="21"/>
                      <w:szCs w:val="21"/>
                    </w:rPr>
                    <w:t>3.05</w:t>
                  </w:r>
                </w:p>
              </w:tc>
            </w:tr>
            <w:tr w14:paraId="4EB57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34C3A651">
                  <w:pPr>
                    <w:widowControl/>
                    <w:snapToGrid w:val="0"/>
                    <w:spacing w:line="240" w:lineRule="auto"/>
                    <w:ind w:firstLine="0" w:firstLineChars="0"/>
                    <w:jc w:val="center"/>
                    <w:rPr>
                      <w:kern w:val="0"/>
                      <w:sz w:val="21"/>
                      <w:szCs w:val="21"/>
                    </w:rPr>
                  </w:pPr>
                  <w:r>
                    <w:rPr>
                      <w:kern w:val="0"/>
                      <w:sz w:val="21"/>
                      <w:szCs w:val="21"/>
                    </w:rPr>
                    <w:t>4</w:t>
                  </w:r>
                </w:p>
              </w:tc>
              <w:tc>
                <w:tcPr>
                  <w:tcW w:w="177" w:type="pct"/>
                  <w:vAlign w:val="center"/>
                </w:tcPr>
                <w:p w14:paraId="50D03263">
                  <w:pPr>
                    <w:widowControl/>
                    <w:snapToGrid w:val="0"/>
                    <w:spacing w:line="240" w:lineRule="auto"/>
                    <w:ind w:firstLine="0" w:firstLineChars="0"/>
                    <w:jc w:val="center"/>
                    <w:rPr>
                      <w:kern w:val="0"/>
                      <w:sz w:val="21"/>
                      <w:szCs w:val="21"/>
                    </w:rPr>
                  </w:pPr>
                  <w:r>
                    <w:rPr>
                      <w:kern w:val="0"/>
                      <w:sz w:val="21"/>
                      <w:szCs w:val="21"/>
                    </w:rPr>
                    <w:t>1:1000勘探线剖面测量</w:t>
                  </w:r>
                </w:p>
              </w:tc>
              <w:tc>
                <w:tcPr>
                  <w:tcW w:w="349" w:type="pct"/>
                  <w:noWrap/>
                  <w:vAlign w:val="center"/>
                </w:tcPr>
                <w:p w14:paraId="5E29EC4F">
                  <w:pPr>
                    <w:widowControl/>
                    <w:snapToGrid w:val="0"/>
                    <w:spacing w:line="240" w:lineRule="auto"/>
                    <w:ind w:firstLine="0" w:firstLineChars="0"/>
                    <w:jc w:val="center"/>
                    <w:rPr>
                      <w:kern w:val="0"/>
                      <w:sz w:val="21"/>
                      <w:szCs w:val="21"/>
                    </w:rPr>
                  </w:pPr>
                  <w:r>
                    <w:rPr>
                      <w:kern w:val="0"/>
                      <w:sz w:val="21"/>
                      <w:szCs w:val="21"/>
                    </w:rPr>
                    <w:t>km</w:t>
                  </w:r>
                </w:p>
              </w:tc>
              <w:tc>
                <w:tcPr>
                  <w:tcW w:w="433" w:type="pct"/>
                  <w:noWrap/>
                  <w:vAlign w:val="center"/>
                </w:tcPr>
                <w:p w14:paraId="095B8591">
                  <w:pPr>
                    <w:widowControl/>
                    <w:snapToGrid w:val="0"/>
                    <w:spacing w:line="240" w:lineRule="auto"/>
                    <w:ind w:firstLine="0" w:firstLineChars="0"/>
                    <w:jc w:val="center"/>
                    <w:rPr>
                      <w:kern w:val="0"/>
                      <w:sz w:val="21"/>
                      <w:szCs w:val="21"/>
                    </w:rPr>
                  </w:pPr>
                  <w:r>
                    <w:rPr>
                      <w:kern w:val="0"/>
                      <w:sz w:val="21"/>
                      <w:szCs w:val="21"/>
                    </w:rPr>
                    <w:t>9.56</w:t>
                  </w:r>
                </w:p>
              </w:tc>
              <w:tc>
                <w:tcPr>
                  <w:tcW w:w="400" w:type="pct"/>
                  <w:noWrap/>
                  <w:vAlign w:val="center"/>
                </w:tcPr>
                <w:p w14:paraId="171FD09D">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3A92CEB5">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2D10CE05">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78BC6E9A">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6FEC1383">
                  <w:pPr>
                    <w:widowControl/>
                    <w:snapToGrid w:val="0"/>
                    <w:spacing w:line="240" w:lineRule="auto"/>
                    <w:ind w:firstLine="0" w:firstLineChars="0"/>
                    <w:jc w:val="center"/>
                    <w:rPr>
                      <w:kern w:val="0"/>
                      <w:sz w:val="21"/>
                      <w:szCs w:val="21"/>
                    </w:rPr>
                  </w:pPr>
                  <w:r>
                    <w:rPr>
                      <w:kern w:val="0"/>
                      <w:sz w:val="21"/>
                      <w:szCs w:val="21"/>
                    </w:rPr>
                    <w:t>9.56</w:t>
                  </w:r>
                </w:p>
              </w:tc>
            </w:tr>
            <w:tr w14:paraId="0D77C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0" w:hRule="atLeast"/>
              </w:trPr>
              <w:tc>
                <w:tcPr>
                  <w:tcW w:w="2075" w:type="pct"/>
                  <w:noWrap/>
                  <w:vAlign w:val="center"/>
                </w:tcPr>
                <w:p w14:paraId="2262471F">
                  <w:pPr>
                    <w:widowControl/>
                    <w:snapToGrid w:val="0"/>
                    <w:spacing w:line="240" w:lineRule="auto"/>
                    <w:ind w:firstLine="0" w:firstLineChars="0"/>
                    <w:jc w:val="center"/>
                    <w:rPr>
                      <w:kern w:val="0"/>
                      <w:sz w:val="21"/>
                      <w:szCs w:val="21"/>
                    </w:rPr>
                  </w:pPr>
                  <w:r>
                    <w:rPr>
                      <w:kern w:val="0"/>
                      <w:sz w:val="21"/>
                      <w:szCs w:val="21"/>
                    </w:rPr>
                    <w:t>5</w:t>
                  </w:r>
                </w:p>
              </w:tc>
              <w:tc>
                <w:tcPr>
                  <w:tcW w:w="177" w:type="pct"/>
                  <w:vAlign w:val="center"/>
                </w:tcPr>
                <w:p w14:paraId="2F4F278F">
                  <w:pPr>
                    <w:widowControl/>
                    <w:snapToGrid w:val="0"/>
                    <w:spacing w:line="240" w:lineRule="auto"/>
                    <w:ind w:firstLine="0" w:firstLineChars="0"/>
                    <w:jc w:val="center"/>
                    <w:rPr>
                      <w:kern w:val="0"/>
                      <w:sz w:val="21"/>
                      <w:szCs w:val="21"/>
                    </w:rPr>
                  </w:pPr>
                  <w:r>
                    <w:rPr>
                      <w:kern w:val="0"/>
                      <w:sz w:val="21"/>
                      <w:szCs w:val="21"/>
                    </w:rPr>
                    <w:t>1：2000地质岩石剖面测量</w:t>
                  </w:r>
                </w:p>
              </w:tc>
              <w:tc>
                <w:tcPr>
                  <w:tcW w:w="349" w:type="pct"/>
                  <w:noWrap/>
                  <w:vAlign w:val="center"/>
                </w:tcPr>
                <w:p w14:paraId="0AAD74BD">
                  <w:pPr>
                    <w:widowControl/>
                    <w:snapToGrid w:val="0"/>
                    <w:spacing w:line="240" w:lineRule="auto"/>
                    <w:ind w:firstLine="0" w:firstLineChars="0"/>
                    <w:jc w:val="center"/>
                    <w:rPr>
                      <w:kern w:val="0"/>
                      <w:sz w:val="21"/>
                      <w:szCs w:val="21"/>
                    </w:rPr>
                  </w:pPr>
                  <w:r>
                    <w:rPr>
                      <w:kern w:val="0"/>
                      <w:sz w:val="21"/>
                      <w:szCs w:val="21"/>
                    </w:rPr>
                    <w:t>km</w:t>
                  </w:r>
                </w:p>
              </w:tc>
              <w:tc>
                <w:tcPr>
                  <w:tcW w:w="433" w:type="pct"/>
                  <w:noWrap/>
                  <w:vAlign w:val="center"/>
                </w:tcPr>
                <w:p w14:paraId="3B643DB1">
                  <w:pPr>
                    <w:widowControl/>
                    <w:snapToGrid w:val="0"/>
                    <w:spacing w:line="240" w:lineRule="auto"/>
                    <w:ind w:firstLine="0" w:firstLineChars="0"/>
                    <w:jc w:val="center"/>
                    <w:rPr>
                      <w:kern w:val="0"/>
                      <w:sz w:val="21"/>
                      <w:szCs w:val="21"/>
                    </w:rPr>
                  </w:pPr>
                  <w:r>
                    <w:rPr>
                      <w:kern w:val="0"/>
                      <w:sz w:val="21"/>
                      <w:szCs w:val="21"/>
                    </w:rPr>
                    <w:t>4.50</w:t>
                  </w:r>
                </w:p>
              </w:tc>
              <w:tc>
                <w:tcPr>
                  <w:tcW w:w="400" w:type="pct"/>
                  <w:noWrap/>
                  <w:vAlign w:val="center"/>
                </w:tcPr>
                <w:p w14:paraId="0F9F90A3">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777C6ED0">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7BB42B34">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49EA5DA8">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3F17C1EF">
                  <w:pPr>
                    <w:widowControl/>
                    <w:snapToGrid w:val="0"/>
                    <w:spacing w:line="240" w:lineRule="auto"/>
                    <w:ind w:firstLine="0" w:firstLineChars="0"/>
                    <w:jc w:val="center"/>
                    <w:rPr>
                      <w:kern w:val="0"/>
                      <w:sz w:val="21"/>
                      <w:szCs w:val="21"/>
                    </w:rPr>
                  </w:pPr>
                  <w:r>
                    <w:rPr>
                      <w:kern w:val="0"/>
                      <w:sz w:val="21"/>
                      <w:szCs w:val="21"/>
                    </w:rPr>
                    <w:t>4.50</w:t>
                  </w:r>
                </w:p>
              </w:tc>
            </w:tr>
            <w:tr w14:paraId="444CF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4736764D">
                  <w:pPr>
                    <w:widowControl/>
                    <w:snapToGrid w:val="0"/>
                    <w:spacing w:line="240" w:lineRule="auto"/>
                    <w:ind w:firstLine="0" w:firstLineChars="0"/>
                    <w:jc w:val="center"/>
                    <w:rPr>
                      <w:kern w:val="0"/>
                      <w:sz w:val="21"/>
                      <w:szCs w:val="21"/>
                    </w:rPr>
                  </w:pPr>
                  <w:r>
                    <w:rPr>
                      <w:rFonts w:hint="eastAsia"/>
                      <w:kern w:val="0"/>
                      <w:sz w:val="21"/>
                      <w:szCs w:val="21"/>
                    </w:rPr>
                    <w:t>6</w:t>
                  </w:r>
                </w:p>
              </w:tc>
              <w:tc>
                <w:tcPr>
                  <w:tcW w:w="177" w:type="pct"/>
                  <w:vAlign w:val="center"/>
                </w:tcPr>
                <w:p w14:paraId="0F653D3F">
                  <w:pPr>
                    <w:widowControl/>
                    <w:snapToGrid w:val="0"/>
                    <w:spacing w:line="240" w:lineRule="auto"/>
                    <w:ind w:firstLine="0" w:firstLineChars="0"/>
                    <w:jc w:val="center"/>
                    <w:rPr>
                      <w:kern w:val="0"/>
                      <w:sz w:val="21"/>
                      <w:szCs w:val="21"/>
                    </w:rPr>
                  </w:pPr>
                  <w:r>
                    <w:rPr>
                      <w:kern w:val="0"/>
                      <w:sz w:val="21"/>
                      <w:szCs w:val="21"/>
                    </w:rPr>
                    <w:t>机械岩心钻探</w:t>
                  </w:r>
                  <w:r>
                    <w:rPr>
                      <w:rFonts w:hint="eastAsia"/>
                      <w:kern w:val="0"/>
                      <w:sz w:val="21"/>
                      <w:szCs w:val="21"/>
                    </w:rPr>
                    <w:t>（包含水文地质钻孔）</w:t>
                  </w:r>
                </w:p>
              </w:tc>
              <w:tc>
                <w:tcPr>
                  <w:tcW w:w="349" w:type="pct"/>
                  <w:noWrap/>
                  <w:vAlign w:val="center"/>
                </w:tcPr>
                <w:p w14:paraId="39EB4220">
                  <w:pPr>
                    <w:widowControl/>
                    <w:snapToGrid w:val="0"/>
                    <w:spacing w:line="240" w:lineRule="auto"/>
                    <w:ind w:firstLine="0" w:firstLineChars="0"/>
                    <w:jc w:val="center"/>
                    <w:rPr>
                      <w:kern w:val="0"/>
                      <w:sz w:val="21"/>
                      <w:szCs w:val="21"/>
                    </w:rPr>
                  </w:pPr>
                  <w:r>
                    <w:rPr>
                      <w:kern w:val="0"/>
                      <w:sz w:val="21"/>
                      <w:szCs w:val="21"/>
                    </w:rPr>
                    <w:t>m</w:t>
                  </w:r>
                </w:p>
              </w:tc>
              <w:tc>
                <w:tcPr>
                  <w:tcW w:w="433" w:type="pct"/>
                  <w:noWrap/>
                  <w:vAlign w:val="center"/>
                </w:tcPr>
                <w:p w14:paraId="11548DDC">
                  <w:pPr>
                    <w:widowControl/>
                    <w:snapToGrid w:val="0"/>
                    <w:spacing w:line="240" w:lineRule="auto"/>
                    <w:ind w:firstLine="0" w:firstLineChars="0"/>
                    <w:jc w:val="center"/>
                    <w:rPr>
                      <w:kern w:val="0"/>
                      <w:sz w:val="21"/>
                      <w:szCs w:val="21"/>
                    </w:rPr>
                  </w:pPr>
                  <w:r>
                    <w:rPr>
                      <w:kern w:val="0"/>
                      <w:sz w:val="21"/>
                      <w:szCs w:val="21"/>
                    </w:rPr>
                    <w:t>690</w:t>
                  </w:r>
                </w:p>
              </w:tc>
              <w:tc>
                <w:tcPr>
                  <w:tcW w:w="400" w:type="pct"/>
                  <w:noWrap/>
                  <w:vAlign w:val="center"/>
                </w:tcPr>
                <w:p w14:paraId="73D2E84B">
                  <w:pPr>
                    <w:widowControl/>
                    <w:snapToGrid w:val="0"/>
                    <w:spacing w:line="240" w:lineRule="auto"/>
                    <w:ind w:firstLine="0" w:firstLineChars="0"/>
                    <w:jc w:val="center"/>
                    <w:rPr>
                      <w:kern w:val="0"/>
                      <w:sz w:val="21"/>
                      <w:szCs w:val="21"/>
                    </w:rPr>
                  </w:pPr>
                  <w:r>
                    <w:rPr>
                      <w:kern w:val="0"/>
                      <w:sz w:val="21"/>
                      <w:szCs w:val="21"/>
                    </w:rPr>
                    <w:t>1958</w:t>
                  </w:r>
                </w:p>
              </w:tc>
              <w:tc>
                <w:tcPr>
                  <w:tcW w:w="400" w:type="pct"/>
                  <w:vAlign w:val="center"/>
                </w:tcPr>
                <w:p w14:paraId="7D266800">
                  <w:pPr>
                    <w:widowControl/>
                    <w:snapToGrid w:val="0"/>
                    <w:spacing w:line="240" w:lineRule="auto"/>
                    <w:ind w:firstLine="0" w:firstLineChars="0"/>
                    <w:jc w:val="center"/>
                    <w:rPr>
                      <w:kern w:val="0"/>
                      <w:sz w:val="21"/>
                      <w:szCs w:val="21"/>
                    </w:rPr>
                  </w:pPr>
                  <w:r>
                    <w:rPr>
                      <w:kern w:val="0"/>
                      <w:sz w:val="21"/>
                      <w:szCs w:val="21"/>
                    </w:rPr>
                    <w:t>1975</w:t>
                  </w:r>
                </w:p>
              </w:tc>
              <w:tc>
                <w:tcPr>
                  <w:tcW w:w="400" w:type="pct"/>
                  <w:vAlign w:val="center"/>
                </w:tcPr>
                <w:p w14:paraId="4570B16D">
                  <w:pPr>
                    <w:widowControl/>
                    <w:snapToGrid w:val="0"/>
                    <w:spacing w:line="240" w:lineRule="auto"/>
                    <w:ind w:firstLine="0" w:firstLineChars="0"/>
                    <w:jc w:val="center"/>
                    <w:rPr>
                      <w:kern w:val="0"/>
                      <w:sz w:val="21"/>
                      <w:szCs w:val="21"/>
                    </w:rPr>
                  </w:pPr>
                  <w:r>
                    <w:rPr>
                      <w:kern w:val="0"/>
                      <w:sz w:val="21"/>
                      <w:szCs w:val="21"/>
                    </w:rPr>
                    <w:t>1898</w:t>
                  </w:r>
                </w:p>
              </w:tc>
              <w:tc>
                <w:tcPr>
                  <w:tcW w:w="334" w:type="pct"/>
                  <w:vAlign w:val="center"/>
                </w:tcPr>
                <w:p w14:paraId="0F536BF5">
                  <w:pPr>
                    <w:widowControl/>
                    <w:snapToGrid w:val="0"/>
                    <w:spacing w:line="240" w:lineRule="auto"/>
                    <w:ind w:firstLine="0" w:firstLineChars="0"/>
                    <w:jc w:val="center"/>
                    <w:rPr>
                      <w:kern w:val="0"/>
                      <w:sz w:val="21"/>
                      <w:szCs w:val="21"/>
                    </w:rPr>
                  </w:pPr>
                  <w:r>
                    <w:rPr>
                      <w:kern w:val="0"/>
                      <w:sz w:val="21"/>
                      <w:szCs w:val="21"/>
                    </w:rPr>
                    <w:t>857</w:t>
                  </w:r>
                </w:p>
              </w:tc>
              <w:tc>
                <w:tcPr>
                  <w:tcW w:w="433" w:type="pct"/>
                  <w:vAlign w:val="center"/>
                </w:tcPr>
                <w:p w14:paraId="0E6142D0">
                  <w:pPr>
                    <w:widowControl/>
                    <w:snapToGrid w:val="0"/>
                    <w:spacing w:line="240" w:lineRule="auto"/>
                    <w:ind w:firstLine="0" w:firstLineChars="0"/>
                    <w:jc w:val="center"/>
                    <w:rPr>
                      <w:kern w:val="0"/>
                      <w:sz w:val="21"/>
                      <w:szCs w:val="21"/>
                    </w:rPr>
                  </w:pPr>
                  <w:r>
                    <w:rPr>
                      <w:kern w:val="0"/>
                      <w:sz w:val="21"/>
                      <w:szCs w:val="21"/>
                    </w:rPr>
                    <w:t>7378</w:t>
                  </w:r>
                </w:p>
              </w:tc>
            </w:tr>
            <w:tr w14:paraId="07E55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56C13D2E">
                  <w:pPr>
                    <w:widowControl/>
                    <w:snapToGrid w:val="0"/>
                    <w:spacing w:line="240" w:lineRule="auto"/>
                    <w:ind w:firstLine="0" w:firstLineChars="0"/>
                    <w:jc w:val="center"/>
                    <w:rPr>
                      <w:kern w:val="0"/>
                      <w:sz w:val="21"/>
                      <w:szCs w:val="21"/>
                    </w:rPr>
                  </w:pPr>
                  <w:r>
                    <w:rPr>
                      <w:rFonts w:hint="eastAsia"/>
                      <w:kern w:val="0"/>
                      <w:sz w:val="21"/>
                      <w:szCs w:val="21"/>
                    </w:rPr>
                    <w:t>7</w:t>
                  </w:r>
                </w:p>
              </w:tc>
              <w:tc>
                <w:tcPr>
                  <w:tcW w:w="177" w:type="pct"/>
                  <w:vAlign w:val="center"/>
                </w:tcPr>
                <w:p w14:paraId="4E54E0F5">
                  <w:pPr>
                    <w:widowControl/>
                    <w:snapToGrid w:val="0"/>
                    <w:spacing w:line="240" w:lineRule="auto"/>
                    <w:ind w:firstLine="0" w:firstLineChars="0"/>
                    <w:jc w:val="center"/>
                    <w:rPr>
                      <w:kern w:val="0"/>
                      <w:sz w:val="21"/>
                      <w:szCs w:val="21"/>
                    </w:rPr>
                  </w:pPr>
                  <w:r>
                    <w:rPr>
                      <w:kern w:val="0"/>
                      <w:sz w:val="21"/>
                      <w:szCs w:val="21"/>
                    </w:rPr>
                    <w:t>坑探</w:t>
                  </w:r>
                </w:p>
              </w:tc>
              <w:tc>
                <w:tcPr>
                  <w:tcW w:w="349" w:type="pct"/>
                  <w:noWrap/>
                  <w:vAlign w:val="center"/>
                </w:tcPr>
                <w:p w14:paraId="2946E947">
                  <w:pPr>
                    <w:widowControl/>
                    <w:snapToGrid w:val="0"/>
                    <w:spacing w:line="240" w:lineRule="auto"/>
                    <w:ind w:firstLine="0" w:firstLineChars="0"/>
                    <w:jc w:val="center"/>
                    <w:rPr>
                      <w:kern w:val="0"/>
                      <w:sz w:val="21"/>
                      <w:szCs w:val="21"/>
                    </w:rPr>
                  </w:pPr>
                  <w:r>
                    <w:rPr>
                      <w:kern w:val="0"/>
                      <w:sz w:val="21"/>
                      <w:szCs w:val="21"/>
                    </w:rPr>
                    <w:t>m</w:t>
                  </w:r>
                </w:p>
              </w:tc>
              <w:tc>
                <w:tcPr>
                  <w:tcW w:w="433" w:type="pct"/>
                  <w:noWrap/>
                  <w:vAlign w:val="center"/>
                </w:tcPr>
                <w:p w14:paraId="20700D34">
                  <w:pPr>
                    <w:widowControl/>
                    <w:snapToGrid w:val="0"/>
                    <w:spacing w:line="240" w:lineRule="auto"/>
                    <w:ind w:firstLine="0" w:firstLineChars="0"/>
                    <w:jc w:val="center"/>
                    <w:rPr>
                      <w:kern w:val="0"/>
                      <w:sz w:val="21"/>
                      <w:szCs w:val="21"/>
                    </w:rPr>
                  </w:pPr>
                  <w:r>
                    <w:rPr>
                      <w:kern w:val="0"/>
                      <w:sz w:val="21"/>
                      <w:szCs w:val="21"/>
                    </w:rPr>
                    <w:t>1934</w:t>
                  </w:r>
                </w:p>
              </w:tc>
              <w:tc>
                <w:tcPr>
                  <w:tcW w:w="400" w:type="pct"/>
                  <w:noWrap/>
                  <w:vAlign w:val="center"/>
                </w:tcPr>
                <w:p w14:paraId="05B75784">
                  <w:pPr>
                    <w:widowControl/>
                    <w:snapToGrid w:val="0"/>
                    <w:spacing w:line="240" w:lineRule="auto"/>
                    <w:ind w:firstLine="0" w:firstLineChars="0"/>
                    <w:jc w:val="center"/>
                    <w:rPr>
                      <w:kern w:val="0"/>
                      <w:sz w:val="21"/>
                      <w:szCs w:val="21"/>
                    </w:rPr>
                  </w:pPr>
                  <w:r>
                    <w:rPr>
                      <w:kern w:val="0"/>
                      <w:sz w:val="21"/>
                      <w:szCs w:val="21"/>
                    </w:rPr>
                    <w:t>1478</w:t>
                  </w:r>
                </w:p>
              </w:tc>
              <w:tc>
                <w:tcPr>
                  <w:tcW w:w="400" w:type="pct"/>
                  <w:vAlign w:val="center"/>
                </w:tcPr>
                <w:p w14:paraId="65A50B56">
                  <w:pPr>
                    <w:widowControl/>
                    <w:snapToGrid w:val="0"/>
                    <w:spacing w:line="240" w:lineRule="auto"/>
                    <w:ind w:firstLine="0" w:firstLineChars="0"/>
                    <w:jc w:val="center"/>
                    <w:rPr>
                      <w:kern w:val="0"/>
                      <w:sz w:val="21"/>
                      <w:szCs w:val="21"/>
                    </w:rPr>
                  </w:pPr>
                  <w:r>
                    <w:rPr>
                      <w:kern w:val="0"/>
                      <w:sz w:val="21"/>
                      <w:szCs w:val="21"/>
                    </w:rPr>
                    <w:t>522</w:t>
                  </w:r>
                </w:p>
              </w:tc>
              <w:tc>
                <w:tcPr>
                  <w:tcW w:w="400" w:type="pct"/>
                  <w:vAlign w:val="center"/>
                </w:tcPr>
                <w:p w14:paraId="07B0DEC7">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275F276D">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08783DBE">
                  <w:pPr>
                    <w:widowControl/>
                    <w:snapToGrid w:val="0"/>
                    <w:spacing w:line="240" w:lineRule="auto"/>
                    <w:ind w:firstLine="0" w:firstLineChars="0"/>
                    <w:jc w:val="center"/>
                    <w:rPr>
                      <w:kern w:val="0"/>
                      <w:sz w:val="21"/>
                      <w:szCs w:val="21"/>
                    </w:rPr>
                  </w:pPr>
                  <w:r>
                    <w:rPr>
                      <w:kern w:val="0"/>
                      <w:sz w:val="21"/>
                      <w:szCs w:val="21"/>
                    </w:rPr>
                    <w:t>3934</w:t>
                  </w:r>
                </w:p>
              </w:tc>
            </w:tr>
            <w:tr w14:paraId="3452C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054FD2B1">
                  <w:pPr>
                    <w:widowControl/>
                    <w:snapToGrid w:val="0"/>
                    <w:spacing w:line="240" w:lineRule="auto"/>
                    <w:ind w:firstLine="0" w:firstLineChars="0"/>
                    <w:jc w:val="center"/>
                    <w:rPr>
                      <w:kern w:val="0"/>
                      <w:sz w:val="21"/>
                      <w:szCs w:val="21"/>
                    </w:rPr>
                  </w:pPr>
                  <w:r>
                    <w:rPr>
                      <w:rFonts w:hint="eastAsia"/>
                      <w:kern w:val="0"/>
                      <w:sz w:val="21"/>
                      <w:szCs w:val="21"/>
                    </w:rPr>
                    <w:t>8</w:t>
                  </w:r>
                </w:p>
              </w:tc>
              <w:tc>
                <w:tcPr>
                  <w:tcW w:w="177" w:type="pct"/>
                  <w:vAlign w:val="center"/>
                </w:tcPr>
                <w:p w14:paraId="62528220">
                  <w:pPr>
                    <w:widowControl/>
                    <w:snapToGrid w:val="0"/>
                    <w:spacing w:line="240" w:lineRule="auto"/>
                    <w:ind w:firstLine="0" w:firstLineChars="0"/>
                    <w:jc w:val="center"/>
                    <w:rPr>
                      <w:kern w:val="0"/>
                      <w:sz w:val="21"/>
                      <w:szCs w:val="21"/>
                    </w:rPr>
                  </w:pPr>
                  <w:r>
                    <w:rPr>
                      <w:kern w:val="0"/>
                      <w:sz w:val="21"/>
                      <w:szCs w:val="21"/>
                    </w:rPr>
                    <w:t>探槽</w:t>
                  </w:r>
                </w:p>
              </w:tc>
              <w:tc>
                <w:tcPr>
                  <w:tcW w:w="349" w:type="pct"/>
                  <w:noWrap/>
                  <w:vAlign w:val="center"/>
                </w:tcPr>
                <w:p w14:paraId="1256FDD0">
                  <w:pPr>
                    <w:widowControl/>
                    <w:snapToGrid w:val="0"/>
                    <w:spacing w:line="240" w:lineRule="auto"/>
                    <w:ind w:firstLine="0" w:firstLineChars="0"/>
                    <w:jc w:val="center"/>
                    <w:rPr>
                      <w:kern w:val="0"/>
                      <w:sz w:val="21"/>
                      <w:szCs w:val="21"/>
                    </w:rPr>
                  </w:pPr>
                  <w:r>
                    <w:rPr>
                      <w:kern w:val="0"/>
                      <w:sz w:val="21"/>
                      <w:szCs w:val="21"/>
                    </w:rPr>
                    <w:t>m</w:t>
                  </w:r>
                  <w:r>
                    <w:rPr>
                      <w:kern w:val="0"/>
                      <w:sz w:val="21"/>
                      <w:szCs w:val="21"/>
                      <w:vertAlign w:val="superscript"/>
                    </w:rPr>
                    <w:t>3</w:t>
                  </w:r>
                </w:p>
              </w:tc>
              <w:tc>
                <w:tcPr>
                  <w:tcW w:w="433" w:type="pct"/>
                  <w:noWrap/>
                  <w:vAlign w:val="center"/>
                </w:tcPr>
                <w:p w14:paraId="2E53D587">
                  <w:pPr>
                    <w:widowControl/>
                    <w:snapToGrid w:val="0"/>
                    <w:spacing w:line="240" w:lineRule="auto"/>
                    <w:ind w:firstLine="0" w:firstLineChars="0"/>
                    <w:jc w:val="center"/>
                    <w:rPr>
                      <w:kern w:val="0"/>
                      <w:sz w:val="21"/>
                      <w:szCs w:val="21"/>
                    </w:rPr>
                  </w:pPr>
                  <w:r>
                    <w:rPr>
                      <w:kern w:val="0"/>
                      <w:sz w:val="21"/>
                      <w:szCs w:val="21"/>
                    </w:rPr>
                    <w:t>1500</w:t>
                  </w:r>
                </w:p>
              </w:tc>
              <w:tc>
                <w:tcPr>
                  <w:tcW w:w="400" w:type="pct"/>
                  <w:noWrap/>
                  <w:vAlign w:val="center"/>
                </w:tcPr>
                <w:p w14:paraId="61336206">
                  <w:pPr>
                    <w:widowControl/>
                    <w:snapToGrid w:val="0"/>
                    <w:spacing w:line="240" w:lineRule="auto"/>
                    <w:ind w:firstLine="0" w:firstLineChars="0"/>
                    <w:jc w:val="center"/>
                    <w:rPr>
                      <w:kern w:val="0"/>
                      <w:sz w:val="21"/>
                      <w:szCs w:val="21"/>
                    </w:rPr>
                  </w:pPr>
                  <w:r>
                    <w:rPr>
                      <w:kern w:val="0"/>
                      <w:sz w:val="21"/>
                      <w:szCs w:val="21"/>
                    </w:rPr>
                    <w:t>2000</w:t>
                  </w:r>
                </w:p>
              </w:tc>
              <w:tc>
                <w:tcPr>
                  <w:tcW w:w="400" w:type="pct"/>
                  <w:vAlign w:val="center"/>
                </w:tcPr>
                <w:p w14:paraId="0B44730C">
                  <w:pPr>
                    <w:widowControl/>
                    <w:snapToGrid w:val="0"/>
                    <w:spacing w:line="240" w:lineRule="auto"/>
                    <w:ind w:firstLine="0" w:firstLineChars="0"/>
                    <w:jc w:val="center"/>
                    <w:rPr>
                      <w:kern w:val="0"/>
                      <w:sz w:val="21"/>
                      <w:szCs w:val="21"/>
                    </w:rPr>
                  </w:pPr>
                  <w:r>
                    <w:rPr>
                      <w:kern w:val="0"/>
                      <w:sz w:val="21"/>
                      <w:szCs w:val="21"/>
                    </w:rPr>
                    <w:t>500</w:t>
                  </w:r>
                </w:p>
              </w:tc>
              <w:tc>
                <w:tcPr>
                  <w:tcW w:w="400" w:type="pct"/>
                  <w:vAlign w:val="center"/>
                </w:tcPr>
                <w:p w14:paraId="5BFE584B">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478E1348">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3086896C">
                  <w:pPr>
                    <w:widowControl/>
                    <w:snapToGrid w:val="0"/>
                    <w:spacing w:line="240" w:lineRule="auto"/>
                    <w:ind w:firstLine="0" w:firstLineChars="0"/>
                    <w:jc w:val="center"/>
                    <w:rPr>
                      <w:kern w:val="0"/>
                      <w:sz w:val="21"/>
                      <w:szCs w:val="21"/>
                    </w:rPr>
                  </w:pPr>
                  <w:r>
                    <w:rPr>
                      <w:kern w:val="0"/>
                      <w:sz w:val="21"/>
                      <w:szCs w:val="21"/>
                    </w:rPr>
                    <w:t>4000</w:t>
                  </w:r>
                </w:p>
              </w:tc>
            </w:tr>
            <w:tr w14:paraId="37AEF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0" w:hRule="atLeast"/>
              </w:trPr>
              <w:tc>
                <w:tcPr>
                  <w:tcW w:w="2075" w:type="pct"/>
                  <w:noWrap/>
                  <w:vAlign w:val="center"/>
                </w:tcPr>
                <w:p w14:paraId="67904262">
                  <w:pPr>
                    <w:widowControl/>
                    <w:snapToGrid w:val="0"/>
                    <w:spacing w:line="240" w:lineRule="auto"/>
                    <w:ind w:firstLine="0" w:firstLineChars="0"/>
                    <w:jc w:val="center"/>
                    <w:rPr>
                      <w:kern w:val="0"/>
                      <w:sz w:val="21"/>
                      <w:szCs w:val="21"/>
                    </w:rPr>
                  </w:pPr>
                  <w:r>
                    <w:rPr>
                      <w:rFonts w:hint="eastAsia"/>
                      <w:kern w:val="0"/>
                      <w:sz w:val="21"/>
                      <w:szCs w:val="21"/>
                    </w:rPr>
                    <w:t>9</w:t>
                  </w:r>
                </w:p>
              </w:tc>
              <w:tc>
                <w:tcPr>
                  <w:tcW w:w="177" w:type="pct"/>
                  <w:noWrap/>
                  <w:vAlign w:val="center"/>
                </w:tcPr>
                <w:p w14:paraId="244F9653">
                  <w:pPr>
                    <w:widowControl/>
                    <w:snapToGrid w:val="0"/>
                    <w:spacing w:line="240" w:lineRule="auto"/>
                    <w:ind w:firstLine="0" w:firstLineChars="0"/>
                    <w:jc w:val="center"/>
                    <w:rPr>
                      <w:kern w:val="0"/>
                      <w:sz w:val="21"/>
                      <w:szCs w:val="21"/>
                    </w:rPr>
                  </w:pPr>
                  <w:r>
                    <w:rPr>
                      <w:kern w:val="0"/>
                      <w:sz w:val="21"/>
                      <w:szCs w:val="21"/>
                    </w:rPr>
                    <w:t>基本分析化学样（包含内外检）</w:t>
                  </w:r>
                </w:p>
              </w:tc>
              <w:tc>
                <w:tcPr>
                  <w:tcW w:w="349" w:type="pct"/>
                  <w:noWrap/>
                  <w:vAlign w:val="center"/>
                </w:tcPr>
                <w:p w14:paraId="1C46B723">
                  <w:pPr>
                    <w:widowControl/>
                    <w:snapToGrid w:val="0"/>
                    <w:spacing w:line="240" w:lineRule="auto"/>
                    <w:ind w:firstLine="0" w:firstLineChars="0"/>
                    <w:jc w:val="center"/>
                    <w:rPr>
                      <w:kern w:val="0"/>
                      <w:sz w:val="21"/>
                      <w:szCs w:val="21"/>
                    </w:rPr>
                  </w:pPr>
                  <w:r>
                    <w:rPr>
                      <w:kern w:val="0"/>
                      <w:sz w:val="21"/>
                      <w:szCs w:val="21"/>
                    </w:rPr>
                    <w:t>件</w:t>
                  </w:r>
                </w:p>
              </w:tc>
              <w:tc>
                <w:tcPr>
                  <w:tcW w:w="433" w:type="pct"/>
                  <w:noWrap/>
                  <w:vAlign w:val="center"/>
                </w:tcPr>
                <w:p w14:paraId="5FEC6A0B">
                  <w:pPr>
                    <w:widowControl/>
                    <w:snapToGrid w:val="0"/>
                    <w:spacing w:line="240" w:lineRule="auto"/>
                    <w:ind w:firstLine="0" w:firstLineChars="0"/>
                    <w:jc w:val="center"/>
                    <w:rPr>
                      <w:kern w:val="0"/>
                      <w:sz w:val="21"/>
                      <w:szCs w:val="21"/>
                    </w:rPr>
                  </w:pPr>
                  <w:r>
                    <w:rPr>
                      <w:kern w:val="0"/>
                      <w:sz w:val="21"/>
                      <w:szCs w:val="21"/>
                    </w:rPr>
                    <w:t>200</w:t>
                  </w:r>
                </w:p>
              </w:tc>
              <w:tc>
                <w:tcPr>
                  <w:tcW w:w="400" w:type="pct"/>
                  <w:noWrap/>
                  <w:vAlign w:val="center"/>
                </w:tcPr>
                <w:p w14:paraId="0BAD07E8">
                  <w:pPr>
                    <w:widowControl/>
                    <w:snapToGrid w:val="0"/>
                    <w:spacing w:line="240" w:lineRule="auto"/>
                    <w:ind w:firstLine="0" w:firstLineChars="0"/>
                    <w:jc w:val="center"/>
                    <w:rPr>
                      <w:kern w:val="0"/>
                      <w:sz w:val="21"/>
                      <w:szCs w:val="21"/>
                    </w:rPr>
                  </w:pPr>
                  <w:r>
                    <w:rPr>
                      <w:kern w:val="0"/>
                      <w:sz w:val="21"/>
                      <w:szCs w:val="21"/>
                    </w:rPr>
                    <w:t>450</w:t>
                  </w:r>
                </w:p>
              </w:tc>
              <w:tc>
                <w:tcPr>
                  <w:tcW w:w="400" w:type="pct"/>
                  <w:vAlign w:val="center"/>
                </w:tcPr>
                <w:p w14:paraId="081515F1">
                  <w:pPr>
                    <w:widowControl/>
                    <w:snapToGrid w:val="0"/>
                    <w:spacing w:line="240" w:lineRule="auto"/>
                    <w:ind w:firstLine="0" w:firstLineChars="0"/>
                    <w:jc w:val="center"/>
                    <w:rPr>
                      <w:kern w:val="0"/>
                      <w:sz w:val="21"/>
                      <w:szCs w:val="21"/>
                    </w:rPr>
                  </w:pPr>
                  <w:r>
                    <w:rPr>
                      <w:kern w:val="0"/>
                      <w:sz w:val="21"/>
                      <w:szCs w:val="21"/>
                    </w:rPr>
                    <w:t>560</w:t>
                  </w:r>
                </w:p>
              </w:tc>
              <w:tc>
                <w:tcPr>
                  <w:tcW w:w="400" w:type="pct"/>
                  <w:vAlign w:val="center"/>
                </w:tcPr>
                <w:p w14:paraId="2BF77D0B">
                  <w:pPr>
                    <w:widowControl/>
                    <w:snapToGrid w:val="0"/>
                    <w:spacing w:line="240" w:lineRule="auto"/>
                    <w:ind w:firstLine="0" w:firstLineChars="0"/>
                    <w:jc w:val="center"/>
                    <w:rPr>
                      <w:kern w:val="0"/>
                      <w:sz w:val="21"/>
                      <w:szCs w:val="21"/>
                    </w:rPr>
                  </w:pPr>
                  <w:r>
                    <w:rPr>
                      <w:kern w:val="0"/>
                      <w:sz w:val="21"/>
                      <w:szCs w:val="21"/>
                    </w:rPr>
                    <w:t>540</w:t>
                  </w:r>
                </w:p>
              </w:tc>
              <w:tc>
                <w:tcPr>
                  <w:tcW w:w="334" w:type="pct"/>
                  <w:vAlign w:val="center"/>
                </w:tcPr>
                <w:p w14:paraId="5084D534">
                  <w:pPr>
                    <w:widowControl/>
                    <w:snapToGrid w:val="0"/>
                    <w:spacing w:line="240" w:lineRule="auto"/>
                    <w:ind w:firstLine="0" w:firstLineChars="0"/>
                    <w:jc w:val="center"/>
                    <w:rPr>
                      <w:kern w:val="0"/>
                      <w:sz w:val="21"/>
                      <w:szCs w:val="21"/>
                    </w:rPr>
                  </w:pPr>
                  <w:r>
                    <w:rPr>
                      <w:kern w:val="0"/>
                      <w:sz w:val="21"/>
                      <w:szCs w:val="21"/>
                    </w:rPr>
                    <w:t>250</w:t>
                  </w:r>
                </w:p>
              </w:tc>
              <w:tc>
                <w:tcPr>
                  <w:tcW w:w="433" w:type="pct"/>
                  <w:vAlign w:val="center"/>
                </w:tcPr>
                <w:p w14:paraId="12F40D4D">
                  <w:pPr>
                    <w:widowControl/>
                    <w:snapToGrid w:val="0"/>
                    <w:spacing w:line="240" w:lineRule="auto"/>
                    <w:ind w:firstLine="0" w:firstLineChars="0"/>
                    <w:jc w:val="center"/>
                    <w:rPr>
                      <w:kern w:val="0"/>
                      <w:sz w:val="21"/>
                      <w:szCs w:val="21"/>
                    </w:rPr>
                  </w:pPr>
                  <w:r>
                    <w:rPr>
                      <w:kern w:val="0"/>
                      <w:sz w:val="21"/>
                      <w:szCs w:val="21"/>
                    </w:rPr>
                    <w:t>2000</w:t>
                  </w:r>
                </w:p>
              </w:tc>
            </w:tr>
            <w:tr w14:paraId="2D237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4EF4E2A8">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0</w:t>
                  </w:r>
                </w:p>
              </w:tc>
              <w:tc>
                <w:tcPr>
                  <w:tcW w:w="177" w:type="pct"/>
                  <w:vAlign w:val="center"/>
                </w:tcPr>
                <w:p w14:paraId="23A814BC">
                  <w:pPr>
                    <w:widowControl/>
                    <w:snapToGrid w:val="0"/>
                    <w:spacing w:line="240" w:lineRule="auto"/>
                    <w:ind w:firstLine="0" w:firstLineChars="0"/>
                    <w:jc w:val="center"/>
                    <w:rPr>
                      <w:kern w:val="0"/>
                      <w:sz w:val="21"/>
                      <w:szCs w:val="21"/>
                    </w:rPr>
                  </w:pPr>
                  <w:r>
                    <w:rPr>
                      <w:kern w:val="0"/>
                      <w:sz w:val="21"/>
                      <w:szCs w:val="21"/>
                    </w:rPr>
                    <w:t>化学样品组合分析</w:t>
                  </w:r>
                </w:p>
              </w:tc>
              <w:tc>
                <w:tcPr>
                  <w:tcW w:w="349" w:type="pct"/>
                  <w:noWrap/>
                  <w:vAlign w:val="center"/>
                </w:tcPr>
                <w:p w14:paraId="023031A3">
                  <w:pPr>
                    <w:widowControl/>
                    <w:snapToGrid w:val="0"/>
                    <w:spacing w:line="240" w:lineRule="auto"/>
                    <w:ind w:firstLine="0" w:firstLineChars="0"/>
                    <w:jc w:val="center"/>
                    <w:rPr>
                      <w:kern w:val="0"/>
                      <w:sz w:val="21"/>
                      <w:szCs w:val="21"/>
                    </w:rPr>
                  </w:pPr>
                  <w:r>
                    <w:rPr>
                      <w:kern w:val="0"/>
                      <w:sz w:val="21"/>
                      <w:szCs w:val="21"/>
                    </w:rPr>
                    <w:t>件</w:t>
                  </w:r>
                </w:p>
              </w:tc>
              <w:tc>
                <w:tcPr>
                  <w:tcW w:w="433" w:type="pct"/>
                  <w:noWrap/>
                  <w:vAlign w:val="center"/>
                </w:tcPr>
                <w:p w14:paraId="0DECFCAE">
                  <w:pPr>
                    <w:widowControl/>
                    <w:snapToGrid w:val="0"/>
                    <w:spacing w:line="240" w:lineRule="auto"/>
                    <w:ind w:firstLine="0" w:firstLineChars="0"/>
                    <w:jc w:val="center"/>
                    <w:rPr>
                      <w:kern w:val="0"/>
                      <w:sz w:val="21"/>
                      <w:szCs w:val="21"/>
                    </w:rPr>
                  </w:pPr>
                  <w:r>
                    <w:rPr>
                      <w:kern w:val="0"/>
                      <w:sz w:val="21"/>
                      <w:szCs w:val="21"/>
                    </w:rPr>
                    <w:t>13</w:t>
                  </w:r>
                </w:p>
              </w:tc>
              <w:tc>
                <w:tcPr>
                  <w:tcW w:w="400" w:type="pct"/>
                  <w:noWrap/>
                  <w:vAlign w:val="center"/>
                </w:tcPr>
                <w:p w14:paraId="57A6571C">
                  <w:pPr>
                    <w:widowControl/>
                    <w:snapToGrid w:val="0"/>
                    <w:spacing w:line="240" w:lineRule="auto"/>
                    <w:ind w:firstLine="0" w:firstLineChars="0"/>
                    <w:jc w:val="center"/>
                    <w:rPr>
                      <w:kern w:val="0"/>
                      <w:sz w:val="21"/>
                      <w:szCs w:val="21"/>
                    </w:rPr>
                  </w:pPr>
                  <w:r>
                    <w:rPr>
                      <w:kern w:val="0"/>
                      <w:sz w:val="21"/>
                      <w:szCs w:val="21"/>
                    </w:rPr>
                    <w:t>15</w:t>
                  </w:r>
                </w:p>
              </w:tc>
              <w:tc>
                <w:tcPr>
                  <w:tcW w:w="400" w:type="pct"/>
                  <w:vAlign w:val="center"/>
                </w:tcPr>
                <w:p w14:paraId="2368AAFC">
                  <w:pPr>
                    <w:widowControl/>
                    <w:snapToGrid w:val="0"/>
                    <w:spacing w:line="240" w:lineRule="auto"/>
                    <w:ind w:firstLine="0" w:firstLineChars="0"/>
                    <w:jc w:val="center"/>
                    <w:rPr>
                      <w:kern w:val="0"/>
                      <w:sz w:val="21"/>
                      <w:szCs w:val="21"/>
                    </w:rPr>
                  </w:pPr>
                  <w:r>
                    <w:rPr>
                      <w:kern w:val="0"/>
                      <w:sz w:val="21"/>
                      <w:szCs w:val="21"/>
                    </w:rPr>
                    <w:t>12</w:t>
                  </w:r>
                </w:p>
              </w:tc>
              <w:tc>
                <w:tcPr>
                  <w:tcW w:w="400" w:type="pct"/>
                  <w:vAlign w:val="center"/>
                </w:tcPr>
                <w:p w14:paraId="017448E9">
                  <w:pPr>
                    <w:widowControl/>
                    <w:snapToGrid w:val="0"/>
                    <w:spacing w:line="240" w:lineRule="auto"/>
                    <w:ind w:firstLine="0" w:firstLineChars="0"/>
                    <w:jc w:val="center"/>
                    <w:rPr>
                      <w:kern w:val="0"/>
                      <w:sz w:val="21"/>
                      <w:szCs w:val="21"/>
                    </w:rPr>
                  </w:pPr>
                  <w:r>
                    <w:rPr>
                      <w:kern w:val="0"/>
                      <w:sz w:val="21"/>
                      <w:szCs w:val="21"/>
                    </w:rPr>
                    <w:t>8</w:t>
                  </w:r>
                </w:p>
              </w:tc>
              <w:tc>
                <w:tcPr>
                  <w:tcW w:w="334" w:type="pct"/>
                  <w:vAlign w:val="center"/>
                </w:tcPr>
                <w:p w14:paraId="651DD16F">
                  <w:pPr>
                    <w:widowControl/>
                    <w:snapToGrid w:val="0"/>
                    <w:spacing w:line="240" w:lineRule="auto"/>
                    <w:ind w:firstLine="0" w:firstLineChars="0"/>
                    <w:jc w:val="center"/>
                    <w:rPr>
                      <w:kern w:val="0"/>
                      <w:sz w:val="21"/>
                      <w:szCs w:val="21"/>
                    </w:rPr>
                  </w:pPr>
                  <w:r>
                    <w:rPr>
                      <w:kern w:val="0"/>
                      <w:sz w:val="21"/>
                      <w:szCs w:val="21"/>
                    </w:rPr>
                    <w:t>2</w:t>
                  </w:r>
                </w:p>
              </w:tc>
              <w:tc>
                <w:tcPr>
                  <w:tcW w:w="433" w:type="pct"/>
                  <w:vAlign w:val="center"/>
                </w:tcPr>
                <w:p w14:paraId="43F87168">
                  <w:pPr>
                    <w:widowControl/>
                    <w:snapToGrid w:val="0"/>
                    <w:spacing w:line="240" w:lineRule="auto"/>
                    <w:ind w:firstLine="0" w:firstLineChars="0"/>
                    <w:jc w:val="center"/>
                    <w:rPr>
                      <w:kern w:val="0"/>
                      <w:sz w:val="21"/>
                      <w:szCs w:val="21"/>
                    </w:rPr>
                  </w:pPr>
                  <w:r>
                    <w:rPr>
                      <w:kern w:val="0"/>
                      <w:sz w:val="21"/>
                      <w:szCs w:val="21"/>
                    </w:rPr>
                    <w:t>50</w:t>
                  </w:r>
                </w:p>
              </w:tc>
            </w:tr>
            <w:tr w14:paraId="6BB62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45D26D09">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1</w:t>
                  </w:r>
                </w:p>
              </w:tc>
              <w:tc>
                <w:tcPr>
                  <w:tcW w:w="177" w:type="pct"/>
                  <w:vAlign w:val="center"/>
                </w:tcPr>
                <w:p w14:paraId="34ADD8FF">
                  <w:pPr>
                    <w:widowControl/>
                    <w:snapToGrid w:val="0"/>
                    <w:spacing w:line="240" w:lineRule="auto"/>
                    <w:ind w:firstLine="0" w:firstLineChars="0"/>
                    <w:jc w:val="center"/>
                    <w:rPr>
                      <w:kern w:val="0"/>
                      <w:sz w:val="21"/>
                      <w:szCs w:val="21"/>
                    </w:rPr>
                  </w:pPr>
                  <w:r>
                    <w:rPr>
                      <w:kern w:val="0"/>
                      <w:sz w:val="21"/>
                      <w:szCs w:val="21"/>
                    </w:rPr>
                    <w:t>化学全分析</w:t>
                  </w:r>
                </w:p>
              </w:tc>
              <w:tc>
                <w:tcPr>
                  <w:tcW w:w="349" w:type="pct"/>
                  <w:noWrap/>
                  <w:vAlign w:val="center"/>
                </w:tcPr>
                <w:p w14:paraId="0C6A899A">
                  <w:pPr>
                    <w:widowControl/>
                    <w:snapToGrid w:val="0"/>
                    <w:spacing w:line="240" w:lineRule="auto"/>
                    <w:ind w:firstLine="0" w:firstLineChars="0"/>
                    <w:jc w:val="center"/>
                    <w:rPr>
                      <w:kern w:val="0"/>
                      <w:sz w:val="21"/>
                      <w:szCs w:val="21"/>
                    </w:rPr>
                  </w:pPr>
                  <w:r>
                    <w:rPr>
                      <w:kern w:val="0"/>
                      <w:sz w:val="21"/>
                      <w:szCs w:val="21"/>
                    </w:rPr>
                    <w:t>件</w:t>
                  </w:r>
                </w:p>
              </w:tc>
              <w:tc>
                <w:tcPr>
                  <w:tcW w:w="433" w:type="pct"/>
                  <w:noWrap/>
                  <w:vAlign w:val="center"/>
                </w:tcPr>
                <w:p w14:paraId="6E2DA00D">
                  <w:pPr>
                    <w:widowControl/>
                    <w:snapToGrid w:val="0"/>
                    <w:spacing w:line="240" w:lineRule="auto"/>
                    <w:ind w:firstLine="0" w:firstLineChars="0"/>
                    <w:jc w:val="center"/>
                    <w:rPr>
                      <w:kern w:val="0"/>
                      <w:sz w:val="21"/>
                      <w:szCs w:val="21"/>
                    </w:rPr>
                  </w:pPr>
                  <w:r>
                    <w:rPr>
                      <w:kern w:val="0"/>
                      <w:sz w:val="21"/>
                      <w:szCs w:val="21"/>
                    </w:rPr>
                    <w:t>1</w:t>
                  </w:r>
                </w:p>
              </w:tc>
              <w:tc>
                <w:tcPr>
                  <w:tcW w:w="400" w:type="pct"/>
                  <w:noWrap/>
                  <w:vAlign w:val="center"/>
                </w:tcPr>
                <w:p w14:paraId="6761FB05">
                  <w:pPr>
                    <w:widowControl/>
                    <w:snapToGrid w:val="0"/>
                    <w:spacing w:line="240" w:lineRule="auto"/>
                    <w:ind w:firstLine="0" w:firstLineChars="0"/>
                    <w:jc w:val="center"/>
                    <w:rPr>
                      <w:kern w:val="0"/>
                      <w:sz w:val="21"/>
                      <w:szCs w:val="21"/>
                    </w:rPr>
                  </w:pPr>
                  <w:r>
                    <w:rPr>
                      <w:kern w:val="0"/>
                      <w:sz w:val="21"/>
                      <w:szCs w:val="21"/>
                    </w:rPr>
                    <w:t>2</w:t>
                  </w:r>
                </w:p>
              </w:tc>
              <w:tc>
                <w:tcPr>
                  <w:tcW w:w="400" w:type="pct"/>
                  <w:vAlign w:val="center"/>
                </w:tcPr>
                <w:p w14:paraId="34E7E907">
                  <w:pPr>
                    <w:widowControl/>
                    <w:snapToGrid w:val="0"/>
                    <w:spacing w:line="240" w:lineRule="auto"/>
                    <w:ind w:firstLine="0" w:firstLineChars="0"/>
                    <w:jc w:val="center"/>
                    <w:rPr>
                      <w:kern w:val="0"/>
                      <w:sz w:val="21"/>
                      <w:szCs w:val="21"/>
                    </w:rPr>
                  </w:pPr>
                  <w:r>
                    <w:rPr>
                      <w:kern w:val="0"/>
                      <w:sz w:val="21"/>
                      <w:szCs w:val="21"/>
                    </w:rPr>
                    <w:t>1</w:t>
                  </w:r>
                </w:p>
              </w:tc>
              <w:tc>
                <w:tcPr>
                  <w:tcW w:w="400" w:type="pct"/>
                  <w:vAlign w:val="center"/>
                </w:tcPr>
                <w:p w14:paraId="3FE36ED6">
                  <w:pPr>
                    <w:widowControl/>
                    <w:snapToGrid w:val="0"/>
                    <w:spacing w:line="240" w:lineRule="auto"/>
                    <w:ind w:firstLine="0" w:firstLineChars="0"/>
                    <w:jc w:val="center"/>
                    <w:rPr>
                      <w:kern w:val="0"/>
                      <w:sz w:val="21"/>
                      <w:szCs w:val="21"/>
                    </w:rPr>
                  </w:pPr>
                  <w:r>
                    <w:rPr>
                      <w:kern w:val="0"/>
                      <w:sz w:val="21"/>
                      <w:szCs w:val="21"/>
                    </w:rPr>
                    <w:t>1</w:t>
                  </w:r>
                </w:p>
              </w:tc>
              <w:tc>
                <w:tcPr>
                  <w:tcW w:w="334" w:type="pct"/>
                  <w:vAlign w:val="center"/>
                </w:tcPr>
                <w:p w14:paraId="131FD18D">
                  <w:pPr>
                    <w:widowControl/>
                    <w:snapToGrid w:val="0"/>
                    <w:spacing w:line="240" w:lineRule="auto"/>
                    <w:ind w:firstLine="0" w:firstLineChars="0"/>
                    <w:jc w:val="center"/>
                    <w:rPr>
                      <w:kern w:val="0"/>
                      <w:sz w:val="21"/>
                      <w:szCs w:val="21"/>
                    </w:rPr>
                  </w:pPr>
                  <w:r>
                    <w:rPr>
                      <w:kern w:val="0"/>
                      <w:sz w:val="21"/>
                      <w:szCs w:val="21"/>
                    </w:rPr>
                    <w:t>1</w:t>
                  </w:r>
                </w:p>
              </w:tc>
              <w:tc>
                <w:tcPr>
                  <w:tcW w:w="433" w:type="pct"/>
                  <w:vAlign w:val="center"/>
                </w:tcPr>
                <w:p w14:paraId="46B6BE7A">
                  <w:pPr>
                    <w:widowControl/>
                    <w:snapToGrid w:val="0"/>
                    <w:spacing w:line="240" w:lineRule="auto"/>
                    <w:ind w:firstLine="0" w:firstLineChars="0"/>
                    <w:jc w:val="center"/>
                    <w:rPr>
                      <w:kern w:val="0"/>
                      <w:sz w:val="21"/>
                      <w:szCs w:val="21"/>
                    </w:rPr>
                  </w:pPr>
                  <w:r>
                    <w:rPr>
                      <w:kern w:val="0"/>
                      <w:sz w:val="21"/>
                      <w:szCs w:val="21"/>
                    </w:rPr>
                    <w:t>6</w:t>
                  </w:r>
                </w:p>
              </w:tc>
            </w:tr>
            <w:tr w14:paraId="6A4BC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460D001E">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2</w:t>
                  </w:r>
                </w:p>
              </w:tc>
              <w:tc>
                <w:tcPr>
                  <w:tcW w:w="177" w:type="pct"/>
                  <w:vAlign w:val="center"/>
                </w:tcPr>
                <w:p w14:paraId="7BCA6386">
                  <w:pPr>
                    <w:widowControl/>
                    <w:snapToGrid w:val="0"/>
                    <w:spacing w:line="240" w:lineRule="auto"/>
                    <w:ind w:firstLine="0" w:firstLineChars="0"/>
                    <w:jc w:val="center"/>
                    <w:rPr>
                      <w:kern w:val="0"/>
                      <w:sz w:val="21"/>
                      <w:szCs w:val="21"/>
                    </w:rPr>
                  </w:pPr>
                  <w:r>
                    <w:rPr>
                      <w:kern w:val="0"/>
                      <w:sz w:val="21"/>
                      <w:szCs w:val="21"/>
                    </w:rPr>
                    <w:t>光谱分析</w:t>
                  </w:r>
                </w:p>
              </w:tc>
              <w:tc>
                <w:tcPr>
                  <w:tcW w:w="349" w:type="pct"/>
                  <w:vAlign w:val="center"/>
                </w:tcPr>
                <w:p w14:paraId="1E5909B6">
                  <w:pPr>
                    <w:widowControl/>
                    <w:snapToGrid w:val="0"/>
                    <w:spacing w:line="240" w:lineRule="auto"/>
                    <w:ind w:firstLine="0" w:firstLineChars="0"/>
                    <w:jc w:val="center"/>
                    <w:rPr>
                      <w:kern w:val="0"/>
                      <w:sz w:val="21"/>
                      <w:szCs w:val="21"/>
                    </w:rPr>
                  </w:pPr>
                  <w:r>
                    <w:rPr>
                      <w:kern w:val="0"/>
                      <w:sz w:val="21"/>
                      <w:szCs w:val="21"/>
                    </w:rPr>
                    <w:t>件</w:t>
                  </w:r>
                </w:p>
              </w:tc>
              <w:tc>
                <w:tcPr>
                  <w:tcW w:w="433" w:type="pct"/>
                  <w:vAlign w:val="center"/>
                </w:tcPr>
                <w:p w14:paraId="58D652AC">
                  <w:pPr>
                    <w:widowControl/>
                    <w:snapToGrid w:val="0"/>
                    <w:spacing w:line="240" w:lineRule="auto"/>
                    <w:ind w:firstLine="0" w:firstLineChars="0"/>
                    <w:jc w:val="center"/>
                    <w:rPr>
                      <w:kern w:val="0"/>
                      <w:sz w:val="21"/>
                      <w:szCs w:val="21"/>
                    </w:rPr>
                  </w:pPr>
                  <w:r>
                    <w:rPr>
                      <w:kern w:val="0"/>
                      <w:sz w:val="21"/>
                      <w:szCs w:val="21"/>
                    </w:rPr>
                    <w:t>300</w:t>
                  </w:r>
                </w:p>
              </w:tc>
              <w:tc>
                <w:tcPr>
                  <w:tcW w:w="400" w:type="pct"/>
                  <w:vAlign w:val="center"/>
                </w:tcPr>
                <w:p w14:paraId="312E7C3C">
                  <w:pPr>
                    <w:widowControl/>
                    <w:snapToGrid w:val="0"/>
                    <w:spacing w:line="240" w:lineRule="auto"/>
                    <w:ind w:firstLine="0" w:firstLineChars="0"/>
                    <w:jc w:val="center"/>
                    <w:rPr>
                      <w:kern w:val="0"/>
                      <w:sz w:val="21"/>
                      <w:szCs w:val="21"/>
                    </w:rPr>
                  </w:pPr>
                  <w:r>
                    <w:rPr>
                      <w:kern w:val="0"/>
                      <w:sz w:val="21"/>
                      <w:szCs w:val="21"/>
                    </w:rPr>
                    <w:t>300</w:t>
                  </w:r>
                </w:p>
              </w:tc>
              <w:tc>
                <w:tcPr>
                  <w:tcW w:w="400" w:type="pct"/>
                  <w:vAlign w:val="center"/>
                </w:tcPr>
                <w:p w14:paraId="5F60C4EA">
                  <w:pPr>
                    <w:widowControl/>
                    <w:snapToGrid w:val="0"/>
                    <w:spacing w:line="240" w:lineRule="auto"/>
                    <w:ind w:firstLine="0" w:firstLineChars="0"/>
                    <w:jc w:val="center"/>
                    <w:rPr>
                      <w:kern w:val="0"/>
                      <w:sz w:val="21"/>
                      <w:szCs w:val="21"/>
                    </w:rPr>
                  </w:pPr>
                  <w:r>
                    <w:rPr>
                      <w:kern w:val="0"/>
                      <w:sz w:val="21"/>
                      <w:szCs w:val="21"/>
                    </w:rPr>
                    <w:t>200</w:t>
                  </w:r>
                </w:p>
              </w:tc>
              <w:tc>
                <w:tcPr>
                  <w:tcW w:w="400" w:type="pct"/>
                  <w:vAlign w:val="center"/>
                </w:tcPr>
                <w:p w14:paraId="1E6F2AEA">
                  <w:pPr>
                    <w:widowControl/>
                    <w:snapToGrid w:val="0"/>
                    <w:spacing w:line="240" w:lineRule="auto"/>
                    <w:ind w:firstLine="0" w:firstLineChars="0"/>
                    <w:jc w:val="center"/>
                    <w:rPr>
                      <w:kern w:val="0"/>
                      <w:sz w:val="21"/>
                      <w:szCs w:val="21"/>
                    </w:rPr>
                  </w:pPr>
                  <w:r>
                    <w:rPr>
                      <w:kern w:val="0"/>
                      <w:sz w:val="21"/>
                      <w:szCs w:val="21"/>
                    </w:rPr>
                    <w:t>200</w:t>
                  </w:r>
                </w:p>
              </w:tc>
              <w:tc>
                <w:tcPr>
                  <w:tcW w:w="334" w:type="pct"/>
                  <w:vAlign w:val="center"/>
                </w:tcPr>
                <w:p w14:paraId="29CE07AF">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600992A6">
                  <w:pPr>
                    <w:widowControl/>
                    <w:snapToGrid w:val="0"/>
                    <w:spacing w:line="240" w:lineRule="auto"/>
                    <w:ind w:firstLine="0" w:firstLineChars="0"/>
                    <w:jc w:val="center"/>
                    <w:rPr>
                      <w:kern w:val="0"/>
                      <w:sz w:val="21"/>
                      <w:szCs w:val="21"/>
                    </w:rPr>
                  </w:pPr>
                  <w:r>
                    <w:rPr>
                      <w:kern w:val="0"/>
                      <w:sz w:val="21"/>
                      <w:szCs w:val="21"/>
                    </w:rPr>
                    <w:t>1000</w:t>
                  </w:r>
                </w:p>
              </w:tc>
            </w:tr>
            <w:tr w14:paraId="36A14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793D3F43">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3</w:t>
                  </w:r>
                </w:p>
              </w:tc>
              <w:tc>
                <w:tcPr>
                  <w:tcW w:w="177" w:type="pct"/>
                  <w:vAlign w:val="center"/>
                </w:tcPr>
                <w:p w14:paraId="3DB0F3D6">
                  <w:pPr>
                    <w:widowControl/>
                    <w:snapToGrid w:val="0"/>
                    <w:spacing w:line="240" w:lineRule="auto"/>
                    <w:ind w:firstLine="0" w:firstLineChars="0"/>
                    <w:jc w:val="center"/>
                    <w:rPr>
                      <w:kern w:val="0"/>
                      <w:sz w:val="21"/>
                      <w:szCs w:val="21"/>
                    </w:rPr>
                  </w:pPr>
                  <w:r>
                    <w:rPr>
                      <w:kern w:val="0"/>
                      <w:sz w:val="21"/>
                      <w:szCs w:val="21"/>
                    </w:rPr>
                    <w:t>物相分析</w:t>
                  </w:r>
                </w:p>
              </w:tc>
              <w:tc>
                <w:tcPr>
                  <w:tcW w:w="349" w:type="pct"/>
                  <w:vAlign w:val="center"/>
                </w:tcPr>
                <w:p w14:paraId="48873461">
                  <w:pPr>
                    <w:widowControl/>
                    <w:snapToGrid w:val="0"/>
                    <w:spacing w:line="240" w:lineRule="auto"/>
                    <w:ind w:firstLine="0" w:firstLineChars="0"/>
                    <w:jc w:val="center"/>
                    <w:rPr>
                      <w:kern w:val="0"/>
                      <w:sz w:val="21"/>
                      <w:szCs w:val="21"/>
                    </w:rPr>
                  </w:pPr>
                  <w:r>
                    <w:rPr>
                      <w:kern w:val="0"/>
                      <w:sz w:val="21"/>
                      <w:szCs w:val="21"/>
                    </w:rPr>
                    <w:t>件</w:t>
                  </w:r>
                </w:p>
              </w:tc>
              <w:tc>
                <w:tcPr>
                  <w:tcW w:w="433" w:type="pct"/>
                  <w:vAlign w:val="center"/>
                </w:tcPr>
                <w:p w14:paraId="05F14CB3">
                  <w:pPr>
                    <w:widowControl/>
                    <w:snapToGrid w:val="0"/>
                    <w:spacing w:line="240" w:lineRule="auto"/>
                    <w:ind w:firstLine="0" w:firstLineChars="0"/>
                    <w:jc w:val="center"/>
                    <w:rPr>
                      <w:kern w:val="0"/>
                      <w:sz w:val="21"/>
                      <w:szCs w:val="21"/>
                    </w:rPr>
                  </w:pPr>
                  <w:r>
                    <w:rPr>
                      <w:kern w:val="0"/>
                      <w:sz w:val="21"/>
                      <w:szCs w:val="21"/>
                    </w:rPr>
                    <w:t>8</w:t>
                  </w:r>
                </w:p>
              </w:tc>
              <w:tc>
                <w:tcPr>
                  <w:tcW w:w="400" w:type="pct"/>
                  <w:vAlign w:val="center"/>
                </w:tcPr>
                <w:p w14:paraId="1518323E">
                  <w:pPr>
                    <w:widowControl/>
                    <w:snapToGrid w:val="0"/>
                    <w:spacing w:line="240" w:lineRule="auto"/>
                    <w:ind w:firstLine="0" w:firstLineChars="0"/>
                    <w:jc w:val="center"/>
                    <w:rPr>
                      <w:kern w:val="0"/>
                      <w:sz w:val="21"/>
                      <w:szCs w:val="21"/>
                    </w:rPr>
                  </w:pPr>
                  <w:r>
                    <w:rPr>
                      <w:kern w:val="0"/>
                      <w:sz w:val="21"/>
                      <w:szCs w:val="21"/>
                    </w:rPr>
                    <w:t>8</w:t>
                  </w:r>
                </w:p>
              </w:tc>
              <w:tc>
                <w:tcPr>
                  <w:tcW w:w="400" w:type="pct"/>
                  <w:vAlign w:val="center"/>
                </w:tcPr>
                <w:p w14:paraId="5C4C2560">
                  <w:pPr>
                    <w:widowControl/>
                    <w:snapToGrid w:val="0"/>
                    <w:spacing w:line="240" w:lineRule="auto"/>
                    <w:ind w:firstLine="0" w:firstLineChars="0"/>
                    <w:jc w:val="center"/>
                    <w:rPr>
                      <w:kern w:val="0"/>
                      <w:sz w:val="21"/>
                      <w:szCs w:val="21"/>
                    </w:rPr>
                  </w:pPr>
                  <w:r>
                    <w:rPr>
                      <w:kern w:val="0"/>
                      <w:sz w:val="21"/>
                      <w:szCs w:val="21"/>
                    </w:rPr>
                    <w:t>8</w:t>
                  </w:r>
                </w:p>
              </w:tc>
              <w:tc>
                <w:tcPr>
                  <w:tcW w:w="400" w:type="pct"/>
                  <w:vAlign w:val="center"/>
                </w:tcPr>
                <w:p w14:paraId="7042BE32">
                  <w:pPr>
                    <w:widowControl/>
                    <w:snapToGrid w:val="0"/>
                    <w:spacing w:line="240" w:lineRule="auto"/>
                    <w:ind w:firstLine="0" w:firstLineChars="0"/>
                    <w:jc w:val="center"/>
                    <w:rPr>
                      <w:kern w:val="0"/>
                      <w:sz w:val="21"/>
                      <w:szCs w:val="21"/>
                    </w:rPr>
                  </w:pPr>
                  <w:r>
                    <w:rPr>
                      <w:kern w:val="0"/>
                      <w:sz w:val="21"/>
                      <w:szCs w:val="21"/>
                    </w:rPr>
                    <w:t>3</w:t>
                  </w:r>
                </w:p>
              </w:tc>
              <w:tc>
                <w:tcPr>
                  <w:tcW w:w="334" w:type="pct"/>
                  <w:vAlign w:val="center"/>
                </w:tcPr>
                <w:p w14:paraId="4B877AB3">
                  <w:pPr>
                    <w:widowControl/>
                    <w:snapToGrid w:val="0"/>
                    <w:spacing w:line="240" w:lineRule="auto"/>
                    <w:ind w:firstLine="0" w:firstLineChars="0"/>
                    <w:jc w:val="center"/>
                    <w:rPr>
                      <w:kern w:val="0"/>
                      <w:sz w:val="21"/>
                      <w:szCs w:val="21"/>
                    </w:rPr>
                  </w:pPr>
                  <w:r>
                    <w:rPr>
                      <w:kern w:val="0"/>
                      <w:sz w:val="21"/>
                      <w:szCs w:val="21"/>
                    </w:rPr>
                    <w:t>3</w:t>
                  </w:r>
                </w:p>
              </w:tc>
              <w:tc>
                <w:tcPr>
                  <w:tcW w:w="433" w:type="pct"/>
                  <w:vAlign w:val="center"/>
                </w:tcPr>
                <w:p w14:paraId="277B0CA8">
                  <w:pPr>
                    <w:widowControl/>
                    <w:snapToGrid w:val="0"/>
                    <w:spacing w:line="240" w:lineRule="auto"/>
                    <w:ind w:firstLine="0" w:firstLineChars="0"/>
                    <w:jc w:val="center"/>
                    <w:rPr>
                      <w:kern w:val="0"/>
                      <w:sz w:val="21"/>
                      <w:szCs w:val="21"/>
                    </w:rPr>
                  </w:pPr>
                  <w:r>
                    <w:rPr>
                      <w:kern w:val="0"/>
                      <w:sz w:val="21"/>
                      <w:szCs w:val="21"/>
                    </w:rPr>
                    <w:t>30</w:t>
                  </w:r>
                </w:p>
              </w:tc>
            </w:tr>
            <w:tr w14:paraId="7D211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0" w:hRule="atLeast"/>
              </w:trPr>
              <w:tc>
                <w:tcPr>
                  <w:tcW w:w="2075" w:type="pct"/>
                  <w:noWrap/>
                  <w:vAlign w:val="center"/>
                </w:tcPr>
                <w:p w14:paraId="63CEAB0F">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4</w:t>
                  </w:r>
                </w:p>
              </w:tc>
              <w:tc>
                <w:tcPr>
                  <w:tcW w:w="177" w:type="pct"/>
                  <w:vAlign w:val="center"/>
                </w:tcPr>
                <w:p w14:paraId="0A854B40">
                  <w:pPr>
                    <w:widowControl/>
                    <w:snapToGrid w:val="0"/>
                    <w:spacing w:line="240" w:lineRule="auto"/>
                    <w:ind w:firstLine="0" w:firstLineChars="0"/>
                    <w:jc w:val="center"/>
                    <w:rPr>
                      <w:kern w:val="0"/>
                      <w:sz w:val="21"/>
                      <w:szCs w:val="21"/>
                    </w:rPr>
                  </w:pPr>
                  <w:r>
                    <w:rPr>
                      <w:kern w:val="0"/>
                      <w:sz w:val="21"/>
                      <w:szCs w:val="21"/>
                    </w:rPr>
                    <w:t>光薄片鉴定</w:t>
                  </w:r>
                </w:p>
              </w:tc>
              <w:tc>
                <w:tcPr>
                  <w:tcW w:w="349" w:type="pct"/>
                  <w:vAlign w:val="center"/>
                </w:tcPr>
                <w:p w14:paraId="36A47FD6">
                  <w:pPr>
                    <w:widowControl/>
                    <w:snapToGrid w:val="0"/>
                    <w:spacing w:line="240" w:lineRule="auto"/>
                    <w:ind w:firstLine="0" w:firstLineChars="0"/>
                    <w:jc w:val="center"/>
                    <w:rPr>
                      <w:kern w:val="0"/>
                      <w:sz w:val="21"/>
                      <w:szCs w:val="21"/>
                    </w:rPr>
                  </w:pPr>
                  <w:r>
                    <w:rPr>
                      <w:kern w:val="0"/>
                      <w:sz w:val="21"/>
                      <w:szCs w:val="21"/>
                    </w:rPr>
                    <w:t>件</w:t>
                  </w:r>
                </w:p>
              </w:tc>
              <w:tc>
                <w:tcPr>
                  <w:tcW w:w="433" w:type="pct"/>
                  <w:vAlign w:val="center"/>
                </w:tcPr>
                <w:p w14:paraId="5FC90750">
                  <w:pPr>
                    <w:widowControl/>
                    <w:snapToGrid w:val="0"/>
                    <w:spacing w:line="240" w:lineRule="auto"/>
                    <w:ind w:firstLine="0" w:firstLineChars="0"/>
                    <w:jc w:val="center"/>
                    <w:rPr>
                      <w:kern w:val="0"/>
                      <w:sz w:val="21"/>
                      <w:szCs w:val="21"/>
                    </w:rPr>
                  </w:pPr>
                  <w:r>
                    <w:rPr>
                      <w:kern w:val="0"/>
                      <w:sz w:val="21"/>
                      <w:szCs w:val="21"/>
                    </w:rPr>
                    <w:t>30</w:t>
                  </w:r>
                </w:p>
              </w:tc>
              <w:tc>
                <w:tcPr>
                  <w:tcW w:w="400" w:type="pct"/>
                  <w:vAlign w:val="center"/>
                </w:tcPr>
                <w:p w14:paraId="3E2A6859">
                  <w:pPr>
                    <w:widowControl/>
                    <w:snapToGrid w:val="0"/>
                    <w:spacing w:line="240" w:lineRule="auto"/>
                    <w:ind w:firstLine="0" w:firstLineChars="0"/>
                    <w:jc w:val="center"/>
                    <w:rPr>
                      <w:kern w:val="0"/>
                      <w:sz w:val="21"/>
                      <w:szCs w:val="21"/>
                    </w:rPr>
                  </w:pPr>
                  <w:r>
                    <w:rPr>
                      <w:kern w:val="0"/>
                      <w:sz w:val="21"/>
                      <w:szCs w:val="21"/>
                    </w:rPr>
                    <w:t>30</w:t>
                  </w:r>
                </w:p>
              </w:tc>
              <w:tc>
                <w:tcPr>
                  <w:tcW w:w="400" w:type="pct"/>
                  <w:vAlign w:val="center"/>
                </w:tcPr>
                <w:p w14:paraId="7BF1E177">
                  <w:pPr>
                    <w:widowControl/>
                    <w:snapToGrid w:val="0"/>
                    <w:spacing w:line="240" w:lineRule="auto"/>
                    <w:ind w:firstLine="0" w:firstLineChars="0"/>
                    <w:jc w:val="center"/>
                    <w:rPr>
                      <w:kern w:val="0"/>
                      <w:sz w:val="21"/>
                      <w:szCs w:val="21"/>
                    </w:rPr>
                  </w:pPr>
                  <w:r>
                    <w:rPr>
                      <w:kern w:val="0"/>
                      <w:sz w:val="21"/>
                      <w:szCs w:val="21"/>
                    </w:rPr>
                    <w:t>30</w:t>
                  </w:r>
                </w:p>
              </w:tc>
              <w:tc>
                <w:tcPr>
                  <w:tcW w:w="400" w:type="pct"/>
                  <w:vAlign w:val="center"/>
                </w:tcPr>
                <w:p w14:paraId="096388D8">
                  <w:pPr>
                    <w:widowControl/>
                    <w:snapToGrid w:val="0"/>
                    <w:spacing w:line="240" w:lineRule="auto"/>
                    <w:ind w:firstLine="0" w:firstLineChars="0"/>
                    <w:jc w:val="center"/>
                    <w:rPr>
                      <w:kern w:val="0"/>
                      <w:sz w:val="21"/>
                      <w:szCs w:val="21"/>
                    </w:rPr>
                  </w:pPr>
                  <w:r>
                    <w:rPr>
                      <w:kern w:val="0"/>
                      <w:sz w:val="21"/>
                      <w:szCs w:val="21"/>
                    </w:rPr>
                    <w:t>20</w:t>
                  </w:r>
                </w:p>
              </w:tc>
              <w:tc>
                <w:tcPr>
                  <w:tcW w:w="334" w:type="pct"/>
                  <w:vAlign w:val="center"/>
                </w:tcPr>
                <w:p w14:paraId="4A858EA0">
                  <w:pPr>
                    <w:widowControl/>
                    <w:snapToGrid w:val="0"/>
                    <w:spacing w:line="240" w:lineRule="auto"/>
                    <w:ind w:firstLine="0" w:firstLineChars="0"/>
                    <w:jc w:val="center"/>
                    <w:rPr>
                      <w:kern w:val="0"/>
                      <w:sz w:val="21"/>
                      <w:szCs w:val="21"/>
                    </w:rPr>
                  </w:pPr>
                  <w:r>
                    <w:rPr>
                      <w:kern w:val="0"/>
                      <w:sz w:val="21"/>
                      <w:szCs w:val="21"/>
                    </w:rPr>
                    <w:t>10</w:t>
                  </w:r>
                </w:p>
              </w:tc>
              <w:tc>
                <w:tcPr>
                  <w:tcW w:w="433" w:type="pct"/>
                  <w:vAlign w:val="center"/>
                </w:tcPr>
                <w:p w14:paraId="00BD66E5">
                  <w:pPr>
                    <w:widowControl/>
                    <w:snapToGrid w:val="0"/>
                    <w:spacing w:line="240" w:lineRule="auto"/>
                    <w:ind w:firstLine="0" w:firstLineChars="0"/>
                    <w:jc w:val="center"/>
                    <w:rPr>
                      <w:kern w:val="0"/>
                      <w:sz w:val="21"/>
                      <w:szCs w:val="21"/>
                    </w:rPr>
                  </w:pPr>
                  <w:r>
                    <w:rPr>
                      <w:kern w:val="0"/>
                      <w:sz w:val="21"/>
                      <w:szCs w:val="21"/>
                    </w:rPr>
                    <w:t>120</w:t>
                  </w:r>
                </w:p>
              </w:tc>
            </w:tr>
            <w:tr w14:paraId="7E4CA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0" w:hRule="atLeast"/>
              </w:trPr>
              <w:tc>
                <w:tcPr>
                  <w:tcW w:w="2075" w:type="pct"/>
                  <w:noWrap/>
                  <w:vAlign w:val="center"/>
                </w:tcPr>
                <w:p w14:paraId="7ACA254A">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5</w:t>
                  </w:r>
                </w:p>
              </w:tc>
              <w:tc>
                <w:tcPr>
                  <w:tcW w:w="177" w:type="pct"/>
                  <w:vAlign w:val="center"/>
                </w:tcPr>
                <w:p w14:paraId="380578A7">
                  <w:pPr>
                    <w:widowControl/>
                    <w:snapToGrid w:val="0"/>
                    <w:spacing w:line="240" w:lineRule="auto"/>
                    <w:ind w:firstLine="0" w:firstLineChars="0"/>
                    <w:jc w:val="center"/>
                    <w:rPr>
                      <w:kern w:val="0"/>
                      <w:sz w:val="21"/>
                      <w:szCs w:val="21"/>
                    </w:rPr>
                  </w:pPr>
                  <w:r>
                    <w:rPr>
                      <w:kern w:val="0"/>
                      <w:sz w:val="21"/>
                      <w:szCs w:val="21"/>
                    </w:rPr>
                    <w:t>小体重测试样</w:t>
                  </w:r>
                </w:p>
              </w:tc>
              <w:tc>
                <w:tcPr>
                  <w:tcW w:w="349" w:type="pct"/>
                  <w:vAlign w:val="center"/>
                </w:tcPr>
                <w:p w14:paraId="44F26061">
                  <w:pPr>
                    <w:widowControl/>
                    <w:snapToGrid w:val="0"/>
                    <w:spacing w:line="240" w:lineRule="auto"/>
                    <w:ind w:firstLine="0" w:firstLineChars="0"/>
                    <w:jc w:val="center"/>
                    <w:rPr>
                      <w:kern w:val="0"/>
                      <w:sz w:val="21"/>
                      <w:szCs w:val="21"/>
                    </w:rPr>
                  </w:pPr>
                  <w:r>
                    <w:rPr>
                      <w:kern w:val="0"/>
                      <w:sz w:val="21"/>
                      <w:szCs w:val="21"/>
                    </w:rPr>
                    <w:t>件</w:t>
                  </w:r>
                </w:p>
              </w:tc>
              <w:tc>
                <w:tcPr>
                  <w:tcW w:w="433" w:type="pct"/>
                  <w:vAlign w:val="center"/>
                </w:tcPr>
                <w:p w14:paraId="21684E8B">
                  <w:pPr>
                    <w:widowControl/>
                    <w:snapToGrid w:val="0"/>
                    <w:spacing w:line="240" w:lineRule="auto"/>
                    <w:ind w:firstLine="0" w:firstLineChars="0"/>
                    <w:jc w:val="center"/>
                    <w:rPr>
                      <w:kern w:val="0"/>
                      <w:sz w:val="21"/>
                      <w:szCs w:val="21"/>
                    </w:rPr>
                  </w:pPr>
                  <w:r>
                    <w:rPr>
                      <w:kern w:val="0"/>
                      <w:sz w:val="21"/>
                      <w:szCs w:val="21"/>
                    </w:rPr>
                    <w:t>15</w:t>
                  </w:r>
                </w:p>
              </w:tc>
              <w:tc>
                <w:tcPr>
                  <w:tcW w:w="400" w:type="pct"/>
                  <w:vAlign w:val="center"/>
                </w:tcPr>
                <w:p w14:paraId="3999F427">
                  <w:pPr>
                    <w:widowControl/>
                    <w:snapToGrid w:val="0"/>
                    <w:spacing w:line="240" w:lineRule="auto"/>
                    <w:ind w:firstLine="0" w:firstLineChars="0"/>
                    <w:jc w:val="center"/>
                    <w:rPr>
                      <w:kern w:val="0"/>
                      <w:sz w:val="21"/>
                      <w:szCs w:val="21"/>
                    </w:rPr>
                  </w:pPr>
                  <w:r>
                    <w:rPr>
                      <w:kern w:val="0"/>
                      <w:sz w:val="21"/>
                      <w:szCs w:val="21"/>
                    </w:rPr>
                    <w:t>20</w:t>
                  </w:r>
                </w:p>
              </w:tc>
              <w:tc>
                <w:tcPr>
                  <w:tcW w:w="400" w:type="pct"/>
                  <w:vAlign w:val="center"/>
                </w:tcPr>
                <w:p w14:paraId="623844D9">
                  <w:pPr>
                    <w:widowControl/>
                    <w:snapToGrid w:val="0"/>
                    <w:spacing w:line="240" w:lineRule="auto"/>
                    <w:ind w:firstLine="0" w:firstLineChars="0"/>
                    <w:jc w:val="center"/>
                    <w:rPr>
                      <w:kern w:val="0"/>
                      <w:sz w:val="21"/>
                      <w:szCs w:val="21"/>
                    </w:rPr>
                  </w:pPr>
                  <w:r>
                    <w:rPr>
                      <w:kern w:val="0"/>
                      <w:sz w:val="21"/>
                      <w:szCs w:val="21"/>
                    </w:rPr>
                    <w:t>10</w:t>
                  </w:r>
                </w:p>
              </w:tc>
              <w:tc>
                <w:tcPr>
                  <w:tcW w:w="400" w:type="pct"/>
                  <w:vAlign w:val="center"/>
                </w:tcPr>
                <w:p w14:paraId="23B61A04">
                  <w:pPr>
                    <w:widowControl/>
                    <w:snapToGrid w:val="0"/>
                    <w:spacing w:line="240" w:lineRule="auto"/>
                    <w:ind w:firstLine="0" w:firstLineChars="0"/>
                    <w:jc w:val="center"/>
                    <w:rPr>
                      <w:kern w:val="0"/>
                      <w:sz w:val="21"/>
                      <w:szCs w:val="21"/>
                    </w:rPr>
                  </w:pPr>
                  <w:r>
                    <w:rPr>
                      <w:kern w:val="0"/>
                      <w:sz w:val="21"/>
                      <w:szCs w:val="21"/>
                    </w:rPr>
                    <w:t>8</w:t>
                  </w:r>
                </w:p>
              </w:tc>
              <w:tc>
                <w:tcPr>
                  <w:tcW w:w="334" w:type="pct"/>
                  <w:vAlign w:val="center"/>
                </w:tcPr>
                <w:p w14:paraId="1C10D57C">
                  <w:pPr>
                    <w:widowControl/>
                    <w:snapToGrid w:val="0"/>
                    <w:spacing w:line="240" w:lineRule="auto"/>
                    <w:ind w:firstLine="0" w:firstLineChars="0"/>
                    <w:jc w:val="center"/>
                    <w:rPr>
                      <w:kern w:val="0"/>
                      <w:sz w:val="21"/>
                      <w:szCs w:val="21"/>
                    </w:rPr>
                  </w:pPr>
                  <w:r>
                    <w:rPr>
                      <w:kern w:val="0"/>
                      <w:sz w:val="21"/>
                      <w:szCs w:val="21"/>
                    </w:rPr>
                    <w:t>7</w:t>
                  </w:r>
                </w:p>
              </w:tc>
              <w:tc>
                <w:tcPr>
                  <w:tcW w:w="433" w:type="pct"/>
                  <w:vAlign w:val="center"/>
                </w:tcPr>
                <w:p w14:paraId="4CDABB35">
                  <w:pPr>
                    <w:widowControl/>
                    <w:snapToGrid w:val="0"/>
                    <w:spacing w:line="240" w:lineRule="auto"/>
                    <w:ind w:firstLine="0" w:firstLineChars="0"/>
                    <w:jc w:val="center"/>
                    <w:rPr>
                      <w:kern w:val="0"/>
                      <w:sz w:val="21"/>
                      <w:szCs w:val="21"/>
                    </w:rPr>
                  </w:pPr>
                  <w:r>
                    <w:rPr>
                      <w:kern w:val="0"/>
                      <w:sz w:val="21"/>
                      <w:szCs w:val="21"/>
                    </w:rPr>
                    <w:t>60</w:t>
                  </w:r>
                </w:p>
              </w:tc>
            </w:tr>
            <w:tr w14:paraId="6B4305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5E8F3348">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6</w:t>
                  </w:r>
                </w:p>
              </w:tc>
              <w:tc>
                <w:tcPr>
                  <w:tcW w:w="177" w:type="pct"/>
                  <w:vAlign w:val="center"/>
                </w:tcPr>
                <w:p w14:paraId="36AF2B25">
                  <w:pPr>
                    <w:widowControl/>
                    <w:snapToGrid w:val="0"/>
                    <w:spacing w:line="240" w:lineRule="auto"/>
                    <w:ind w:firstLine="0" w:firstLineChars="0"/>
                    <w:jc w:val="center"/>
                    <w:rPr>
                      <w:kern w:val="0"/>
                      <w:sz w:val="21"/>
                      <w:szCs w:val="21"/>
                    </w:rPr>
                  </w:pPr>
                  <w:r>
                    <w:rPr>
                      <w:kern w:val="0"/>
                      <w:sz w:val="21"/>
                      <w:szCs w:val="21"/>
                    </w:rPr>
                    <w:t>岩、矿石物力技术性能试验样</w:t>
                  </w:r>
                </w:p>
              </w:tc>
              <w:tc>
                <w:tcPr>
                  <w:tcW w:w="349" w:type="pct"/>
                  <w:vAlign w:val="center"/>
                </w:tcPr>
                <w:p w14:paraId="79170A0C">
                  <w:pPr>
                    <w:widowControl/>
                    <w:snapToGrid w:val="0"/>
                    <w:spacing w:line="240" w:lineRule="auto"/>
                    <w:ind w:firstLine="0" w:firstLineChars="0"/>
                    <w:jc w:val="center"/>
                    <w:rPr>
                      <w:kern w:val="0"/>
                      <w:sz w:val="21"/>
                      <w:szCs w:val="21"/>
                    </w:rPr>
                  </w:pPr>
                  <w:r>
                    <w:rPr>
                      <w:kern w:val="0"/>
                      <w:sz w:val="21"/>
                      <w:szCs w:val="21"/>
                    </w:rPr>
                    <w:t>组</w:t>
                  </w:r>
                </w:p>
              </w:tc>
              <w:tc>
                <w:tcPr>
                  <w:tcW w:w="433" w:type="pct"/>
                  <w:vAlign w:val="center"/>
                </w:tcPr>
                <w:p w14:paraId="03E965E0">
                  <w:pPr>
                    <w:widowControl/>
                    <w:snapToGrid w:val="0"/>
                    <w:spacing w:line="240" w:lineRule="auto"/>
                    <w:ind w:firstLine="0" w:firstLineChars="0"/>
                    <w:jc w:val="center"/>
                    <w:rPr>
                      <w:kern w:val="0"/>
                      <w:sz w:val="21"/>
                      <w:szCs w:val="21"/>
                    </w:rPr>
                  </w:pPr>
                  <w:r>
                    <w:rPr>
                      <w:kern w:val="0"/>
                      <w:sz w:val="21"/>
                      <w:szCs w:val="21"/>
                    </w:rPr>
                    <w:t>2</w:t>
                  </w:r>
                </w:p>
              </w:tc>
              <w:tc>
                <w:tcPr>
                  <w:tcW w:w="400" w:type="pct"/>
                  <w:vAlign w:val="center"/>
                </w:tcPr>
                <w:p w14:paraId="2BF5EB10">
                  <w:pPr>
                    <w:widowControl/>
                    <w:snapToGrid w:val="0"/>
                    <w:spacing w:line="240" w:lineRule="auto"/>
                    <w:ind w:firstLine="0" w:firstLineChars="0"/>
                    <w:jc w:val="center"/>
                    <w:rPr>
                      <w:kern w:val="0"/>
                      <w:sz w:val="21"/>
                      <w:szCs w:val="21"/>
                    </w:rPr>
                  </w:pPr>
                  <w:r>
                    <w:rPr>
                      <w:kern w:val="0"/>
                      <w:sz w:val="21"/>
                      <w:szCs w:val="21"/>
                    </w:rPr>
                    <w:t>2</w:t>
                  </w:r>
                </w:p>
              </w:tc>
              <w:tc>
                <w:tcPr>
                  <w:tcW w:w="400" w:type="pct"/>
                  <w:vAlign w:val="center"/>
                </w:tcPr>
                <w:p w14:paraId="1447907E">
                  <w:pPr>
                    <w:widowControl/>
                    <w:snapToGrid w:val="0"/>
                    <w:spacing w:line="240" w:lineRule="auto"/>
                    <w:ind w:firstLine="0" w:firstLineChars="0"/>
                    <w:jc w:val="center"/>
                    <w:rPr>
                      <w:kern w:val="0"/>
                      <w:sz w:val="21"/>
                      <w:szCs w:val="21"/>
                    </w:rPr>
                  </w:pPr>
                  <w:r>
                    <w:rPr>
                      <w:kern w:val="0"/>
                      <w:sz w:val="21"/>
                      <w:szCs w:val="21"/>
                    </w:rPr>
                    <w:t>2</w:t>
                  </w:r>
                </w:p>
              </w:tc>
              <w:tc>
                <w:tcPr>
                  <w:tcW w:w="400" w:type="pct"/>
                  <w:vAlign w:val="center"/>
                </w:tcPr>
                <w:p w14:paraId="187EF6C9">
                  <w:pPr>
                    <w:widowControl/>
                    <w:snapToGrid w:val="0"/>
                    <w:spacing w:line="240" w:lineRule="auto"/>
                    <w:ind w:firstLine="0" w:firstLineChars="0"/>
                    <w:jc w:val="center"/>
                    <w:rPr>
                      <w:kern w:val="0"/>
                      <w:sz w:val="21"/>
                      <w:szCs w:val="21"/>
                    </w:rPr>
                  </w:pPr>
                  <w:r>
                    <w:rPr>
                      <w:kern w:val="0"/>
                      <w:sz w:val="21"/>
                      <w:szCs w:val="21"/>
                    </w:rPr>
                    <w:t>2</w:t>
                  </w:r>
                </w:p>
              </w:tc>
              <w:tc>
                <w:tcPr>
                  <w:tcW w:w="334" w:type="pct"/>
                  <w:vAlign w:val="center"/>
                </w:tcPr>
                <w:p w14:paraId="59CE3BA9">
                  <w:pPr>
                    <w:widowControl/>
                    <w:snapToGrid w:val="0"/>
                    <w:spacing w:line="240" w:lineRule="auto"/>
                    <w:ind w:firstLine="0" w:firstLineChars="0"/>
                    <w:jc w:val="center"/>
                    <w:rPr>
                      <w:kern w:val="0"/>
                      <w:sz w:val="21"/>
                      <w:szCs w:val="21"/>
                    </w:rPr>
                  </w:pPr>
                  <w:r>
                    <w:rPr>
                      <w:kern w:val="0"/>
                      <w:sz w:val="21"/>
                      <w:szCs w:val="21"/>
                    </w:rPr>
                    <w:t>2</w:t>
                  </w:r>
                </w:p>
              </w:tc>
              <w:tc>
                <w:tcPr>
                  <w:tcW w:w="433" w:type="pct"/>
                  <w:vAlign w:val="center"/>
                </w:tcPr>
                <w:p w14:paraId="57D3968A">
                  <w:pPr>
                    <w:widowControl/>
                    <w:snapToGrid w:val="0"/>
                    <w:spacing w:line="240" w:lineRule="auto"/>
                    <w:ind w:firstLine="0" w:firstLineChars="0"/>
                    <w:jc w:val="center"/>
                    <w:rPr>
                      <w:kern w:val="0"/>
                      <w:sz w:val="21"/>
                      <w:szCs w:val="21"/>
                    </w:rPr>
                  </w:pPr>
                  <w:r>
                    <w:rPr>
                      <w:kern w:val="0"/>
                      <w:sz w:val="21"/>
                      <w:szCs w:val="21"/>
                    </w:rPr>
                    <w:t>10</w:t>
                  </w:r>
                </w:p>
              </w:tc>
            </w:tr>
            <w:tr w14:paraId="49748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075" w:type="pct"/>
                  <w:noWrap/>
                  <w:vAlign w:val="center"/>
                </w:tcPr>
                <w:p w14:paraId="052F144C">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7</w:t>
                  </w:r>
                </w:p>
              </w:tc>
              <w:tc>
                <w:tcPr>
                  <w:tcW w:w="177" w:type="pct"/>
                  <w:vAlign w:val="center"/>
                </w:tcPr>
                <w:p w14:paraId="7A2A596F">
                  <w:pPr>
                    <w:widowControl/>
                    <w:snapToGrid w:val="0"/>
                    <w:spacing w:line="240" w:lineRule="auto"/>
                    <w:ind w:firstLine="0" w:firstLineChars="0"/>
                    <w:jc w:val="center"/>
                    <w:rPr>
                      <w:kern w:val="0"/>
                      <w:sz w:val="21"/>
                      <w:szCs w:val="21"/>
                    </w:rPr>
                  </w:pPr>
                  <w:r>
                    <w:rPr>
                      <w:kern w:val="0"/>
                      <w:sz w:val="21"/>
                      <w:szCs w:val="21"/>
                    </w:rPr>
                    <w:t>水质分析样</w:t>
                  </w:r>
                </w:p>
              </w:tc>
              <w:tc>
                <w:tcPr>
                  <w:tcW w:w="349" w:type="pct"/>
                  <w:vAlign w:val="center"/>
                </w:tcPr>
                <w:p w14:paraId="45B5EF82">
                  <w:pPr>
                    <w:widowControl/>
                    <w:snapToGrid w:val="0"/>
                    <w:spacing w:line="240" w:lineRule="auto"/>
                    <w:ind w:firstLine="0" w:firstLineChars="0"/>
                    <w:jc w:val="center"/>
                    <w:rPr>
                      <w:kern w:val="0"/>
                      <w:sz w:val="21"/>
                      <w:szCs w:val="21"/>
                    </w:rPr>
                  </w:pPr>
                  <w:r>
                    <w:rPr>
                      <w:kern w:val="0"/>
                      <w:sz w:val="21"/>
                      <w:szCs w:val="21"/>
                    </w:rPr>
                    <w:t>件</w:t>
                  </w:r>
                </w:p>
              </w:tc>
              <w:tc>
                <w:tcPr>
                  <w:tcW w:w="433" w:type="pct"/>
                  <w:vAlign w:val="center"/>
                </w:tcPr>
                <w:p w14:paraId="6FB2358D">
                  <w:pPr>
                    <w:widowControl/>
                    <w:snapToGrid w:val="0"/>
                    <w:spacing w:line="240" w:lineRule="auto"/>
                    <w:ind w:firstLine="0" w:firstLineChars="0"/>
                    <w:jc w:val="center"/>
                    <w:rPr>
                      <w:kern w:val="0"/>
                      <w:sz w:val="21"/>
                      <w:szCs w:val="21"/>
                    </w:rPr>
                  </w:pPr>
                  <w:r>
                    <w:rPr>
                      <w:kern w:val="0"/>
                      <w:sz w:val="21"/>
                      <w:szCs w:val="21"/>
                    </w:rPr>
                    <w:t>2</w:t>
                  </w:r>
                </w:p>
              </w:tc>
              <w:tc>
                <w:tcPr>
                  <w:tcW w:w="400" w:type="pct"/>
                  <w:vAlign w:val="center"/>
                </w:tcPr>
                <w:p w14:paraId="22BD4E92">
                  <w:pPr>
                    <w:widowControl/>
                    <w:snapToGrid w:val="0"/>
                    <w:spacing w:line="240" w:lineRule="auto"/>
                    <w:ind w:firstLine="0" w:firstLineChars="0"/>
                    <w:jc w:val="center"/>
                    <w:rPr>
                      <w:kern w:val="0"/>
                      <w:sz w:val="21"/>
                      <w:szCs w:val="21"/>
                    </w:rPr>
                  </w:pPr>
                  <w:r>
                    <w:rPr>
                      <w:kern w:val="0"/>
                      <w:sz w:val="21"/>
                      <w:szCs w:val="21"/>
                    </w:rPr>
                    <w:t>2</w:t>
                  </w:r>
                </w:p>
              </w:tc>
              <w:tc>
                <w:tcPr>
                  <w:tcW w:w="400" w:type="pct"/>
                  <w:vAlign w:val="center"/>
                </w:tcPr>
                <w:p w14:paraId="537C03B1">
                  <w:pPr>
                    <w:widowControl/>
                    <w:snapToGrid w:val="0"/>
                    <w:spacing w:line="240" w:lineRule="auto"/>
                    <w:ind w:firstLine="0" w:firstLineChars="0"/>
                    <w:jc w:val="center"/>
                    <w:rPr>
                      <w:kern w:val="0"/>
                      <w:sz w:val="21"/>
                      <w:szCs w:val="21"/>
                    </w:rPr>
                  </w:pPr>
                  <w:r>
                    <w:rPr>
                      <w:kern w:val="0"/>
                      <w:sz w:val="21"/>
                      <w:szCs w:val="21"/>
                    </w:rPr>
                    <w:t>2</w:t>
                  </w:r>
                </w:p>
              </w:tc>
              <w:tc>
                <w:tcPr>
                  <w:tcW w:w="400" w:type="pct"/>
                  <w:vAlign w:val="center"/>
                </w:tcPr>
                <w:p w14:paraId="57A6702C">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272A1DC7">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15C53450">
                  <w:pPr>
                    <w:widowControl/>
                    <w:snapToGrid w:val="0"/>
                    <w:spacing w:line="240" w:lineRule="auto"/>
                    <w:ind w:firstLine="0" w:firstLineChars="0"/>
                    <w:jc w:val="center"/>
                    <w:rPr>
                      <w:kern w:val="0"/>
                      <w:sz w:val="21"/>
                      <w:szCs w:val="21"/>
                    </w:rPr>
                  </w:pPr>
                  <w:r>
                    <w:rPr>
                      <w:kern w:val="0"/>
                      <w:sz w:val="21"/>
                      <w:szCs w:val="21"/>
                    </w:rPr>
                    <w:t>6</w:t>
                  </w:r>
                </w:p>
              </w:tc>
            </w:tr>
            <w:tr w14:paraId="0547A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0" w:hRule="atLeast"/>
              </w:trPr>
              <w:tc>
                <w:tcPr>
                  <w:tcW w:w="2075" w:type="pct"/>
                  <w:noWrap/>
                  <w:vAlign w:val="center"/>
                </w:tcPr>
                <w:p w14:paraId="173CD1C6">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8</w:t>
                  </w:r>
                </w:p>
              </w:tc>
              <w:tc>
                <w:tcPr>
                  <w:tcW w:w="177" w:type="pct"/>
                  <w:vAlign w:val="center"/>
                </w:tcPr>
                <w:p w14:paraId="13486309">
                  <w:pPr>
                    <w:widowControl/>
                    <w:snapToGrid w:val="0"/>
                    <w:spacing w:line="240" w:lineRule="auto"/>
                    <w:ind w:firstLine="0" w:firstLineChars="0"/>
                    <w:jc w:val="center"/>
                    <w:rPr>
                      <w:kern w:val="0"/>
                      <w:sz w:val="21"/>
                      <w:szCs w:val="21"/>
                    </w:rPr>
                  </w:pPr>
                  <w:r>
                    <w:rPr>
                      <w:kern w:val="0"/>
                      <w:sz w:val="21"/>
                      <w:szCs w:val="21"/>
                    </w:rPr>
                    <w:t>选冶工艺试验样</w:t>
                  </w:r>
                </w:p>
              </w:tc>
              <w:tc>
                <w:tcPr>
                  <w:tcW w:w="349" w:type="pct"/>
                  <w:vAlign w:val="center"/>
                </w:tcPr>
                <w:p w14:paraId="5B0C1C65">
                  <w:pPr>
                    <w:widowControl/>
                    <w:snapToGrid w:val="0"/>
                    <w:spacing w:line="240" w:lineRule="auto"/>
                    <w:ind w:firstLine="0" w:firstLineChars="0"/>
                    <w:jc w:val="center"/>
                    <w:rPr>
                      <w:kern w:val="0"/>
                      <w:sz w:val="21"/>
                      <w:szCs w:val="21"/>
                    </w:rPr>
                  </w:pPr>
                  <w:r>
                    <w:rPr>
                      <w:kern w:val="0"/>
                      <w:sz w:val="21"/>
                      <w:szCs w:val="21"/>
                    </w:rPr>
                    <w:t>件</w:t>
                  </w:r>
                </w:p>
              </w:tc>
              <w:tc>
                <w:tcPr>
                  <w:tcW w:w="433" w:type="pct"/>
                  <w:vAlign w:val="center"/>
                </w:tcPr>
                <w:p w14:paraId="7AAA3D82">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700696DD">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47D69931">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0EBFBEDA">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6D0960B3">
                  <w:pPr>
                    <w:widowControl/>
                    <w:snapToGrid w:val="0"/>
                    <w:spacing w:line="240" w:lineRule="auto"/>
                    <w:ind w:firstLine="0" w:firstLineChars="0"/>
                    <w:jc w:val="center"/>
                    <w:rPr>
                      <w:kern w:val="0"/>
                      <w:sz w:val="21"/>
                      <w:szCs w:val="21"/>
                    </w:rPr>
                  </w:pPr>
                  <w:r>
                    <w:rPr>
                      <w:kern w:val="0"/>
                      <w:sz w:val="21"/>
                      <w:szCs w:val="21"/>
                    </w:rPr>
                    <w:t>1</w:t>
                  </w:r>
                </w:p>
              </w:tc>
              <w:tc>
                <w:tcPr>
                  <w:tcW w:w="433" w:type="pct"/>
                  <w:vAlign w:val="center"/>
                </w:tcPr>
                <w:p w14:paraId="1BCF9303">
                  <w:pPr>
                    <w:widowControl/>
                    <w:snapToGrid w:val="0"/>
                    <w:spacing w:line="240" w:lineRule="auto"/>
                    <w:ind w:firstLine="0" w:firstLineChars="0"/>
                    <w:jc w:val="center"/>
                    <w:rPr>
                      <w:kern w:val="0"/>
                      <w:sz w:val="21"/>
                      <w:szCs w:val="21"/>
                    </w:rPr>
                  </w:pPr>
                  <w:r>
                    <w:rPr>
                      <w:kern w:val="0"/>
                      <w:sz w:val="21"/>
                      <w:szCs w:val="21"/>
                    </w:rPr>
                    <w:t>1</w:t>
                  </w:r>
                </w:p>
              </w:tc>
            </w:tr>
            <w:tr w14:paraId="3FAB8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28FCD816">
                  <w:pPr>
                    <w:widowControl/>
                    <w:snapToGrid w:val="0"/>
                    <w:spacing w:line="240" w:lineRule="auto"/>
                    <w:ind w:firstLine="0" w:firstLineChars="0"/>
                    <w:jc w:val="center"/>
                    <w:rPr>
                      <w:kern w:val="0"/>
                      <w:sz w:val="21"/>
                      <w:szCs w:val="21"/>
                    </w:rPr>
                  </w:pPr>
                  <w:r>
                    <w:rPr>
                      <w:rFonts w:hint="eastAsia"/>
                      <w:kern w:val="0"/>
                      <w:sz w:val="21"/>
                      <w:szCs w:val="21"/>
                    </w:rPr>
                    <w:t>1</w:t>
                  </w:r>
                  <w:r>
                    <w:rPr>
                      <w:kern w:val="0"/>
                      <w:sz w:val="21"/>
                      <w:szCs w:val="21"/>
                    </w:rPr>
                    <w:t>9</w:t>
                  </w:r>
                </w:p>
              </w:tc>
              <w:tc>
                <w:tcPr>
                  <w:tcW w:w="177" w:type="pct"/>
                  <w:vAlign w:val="center"/>
                </w:tcPr>
                <w:p w14:paraId="06FA8675">
                  <w:pPr>
                    <w:widowControl/>
                    <w:snapToGrid w:val="0"/>
                    <w:spacing w:line="240" w:lineRule="auto"/>
                    <w:ind w:firstLine="0" w:firstLineChars="0"/>
                    <w:jc w:val="center"/>
                    <w:rPr>
                      <w:kern w:val="0"/>
                      <w:sz w:val="21"/>
                      <w:szCs w:val="21"/>
                    </w:rPr>
                  </w:pPr>
                  <w:r>
                    <w:rPr>
                      <w:kern w:val="0"/>
                      <w:sz w:val="21"/>
                      <w:szCs w:val="21"/>
                    </w:rPr>
                    <w:t>工程点测量</w:t>
                  </w:r>
                </w:p>
              </w:tc>
              <w:tc>
                <w:tcPr>
                  <w:tcW w:w="349" w:type="pct"/>
                  <w:vAlign w:val="center"/>
                </w:tcPr>
                <w:p w14:paraId="5404EE66">
                  <w:pPr>
                    <w:widowControl/>
                    <w:snapToGrid w:val="0"/>
                    <w:spacing w:line="240" w:lineRule="auto"/>
                    <w:ind w:firstLine="0" w:firstLineChars="0"/>
                    <w:jc w:val="center"/>
                    <w:rPr>
                      <w:kern w:val="0"/>
                      <w:sz w:val="21"/>
                      <w:szCs w:val="21"/>
                    </w:rPr>
                  </w:pPr>
                  <w:r>
                    <w:rPr>
                      <w:kern w:val="0"/>
                      <w:sz w:val="21"/>
                      <w:szCs w:val="21"/>
                    </w:rPr>
                    <w:t>点</w:t>
                  </w:r>
                </w:p>
              </w:tc>
              <w:tc>
                <w:tcPr>
                  <w:tcW w:w="433" w:type="pct"/>
                  <w:vAlign w:val="center"/>
                </w:tcPr>
                <w:p w14:paraId="5C3AAC39">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51EDF97F">
                  <w:pPr>
                    <w:widowControl/>
                    <w:snapToGrid w:val="0"/>
                    <w:spacing w:line="240" w:lineRule="auto"/>
                    <w:ind w:firstLine="0" w:firstLineChars="0"/>
                    <w:jc w:val="center"/>
                    <w:rPr>
                      <w:kern w:val="0"/>
                      <w:sz w:val="21"/>
                      <w:szCs w:val="21"/>
                    </w:rPr>
                  </w:pPr>
                  <w:r>
                    <w:rPr>
                      <w:kern w:val="0"/>
                      <w:sz w:val="21"/>
                      <w:szCs w:val="21"/>
                    </w:rPr>
                    <w:t>20</w:t>
                  </w:r>
                </w:p>
              </w:tc>
              <w:tc>
                <w:tcPr>
                  <w:tcW w:w="400" w:type="pct"/>
                  <w:vAlign w:val="center"/>
                </w:tcPr>
                <w:p w14:paraId="31896178">
                  <w:pPr>
                    <w:widowControl/>
                    <w:snapToGrid w:val="0"/>
                    <w:spacing w:line="240" w:lineRule="auto"/>
                    <w:ind w:firstLine="0" w:firstLineChars="0"/>
                    <w:jc w:val="center"/>
                    <w:rPr>
                      <w:kern w:val="0"/>
                      <w:sz w:val="21"/>
                      <w:szCs w:val="21"/>
                    </w:rPr>
                  </w:pPr>
                  <w:r>
                    <w:rPr>
                      <w:kern w:val="0"/>
                      <w:sz w:val="21"/>
                      <w:szCs w:val="21"/>
                    </w:rPr>
                    <w:t>40</w:t>
                  </w:r>
                </w:p>
              </w:tc>
              <w:tc>
                <w:tcPr>
                  <w:tcW w:w="400" w:type="pct"/>
                  <w:vAlign w:val="center"/>
                </w:tcPr>
                <w:p w14:paraId="7E6CF462">
                  <w:pPr>
                    <w:widowControl/>
                    <w:snapToGrid w:val="0"/>
                    <w:spacing w:line="240" w:lineRule="auto"/>
                    <w:ind w:firstLine="0" w:firstLineChars="0"/>
                    <w:jc w:val="center"/>
                    <w:rPr>
                      <w:kern w:val="0"/>
                      <w:sz w:val="21"/>
                      <w:szCs w:val="21"/>
                    </w:rPr>
                  </w:pPr>
                  <w:r>
                    <w:rPr>
                      <w:kern w:val="0"/>
                      <w:sz w:val="21"/>
                      <w:szCs w:val="21"/>
                    </w:rPr>
                    <w:t>30</w:t>
                  </w:r>
                </w:p>
              </w:tc>
              <w:tc>
                <w:tcPr>
                  <w:tcW w:w="334" w:type="pct"/>
                  <w:vAlign w:val="center"/>
                </w:tcPr>
                <w:p w14:paraId="34E851DB">
                  <w:pPr>
                    <w:widowControl/>
                    <w:snapToGrid w:val="0"/>
                    <w:spacing w:line="240" w:lineRule="auto"/>
                    <w:ind w:firstLine="0" w:firstLineChars="0"/>
                    <w:jc w:val="center"/>
                    <w:rPr>
                      <w:kern w:val="0"/>
                      <w:sz w:val="21"/>
                      <w:szCs w:val="21"/>
                    </w:rPr>
                  </w:pPr>
                  <w:r>
                    <w:rPr>
                      <w:kern w:val="0"/>
                      <w:sz w:val="21"/>
                      <w:szCs w:val="21"/>
                    </w:rPr>
                    <w:t>20</w:t>
                  </w:r>
                </w:p>
              </w:tc>
              <w:tc>
                <w:tcPr>
                  <w:tcW w:w="433" w:type="pct"/>
                  <w:vAlign w:val="center"/>
                </w:tcPr>
                <w:p w14:paraId="4F991AF2">
                  <w:pPr>
                    <w:widowControl/>
                    <w:snapToGrid w:val="0"/>
                    <w:spacing w:line="240" w:lineRule="auto"/>
                    <w:ind w:firstLine="0" w:firstLineChars="0"/>
                    <w:jc w:val="center"/>
                    <w:rPr>
                      <w:kern w:val="0"/>
                      <w:sz w:val="21"/>
                      <w:szCs w:val="21"/>
                    </w:rPr>
                  </w:pPr>
                  <w:r>
                    <w:rPr>
                      <w:kern w:val="0"/>
                      <w:sz w:val="21"/>
                      <w:szCs w:val="21"/>
                    </w:rPr>
                    <w:t>110</w:t>
                  </w:r>
                </w:p>
              </w:tc>
            </w:tr>
            <w:tr w14:paraId="3C3DD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0" w:hRule="atLeast"/>
              </w:trPr>
              <w:tc>
                <w:tcPr>
                  <w:tcW w:w="2075" w:type="pct"/>
                  <w:noWrap/>
                  <w:vAlign w:val="center"/>
                </w:tcPr>
                <w:p w14:paraId="3380133E">
                  <w:pPr>
                    <w:widowControl/>
                    <w:snapToGrid w:val="0"/>
                    <w:spacing w:line="240" w:lineRule="auto"/>
                    <w:ind w:firstLine="0" w:firstLineChars="0"/>
                    <w:jc w:val="center"/>
                    <w:rPr>
                      <w:kern w:val="0"/>
                      <w:sz w:val="21"/>
                      <w:szCs w:val="21"/>
                    </w:rPr>
                  </w:pPr>
                  <w:r>
                    <w:rPr>
                      <w:rFonts w:hint="eastAsia"/>
                      <w:kern w:val="0"/>
                      <w:sz w:val="21"/>
                      <w:szCs w:val="21"/>
                    </w:rPr>
                    <w:t>2</w:t>
                  </w:r>
                  <w:r>
                    <w:rPr>
                      <w:kern w:val="0"/>
                      <w:sz w:val="21"/>
                      <w:szCs w:val="21"/>
                    </w:rPr>
                    <w:t>0</w:t>
                  </w:r>
                </w:p>
              </w:tc>
              <w:tc>
                <w:tcPr>
                  <w:tcW w:w="177" w:type="pct"/>
                  <w:vAlign w:val="center"/>
                </w:tcPr>
                <w:p w14:paraId="536F0C7C">
                  <w:pPr>
                    <w:widowControl/>
                    <w:snapToGrid w:val="0"/>
                    <w:spacing w:line="240" w:lineRule="auto"/>
                    <w:ind w:firstLine="0" w:firstLineChars="0"/>
                    <w:jc w:val="center"/>
                    <w:rPr>
                      <w:kern w:val="0"/>
                      <w:sz w:val="21"/>
                      <w:szCs w:val="21"/>
                    </w:rPr>
                  </w:pPr>
                  <w:r>
                    <w:rPr>
                      <w:kern w:val="0"/>
                      <w:sz w:val="21"/>
                      <w:szCs w:val="21"/>
                    </w:rPr>
                    <w:t>水文长观点</w:t>
                  </w:r>
                </w:p>
              </w:tc>
              <w:tc>
                <w:tcPr>
                  <w:tcW w:w="349" w:type="pct"/>
                  <w:vAlign w:val="center"/>
                </w:tcPr>
                <w:p w14:paraId="663EDE84">
                  <w:pPr>
                    <w:widowControl/>
                    <w:snapToGrid w:val="0"/>
                    <w:spacing w:line="240" w:lineRule="auto"/>
                    <w:ind w:firstLine="0" w:firstLineChars="0"/>
                    <w:jc w:val="center"/>
                    <w:rPr>
                      <w:kern w:val="0"/>
                      <w:sz w:val="21"/>
                      <w:szCs w:val="21"/>
                    </w:rPr>
                  </w:pPr>
                  <w:r>
                    <w:rPr>
                      <w:kern w:val="0"/>
                      <w:sz w:val="21"/>
                      <w:szCs w:val="21"/>
                    </w:rPr>
                    <w:t>点</w:t>
                  </w:r>
                </w:p>
              </w:tc>
              <w:tc>
                <w:tcPr>
                  <w:tcW w:w="433" w:type="pct"/>
                  <w:vAlign w:val="center"/>
                </w:tcPr>
                <w:p w14:paraId="14EB5642">
                  <w:pPr>
                    <w:widowControl/>
                    <w:snapToGrid w:val="0"/>
                    <w:spacing w:line="240" w:lineRule="auto"/>
                    <w:ind w:firstLine="0" w:firstLineChars="0"/>
                    <w:jc w:val="center"/>
                    <w:rPr>
                      <w:kern w:val="0"/>
                      <w:sz w:val="21"/>
                      <w:szCs w:val="21"/>
                    </w:rPr>
                  </w:pPr>
                  <w:r>
                    <w:rPr>
                      <w:kern w:val="0"/>
                      <w:sz w:val="21"/>
                      <w:szCs w:val="21"/>
                    </w:rPr>
                    <w:t>3</w:t>
                  </w:r>
                </w:p>
              </w:tc>
              <w:tc>
                <w:tcPr>
                  <w:tcW w:w="400" w:type="pct"/>
                  <w:vAlign w:val="center"/>
                </w:tcPr>
                <w:p w14:paraId="2358CF76">
                  <w:pPr>
                    <w:widowControl/>
                    <w:snapToGrid w:val="0"/>
                    <w:spacing w:line="240" w:lineRule="auto"/>
                    <w:ind w:firstLine="0" w:firstLineChars="0"/>
                    <w:jc w:val="center"/>
                    <w:rPr>
                      <w:kern w:val="0"/>
                      <w:sz w:val="21"/>
                      <w:szCs w:val="21"/>
                    </w:rPr>
                  </w:pPr>
                  <w:r>
                    <w:rPr>
                      <w:kern w:val="0"/>
                      <w:sz w:val="21"/>
                      <w:szCs w:val="21"/>
                    </w:rPr>
                    <w:t>1</w:t>
                  </w:r>
                </w:p>
              </w:tc>
              <w:tc>
                <w:tcPr>
                  <w:tcW w:w="400" w:type="pct"/>
                  <w:vAlign w:val="center"/>
                </w:tcPr>
                <w:p w14:paraId="211B9F29">
                  <w:pPr>
                    <w:widowControl/>
                    <w:snapToGrid w:val="0"/>
                    <w:spacing w:line="240" w:lineRule="auto"/>
                    <w:ind w:firstLine="0" w:firstLineChars="0"/>
                    <w:jc w:val="center"/>
                    <w:rPr>
                      <w:kern w:val="0"/>
                      <w:sz w:val="21"/>
                      <w:szCs w:val="21"/>
                    </w:rPr>
                  </w:pPr>
                  <w:r>
                    <w:rPr>
                      <w:kern w:val="0"/>
                      <w:sz w:val="21"/>
                      <w:szCs w:val="21"/>
                    </w:rPr>
                    <w:t>1</w:t>
                  </w:r>
                </w:p>
              </w:tc>
              <w:tc>
                <w:tcPr>
                  <w:tcW w:w="400" w:type="pct"/>
                  <w:vAlign w:val="center"/>
                </w:tcPr>
                <w:p w14:paraId="3BB5B1B3">
                  <w:pPr>
                    <w:widowControl/>
                    <w:snapToGrid w:val="0"/>
                    <w:spacing w:line="240" w:lineRule="auto"/>
                    <w:ind w:firstLine="0" w:firstLineChars="0"/>
                    <w:jc w:val="center"/>
                    <w:rPr>
                      <w:kern w:val="0"/>
                      <w:sz w:val="21"/>
                      <w:szCs w:val="21"/>
                    </w:rPr>
                  </w:pPr>
                  <w:r>
                    <w:rPr>
                      <w:kern w:val="0"/>
                      <w:sz w:val="21"/>
                      <w:szCs w:val="21"/>
                    </w:rPr>
                    <w:t>1</w:t>
                  </w:r>
                </w:p>
              </w:tc>
              <w:tc>
                <w:tcPr>
                  <w:tcW w:w="334" w:type="pct"/>
                  <w:vAlign w:val="center"/>
                </w:tcPr>
                <w:p w14:paraId="446EF6A5">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6FF8F0E1">
                  <w:pPr>
                    <w:widowControl/>
                    <w:snapToGrid w:val="0"/>
                    <w:spacing w:line="240" w:lineRule="auto"/>
                    <w:ind w:firstLine="0" w:firstLineChars="0"/>
                    <w:jc w:val="center"/>
                    <w:rPr>
                      <w:kern w:val="0"/>
                      <w:sz w:val="21"/>
                      <w:szCs w:val="21"/>
                    </w:rPr>
                  </w:pPr>
                  <w:r>
                    <w:rPr>
                      <w:kern w:val="0"/>
                      <w:sz w:val="21"/>
                      <w:szCs w:val="21"/>
                    </w:rPr>
                    <w:t>6</w:t>
                  </w:r>
                </w:p>
              </w:tc>
            </w:tr>
            <w:tr w14:paraId="265222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2BB6145E">
                  <w:pPr>
                    <w:widowControl/>
                    <w:snapToGrid w:val="0"/>
                    <w:spacing w:line="240" w:lineRule="auto"/>
                    <w:ind w:firstLine="0" w:firstLineChars="0"/>
                    <w:rPr>
                      <w:kern w:val="0"/>
                      <w:sz w:val="21"/>
                      <w:szCs w:val="21"/>
                    </w:rPr>
                  </w:pPr>
                  <w:r>
                    <w:rPr>
                      <w:rFonts w:hint="eastAsia"/>
                      <w:kern w:val="0"/>
                      <w:sz w:val="21"/>
                      <w:szCs w:val="21"/>
                    </w:rPr>
                    <w:t>2</w:t>
                  </w:r>
                  <w:r>
                    <w:rPr>
                      <w:kern w:val="0"/>
                      <w:sz w:val="21"/>
                      <w:szCs w:val="21"/>
                    </w:rPr>
                    <w:t>1</w:t>
                  </w:r>
                </w:p>
              </w:tc>
              <w:tc>
                <w:tcPr>
                  <w:tcW w:w="177" w:type="pct"/>
                  <w:vAlign w:val="center"/>
                </w:tcPr>
                <w:p w14:paraId="033831D2">
                  <w:pPr>
                    <w:widowControl/>
                    <w:snapToGrid w:val="0"/>
                    <w:spacing w:line="240" w:lineRule="auto"/>
                    <w:ind w:firstLine="0" w:firstLineChars="0"/>
                    <w:jc w:val="center"/>
                    <w:rPr>
                      <w:kern w:val="0"/>
                      <w:sz w:val="21"/>
                      <w:szCs w:val="21"/>
                    </w:rPr>
                  </w:pPr>
                  <w:r>
                    <w:rPr>
                      <w:kern w:val="0"/>
                      <w:sz w:val="21"/>
                      <w:szCs w:val="21"/>
                    </w:rPr>
                    <w:t>放射性样品采集</w:t>
                  </w:r>
                </w:p>
              </w:tc>
              <w:tc>
                <w:tcPr>
                  <w:tcW w:w="349" w:type="pct"/>
                  <w:vAlign w:val="center"/>
                </w:tcPr>
                <w:p w14:paraId="1DDBE656">
                  <w:pPr>
                    <w:widowControl/>
                    <w:snapToGrid w:val="0"/>
                    <w:spacing w:line="240" w:lineRule="auto"/>
                    <w:ind w:firstLine="0" w:firstLineChars="0"/>
                    <w:jc w:val="center"/>
                    <w:rPr>
                      <w:kern w:val="0"/>
                      <w:sz w:val="21"/>
                      <w:szCs w:val="21"/>
                    </w:rPr>
                  </w:pPr>
                  <w:r>
                    <w:rPr>
                      <w:kern w:val="0"/>
                      <w:sz w:val="21"/>
                      <w:szCs w:val="21"/>
                    </w:rPr>
                    <w:t>件</w:t>
                  </w:r>
                </w:p>
              </w:tc>
              <w:tc>
                <w:tcPr>
                  <w:tcW w:w="433" w:type="pct"/>
                  <w:vAlign w:val="center"/>
                </w:tcPr>
                <w:p w14:paraId="182028B2">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24C5E8AB">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577B9DD8">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3C634A60">
                  <w:pPr>
                    <w:widowControl/>
                    <w:snapToGrid w:val="0"/>
                    <w:spacing w:line="240" w:lineRule="auto"/>
                    <w:ind w:firstLine="0" w:firstLineChars="0"/>
                    <w:jc w:val="center"/>
                    <w:rPr>
                      <w:kern w:val="0"/>
                      <w:sz w:val="21"/>
                      <w:szCs w:val="21"/>
                    </w:rPr>
                  </w:pPr>
                  <w:r>
                    <w:rPr>
                      <w:kern w:val="0"/>
                      <w:sz w:val="21"/>
                      <w:szCs w:val="21"/>
                    </w:rPr>
                    <w:t>2</w:t>
                  </w:r>
                </w:p>
              </w:tc>
              <w:tc>
                <w:tcPr>
                  <w:tcW w:w="334" w:type="pct"/>
                  <w:vAlign w:val="center"/>
                </w:tcPr>
                <w:p w14:paraId="482915B9">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6B3333AB">
                  <w:pPr>
                    <w:widowControl/>
                    <w:snapToGrid w:val="0"/>
                    <w:spacing w:line="240" w:lineRule="auto"/>
                    <w:ind w:firstLine="0" w:firstLineChars="0"/>
                    <w:jc w:val="center"/>
                    <w:rPr>
                      <w:kern w:val="0"/>
                      <w:sz w:val="21"/>
                      <w:szCs w:val="21"/>
                    </w:rPr>
                  </w:pPr>
                  <w:r>
                    <w:rPr>
                      <w:kern w:val="0"/>
                      <w:sz w:val="21"/>
                      <w:szCs w:val="21"/>
                    </w:rPr>
                    <w:t>2</w:t>
                  </w:r>
                </w:p>
              </w:tc>
            </w:tr>
            <w:tr w14:paraId="635D7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75" w:type="pct"/>
                  <w:noWrap/>
                  <w:vAlign w:val="center"/>
                </w:tcPr>
                <w:p w14:paraId="380934EB">
                  <w:pPr>
                    <w:widowControl/>
                    <w:snapToGrid w:val="0"/>
                    <w:spacing w:line="240" w:lineRule="auto"/>
                    <w:ind w:firstLine="0" w:firstLineChars="0"/>
                    <w:jc w:val="center"/>
                    <w:rPr>
                      <w:kern w:val="0"/>
                      <w:sz w:val="21"/>
                      <w:szCs w:val="21"/>
                    </w:rPr>
                  </w:pPr>
                  <w:r>
                    <w:rPr>
                      <w:rFonts w:hint="eastAsia"/>
                      <w:kern w:val="0"/>
                      <w:sz w:val="21"/>
                      <w:szCs w:val="21"/>
                    </w:rPr>
                    <w:t>2</w:t>
                  </w:r>
                  <w:r>
                    <w:rPr>
                      <w:kern w:val="0"/>
                      <w:sz w:val="21"/>
                      <w:szCs w:val="21"/>
                    </w:rPr>
                    <w:t>2</w:t>
                  </w:r>
                </w:p>
              </w:tc>
              <w:tc>
                <w:tcPr>
                  <w:tcW w:w="177" w:type="pct"/>
                  <w:vAlign w:val="center"/>
                </w:tcPr>
                <w:p w14:paraId="543FEEB1">
                  <w:pPr>
                    <w:widowControl/>
                    <w:snapToGrid w:val="0"/>
                    <w:spacing w:line="240" w:lineRule="auto"/>
                    <w:ind w:firstLine="0" w:firstLineChars="0"/>
                    <w:jc w:val="center"/>
                    <w:rPr>
                      <w:kern w:val="0"/>
                      <w:sz w:val="21"/>
                      <w:szCs w:val="21"/>
                    </w:rPr>
                  </w:pPr>
                  <w:r>
                    <w:rPr>
                      <w:kern w:val="0"/>
                      <w:sz w:val="21"/>
                      <w:szCs w:val="21"/>
                    </w:rPr>
                    <w:t>工业指标论证</w:t>
                  </w:r>
                </w:p>
              </w:tc>
              <w:tc>
                <w:tcPr>
                  <w:tcW w:w="349" w:type="pct"/>
                  <w:vAlign w:val="center"/>
                </w:tcPr>
                <w:p w14:paraId="33B4D58B">
                  <w:pPr>
                    <w:widowControl/>
                    <w:snapToGrid w:val="0"/>
                    <w:spacing w:line="240" w:lineRule="auto"/>
                    <w:ind w:firstLine="0" w:firstLineChars="0"/>
                    <w:jc w:val="center"/>
                    <w:rPr>
                      <w:kern w:val="0"/>
                      <w:sz w:val="21"/>
                      <w:szCs w:val="21"/>
                    </w:rPr>
                  </w:pPr>
                  <w:r>
                    <w:rPr>
                      <w:kern w:val="0"/>
                      <w:sz w:val="21"/>
                      <w:szCs w:val="21"/>
                    </w:rPr>
                    <w:t>份</w:t>
                  </w:r>
                </w:p>
              </w:tc>
              <w:tc>
                <w:tcPr>
                  <w:tcW w:w="433" w:type="pct"/>
                  <w:vAlign w:val="center"/>
                </w:tcPr>
                <w:p w14:paraId="3B70F5C9">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7791F403">
                  <w:pPr>
                    <w:widowControl/>
                    <w:snapToGrid w:val="0"/>
                    <w:spacing w:line="240" w:lineRule="auto"/>
                    <w:ind w:firstLine="0" w:firstLineChars="0"/>
                    <w:jc w:val="center"/>
                    <w:rPr>
                      <w:kern w:val="0"/>
                      <w:sz w:val="21"/>
                      <w:szCs w:val="21"/>
                    </w:rPr>
                  </w:pPr>
                  <w:r>
                    <w:rPr>
                      <w:kern w:val="0"/>
                      <w:sz w:val="21"/>
                      <w:szCs w:val="21"/>
                    </w:rPr>
                    <w:t>1</w:t>
                  </w:r>
                </w:p>
              </w:tc>
              <w:tc>
                <w:tcPr>
                  <w:tcW w:w="400" w:type="pct"/>
                  <w:vAlign w:val="center"/>
                </w:tcPr>
                <w:p w14:paraId="354B08AF">
                  <w:pPr>
                    <w:widowControl/>
                    <w:snapToGrid w:val="0"/>
                    <w:spacing w:line="240" w:lineRule="auto"/>
                    <w:ind w:firstLine="0" w:firstLineChars="0"/>
                    <w:jc w:val="center"/>
                    <w:rPr>
                      <w:kern w:val="0"/>
                      <w:sz w:val="21"/>
                      <w:szCs w:val="21"/>
                    </w:rPr>
                  </w:pPr>
                  <w:r>
                    <w:rPr>
                      <w:rFonts w:hint="eastAsia"/>
                      <w:kern w:val="0"/>
                      <w:sz w:val="21"/>
                      <w:szCs w:val="21"/>
                    </w:rPr>
                    <w:t>/</w:t>
                  </w:r>
                </w:p>
              </w:tc>
              <w:tc>
                <w:tcPr>
                  <w:tcW w:w="400" w:type="pct"/>
                  <w:vAlign w:val="center"/>
                </w:tcPr>
                <w:p w14:paraId="1A98E324">
                  <w:pPr>
                    <w:widowControl/>
                    <w:snapToGrid w:val="0"/>
                    <w:spacing w:line="240" w:lineRule="auto"/>
                    <w:ind w:firstLine="0" w:firstLineChars="0"/>
                    <w:jc w:val="center"/>
                    <w:rPr>
                      <w:kern w:val="0"/>
                      <w:sz w:val="21"/>
                      <w:szCs w:val="21"/>
                    </w:rPr>
                  </w:pPr>
                  <w:r>
                    <w:rPr>
                      <w:rFonts w:hint="eastAsia"/>
                      <w:kern w:val="0"/>
                      <w:sz w:val="21"/>
                      <w:szCs w:val="21"/>
                    </w:rPr>
                    <w:t>/</w:t>
                  </w:r>
                </w:p>
              </w:tc>
              <w:tc>
                <w:tcPr>
                  <w:tcW w:w="334" w:type="pct"/>
                  <w:vAlign w:val="center"/>
                </w:tcPr>
                <w:p w14:paraId="764E8D14">
                  <w:pPr>
                    <w:widowControl/>
                    <w:snapToGrid w:val="0"/>
                    <w:spacing w:line="240" w:lineRule="auto"/>
                    <w:ind w:firstLine="0" w:firstLineChars="0"/>
                    <w:jc w:val="center"/>
                    <w:rPr>
                      <w:kern w:val="0"/>
                      <w:sz w:val="21"/>
                      <w:szCs w:val="21"/>
                    </w:rPr>
                  </w:pPr>
                  <w:r>
                    <w:rPr>
                      <w:rFonts w:hint="eastAsia"/>
                      <w:kern w:val="0"/>
                      <w:sz w:val="21"/>
                      <w:szCs w:val="21"/>
                    </w:rPr>
                    <w:t>/</w:t>
                  </w:r>
                </w:p>
              </w:tc>
              <w:tc>
                <w:tcPr>
                  <w:tcW w:w="433" w:type="pct"/>
                  <w:vAlign w:val="center"/>
                </w:tcPr>
                <w:p w14:paraId="3E873087">
                  <w:pPr>
                    <w:widowControl/>
                    <w:snapToGrid w:val="0"/>
                    <w:spacing w:line="240" w:lineRule="auto"/>
                    <w:ind w:firstLine="0" w:firstLineChars="0"/>
                    <w:jc w:val="center"/>
                    <w:rPr>
                      <w:kern w:val="0"/>
                      <w:sz w:val="21"/>
                      <w:szCs w:val="21"/>
                    </w:rPr>
                  </w:pPr>
                  <w:r>
                    <w:rPr>
                      <w:kern w:val="0"/>
                      <w:sz w:val="21"/>
                      <w:szCs w:val="21"/>
                    </w:rPr>
                    <w:t>1</w:t>
                  </w:r>
                </w:p>
              </w:tc>
            </w:tr>
          </w:tbl>
          <w:p w14:paraId="0E4C8852">
            <w:pPr>
              <w:pStyle w:val="19"/>
            </w:pPr>
            <w:r>
              <w:t>2.5</w:t>
            </w:r>
            <w:r>
              <w:rPr>
                <w:rFonts w:hint="eastAsia"/>
              </w:rPr>
              <w:t>主要勘查设备</w:t>
            </w:r>
          </w:p>
          <w:p w14:paraId="29165E00">
            <w:r>
              <w:t>本项目主要勘查设备见表2-4。</w:t>
            </w:r>
          </w:p>
          <w:p w14:paraId="5A20DFEB">
            <w:pPr>
              <w:pStyle w:val="34"/>
              <w:spacing w:before="156"/>
              <w:rPr>
                <w:rFonts w:ascii="Times New Roman" w:hAnsi="Times New Roman"/>
              </w:rPr>
            </w:pPr>
            <w:r>
              <w:rPr>
                <w:rFonts w:hint="eastAsia" w:ascii="Times New Roman" w:hAnsi="Times New Roman"/>
              </w:rPr>
              <w:t>表2</w:t>
            </w:r>
            <w:r>
              <w:rPr>
                <w:rFonts w:ascii="Times New Roman" w:hAnsi="Times New Roman"/>
              </w:rPr>
              <w:t>-4  主要</w:t>
            </w:r>
            <w:r>
              <w:rPr>
                <w:rFonts w:hint="eastAsia" w:ascii="Times New Roman" w:hAnsi="Times New Roman"/>
              </w:rPr>
              <w:t>勘查</w:t>
            </w:r>
            <w:r>
              <w:rPr>
                <w:rFonts w:ascii="Times New Roman" w:hAnsi="Times New Roman"/>
              </w:rPr>
              <w:t>设备一览表</w:t>
            </w:r>
          </w:p>
          <w:tbl>
            <w:tblPr>
              <w:tblStyle w:val="23"/>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3190"/>
              <w:gridCol w:w="2397"/>
              <w:gridCol w:w="944"/>
            </w:tblGrid>
            <w:tr w14:paraId="0AC15C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7" w:type="pct"/>
                  <w:tcBorders>
                    <w:tl2br w:val="nil"/>
                    <w:tr2bl w:val="nil"/>
                  </w:tcBorders>
                  <w:vAlign w:val="center"/>
                </w:tcPr>
                <w:p w14:paraId="3A3B23DF">
                  <w:pPr>
                    <w:pStyle w:val="32"/>
                  </w:pPr>
                  <w:r>
                    <w:rPr>
                      <w:rFonts w:hint="eastAsia"/>
                    </w:rPr>
                    <w:t>序号</w:t>
                  </w:r>
                </w:p>
              </w:tc>
              <w:tc>
                <w:tcPr>
                  <w:tcW w:w="2038" w:type="pct"/>
                  <w:tcBorders>
                    <w:tl2br w:val="nil"/>
                    <w:tr2bl w:val="nil"/>
                  </w:tcBorders>
                  <w:vAlign w:val="center"/>
                </w:tcPr>
                <w:p w14:paraId="09DBF243">
                  <w:pPr>
                    <w:pStyle w:val="32"/>
                  </w:pPr>
                  <w:r>
                    <w:rPr>
                      <w:rFonts w:hint="eastAsia"/>
                    </w:rPr>
                    <w:t>设备名称</w:t>
                  </w:r>
                </w:p>
              </w:tc>
              <w:tc>
                <w:tcPr>
                  <w:tcW w:w="1531" w:type="pct"/>
                  <w:tcBorders>
                    <w:tl2br w:val="nil"/>
                    <w:tr2bl w:val="nil"/>
                  </w:tcBorders>
                  <w:vAlign w:val="center"/>
                </w:tcPr>
                <w:p w14:paraId="55E9BC6B">
                  <w:pPr>
                    <w:pStyle w:val="32"/>
                  </w:pPr>
                  <w:r>
                    <w:rPr>
                      <w:rFonts w:hint="eastAsia"/>
                    </w:rPr>
                    <w:t>型号</w:t>
                  </w:r>
                </w:p>
              </w:tc>
              <w:tc>
                <w:tcPr>
                  <w:tcW w:w="603" w:type="pct"/>
                  <w:tcBorders>
                    <w:tl2br w:val="nil"/>
                    <w:tr2bl w:val="nil"/>
                  </w:tcBorders>
                  <w:vAlign w:val="center"/>
                </w:tcPr>
                <w:p w14:paraId="02EE4B09">
                  <w:pPr>
                    <w:pStyle w:val="32"/>
                  </w:pPr>
                  <w:r>
                    <w:rPr>
                      <w:rFonts w:hint="eastAsia"/>
                    </w:rPr>
                    <w:t>数量</w:t>
                  </w:r>
                </w:p>
              </w:tc>
            </w:tr>
            <w:tr w14:paraId="7EFB6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3715F272">
                  <w:pPr>
                    <w:pStyle w:val="32"/>
                  </w:pPr>
                  <w:r>
                    <w:rPr>
                      <w:rFonts w:hint="eastAsia"/>
                    </w:rPr>
                    <w:t>1</w:t>
                  </w:r>
                </w:p>
              </w:tc>
              <w:tc>
                <w:tcPr>
                  <w:tcW w:w="2038" w:type="pct"/>
                  <w:tcBorders>
                    <w:tl2br w:val="nil"/>
                    <w:tr2bl w:val="nil"/>
                  </w:tcBorders>
                  <w:vAlign w:val="center"/>
                </w:tcPr>
                <w:p w14:paraId="6002D8CB">
                  <w:pPr>
                    <w:pStyle w:val="32"/>
                  </w:pPr>
                  <w:r>
                    <w:rPr>
                      <w:rFonts w:hint="eastAsia"/>
                    </w:rPr>
                    <w:t>轻型越野车</w:t>
                  </w:r>
                </w:p>
              </w:tc>
              <w:tc>
                <w:tcPr>
                  <w:tcW w:w="1531" w:type="pct"/>
                  <w:tcBorders>
                    <w:tl2br w:val="nil"/>
                    <w:tr2bl w:val="nil"/>
                  </w:tcBorders>
                  <w:vAlign w:val="center"/>
                </w:tcPr>
                <w:p w14:paraId="6843C90C">
                  <w:pPr>
                    <w:pStyle w:val="32"/>
                  </w:pPr>
                  <w:r>
                    <w:rPr>
                      <w:rFonts w:hint="eastAsia"/>
                    </w:rPr>
                    <w:t>尼桑皮卡ZX6494HBG4</w:t>
                  </w:r>
                </w:p>
              </w:tc>
              <w:tc>
                <w:tcPr>
                  <w:tcW w:w="603" w:type="pct"/>
                  <w:tcBorders>
                    <w:tl2br w:val="nil"/>
                    <w:tr2bl w:val="nil"/>
                  </w:tcBorders>
                  <w:vAlign w:val="center"/>
                </w:tcPr>
                <w:p w14:paraId="0B84C161">
                  <w:pPr>
                    <w:pStyle w:val="32"/>
                  </w:pPr>
                  <w:r>
                    <w:rPr>
                      <w:rFonts w:hint="eastAsia"/>
                    </w:rPr>
                    <w:t>2</w:t>
                  </w:r>
                </w:p>
              </w:tc>
            </w:tr>
            <w:tr w14:paraId="7FAAAE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0EDB0E8E">
                  <w:pPr>
                    <w:pStyle w:val="32"/>
                  </w:pPr>
                  <w:r>
                    <w:rPr>
                      <w:rFonts w:hint="eastAsia"/>
                    </w:rPr>
                    <w:t>2</w:t>
                  </w:r>
                </w:p>
              </w:tc>
              <w:tc>
                <w:tcPr>
                  <w:tcW w:w="2038" w:type="pct"/>
                  <w:tcBorders>
                    <w:tl2br w:val="nil"/>
                    <w:tr2bl w:val="nil"/>
                  </w:tcBorders>
                  <w:vAlign w:val="center"/>
                </w:tcPr>
                <w:p w14:paraId="04CA27B2">
                  <w:pPr>
                    <w:pStyle w:val="32"/>
                  </w:pPr>
                  <w:r>
                    <w:rPr>
                      <w:rFonts w:hint="eastAsia"/>
                    </w:rPr>
                    <w:t>越野载重汽车</w:t>
                  </w:r>
                </w:p>
              </w:tc>
              <w:tc>
                <w:tcPr>
                  <w:tcW w:w="1531" w:type="pct"/>
                  <w:tcBorders>
                    <w:tl2br w:val="nil"/>
                    <w:tr2bl w:val="nil"/>
                  </w:tcBorders>
                  <w:vAlign w:val="center"/>
                </w:tcPr>
                <w:p w14:paraId="5A617D6D">
                  <w:pPr>
                    <w:pStyle w:val="32"/>
                  </w:pPr>
                  <w:r>
                    <w:rPr>
                      <w:rFonts w:hint="eastAsia"/>
                    </w:rPr>
                    <w:t>东风DFS5160G2KT</w:t>
                  </w:r>
                </w:p>
              </w:tc>
              <w:tc>
                <w:tcPr>
                  <w:tcW w:w="603" w:type="pct"/>
                  <w:tcBorders>
                    <w:tl2br w:val="nil"/>
                    <w:tr2bl w:val="nil"/>
                  </w:tcBorders>
                  <w:vAlign w:val="center"/>
                </w:tcPr>
                <w:p w14:paraId="6915AD6A">
                  <w:pPr>
                    <w:pStyle w:val="32"/>
                  </w:pPr>
                  <w:r>
                    <w:rPr>
                      <w:rFonts w:hint="eastAsia"/>
                    </w:rPr>
                    <w:t>1</w:t>
                  </w:r>
                </w:p>
              </w:tc>
            </w:tr>
            <w:tr w14:paraId="0EF86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51E7BE32">
                  <w:pPr>
                    <w:pStyle w:val="32"/>
                  </w:pPr>
                  <w:r>
                    <w:rPr>
                      <w:rFonts w:hint="eastAsia"/>
                    </w:rPr>
                    <w:t>3</w:t>
                  </w:r>
                </w:p>
              </w:tc>
              <w:tc>
                <w:tcPr>
                  <w:tcW w:w="2038" w:type="pct"/>
                  <w:tcBorders>
                    <w:tl2br w:val="nil"/>
                    <w:tr2bl w:val="nil"/>
                  </w:tcBorders>
                  <w:vAlign w:val="center"/>
                </w:tcPr>
                <w:p w14:paraId="42786EA3">
                  <w:pPr>
                    <w:pStyle w:val="32"/>
                  </w:pPr>
                  <w:r>
                    <w:rPr>
                      <w:rFonts w:hint="eastAsia"/>
                    </w:rPr>
                    <w:t>全液压岩芯钻机</w:t>
                  </w:r>
                </w:p>
              </w:tc>
              <w:tc>
                <w:tcPr>
                  <w:tcW w:w="1531" w:type="pct"/>
                  <w:tcBorders>
                    <w:tl2br w:val="nil"/>
                    <w:tr2bl w:val="nil"/>
                  </w:tcBorders>
                  <w:vAlign w:val="center"/>
                </w:tcPr>
                <w:p w14:paraId="21394154">
                  <w:pPr>
                    <w:pStyle w:val="32"/>
                  </w:pPr>
                  <w:r>
                    <w:rPr>
                      <w:rFonts w:hint="eastAsia"/>
                    </w:rPr>
                    <w:t>HYDX-2</w:t>
                  </w:r>
                </w:p>
              </w:tc>
              <w:tc>
                <w:tcPr>
                  <w:tcW w:w="603" w:type="pct"/>
                  <w:tcBorders>
                    <w:tl2br w:val="nil"/>
                    <w:tr2bl w:val="nil"/>
                  </w:tcBorders>
                  <w:vAlign w:val="center"/>
                </w:tcPr>
                <w:p w14:paraId="2C8BEC63">
                  <w:pPr>
                    <w:pStyle w:val="32"/>
                  </w:pPr>
                  <w:r>
                    <w:rPr>
                      <w:rFonts w:hint="eastAsia"/>
                    </w:rPr>
                    <w:t>2</w:t>
                  </w:r>
                </w:p>
              </w:tc>
            </w:tr>
            <w:tr w14:paraId="38F70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6A86386E">
                  <w:pPr>
                    <w:pStyle w:val="32"/>
                  </w:pPr>
                  <w:r>
                    <w:rPr>
                      <w:rFonts w:hint="eastAsia"/>
                    </w:rPr>
                    <w:t>4</w:t>
                  </w:r>
                </w:p>
              </w:tc>
              <w:tc>
                <w:tcPr>
                  <w:tcW w:w="2038" w:type="pct"/>
                  <w:tcBorders>
                    <w:tl2br w:val="nil"/>
                    <w:tr2bl w:val="nil"/>
                  </w:tcBorders>
                  <w:vAlign w:val="center"/>
                </w:tcPr>
                <w:p w14:paraId="3A2FBD29">
                  <w:pPr>
                    <w:pStyle w:val="32"/>
                  </w:pPr>
                  <w:r>
                    <w:rPr>
                      <w:rFonts w:hint="eastAsia"/>
                    </w:rPr>
                    <w:t>柴油机</w:t>
                  </w:r>
                </w:p>
              </w:tc>
              <w:tc>
                <w:tcPr>
                  <w:tcW w:w="1531" w:type="pct"/>
                  <w:tcBorders>
                    <w:tl2br w:val="nil"/>
                    <w:tr2bl w:val="nil"/>
                  </w:tcBorders>
                  <w:vAlign w:val="center"/>
                </w:tcPr>
                <w:p w14:paraId="5478A8A2">
                  <w:pPr>
                    <w:pStyle w:val="32"/>
                  </w:pPr>
                  <w:r>
                    <w:rPr>
                      <w:rFonts w:hint="eastAsia"/>
                    </w:rPr>
                    <w:t>/</w:t>
                  </w:r>
                </w:p>
              </w:tc>
              <w:tc>
                <w:tcPr>
                  <w:tcW w:w="603" w:type="pct"/>
                  <w:tcBorders>
                    <w:tl2br w:val="nil"/>
                    <w:tr2bl w:val="nil"/>
                  </w:tcBorders>
                  <w:vAlign w:val="center"/>
                </w:tcPr>
                <w:p w14:paraId="33EA276B">
                  <w:pPr>
                    <w:pStyle w:val="32"/>
                  </w:pPr>
                  <w:r>
                    <w:rPr>
                      <w:rFonts w:hint="eastAsia"/>
                    </w:rPr>
                    <w:t>2</w:t>
                  </w:r>
                </w:p>
              </w:tc>
            </w:tr>
            <w:tr w14:paraId="709B78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771B24B4">
                  <w:pPr>
                    <w:pStyle w:val="32"/>
                  </w:pPr>
                  <w:r>
                    <w:rPr>
                      <w:rFonts w:hint="eastAsia"/>
                    </w:rPr>
                    <w:t>5</w:t>
                  </w:r>
                </w:p>
              </w:tc>
              <w:tc>
                <w:tcPr>
                  <w:tcW w:w="2038" w:type="pct"/>
                  <w:tcBorders>
                    <w:tl2br w:val="nil"/>
                    <w:tr2bl w:val="nil"/>
                  </w:tcBorders>
                  <w:vAlign w:val="center"/>
                </w:tcPr>
                <w:p w14:paraId="675BFB9C">
                  <w:pPr>
                    <w:pStyle w:val="32"/>
                  </w:pPr>
                  <w:r>
                    <w:rPr>
                      <w:rFonts w:hint="eastAsia"/>
                    </w:rPr>
                    <w:t>数字测井系统</w:t>
                  </w:r>
                </w:p>
              </w:tc>
              <w:tc>
                <w:tcPr>
                  <w:tcW w:w="1531" w:type="pct"/>
                  <w:tcBorders>
                    <w:tl2br w:val="nil"/>
                    <w:tr2bl w:val="nil"/>
                  </w:tcBorders>
                  <w:vAlign w:val="center"/>
                </w:tcPr>
                <w:p w14:paraId="4ED07101">
                  <w:pPr>
                    <w:pStyle w:val="32"/>
                  </w:pPr>
                  <w:r>
                    <w:rPr>
                      <w:rFonts w:hint="eastAsia"/>
                    </w:rPr>
                    <w:t>PSJ-2</w:t>
                  </w:r>
                </w:p>
              </w:tc>
              <w:tc>
                <w:tcPr>
                  <w:tcW w:w="603" w:type="pct"/>
                  <w:tcBorders>
                    <w:tl2br w:val="nil"/>
                    <w:tr2bl w:val="nil"/>
                  </w:tcBorders>
                  <w:vAlign w:val="center"/>
                </w:tcPr>
                <w:p w14:paraId="2D8C0B55">
                  <w:pPr>
                    <w:pStyle w:val="32"/>
                  </w:pPr>
                  <w:r>
                    <w:rPr>
                      <w:rFonts w:hint="eastAsia"/>
                    </w:rPr>
                    <w:t>1</w:t>
                  </w:r>
                </w:p>
              </w:tc>
            </w:tr>
            <w:tr w14:paraId="3037C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1775F770">
                  <w:pPr>
                    <w:pStyle w:val="32"/>
                  </w:pPr>
                  <w:r>
                    <w:rPr>
                      <w:rFonts w:hint="eastAsia"/>
                    </w:rPr>
                    <w:t>6</w:t>
                  </w:r>
                </w:p>
              </w:tc>
              <w:tc>
                <w:tcPr>
                  <w:tcW w:w="2038" w:type="pct"/>
                  <w:tcBorders>
                    <w:tl2br w:val="nil"/>
                    <w:tr2bl w:val="nil"/>
                  </w:tcBorders>
                  <w:vAlign w:val="center"/>
                </w:tcPr>
                <w:p w14:paraId="23A2488C">
                  <w:pPr>
                    <w:pStyle w:val="32"/>
                  </w:pPr>
                  <w:r>
                    <w:rPr>
                      <w:rFonts w:hint="eastAsia"/>
                    </w:rPr>
                    <w:t>高精度测斜仪</w:t>
                  </w:r>
                </w:p>
              </w:tc>
              <w:tc>
                <w:tcPr>
                  <w:tcW w:w="1531" w:type="pct"/>
                  <w:tcBorders>
                    <w:tl2br w:val="nil"/>
                    <w:tr2bl w:val="nil"/>
                  </w:tcBorders>
                  <w:vAlign w:val="center"/>
                </w:tcPr>
                <w:p w14:paraId="23C5F9EE">
                  <w:pPr>
                    <w:pStyle w:val="32"/>
                  </w:pPr>
                  <w:r>
                    <w:rPr>
                      <w:rFonts w:hint="eastAsia"/>
                    </w:rPr>
                    <w:t>CX-1</w:t>
                  </w:r>
                </w:p>
              </w:tc>
              <w:tc>
                <w:tcPr>
                  <w:tcW w:w="603" w:type="pct"/>
                  <w:tcBorders>
                    <w:tl2br w:val="nil"/>
                    <w:tr2bl w:val="nil"/>
                  </w:tcBorders>
                  <w:vAlign w:val="center"/>
                </w:tcPr>
                <w:p w14:paraId="7D11D57B">
                  <w:pPr>
                    <w:pStyle w:val="32"/>
                  </w:pPr>
                  <w:r>
                    <w:rPr>
                      <w:rFonts w:hint="eastAsia"/>
                    </w:rPr>
                    <w:t>1</w:t>
                  </w:r>
                </w:p>
              </w:tc>
            </w:tr>
            <w:tr w14:paraId="0D652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67F86B97">
                  <w:pPr>
                    <w:pStyle w:val="32"/>
                  </w:pPr>
                  <w:r>
                    <w:rPr>
                      <w:rFonts w:hint="eastAsia"/>
                    </w:rPr>
                    <w:t>7</w:t>
                  </w:r>
                </w:p>
              </w:tc>
              <w:tc>
                <w:tcPr>
                  <w:tcW w:w="2038" w:type="pct"/>
                  <w:tcBorders>
                    <w:tl2br w:val="nil"/>
                    <w:tr2bl w:val="nil"/>
                  </w:tcBorders>
                  <w:vAlign w:val="center"/>
                </w:tcPr>
                <w:p w14:paraId="4044812F">
                  <w:pPr>
                    <w:pStyle w:val="32"/>
                  </w:pPr>
                  <w:r>
                    <w:rPr>
                      <w:rFonts w:hint="eastAsia"/>
                    </w:rPr>
                    <w:t>笔记本电脑</w:t>
                  </w:r>
                </w:p>
              </w:tc>
              <w:tc>
                <w:tcPr>
                  <w:tcW w:w="1531" w:type="pct"/>
                  <w:tcBorders>
                    <w:tl2br w:val="nil"/>
                    <w:tr2bl w:val="nil"/>
                  </w:tcBorders>
                  <w:vAlign w:val="center"/>
                </w:tcPr>
                <w:p w14:paraId="1F1CAF2F">
                  <w:pPr>
                    <w:pStyle w:val="32"/>
                  </w:pPr>
                  <w:r>
                    <w:rPr>
                      <w:rFonts w:hint="eastAsia"/>
                    </w:rPr>
                    <w:t>联想</w:t>
                  </w:r>
                </w:p>
              </w:tc>
              <w:tc>
                <w:tcPr>
                  <w:tcW w:w="603" w:type="pct"/>
                  <w:tcBorders>
                    <w:tl2br w:val="nil"/>
                    <w:tr2bl w:val="nil"/>
                  </w:tcBorders>
                  <w:vAlign w:val="center"/>
                </w:tcPr>
                <w:p w14:paraId="2A796003">
                  <w:pPr>
                    <w:pStyle w:val="32"/>
                  </w:pPr>
                  <w:r>
                    <w:rPr>
                      <w:rFonts w:hint="eastAsia"/>
                    </w:rPr>
                    <w:t>10</w:t>
                  </w:r>
                </w:p>
              </w:tc>
            </w:tr>
            <w:tr w14:paraId="571AD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7C93827A">
                  <w:pPr>
                    <w:pStyle w:val="32"/>
                  </w:pPr>
                  <w:r>
                    <w:rPr>
                      <w:rFonts w:hint="eastAsia"/>
                    </w:rPr>
                    <w:t>8</w:t>
                  </w:r>
                </w:p>
              </w:tc>
              <w:tc>
                <w:tcPr>
                  <w:tcW w:w="2038" w:type="pct"/>
                  <w:tcBorders>
                    <w:tl2br w:val="nil"/>
                    <w:tr2bl w:val="nil"/>
                  </w:tcBorders>
                  <w:vAlign w:val="center"/>
                </w:tcPr>
                <w:p w14:paraId="4201727D">
                  <w:pPr>
                    <w:pStyle w:val="32"/>
                  </w:pPr>
                  <w:r>
                    <w:rPr>
                      <w:rFonts w:hint="eastAsia"/>
                    </w:rPr>
                    <w:t>GPS卫星定位仪</w:t>
                  </w:r>
                </w:p>
              </w:tc>
              <w:tc>
                <w:tcPr>
                  <w:tcW w:w="1531" w:type="pct"/>
                  <w:tcBorders>
                    <w:tl2br w:val="nil"/>
                    <w:tr2bl w:val="nil"/>
                  </w:tcBorders>
                  <w:vAlign w:val="center"/>
                </w:tcPr>
                <w:p w14:paraId="4C91FC1A">
                  <w:pPr>
                    <w:pStyle w:val="32"/>
                  </w:pPr>
                  <w:r>
                    <w:rPr>
                      <w:rFonts w:hint="eastAsia"/>
                    </w:rPr>
                    <w:t>集思宝</w:t>
                  </w:r>
                </w:p>
              </w:tc>
              <w:tc>
                <w:tcPr>
                  <w:tcW w:w="603" w:type="pct"/>
                  <w:tcBorders>
                    <w:tl2br w:val="nil"/>
                    <w:tr2bl w:val="nil"/>
                  </w:tcBorders>
                  <w:vAlign w:val="center"/>
                </w:tcPr>
                <w:p w14:paraId="1781515B">
                  <w:pPr>
                    <w:pStyle w:val="32"/>
                  </w:pPr>
                  <w:r>
                    <w:rPr>
                      <w:rFonts w:hint="eastAsia"/>
                    </w:rPr>
                    <w:t>12</w:t>
                  </w:r>
                </w:p>
              </w:tc>
            </w:tr>
            <w:tr w14:paraId="3F1C7E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3BAC0F56">
                  <w:pPr>
                    <w:pStyle w:val="32"/>
                  </w:pPr>
                  <w:r>
                    <w:rPr>
                      <w:rFonts w:hint="eastAsia"/>
                    </w:rPr>
                    <w:t>9</w:t>
                  </w:r>
                </w:p>
              </w:tc>
              <w:tc>
                <w:tcPr>
                  <w:tcW w:w="2038" w:type="pct"/>
                  <w:tcBorders>
                    <w:tl2br w:val="nil"/>
                    <w:tr2bl w:val="nil"/>
                  </w:tcBorders>
                  <w:vAlign w:val="center"/>
                </w:tcPr>
                <w:p w14:paraId="52D51C73">
                  <w:pPr>
                    <w:pStyle w:val="32"/>
                  </w:pPr>
                  <w:r>
                    <w:rPr>
                      <w:rFonts w:hint="eastAsia"/>
                    </w:rPr>
                    <w:t>数码相机</w:t>
                  </w:r>
                </w:p>
              </w:tc>
              <w:tc>
                <w:tcPr>
                  <w:tcW w:w="1531" w:type="pct"/>
                  <w:tcBorders>
                    <w:tl2br w:val="nil"/>
                    <w:tr2bl w:val="nil"/>
                  </w:tcBorders>
                  <w:vAlign w:val="center"/>
                </w:tcPr>
                <w:p w14:paraId="54B1492F">
                  <w:pPr>
                    <w:pStyle w:val="32"/>
                  </w:pPr>
                  <w:r>
                    <w:rPr>
                      <w:rFonts w:hint="eastAsia"/>
                    </w:rPr>
                    <w:t>索尼</w:t>
                  </w:r>
                </w:p>
              </w:tc>
              <w:tc>
                <w:tcPr>
                  <w:tcW w:w="603" w:type="pct"/>
                  <w:tcBorders>
                    <w:tl2br w:val="nil"/>
                    <w:tr2bl w:val="nil"/>
                  </w:tcBorders>
                  <w:vAlign w:val="center"/>
                </w:tcPr>
                <w:p w14:paraId="30516F02">
                  <w:pPr>
                    <w:pStyle w:val="32"/>
                  </w:pPr>
                  <w:r>
                    <w:rPr>
                      <w:rFonts w:hint="eastAsia"/>
                    </w:rPr>
                    <w:t>2</w:t>
                  </w:r>
                </w:p>
              </w:tc>
            </w:tr>
            <w:tr w14:paraId="4F7702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433C982A">
                  <w:pPr>
                    <w:pStyle w:val="32"/>
                  </w:pPr>
                  <w:r>
                    <w:rPr>
                      <w:rFonts w:hint="eastAsia"/>
                    </w:rPr>
                    <w:t>10</w:t>
                  </w:r>
                </w:p>
              </w:tc>
              <w:tc>
                <w:tcPr>
                  <w:tcW w:w="2038" w:type="pct"/>
                  <w:tcBorders>
                    <w:tl2br w:val="nil"/>
                    <w:tr2bl w:val="nil"/>
                  </w:tcBorders>
                  <w:vAlign w:val="center"/>
                </w:tcPr>
                <w:p w14:paraId="06A66AF6">
                  <w:pPr>
                    <w:pStyle w:val="32"/>
                  </w:pPr>
                  <w:r>
                    <w:rPr>
                      <w:rFonts w:hint="eastAsia"/>
                    </w:rPr>
                    <w:t>便携式矿</w:t>
                  </w:r>
                </w:p>
                <w:p w14:paraId="396221D4">
                  <w:pPr>
                    <w:pStyle w:val="32"/>
                  </w:pPr>
                  <w:r>
                    <w:rPr>
                      <w:rFonts w:hint="eastAsia"/>
                    </w:rPr>
                    <w:t>石元素分析仪</w:t>
                  </w:r>
                </w:p>
              </w:tc>
              <w:tc>
                <w:tcPr>
                  <w:tcW w:w="1531" w:type="pct"/>
                  <w:tcBorders>
                    <w:tl2br w:val="nil"/>
                    <w:tr2bl w:val="nil"/>
                  </w:tcBorders>
                  <w:vAlign w:val="center"/>
                </w:tcPr>
                <w:p w14:paraId="04B8A048">
                  <w:pPr>
                    <w:pStyle w:val="32"/>
                  </w:pPr>
                  <w:r>
                    <w:rPr>
                      <w:rFonts w:hint="eastAsia"/>
                    </w:rPr>
                    <w:t>NITONXL3T-500</w:t>
                  </w:r>
                </w:p>
              </w:tc>
              <w:tc>
                <w:tcPr>
                  <w:tcW w:w="603" w:type="pct"/>
                  <w:tcBorders>
                    <w:tl2br w:val="nil"/>
                    <w:tr2bl w:val="nil"/>
                  </w:tcBorders>
                  <w:vAlign w:val="center"/>
                </w:tcPr>
                <w:p w14:paraId="39E98A9A">
                  <w:pPr>
                    <w:pStyle w:val="32"/>
                  </w:pPr>
                  <w:r>
                    <w:rPr>
                      <w:rFonts w:hint="eastAsia"/>
                    </w:rPr>
                    <w:t>1</w:t>
                  </w:r>
                </w:p>
              </w:tc>
            </w:tr>
            <w:tr w14:paraId="024A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23A2DAD8">
                  <w:pPr>
                    <w:pStyle w:val="32"/>
                  </w:pPr>
                  <w:r>
                    <w:rPr>
                      <w:rFonts w:hint="eastAsia"/>
                    </w:rPr>
                    <w:t>11</w:t>
                  </w:r>
                </w:p>
              </w:tc>
              <w:tc>
                <w:tcPr>
                  <w:tcW w:w="2038" w:type="pct"/>
                  <w:tcBorders>
                    <w:tl2br w:val="nil"/>
                    <w:tr2bl w:val="nil"/>
                  </w:tcBorders>
                  <w:vAlign w:val="center"/>
                </w:tcPr>
                <w:p w14:paraId="39B24C43">
                  <w:pPr>
                    <w:pStyle w:val="32"/>
                  </w:pPr>
                  <w:r>
                    <w:rPr>
                      <w:rFonts w:hint="eastAsia"/>
                    </w:rPr>
                    <w:t>刻槽取样机</w:t>
                  </w:r>
                </w:p>
              </w:tc>
              <w:tc>
                <w:tcPr>
                  <w:tcW w:w="1531" w:type="pct"/>
                  <w:tcBorders>
                    <w:tl2br w:val="nil"/>
                    <w:tr2bl w:val="nil"/>
                  </w:tcBorders>
                  <w:vAlign w:val="center"/>
                </w:tcPr>
                <w:p w14:paraId="08247E3C">
                  <w:pPr>
                    <w:pStyle w:val="32"/>
                  </w:pPr>
                  <w:r>
                    <w:rPr>
                      <w:rFonts w:hint="eastAsia"/>
                    </w:rPr>
                    <w:t>14J</w:t>
                  </w:r>
                </w:p>
              </w:tc>
              <w:tc>
                <w:tcPr>
                  <w:tcW w:w="603" w:type="pct"/>
                  <w:tcBorders>
                    <w:tl2br w:val="nil"/>
                    <w:tr2bl w:val="nil"/>
                  </w:tcBorders>
                  <w:vAlign w:val="center"/>
                </w:tcPr>
                <w:p w14:paraId="7B0B79BE">
                  <w:pPr>
                    <w:pStyle w:val="32"/>
                  </w:pPr>
                  <w:r>
                    <w:rPr>
                      <w:rFonts w:hint="eastAsia"/>
                    </w:rPr>
                    <w:t>2</w:t>
                  </w:r>
                </w:p>
              </w:tc>
            </w:tr>
            <w:tr w14:paraId="513D90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7B31874C">
                  <w:pPr>
                    <w:pStyle w:val="32"/>
                  </w:pPr>
                  <w:r>
                    <w:rPr>
                      <w:rFonts w:hint="eastAsia"/>
                    </w:rPr>
                    <w:t>12</w:t>
                  </w:r>
                </w:p>
              </w:tc>
              <w:tc>
                <w:tcPr>
                  <w:tcW w:w="2038" w:type="pct"/>
                  <w:tcBorders>
                    <w:tl2br w:val="nil"/>
                    <w:tr2bl w:val="nil"/>
                  </w:tcBorders>
                  <w:vAlign w:val="center"/>
                </w:tcPr>
                <w:p w14:paraId="36207688">
                  <w:pPr>
                    <w:pStyle w:val="32"/>
                  </w:pPr>
                  <w:r>
                    <w:rPr>
                      <w:rFonts w:hint="eastAsia"/>
                    </w:rPr>
                    <w:t>岩芯切割机</w:t>
                  </w:r>
                </w:p>
              </w:tc>
              <w:tc>
                <w:tcPr>
                  <w:tcW w:w="1531" w:type="pct"/>
                  <w:tcBorders>
                    <w:tl2br w:val="nil"/>
                    <w:tr2bl w:val="nil"/>
                  </w:tcBorders>
                  <w:vAlign w:val="center"/>
                </w:tcPr>
                <w:p w14:paraId="16701CFF">
                  <w:pPr>
                    <w:pStyle w:val="32"/>
                  </w:pPr>
                  <w:r>
                    <w:rPr>
                      <w:rFonts w:hint="eastAsia"/>
                    </w:rPr>
                    <w:t>BS355</w:t>
                  </w:r>
                </w:p>
              </w:tc>
              <w:tc>
                <w:tcPr>
                  <w:tcW w:w="603" w:type="pct"/>
                  <w:tcBorders>
                    <w:tl2br w:val="nil"/>
                    <w:tr2bl w:val="nil"/>
                  </w:tcBorders>
                  <w:vAlign w:val="center"/>
                </w:tcPr>
                <w:p w14:paraId="66151117">
                  <w:pPr>
                    <w:pStyle w:val="32"/>
                  </w:pPr>
                  <w:r>
                    <w:rPr>
                      <w:rFonts w:hint="eastAsia"/>
                    </w:rPr>
                    <w:t>2</w:t>
                  </w:r>
                </w:p>
              </w:tc>
            </w:tr>
            <w:tr w14:paraId="287C76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41EB9BF8">
                  <w:pPr>
                    <w:pStyle w:val="32"/>
                  </w:pPr>
                  <w:r>
                    <w:rPr>
                      <w:rFonts w:hint="eastAsia"/>
                    </w:rPr>
                    <w:t>13</w:t>
                  </w:r>
                </w:p>
              </w:tc>
              <w:tc>
                <w:tcPr>
                  <w:tcW w:w="2038" w:type="pct"/>
                  <w:tcBorders>
                    <w:tl2br w:val="nil"/>
                    <w:tr2bl w:val="nil"/>
                  </w:tcBorders>
                  <w:vAlign w:val="center"/>
                </w:tcPr>
                <w:p w14:paraId="06CB5496">
                  <w:pPr>
                    <w:pStyle w:val="32"/>
                  </w:pPr>
                  <w:r>
                    <w:rPr>
                      <w:rFonts w:hint="eastAsia"/>
                    </w:rPr>
                    <w:t>对讲机</w:t>
                  </w:r>
                </w:p>
              </w:tc>
              <w:tc>
                <w:tcPr>
                  <w:tcW w:w="1531" w:type="pct"/>
                  <w:tcBorders>
                    <w:tl2br w:val="nil"/>
                    <w:tr2bl w:val="nil"/>
                  </w:tcBorders>
                  <w:vAlign w:val="center"/>
                </w:tcPr>
                <w:p w14:paraId="4178A9A7">
                  <w:pPr>
                    <w:pStyle w:val="32"/>
                  </w:pPr>
                  <w:r>
                    <w:rPr>
                      <w:rFonts w:hint="eastAsia"/>
                    </w:rPr>
                    <w:t>KT-3207</w:t>
                  </w:r>
                </w:p>
              </w:tc>
              <w:tc>
                <w:tcPr>
                  <w:tcW w:w="603" w:type="pct"/>
                  <w:tcBorders>
                    <w:tl2br w:val="nil"/>
                    <w:tr2bl w:val="nil"/>
                  </w:tcBorders>
                  <w:vAlign w:val="center"/>
                </w:tcPr>
                <w:p w14:paraId="4D11371F">
                  <w:pPr>
                    <w:pStyle w:val="32"/>
                  </w:pPr>
                  <w:r>
                    <w:rPr>
                      <w:rFonts w:hint="eastAsia"/>
                    </w:rPr>
                    <w:t>12</w:t>
                  </w:r>
                </w:p>
              </w:tc>
            </w:tr>
            <w:tr w14:paraId="1FF65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49E3AEF0">
                  <w:pPr>
                    <w:pStyle w:val="32"/>
                  </w:pPr>
                  <w:r>
                    <w:rPr>
                      <w:rFonts w:hint="eastAsia"/>
                    </w:rPr>
                    <w:t>14</w:t>
                  </w:r>
                </w:p>
              </w:tc>
              <w:tc>
                <w:tcPr>
                  <w:tcW w:w="2038" w:type="pct"/>
                  <w:tcBorders>
                    <w:tl2br w:val="nil"/>
                    <w:tr2bl w:val="nil"/>
                  </w:tcBorders>
                  <w:vAlign w:val="center"/>
                </w:tcPr>
                <w:p w14:paraId="3EBB0035">
                  <w:pPr>
                    <w:pStyle w:val="32"/>
                  </w:pPr>
                  <w:r>
                    <w:rPr>
                      <w:rFonts w:hint="eastAsia"/>
                    </w:rPr>
                    <w:t>车载电台</w:t>
                  </w:r>
                </w:p>
              </w:tc>
              <w:tc>
                <w:tcPr>
                  <w:tcW w:w="1531" w:type="pct"/>
                  <w:tcBorders>
                    <w:tl2br w:val="nil"/>
                    <w:tr2bl w:val="nil"/>
                  </w:tcBorders>
                  <w:vAlign w:val="center"/>
                </w:tcPr>
                <w:p w14:paraId="2703D4FC">
                  <w:pPr>
                    <w:pStyle w:val="32"/>
                  </w:pPr>
                  <w:r>
                    <w:rPr>
                      <w:rFonts w:hint="eastAsia"/>
                    </w:rPr>
                    <w:t>好易通TM800</w:t>
                  </w:r>
                </w:p>
              </w:tc>
              <w:tc>
                <w:tcPr>
                  <w:tcW w:w="603" w:type="pct"/>
                  <w:tcBorders>
                    <w:tl2br w:val="nil"/>
                    <w:tr2bl w:val="nil"/>
                  </w:tcBorders>
                  <w:vAlign w:val="center"/>
                </w:tcPr>
                <w:p w14:paraId="590E9852">
                  <w:pPr>
                    <w:pStyle w:val="32"/>
                  </w:pPr>
                  <w:r>
                    <w:rPr>
                      <w:rFonts w:hint="eastAsia"/>
                    </w:rPr>
                    <w:t>3</w:t>
                  </w:r>
                </w:p>
              </w:tc>
            </w:tr>
            <w:tr w14:paraId="51016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480C4DD5">
                  <w:pPr>
                    <w:pStyle w:val="32"/>
                  </w:pPr>
                  <w:r>
                    <w:rPr>
                      <w:rFonts w:hint="eastAsia"/>
                    </w:rPr>
                    <w:t>15</w:t>
                  </w:r>
                </w:p>
              </w:tc>
              <w:tc>
                <w:tcPr>
                  <w:tcW w:w="2038" w:type="pct"/>
                  <w:tcBorders>
                    <w:tl2br w:val="nil"/>
                    <w:tr2bl w:val="nil"/>
                  </w:tcBorders>
                  <w:vAlign w:val="center"/>
                </w:tcPr>
                <w:p w14:paraId="1B12D200">
                  <w:pPr>
                    <w:pStyle w:val="32"/>
                  </w:pPr>
                  <w:r>
                    <w:rPr>
                      <w:rFonts w:hint="eastAsia"/>
                    </w:rPr>
                    <w:t>台式电脑</w:t>
                  </w:r>
                </w:p>
              </w:tc>
              <w:tc>
                <w:tcPr>
                  <w:tcW w:w="1531" w:type="pct"/>
                  <w:tcBorders>
                    <w:tl2br w:val="nil"/>
                    <w:tr2bl w:val="nil"/>
                  </w:tcBorders>
                  <w:vAlign w:val="center"/>
                </w:tcPr>
                <w:p w14:paraId="3C0F19E0">
                  <w:pPr>
                    <w:pStyle w:val="32"/>
                  </w:pPr>
                  <w:r>
                    <w:rPr>
                      <w:rFonts w:hint="eastAsia"/>
                    </w:rPr>
                    <w:t>联想</w:t>
                  </w:r>
                </w:p>
              </w:tc>
              <w:tc>
                <w:tcPr>
                  <w:tcW w:w="603" w:type="pct"/>
                  <w:tcBorders>
                    <w:tl2br w:val="nil"/>
                    <w:tr2bl w:val="nil"/>
                  </w:tcBorders>
                  <w:vAlign w:val="center"/>
                </w:tcPr>
                <w:p w14:paraId="2A6071FB">
                  <w:pPr>
                    <w:pStyle w:val="32"/>
                  </w:pPr>
                  <w:r>
                    <w:rPr>
                      <w:rFonts w:hint="eastAsia"/>
                    </w:rPr>
                    <w:t>2</w:t>
                  </w:r>
                </w:p>
              </w:tc>
            </w:tr>
            <w:tr w14:paraId="4E98A0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3E083BD5">
                  <w:pPr>
                    <w:pStyle w:val="32"/>
                  </w:pPr>
                  <w:r>
                    <w:rPr>
                      <w:rFonts w:hint="eastAsia"/>
                    </w:rPr>
                    <w:t>16</w:t>
                  </w:r>
                </w:p>
              </w:tc>
              <w:tc>
                <w:tcPr>
                  <w:tcW w:w="2038" w:type="pct"/>
                  <w:tcBorders>
                    <w:tl2br w:val="nil"/>
                    <w:tr2bl w:val="nil"/>
                  </w:tcBorders>
                  <w:vAlign w:val="center"/>
                </w:tcPr>
                <w:p w14:paraId="5CEC2E26">
                  <w:pPr>
                    <w:pStyle w:val="32"/>
                  </w:pPr>
                  <w:r>
                    <w:rPr>
                      <w:rFonts w:hint="eastAsia"/>
                    </w:rPr>
                    <w:t>卫星电话</w:t>
                  </w:r>
                </w:p>
              </w:tc>
              <w:tc>
                <w:tcPr>
                  <w:tcW w:w="1531" w:type="pct"/>
                  <w:tcBorders>
                    <w:tl2br w:val="nil"/>
                    <w:tr2bl w:val="nil"/>
                  </w:tcBorders>
                  <w:vAlign w:val="center"/>
                </w:tcPr>
                <w:p w14:paraId="6BB3447D">
                  <w:pPr>
                    <w:pStyle w:val="32"/>
                  </w:pPr>
                  <w:r>
                    <w:rPr>
                      <w:rFonts w:hint="eastAsia"/>
                    </w:rPr>
                    <w:t>华为</w:t>
                  </w:r>
                </w:p>
              </w:tc>
              <w:tc>
                <w:tcPr>
                  <w:tcW w:w="603" w:type="pct"/>
                  <w:tcBorders>
                    <w:tl2br w:val="nil"/>
                    <w:tr2bl w:val="nil"/>
                  </w:tcBorders>
                  <w:vAlign w:val="center"/>
                </w:tcPr>
                <w:p w14:paraId="575763B3">
                  <w:pPr>
                    <w:pStyle w:val="32"/>
                  </w:pPr>
                  <w:r>
                    <w:rPr>
                      <w:rFonts w:hint="eastAsia"/>
                    </w:rPr>
                    <w:t>2</w:t>
                  </w:r>
                </w:p>
              </w:tc>
            </w:tr>
            <w:tr w14:paraId="64BA2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50495387">
                  <w:pPr>
                    <w:pStyle w:val="32"/>
                  </w:pPr>
                  <w:r>
                    <w:rPr>
                      <w:rFonts w:hint="eastAsia"/>
                    </w:rPr>
                    <w:t>17</w:t>
                  </w:r>
                </w:p>
              </w:tc>
              <w:tc>
                <w:tcPr>
                  <w:tcW w:w="2038" w:type="pct"/>
                  <w:tcBorders>
                    <w:tl2br w:val="nil"/>
                    <w:tr2bl w:val="nil"/>
                  </w:tcBorders>
                  <w:vAlign w:val="center"/>
                </w:tcPr>
                <w:p w14:paraId="2816416E">
                  <w:pPr>
                    <w:pStyle w:val="32"/>
                  </w:pPr>
                  <w:r>
                    <w:rPr>
                      <w:rFonts w:hint="eastAsia"/>
                    </w:rPr>
                    <w:t>激光打印机</w:t>
                  </w:r>
                </w:p>
              </w:tc>
              <w:tc>
                <w:tcPr>
                  <w:tcW w:w="1531" w:type="pct"/>
                  <w:tcBorders>
                    <w:tl2br w:val="nil"/>
                    <w:tr2bl w:val="nil"/>
                  </w:tcBorders>
                  <w:vAlign w:val="center"/>
                </w:tcPr>
                <w:p w14:paraId="78D8D533">
                  <w:pPr>
                    <w:pStyle w:val="32"/>
                  </w:pPr>
                  <w:r>
                    <w:rPr>
                      <w:rFonts w:hint="eastAsia"/>
                    </w:rPr>
                    <w:t>HP</w:t>
                  </w:r>
                </w:p>
              </w:tc>
              <w:tc>
                <w:tcPr>
                  <w:tcW w:w="603" w:type="pct"/>
                  <w:tcBorders>
                    <w:tl2br w:val="nil"/>
                    <w:tr2bl w:val="nil"/>
                  </w:tcBorders>
                  <w:vAlign w:val="center"/>
                </w:tcPr>
                <w:p w14:paraId="3178073B">
                  <w:pPr>
                    <w:pStyle w:val="32"/>
                  </w:pPr>
                  <w:r>
                    <w:rPr>
                      <w:rFonts w:hint="eastAsia"/>
                    </w:rPr>
                    <w:t>1</w:t>
                  </w:r>
                </w:p>
              </w:tc>
            </w:tr>
            <w:tr w14:paraId="695FC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54544162">
                  <w:pPr>
                    <w:pStyle w:val="32"/>
                  </w:pPr>
                  <w:r>
                    <w:rPr>
                      <w:rFonts w:hint="eastAsia"/>
                    </w:rPr>
                    <w:t>18</w:t>
                  </w:r>
                </w:p>
              </w:tc>
              <w:tc>
                <w:tcPr>
                  <w:tcW w:w="2038" w:type="pct"/>
                  <w:tcBorders>
                    <w:tl2br w:val="nil"/>
                    <w:tr2bl w:val="nil"/>
                  </w:tcBorders>
                  <w:vAlign w:val="center"/>
                </w:tcPr>
                <w:p w14:paraId="3F5D1E33">
                  <w:pPr>
                    <w:pStyle w:val="32"/>
                  </w:pPr>
                  <w:r>
                    <w:rPr>
                      <w:rFonts w:hint="eastAsia"/>
                    </w:rPr>
                    <w:t>柴油发电机</w:t>
                  </w:r>
                </w:p>
              </w:tc>
              <w:tc>
                <w:tcPr>
                  <w:tcW w:w="1531" w:type="pct"/>
                  <w:tcBorders>
                    <w:tl2br w:val="nil"/>
                    <w:tr2bl w:val="nil"/>
                  </w:tcBorders>
                  <w:vAlign w:val="center"/>
                </w:tcPr>
                <w:p w14:paraId="725C5CF2">
                  <w:pPr>
                    <w:pStyle w:val="32"/>
                  </w:pPr>
                  <w:r>
                    <w:rPr>
                      <w:rFonts w:hint="eastAsia"/>
                    </w:rPr>
                    <w:t>/</w:t>
                  </w:r>
                </w:p>
              </w:tc>
              <w:tc>
                <w:tcPr>
                  <w:tcW w:w="603" w:type="pct"/>
                  <w:tcBorders>
                    <w:tl2br w:val="nil"/>
                    <w:tr2bl w:val="nil"/>
                  </w:tcBorders>
                  <w:vAlign w:val="center"/>
                </w:tcPr>
                <w:p w14:paraId="5C66A89F">
                  <w:pPr>
                    <w:pStyle w:val="32"/>
                  </w:pPr>
                  <w:r>
                    <w:rPr>
                      <w:rFonts w:hint="eastAsia"/>
                    </w:rPr>
                    <w:t>2台</w:t>
                  </w:r>
                </w:p>
              </w:tc>
            </w:tr>
            <w:tr w14:paraId="3CD3C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1B5E7D3C">
                  <w:pPr>
                    <w:pStyle w:val="32"/>
                  </w:pPr>
                  <w:r>
                    <w:rPr>
                      <w:rFonts w:hint="eastAsia"/>
                    </w:rPr>
                    <w:t>19</w:t>
                  </w:r>
                </w:p>
              </w:tc>
              <w:tc>
                <w:tcPr>
                  <w:tcW w:w="2038" w:type="pct"/>
                  <w:tcBorders>
                    <w:tl2br w:val="nil"/>
                    <w:tr2bl w:val="nil"/>
                  </w:tcBorders>
                  <w:vAlign w:val="center"/>
                </w:tcPr>
                <w:p w14:paraId="12F731CE">
                  <w:pPr>
                    <w:pStyle w:val="32"/>
                  </w:pPr>
                  <w:r>
                    <w:rPr>
                      <w:rFonts w:hint="eastAsia"/>
                    </w:rPr>
                    <w:t>新飞冰柜</w:t>
                  </w:r>
                </w:p>
              </w:tc>
              <w:tc>
                <w:tcPr>
                  <w:tcW w:w="1531" w:type="pct"/>
                  <w:tcBorders>
                    <w:tl2br w:val="nil"/>
                    <w:tr2bl w:val="nil"/>
                  </w:tcBorders>
                  <w:vAlign w:val="center"/>
                </w:tcPr>
                <w:p w14:paraId="303E587F">
                  <w:pPr>
                    <w:pStyle w:val="32"/>
                  </w:pPr>
                  <w:r>
                    <w:rPr>
                      <w:rFonts w:hint="eastAsia"/>
                    </w:rPr>
                    <w:t>BCD</w:t>
                  </w:r>
                </w:p>
              </w:tc>
              <w:tc>
                <w:tcPr>
                  <w:tcW w:w="603" w:type="pct"/>
                  <w:tcBorders>
                    <w:tl2br w:val="nil"/>
                    <w:tr2bl w:val="nil"/>
                  </w:tcBorders>
                  <w:vAlign w:val="center"/>
                </w:tcPr>
                <w:p w14:paraId="62D5BD80">
                  <w:pPr>
                    <w:pStyle w:val="32"/>
                  </w:pPr>
                  <w:r>
                    <w:rPr>
                      <w:rFonts w:hint="eastAsia"/>
                    </w:rPr>
                    <w:t>1台</w:t>
                  </w:r>
                </w:p>
              </w:tc>
            </w:tr>
            <w:tr w14:paraId="57E53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24AB15B6">
                  <w:pPr>
                    <w:pStyle w:val="32"/>
                  </w:pPr>
                  <w:r>
                    <w:rPr>
                      <w:rFonts w:hint="eastAsia"/>
                    </w:rPr>
                    <w:t>20</w:t>
                  </w:r>
                </w:p>
              </w:tc>
              <w:tc>
                <w:tcPr>
                  <w:tcW w:w="2038" w:type="pct"/>
                  <w:tcBorders>
                    <w:tl2br w:val="nil"/>
                    <w:tr2bl w:val="nil"/>
                  </w:tcBorders>
                  <w:vAlign w:val="center"/>
                </w:tcPr>
                <w:p w14:paraId="526CC06E">
                  <w:pPr>
                    <w:pStyle w:val="32"/>
                  </w:pPr>
                  <w:r>
                    <w:rPr>
                      <w:rFonts w:hint="eastAsia"/>
                    </w:rPr>
                    <w:t>活动板房</w:t>
                  </w:r>
                </w:p>
              </w:tc>
              <w:tc>
                <w:tcPr>
                  <w:tcW w:w="1531" w:type="pct"/>
                  <w:tcBorders>
                    <w:tl2br w:val="nil"/>
                    <w:tr2bl w:val="nil"/>
                  </w:tcBorders>
                  <w:vAlign w:val="center"/>
                </w:tcPr>
                <w:p w14:paraId="311F2995">
                  <w:pPr>
                    <w:pStyle w:val="32"/>
                  </w:pPr>
                  <w:r>
                    <w:rPr>
                      <w:rFonts w:hint="eastAsia"/>
                    </w:rPr>
                    <w:t>4×6米</w:t>
                  </w:r>
                </w:p>
              </w:tc>
              <w:tc>
                <w:tcPr>
                  <w:tcW w:w="603" w:type="pct"/>
                  <w:tcBorders>
                    <w:tl2br w:val="nil"/>
                    <w:tr2bl w:val="nil"/>
                  </w:tcBorders>
                  <w:vAlign w:val="center"/>
                </w:tcPr>
                <w:p w14:paraId="138B0901">
                  <w:pPr>
                    <w:pStyle w:val="32"/>
                  </w:pPr>
                  <w:r>
                    <w:rPr>
                      <w:rFonts w:hint="eastAsia"/>
                    </w:rPr>
                    <w:t>5</w:t>
                  </w:r>
                </w:p>
              </w:tc>
            </w:tr>
            <w:tr w14:paraId="1CE18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0F7A8623">
                  <w:pPr>
                    <w:pStyle w:val="32"/>
                  </w:pPr>
                  <w:r>
                    <w:rPr>
                      <w:rFonts w:hint="eastAsia"/>
                    </w:rPr>
                    <w:t>21</w:t>
                  </w:r>
                </w:p>
              </w:tc>
              <w:tc>
                <w:tcPr>
                  <w:tcW w:w="2038" w:type="pct"/>
                  <w:tcBorders>
                    <w:tl2br w:val="nil"/>
                    <w:tr2bl w:val="nil"/>
                  </w:tcBorders>
                  <w:vAlign w:val="center"/>
                </w:tcPr>
                <w:p w14:paraId="6A78AF79">
                  <w:pPr>
                    <w:pStyle w:val="32"/>
                  </w:pPr>
                  <w:r>
                    <w:rPr>
                      <w:rFonts w:hint="eastAsia"/>
                    </w:rPr>
                    <w:t>大棉帐篷</w:t>
                  </w:r>
                </w:p>
              </w:tc>
              <w:tc>
                <w:tcPr>
                  <w:tcW w:w="1531" w:type="pct"/>
                  <w:tcBorders>
                    <w:tl2br w:val="nil"/>
                    <w:tr2bl w:val="nil"/>
                  </w:tcBorders>
                  <w:vAlign w:val="center"/>
                </w:tcPr>
                <w:p w14:paraId="32F0AF17">
                  <w:pPr>
                    <w:pStyle w:val="32"/>
                  </w:pPr>
                  <w:r>
                    <w:rPr>
                      <w:rFonts w:hint="eastAsia"/>
                    </w:rPr>
                    <w:t>5×6米</w:t>
                  </w:r>
                </w:p>
              </w:tc>
              <w:tc>
                <w:tcPr>
                  <w:tcW w:w="603" w:type="pct"/>
                  <w:tcBorders>
                    <w:tl2br w:val="nil"/>
                    <w:tr2bl w:val="nil"/>
                  </w:tcBorders>
                  <w:vAlign w:val="center"/>
                </w:tcPr>
                <w:p w14:paraId="5679E20A">
                  <w:pPr>
                    <w:pStyle w:val="32"/>
                  </w:pPr>
                  <w:r>
                    <w:rPr>
                      <w:rFonts w:hint="eastAsia"/>
                    </w:rPr>
                    <w:t>1</w:t>
                  </w:r>
                </w:p>
              </w:tc>
            </w:tr>
            <w:tr w14:paraId="3520F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140E6CFB">
                  <w:pPr>
                    <w:pStyle w:val="32"/>
                  </w:pPr>
                  <w:r>
                    <w:rPr>
                      <w:rFonts w:hint="eastAsia"/>
                    </w:rPr>
                    <w:t>22</w:t>
                  </w:r>
                </w:p>
              </w:tc>
              <w:tc>
                <w:tcPr>
                  <w:tcW w:w="2038" w:type="pct"/>
                  <w:tcBorders>
                    <w:tl2br w:val="nil"/>
                    <w:tr2bl w:val="nil"/>
                  </w:tcBorders>
                  <w:vAlign w:val="center"/>
                </w:tcPr>
                <w:p w14:paraId="08778F49">
                  <w:pPr>
                    <w:pStyle w:val="32"/>
                  </w:pPr>
                  <w:r>
                    <w:rPr>
                      <w:rFonts w:hint="eastAsia"/>
                    </w:rPr>
                    <w:t>小棉帐篷</w:t>
                  </w:r>
                </w:p>
              </w:tc>
              <w:tc>
                <w:tcPr>
                  <w:tcW w:w="1531" w:type="pct"/>
                  <w:tcBorders>
                    <w:tl2br w:val="nil"/>
                    <w:tr2bl w:val="nil"/>
                  </w:tcBorders>
                  <w:vAlign w:val="center"/>
                </w:tcPr>
                <w:p w14:paraId="6DC09C8A">
                  <w:pPr>
                    <w:pStyle w:val="32"/>
                  </w:pPr>
                  <w:r>
                    <w:rPr>
                      <w:rFonts w:hint="eastAsia"/>
                    </w:rPr>
                    <w:t>3×4米</w:t>
                  </w:r>
                </w:p>
              </w:tc>
              <w:tc>
                <w:tcPr>
                  <w:tcW w:w="603" w:type="pct"/>
                  <w:tcBorders>
                    <w:tl2br w:val="nil"/>
                    <w:tr2bl w:val="nil"/>
                  </w:tcBorders>
                  <w:vAlign w:val="center"/>
                </w:tcPr>
                <w:p w14:paraId="11423CBE">
                  <w:pPr>
                    <w:pStyle w:val="32"/>
                  </w:pPr>
                  <w:r>
                    <w:rPr>
                      <w:rFonts w:hint="eastAsia"/>
                    </w:rPr>
                    <w:t>2</w:t>
                  </w:r>
                </w:p>
              </w:tc>
            </w:tr>
            <w:tr w14:paraId="525D3D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4D239596">
                  <w:pPr>
                    <w:pStyle w:val="32"/>
                  </w:pPr>
                  <w:r>
                    <w:rPr>
                      <w:rFonts w:hint="eastAsia"/>
                    </w:rPr>
                    <w:t>23</w:t>
                  </w:r>
                </w:p>
              </w:tc>
              <w:tc>
                <w:tcPr>
                  <w:tcW w:w="2038" w:type="pct"/>
                  <w:tcBorders>
                    <w:tl2br w:val="nil"/>
                    <w:tr2bl w:val="nil"/>
                  </w:tcBorders>
                  <w:vAlign w:val="center"/>
                </w:tcPr>
                <w:p w14:paraId="692E6F2F">
                  <w:pPr>
                    <w:pStyle w:val="32"/>
                  </w:pPr>
                  <w:r>
                    <w:rPr>
                      <w:rFonts w:hint="eastAsia"/>
                    </w:rPr>
                    <w:t>资料箱</w:t>
                  </w:r>
                </w:p>
              </w:tc>
              <w:tc>
                <w:tcPr>
                  <w:tcW w:w="1531" w:type="pct"/>
                  <w:tcBorders>
                    <w:tl2br w:val="nil"/>
                    <w:tr2bl w:val="nil"/>
                  </w:tcBorders>
                  <w:vAlign w:val="center"/>
                </w:tcPr>
                <w:p w14:paraId="356C5A28">
                  <w:pPr>
                    <w:pStyle w:val="32"/>
                  </w:pPr>
                  <w:r>
                    <w:rPr>
                      <w:rFonts w:hint="eastAsia"/>
                    </w:rPr>
                    <w:t>/</w:t>
                  </w:r>
                </w:p>
              </w:tc>
              <w:tc>
                <w:tcPr>
                  <w:tcW w:w="603" w:type="pct"/>
                  <w:tcBorders>
                    <w:tl2br w:val="nil"/>
                    <w:tr2bl w:val="nil"/>
                  </w:tcBorders>
                  <w:vAlign w:val="center"/>
                </w:tcPr>
                <w:p w14:paraId="18CB8295">
                  <w:pPr>
                    <w:pStyle w:val="32"/>
                  </w:pPr>
                  <w:r>
                    <w:rPr>
                      <w:rFonts w:hint="eastAsia"/>
                    </w:rPr>
                    <w:t>5</w:t>
                  </w:r>
                </w:p>
              </w:tc>
            </w:tr>
            <w:tr w14:paraId="0F108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5E124FD5">
                  <w:pPr>
                    <w:pStyle w:val="32"/>
                  </w:pPr>
                  <w:r>
                    <w:rPr>
                      <w:rFonts w:hint="eastAsia"/>
                    </w:rPr>
                    <w:t>24</w:t>
                  </w:r>
                </w:p>
              </w:tc>
              <w:tc>
                <w:tcPr>
                  <w:tcW w:w="2038" w:type="pct"/>
                  <w:tcBorders>
                    <w:tl2br w:val="nil"/>
                    <w:tr2bl w:val="nil"/>
                  </w:tcBorders>
                  <w:vAlign w:val="center"/>
                </w:tcPr>
                <w:p w14:paraId="7F8D925D">
                  <w:pPr>
                    <w:pStyle w:val="32"/>
                  </w:pPr>
                  <w:r>
                    <w:rPr>
                      <w:rFonts w:hint="eastAsia"/>
                    </w:rPr>
                    <w:t>样品袋</w:t>
                  </w:r>
                </w:p>
              </w:tc>
              <w:tc>
                <w:tcPr>
                  <w:tcW w:w="1531" w:type="pct"/>
                  <w:tcBorders>
                    <w:tl2br w:val="nil"/>
                    <w:tr2bl w:val="nil"/>
                  </w:tcBorders>
                  <w:vAlign w:val="center"/>
                </w:tcPr>
                <w:p w14:paraId="753500E1">
                  <w:pPr>
                    <w:pStyle w:val="32"/>
                  </w:pPr>
                  <w:r>
                    <w:rPr>
                      <w:rFonts w:hint="eastAsia"/>
                    </w:rPr>
                    <w:t>/</w:t>
                  </w:r>
                </w:p>
              </w:tc>
              <w:tc>
                <w:tcPr>
                  <w:tcW w:w="603" w:type="pct"/>
                  <w:tcBorders>
                    <w:tl2br w:val="nil"/>
                    <w:tr2bl w:val="nil"/>
                  </w:tcBorders>
                  <w:vAlign w:val="center"/>
                </w:tcPr>
                <w:p w14:paraId="0D6FA4C3">
                  <w:pPr>
                    <w:pStyle w:val="32"/>
                  </w:pPr>
                  <w:r>
                    <w:rPr>
                      <w:rFonts w:hint="eastAsia"/>
                    </w:rPr>
                    <w:t>1200</w:t>
                  </w:r>
                </w:p>
              </w:tc>
            </w:tr>
            <w:tr w14:paraId="110AE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27" w:type="pct"/>
                  <w:tcBorders>
                    <w:tl2br w:val="nil"/>
                    <w:tr2bl w:val="nil"/>
                  </w:tcBorders>
                  <w:vAlign w:val="center"/>
                </w:tcPr>
                <w:p w14:paraId="08C0E1F6">
                  <w:pPr>
                    <w:pStyle w:val="32"/>
                  </w:pPr>
                  <w:r>
                    <w:rPr>
                      <w:rFonts w:hint="eastAsia"/>
                    </w:rPr>
                    <w:t>25</w:t>
                  </w:r>
                </w:p>
              </w:tc>
              <w:tc>
                <w:tcPr>
                  <w:tcW w:w="2038" w:type="pct"/>
                  <w:tcBorders>
                    <w:tl2br w:val="nil"/>
                    <w:tr2bl w:val="nil"/>
                  </w:tcBorders>
                  <w:vAlign w:val="center"/>
                </w:tcPr>
                <w:p w14:paraId="6AA9514A">
                  <w:pPr>
                    <w:pStyle w:val="32"/>
                  </w:pPr>
                  <w:r>
                    <w:rPr>
                      <w:rFonts w:hint="eastAsia"/>
                    </w:rPr>
                    <w:t>医药箱</w:t>
                  </w:r>
                </w:p>
              </w:tc>
              <w:tc>
                <w:tcPr>
                  <w:tcW w:w="1531" w:type="pct"/>
                  <w:tcBorders>
                    <w:tl2br w:val="nil"/>
                    <w:tr2bl w:val="nil"/>
                  </w:tcBorders>
                  <w:vAlign w:val="center"/>
                </w:tcPr>
                <w:p w14:paraId="7CA06330">
                  <w:pPr>
                    <w:pStyle w:val="32"/>
                  </w:pPr>
                  <w:r>
                    <w:rPr>
                      <w:rFonts w:hint="eastAsia"/>
                    </w:rPr>
                    <w:t>/</w:t>
                  </w:r>
                </w:p>
              </w:tc>
              <w:tc>
                <w:tcPr>
                  <w:tcW w:w="603" w:type="pct"/>
                  <w:tcBorders>
                    <w:tl2br w:val="nil"/>
                    <w:tr2bl w:val="nil"/>
                  </w:tcBorders>
                  <w:vAlign w:val="center"/>
                </w:tcPr>
                <w:p w14:paraId="300A2A70">
                  <w:pPr>
                    <w:pStyle w:val="32"/>
                  </w:pPr>
                  <w:r>
                    <w:rPr>
                      <w:rFonts w:hint="eastAsia"/>
                    </w:rPr>
                    <w:t>2</w:t>
                  </w:r>
                </w:p>
              </w:tc>
            </w:tr>
          </w:tbl>
          <w:p w14:paraId="6AC856E2">
            <w:pPr>
              <w:pStyle w:val="19"/>
            </w:pPr>
            <w:r>
              <w:t>2.6</w:t>
            </w:r>
            <w:r>
              <w:rPr>
                <w:rFonts w:hint="eastAsia"/>
              </w:rPr>
              <w:t>主要</w:t>
            </w:r>
            <w:r>
              <w:t>原、辅材料</w:t>
            </w:r>
            <w:r>
              <w:rPr>
                <w:rFonts w:hint="eastAsia"/>
              </w:rPr>
              <w:t>用量</w:t>
            </w:r>
          </w:p>
          <w:p w14:paraId="22BA1590">
            <w:r>
              <w:t>本项目主要原辅材料</w:t>
            </w:r>
            <w:r>
              <w:rPr>
                <w:rFonts w:hint="eastAsia"/>
              </w:rPr>
              <w:t>消耗</w:t>
            </w:r>
            <w:r>
              <w:t>见表</w:t>
            </w:r>
            <w:r>
              <w:rPr>
                <w:rFonts w:hint="eastAsia"/>
              </w:rPr>
              <w:t>2</w:t>
            </w:r>
            <w:r>
              <w:t>-5</w:t>
            </w:r>
            <w:r>
              <w:rPr>
                <w:rFonts w:hint="eastAsia"/>
              </w:rPr>
              <w:t>。</w:t>
            </w:r>
          </w:p>
          <w:p w14:paraId="57D9F9B9">
            <w:pPr>
              <w:pStyle w:val="34"/>
              <w:spacing w:before="156"/>
              <w:rPr>
                <w:rFonts w:ascii="Times New Roman" w:hAnsi="Times New Roman"/>
              </w:rPr>
            </w:pPr>
            <w:r>
              <w:rPr>
                <w:rFonts w:hint="eastAsia" w:ascii="Times New Roman" w:hAnsi="Times New Roman"/>
              </w:rPr>
              <w:t>表2</w:t>
            </w:r>
            <w:r>
              <w:rPr>
                <w:rFonts w:ascii="Times New Roman" w:hAnsi="Times New Roman"/>
              </w:rPr>
              <w:t xml:space="preserve">-5  </w:t>
            </w:r>
            <w:r>
              <w:rPr>
                <w:rFonts w:hint="eastAsia" w:ascii="Times New Roman" w:hAnsi="Times New Roman"/>
              </w:rPr>
              <w:t>主要原、辅材料消耗一览表</w:t>
            </w:r>
          </w:p>
          <w:tbl>
            <w:tblPr>
              <w:tblStyle w:val="23"/>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16"/>
              <w:gridCol w:w="1506"/>
              <w:gridCol w:w="1318"/>
              <w:gridCol w:w="1997"/>
              <w:gridCol w:w="2288"/>
            </w:tblGrid>
            <w:tr w14:paraId="5E828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58" w:type="pct"/>
                  <w:tcBorders>
                    <w:tl2br w:val="nil"/>
                    <w:tr2bl w:val="nil"/>
                  </w:tcBorders>
                </w:tcPr>
                <w:p w14:paraId="604E01D3">
                  <w:pPr>
                    <w:pStyle w:val="36"/>
                  </w:pPr>
                  <w:r>
                    <w:t>序号</w:t>
                  </w:r>
                </w:p>
              </w:tc>
              <w:tc>
                <w:tcPr>
                  <w:tcW w:w="962" w:type="pct"/>
                  <w:tcBorders>
                    <w:tl2br w:val="nil"/>
                    <w:tr2bl w:val="nil"/>
                  </w:tcBorders>
                </w:tcPr>
                <w:p w14:paraId="2BA8F0C4">
                  <w:pPr>
                    <w:pStyle w:val="36"/>
                  </w:pPr>
                  <w:r>
                    <w:t>名称</w:t>
                  </w:r>
                </w:p>
              </w:tc>
              <w:tc>
                <w:tcPr>
                  <w:tcW w:w="842" w:type="pct"/>
                  <w:tcBorders>
                    <w:tl2br w:val="nil"/>
                    <w:tr2bl w:val="nil"/>
                  </w:tcBorders>
                </w:tcPr>
                <w:p w14:paraId="0B296560">
                  <w:pPr>
                    <w:pStyle w:val="36"/>
                  </w:pPr>
                  <w:r>
                    <w:t>用量</w:t>
                  </w:r>
                </w:p>
              </w:tc>
              <w:tc>
                <w:tcPr>
                  <w:tcW w:w="1276" w:type="pct"/>
                  <w:tcBorders>
                    <w:tl2br w:val="nil"/>
                    <w:tr2bl w:val="nil"/>
                  </w:tcBorders>
                </w:tcPr>
                <w:p w14:paraId="4E22C301">
                  <w:pPr>
                    <w:pStyle w:val="36"/>
                  </w:pPr>
                  <w:r>
                    <w:t>来源</w:t>
                  </w:r>
                </w:p>
              </w:tc>
              <w:tc>
                <w:tcPr>
                  <w:tcW w:w="1462" w:type="pct"/>
                  <w:tcBorders>
                    <w:tl2br w:val="nil"/>
                    <w:tr2bl w:val="nil"/>
                  </w:tcBorders>
                </w:tcPr>
                <w:p w14:paraId="269FE0DF">
                  <w:pPr>
                    <w:pStyle w:val="36"/>
                  </w:pPr>
                  <w:r>
                    <w:t>备注</w:t>
                  </w:r>
                </w:p>
              </w:tc>
            </w:tr>
            <w:tr w14:paraId="195C03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58" w:type="pct"/>
                  <w:tcBorders>
                    <w:tl2br w:val="nil"/>
                    <w:tr2bl w:val="nil"/>
                  </w:tcBorders>
                  <w:vAlign w:val="center"/>
                </w:tcPr>
                <w:p w14:paraId="507D4499">
                  <w:pPr>
                    <w:pStyle w:val="36"/>
                  </w:pPr>
                  <w:r>
                    <w:t>1</w:t>
                  </w:r>
                </w:p>
              </w:tc>
              <w:tc>
                <w:tcPr>
                  <w:tcW w:w="962" w:type="pct"/>
                  <w:tcBorders>
                    <w:tl2br w:val="nil"/>
                    <w:tr2bl w:val="nil"/>
                  </w:tcBorders>
                  <w:vAlign w:val="center"/>
                </w:tcPr>
                <w:p w14:paraId="70BD79C5">
                  <w:pPr>
                    <w:pStyle w:val="36"/>
                    <w:jc w:val="both"/>
                  </w:pPr>
                  <w:r>
                    <w:rPr>
                      <w:rFonts w:hint="eastAsia"/>
                    </w:rPr>
                    <w:t>专用泥浆（增粘剂）</w:t>
                  </w:r>
                </w:p>
              </w:tc>
              <w:tc>
                <w:tcPr>
                  <w:tcW w:w="842" w:type="pct"/>
                  <w:tcBorders>
                    <w:tl2br w:val="nil"/>
                    <w:tr2bl w:val="nil"/>
                  </w:tcBorders>
                  <w:vAlign w:val="center"/>
                </w:tcPr>
                <w:p w14:paraId="2FF572C1">
                  <w:pPr>
                    <w:pStyle w:val="36"/>
                  </w:pPr>
                  <w:r>
                    <w:rPr>
                      <w:rFonts w:hint="eastAsia"/>
                    </w:rPr>
                    <w:t>0</w:t>
                  </w:r>
                  <w:r>
                    <w:t>.1</w:t>
                  </w:r>
                  <w:r>
                    <w:rPr>
                      <w:rFonts w:hint="eastAsia"/>
                    </w:rPr>
                    <w:t>t</w:t>
                  </w:r>
                  <w:r>
                    <w:t>/</w:t>
                  </w:r>
                  <w:r>
                    <w:rPr>
                      <w:rFonts w:hint="eastAsia"/>
                    </w:rPr>
                    <w:t>a</w:t>
                  </w:r>
                </w:p>
              </w:tc>
              <w:tc>
                <w:tcPr>
                  <w:tcW w:w="1276" w:type="pct"/>
                  <w:tcBorders>
                    <w:tl2br w:val="nil"/>
                    <w:tr2bl w:val="nil"/>
                  </w:tcBorders>
                  <w:vAlign w:val="center"/>
                </w:tcPr>
                <w:p w14:paraId="76401713">
                  <w:pPr>
                    <w:pStyle w:val="36"/>
                  </w:pPr>
                  <w:r>
                    <w:rPr>
                      <w:rFonts w:hint="eastAsia"/>
                    </w:rPr>
                    <w:t>外购</w:t>
                  </w:r>
                </w:p>
              </w:tc>
              <w:tc>
                <w:tcPr>
                  <w:tcW w:w="1462" w:type="pct"/>
                  <w:tcBorders>
                    <w:tl2br w:val="nil"/>
                    <w:tr2bl w:val="nil"/>
                  </w:tcBorders>
                  <w:vAlign w:val="center"/>
                </w:tcPr>
                <w:p w14:paraId="13C22040">
                  <w:pPr>
                    <w:pStyle w:val="36"/>
                  </w:pPr>
                  <w:r>
                    <w:rPr>
                      <w:rFonts w:hint="eastAsia"/>
                    </w:rPr>
                    <w:t>钻探辅料，采用水基非磺化泥浆</w:t>
                  </w:r>
                </w:p>
              </w:tc>
            </w:tr>
            <w:tr w14:paraId="0DAE9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58" w:type="pct"/>
                  <w:tcBorders>
                    <w:tl2br w:val="nil"/>
                    <w:tr2bl w:val="nil"/>
                  </w:tcBorders>
                  <w:vAlign w:val="center"/>
                </w:tcPr>
                <w:p w14:paraId="7A0E87C9">
                  <w:pPr>
                    <w:pStyle w:val="36"/>
                  </w:pPr>
                  <w:r>
                    <w:rPr>
                      <w:rFonts w:hint="eastAsia"/>
                    </w:rPr>
                    <w:t>2</w:t>
                  </w:r>
                </w:p>
              </w:tc>
              <w:tc>
                <w:tcPr>
                  <w:tcW w:w="962" w:type="pct"/>
                  <w:tcBorders>
                    <w:tl2br w:val="nil"/>
                    <w:tr2bl w:val="nil"/>
                  </w:tcBorders>
                  <w:vAlign w:val="center"/>
                </w:tcPr>
                <w:p w14:paraId="1A7C262E">
                  <w:pPr>
                    <w:pStyle w:val="36"/>
                  </w:pPr>
                  <w:r>
                    <w:rPr>
                      <w:rFonts w:hint="eastAsia"/>
                    </w:rPr>
                    <w:t>膨润土</w:t>
                  </w:r>
                </w:p>
              </w:tc>
              <w:tc>
                <w:tcPr>
                  <w:tcW w:w="842" w:type="pct"/>
                  <w:tcBorders>
                    <w:tl2br w:val="nil"/>
                    <w:tr2bl w:val="nil"/>
                  </w:tcBorders>
                  <w:vAlign w:val="center"/>
                </w:tcPr>
                <w:p w14:paraId="27D16570">
                  <w:pPr>
                    <w:pStyle w:val="36"/>
                  </w:pPr>
                  <w:r>
                    <w:rPr>
                      <w:rFonts w:hint="eastAsia"/>
                    </w:rPr>
                    <w:t>0</w:t>
                  </w:r>
                  <w:r>
                    <w:t>.</w:t>
                  </w:r>
                  <w:r>
                    <w:rPr>
                      <w:rFonts w:hint="eastAsia"/>
                    </w:rPr>
                    <w:t>2t</w:t>
                  </w:r>
                  <w:r>
                    <w:t>/</w:t>
                  </w:r>
                  <w:r>
                    <w:rPr>
                      <w:rFonts w:hint="eastAsia"/>
                    </w:rPr>
                    <w:t>a</w:t>
                  </w:r>
                </w:p>
              </w:tc>
              <w:tc>
                <w:tcPr>
                  <w:tcW w:w="1276" w:type="pct"/>
                  <w:tcBorders>
                    <w:tl2br w:val="nil"/>
                    <w:tr2bl w:val="nil"/>
                  </w:tcBorders>
                  <w:vAlign w:val="center"/>
                </w:tcPr>
                <w:p w14:paraId="272D5268">
                  <w:pPr>
                    <w:pStyle w:val="36"/>
                  </w:pPr>
                  <w:r>
                    <w:rPr>
                      <w:rFonts w:hint="eastAsia"/>
                    </w:rPr>
                    <w:t>外购</w:t>
                  </w:r>
                </w:p>
              </w:tc>
              <w:tc>
                <w:tcPr>
                  <w:tcW w:w="1462" w:type="pct"/>
                  <w:tcBorders>
                    <w:tl2br w:val="nil"/>
                    <w:tr2bl w:val="nil"/>
                  </w:tcBorders>
                  <w:vAlign w:val="center"/>
                </w:tcPr>
                <w:p w14:paraId="10BF15A8">
                  <w:pPr>
                    <w:pStyle w:val="36"/>
                  </w:pPr>
                  <w:r>
                    <w:rPr>
                      <w:rFonts w:hint="eastAsia"/>
                    </w:rPr>
                    <w:t>钻探辅料</w:t>
                  </w:r>
                </w:p>
              </w:tc>
            </w:tr>
            <w:tr w14:paraId="4583B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58" w:type="pct"/>
                  <w:tcBorders>
                    <w:tl2br w:val="nil"/>
                    <w:tr2bl w:val="nil"/>
                  </w:tcBorders>
                  <w:vAlign w:val="center"/>
                </w:tcPr>
                <w:p w14:paraId="7E1DA231">
                  <w:pPr>
                    <w:pStyle w:val="36"/>
                  </w:pPr>
                  <w:r>
                    <w:rPr>
                      <w:rFonts w:hint="eastAsia"/>
                    </w:rPr>
                    <w:t>3</w:t>
                  </w:r>
                </w:p>
              </w:tc>
              <w:tc>
                <w:tcPr>
                  <w:tcW w:w="962" w:type="pct"/>
                  <w:tcBorders>
                    <w:tl2br w:val="nil"/>
                    <w:tr2bl w:val="nil"/>
                  </w:tcBorders>
                  <w:vAlign w:val="center"/>
                </w:tcPr>
                <w:p w14:paraId="51E43261">
                  <w:pPr>
                    <w:pStyle w:val="36"/>
                  </w:pPr>
                  <w:r>
                    <w:rPr>
                      <w:rFonts w:hint="eastAsia"/>
                    </w:rPr>
                    <w:t>水泥</w:t>
                  </w:r>
                </w:p>
              </w:tc>
              <w:tc>
                <w:tcPr>
                  <w:tcW w:w="842" w:type="pct"/>
                  <w:tcBorders>
                    <w:tl2br w:val="nil"/>
                    <w:tr2bl w:val="nil"/>
                  </w:tcBorders>
                  <w:vAlign w:val="center"/>
                </w:tcPr>
                <w:p w14:paraId="3A6D8164">
                  <w:pPr>
                    <w:pStyle w:val="36"/>
                  </w:pPr>
                  <w:r>
                    <w:rPr>
                      <w:rFonts w:hint="eastAsia"/>
                    </w:rPr>
                    <w:t>0.2t</w:t>
                  </w:r>
                  <w:r>
                    <w:t>/</w:t>
                  </w:r>
                  <w:r>
                    <w:rPr>
                      <w:rFonts w:hint="eastAsia"/>
                    </w:rPr>
                    <w:t>a</w:t>
                  </w:r>
                </w:p>
              </w:tc>
              <w:tc>
                <w:tcPr>
                  <w:tcW w:w="1276" w:type="pct"/>
                  <w:tcBorders>
                    <w:tl2br w:val="nil"/>
                    <w:tr2bl w:val="nil"/>
                  </w:tcBorders>
                  <w:vAlign w:val="center"/>
                </w:tcPr>
                <w:p w14:paraId="16099E1D">
                  <w:pPr>
                    <w:pStyle w:val="36"/>
                  </w:pPr>
                  <w:r>
                    <w:rPr>
                      <w:rFonts w:hint="eastAsia"/>
                    </w:rPr>
                    <w:t>外购</w:t>
                  </w:r>
                </w:p>
              </w:tc>
              <w:tc>
                <w:tcPr>
                  <w:tcW w:w="1462" w:type="pct"/>
                  <w:tcBorders>
                    <w:tl2br w:val="nil"/>
                    <w:tr2bl w:val="nil"/>
                  </w:tcBorders>
                  <w:vAlign w:val="center"/>
                </w:tcPr>
                <w:p w14:paraId="0A038EA3">
                  <w:pPr>
                    <w:pStyle w:val="36"/>
                  </w:pPr>
                  <w:r>
                    <w:rPr>
                      <w:rFonts w:hint="eastAsia"/>
                    </w:rPr>
                    <w:t>用于为钻探后的孔封堵</w:t>
                  </w:r>
                </w:p>
              </w:tc>
            </w:tr>
            <w:tr w14:paraId="3A4B7D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58" w:type="pct"/>
                  <w:tcBorders>
                    <w:tl2br w:val="nil"/>
                    <w:tr2bl w:val="nil"/>
                  </w:tcBorders>
                  <w:vAlign w:val="center"/>
                </w:tcPr>
                <w:p w14:paraId="6A044A76">
                  <w:pPr>
                    <w:pStyle w:val="36"/>
                  </w:pPr>
                  <w:r>
                    <w:rPr>
                      <w:rFonts w:hint="eastAsia"/>
                    </w:rPr>
                    <w:t>4</w:t>
                  </w:r>
                </w:p>
              </w:tc>
              <w:tc>
                <w:tcPr>
                  <w:tcW w:w="962" w:type="pct"/>
                  <w:tcBorders>
                    <w:tl2br w:val="nil"/>
                    <w:tr2bl w:val="nil"/>
                  </w:tcBorders>
                  <w:vAlign w:val="center"/>
                </w:tcPr>
                <w:p w14:paraId="41A97B1E">
                  <w:pPr>
                    <w:pStyle w:val="36"/>
                  </w:pPr>
                  <w:r>
                    <w:t>水</w:t>
                  </w:r>
                </w:p>
              </w:tc>
              <w:tc>
                <w:tcPr>
                  <w:tcW w:w="842" w:type="pct"/>
                  <w:tcBorders>
                    <w:tl2br w:val="nil"/>
                    <w:tr2bl w:val="nil"/>
                  </w:tcBorders>
                  <w:vAlign w:val="center"/>
                </w:tcPr>
                <w:p w14:paraId="1DE4F71B">
                  <w:pPr>
                    <w:pStyle w:val="36"/>
                  </w:pPr>
                  <w:r>
                    <w:rPr>
                      <w:color w:val="000000"/>
                    </w:rPr>
                    <w:t>806.4</w:t>
                  </w:r>
                  <w:r>
                    <w:rPr>
                      <w:rFonts w:hint="eastAsia"/>
                    </w:rPr>
                    <w:t>t/a</w:t>
                  </w:r>
                </w:p>
              </w:tc>
              <w:tc>
                <w:tcPr>
                  <w:tcW w:w="1276" w:type="pct"/>
                  <w:tcBorders>
                    <w:tl2br w:val="nil"/>
                    <w:tr2bl w:val="nil"/>
                  </w:tcBorders>
                  <w:vAlign w:val="center"/>
                </w:tcPr>
                <w:p w14:paraId="73E88C0A">
                  <w:pPr>
                    <w:pStyle w:val="36"/>
                    <w:jc w:val="both"/>
                  </w:pPr>
                  <w:r>
                    <w:rPr>
                      <w:rFonts w:hint="eastAsia"/>
                    </w:rPr>
                    <w:t>施工用水由水车从附近城镇拉运至</w:t>
                  </w:r>
                  <w:r>
                    <w:rPr>
                      <w:rFonts w:hint="eastAsia"/>
                      <w:color w:val="000000"/>
                    </w:rPr>
                    <w:t>勘查</w:t>
                  </w:r>
                  <w:r>
                    <w:rPr>
                      <w:rFonts w:hint="eastAsia"/>
                    </w:rPr>
                    <w:t>区；工作人员生活用水为自带的纯净水</w:t>
                  </w:r>
                </w:p>
              </w:tc>
              <w:tc>
                <w:tcPr>
                  <w:tcW w:w="1462" w:type="pct"/>
                  <w:tcBorders>
                    <w:tl2br w:val="nil"/>
                    <w:tr2bl w:val="nil"/>
                  </w:tcBorders>
                  <w:vAlign w:val="center"/>
                </w:tcPr>
                <w:p w14:paraId="3B51558B">
                  <w:pPr>
                    <w:pStyle w:val="36"/>
                  </w:pPr>
                  <w:r>
                    <w:t>生产用水</w:t>
                  </w:r>
                </w:p>
              </w:tc>
            </w:tr>
            <w:tr w14:paraId="61301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58" w:type="pct"/>
                  <w:tcBorders>
                    <w:tl2br w:val="nil"/>
                    <w:tr2bl w:val="nil"/>
                  </w:tcBorders>
                  <w:vAlign w:val="center"/>
                </w:tcPr>
                <w:p w14:paraId="7D14C6F3">
                  <w:pPr>
                    <w:pStyle w:val="36"/>
                  </w:pPr>
                  <w:r>
                    <w:rPr>
                      <w:rFonts w:hint="eastAsia"/>
                    </w:rPr>
                    <w:t>5</w:t>
                  </w:r>
                </w:p>
              </w:tc>
              <w:tc>
                <w:tcPr>
                  <w:tcW w:w="962" w:type="pct"/>
                  <w:tcBorders>
                    <w:tl2br w:val="nil"/>
                    <w:tr2bl w:val="nil"/>
                  </w:tcBorders>
                  <w:vAlign w:val="center"/>
                </w:tcPr>
                <w:p w14:paraId="21214FA4">
                  <w:pPr>
                    <w:pStyle w:val="36"/>
                  </w:pPr>
                  <w:r>
                    <w:t>电</w:t>
                  </w:r>
                </w:p>
              </w:tc>
              <w:tc>
                <w:tcPr>
                  <w:tcW w:w="842" w:type="pct"/>
                  <w:tcBorders>
                    <w:tl2br w:val="nil"/>
                    <w:tr2bl w:val="nil"/>
                  </w:tcBorders>
                  <w:vAlign w:val="center"/>
                </w:tcPr>
                <w:p w14:paraId="15F907B2">
                  <w:pPr>
                    <w:pStyle w:val="36"/>
                  </w:pPr>
                  <w:r>
                    <w:t>10</w:t>
                  </w:r>
                  <w:r>
                    <w:rPr>
                      <w:rFonts w:hint="eastAsia"/>
                    </w:rPr>
                    <w:t>万</w:t>
                  </w:r>
                  <w:r>
                    <w:t>kW·h</w:t>
                  </w:r>
                </w:p>
              </w:tc>
              <w:tc>
                <w:tcPr>
                  <w:tcW w:w="1276" w:type="pct"/>
                  <w:tcBorders>
                    <w:tl2br w:val="nil"/>
                    <w:tr2bl w:val="nil"/>
                  </w:tcBorders>
                  <w:vAlign w:val="center"/>
                </w:tcPr>
                <w:p w14:paraId="0DA8E539">
                  <w:pPr>
                    <w:pStyle w:val="36"/>
                  </w:pPr>
                  <w:r>
                    <w:rPr>
                      <w:rFonts w:hint="eastAsia"/>
                    </w:rPr>
                    <w:t>柴油</w:t>
                  </w:r>
                  <w:r>
                    <w:t>发电机</w:t>
                  </w:r>
                </w:p>
              </w:tc>
              <w:tc>
                <w:tcPr>
                  <w:tcW w:w="1462" w:type="pct"/>
                  <w:tcBorders>
                    <w:tl2br w:val="nil"/>
                    <w:tr2bl w:val="nil"/>
                  </w:tcBorders>
                  <w:vAlign w:val="center"/>
                </w:tcPr>
                <w:p w14:paraId="236E7FF8">
                  <w:pPr>
                    <w:pStyle w:val="36"/>
                  </w:pPr>
                  <w:r>
                    <w:t>生产用电</w:t>
                  </w:r>
                </w:p>
              </w:tc>
            </w:tr>
            <w:tr w14:paraId="22861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1" w:hRule="atLeast"/>
                <w:tblHeader/>
                <w:jc w:val="center"/>
              </w:trPr>
              <w:tc>
                <w:tcPr>
                  <w:tcW w:w="458" w:type="pct"/>
                  <w:tcBorders>
                    <w:tl2br w:val="nil"/>
                    <w:tr2bl w:val="nil"/>
                  </w:tcBorders>
                  <w:vAlign w:val="center"/>
                </w:tcPr>
                <w:p w14:paraId="0C4D334A">
                  <w:pPr>
                    <w:pStyle w:val="36"/>
                  </w:pPr>
                  <w:r>
                    <w:rPr>
                      <w:rFonts w:hint="eastAsia"/>
                    </w:rPr>
                    <w:t>6</w:t>
                  </w:r>
                </w:p>
              </w:tc>
              <w:tc>
                <w:tcPr>
                  <w:tcW w:w="962" w:type="pct"/>
                  <w:tcBorders>
                    <w:tl2br w:val="nil"/>
                    <w:tr2bl w:val="nil"/>
                  </w:tcBorders>
                  <w:vAlign w:val="center"/>
                </w:tcPr>
                <w:p w14:paraId="08B54CF1">
                  <w:pPr>
                    <w:pStyle w:val="36"/>
                  </w:pPr>
                  <w:r>
                    <w:rPr>
                      <w:rFonts w:hint="eastAsia"/>
                    </w:rPr>
                    <w:t>柴油</w:t>
                  </w:r>
                </w:p>
              </w:tc>
              <w:tc>
                <w:tcPr>
                  <w:tcW w:w="842" w:type="pct"/>
                  <w:tcBorders>
                    <w:tl2br w:val="nil"/>
                    <w:tr2bl w:val="nil"/>
                  </w:tcBorders>
                  <w:vAlign w:val="center"/>
                </w:tcPr>
                <w:p w14:paraId="2E556FBA">
                  <w:pPr>
                    <w:pStyle w:val="36"/>
                  </w:pPr>
                  <w:r>
                    <w:t>20</w:t>
                  </w:r>
                  <w:r>
                    <w:rPr>
                      <w:rFonts w:hint="eastAsia"/>
                    </w:rPr>
                    <w:t>t/施工期</w:t>
                  </w:r>
                </w:p>
              </w:tc>
              <w:tc>
                <w:tcPr>
                  <w:tcW w:w="1276" w:type="pct"/>
                  <w:tcBorders>
                    <w:tl2br w:val="nil"/>
                    <w:tr2bl w:val="nil"/>
                  </w:tcBorders>
                  <w:vAlign w:val="center"/>
                </w:tcPr>
                <w:p w14:paraId="1EABF290">
                  <w:pPr>
                    <w:pStyle w:val="36"/>
                  </w:pPr>
                  <w:r>
                    <w:rPr>
                      <w:rFonts w:hint="eastAsia"/>
                    </w:rPr>
                    <w:t>外购</w:t>
                  </w:r>
                </w:p>
              </w:tc>
              <w:tc>
                <w:tcPr>
                  <w:tcW w:w="1462" w:type="pct"/>
                  <w:tcBorders>
                    <w:tl2br w:val="nil"/>
                    <w:tr2bl w:val="nil"/>
                  </w:tcBorders>
                  <w:vAlign w:val="center"/>
                </w:tcPr>
                <w:p w14:paraId="4585366F">
                  <w:pPr>
                    <w:pStyle w:val="36"/>
                  </w:pPr>
                  <w:r>
                    <w:rPr>
                      <w:rFonts w:hint="eastAsia"/>
                    </w:rPr>
                    <w:t>柴油发电机</w:t>
                  </w:r>
                </w:p>
              </w:tc>
            </w:tr>
          </w:tbl>
          <w:p w14:paraId="0DEE6BB3">
            <w:pPr>
              <w:pStyle w:val="19"/>
            </w:pPr>
            <w:r>
              <w:t>2.7</w:t>
            </w:r>
            <w:r>
              <w:rPr>
                <w:rFonts w:hint="eastAsia"/>
              </w:rPr>
              <w:t>公用工程</w:t>
            </w:r>
          </w:p>
          <w:p w14:paraId="0EA6711F">
            <w:pPr>
              <w:ind w:firstLine="0" w:firstLineChars="0"/>
              <w:rPr>
                <w:b/>
                <w:bCs/>
              </w:rPr>
            </w:pPr>
            <w:r>
              <w:rPr>
                <w:b/>
                <w:bCs/>
              </w:rPr>
              <w:t>2.7</w:t>
            </w:r>
            <w:r>
              <w:rPr>
                <w:rFonts w:hint="eastAsia"/>
                <w:b/>
                <w:bCs/>
              </w:rPr>
              <w:t>.1给水</w:t>
            </w:r>
          </w:p>
          <w:p w14:paraId="224E637E">
            <w:pPr>
              <w:rPr>
                <w:color w:val="000000" w:themeColor="text1"/>
                <w14:textFill>
                  <w14:solidFill>
                    <w14:schemeClr w14:val="tx1"/>
                  </w14:solidFill>
                </w14:textFill>
              </w:rPr>
            </w:pPr>
            <w:r>
              <w:rPr>
                <w:rFonts w:hint="eastAsia" w:ascii="Segoe UI" w:hAnsi="Segoe UI" w:cs="Segoe UI"/>
                <w:color w:val="0F1115"/>
                <w:shd w:val="clear" w:color="auto" w:fill="FFFFFF"/>
              </w:rPr>
              <w:t>本项目施工用水由水车从附近城镇拉运至</w:t>
            </w:r>
            <w:r>
              <w:rPr>
                <w:rFonts w:hint="eastAsia"/>
                <w:color w:val="000000"/>
              </w:rPr>
              <w:t>勘查</w:t>
            </w:r>
            <w:r>
              <w:rPr>
                <w:rFonts w:hint="eastAsia" w:ascii="Segoe UI" w:hAnsi="Segoe UI" w:cs="Segoe UI"/>
                <w:color w:val="0F1115"/>
                <w:shd w:val="clear" w:color="auto" w:fill="FFFFFF"/>
              </w:rPr>
              <w:t>区；工作人员生活用水为自带的纯净水</w:t>
            </w:r>
            <w:r>
              <w:rPr>
                <w:rFonts w:hint="eastAsia"/>
                <w:color w:val="000000" w:themeColor="text1"/>
                <w14:textFill>
                  <w14:solidFill>
                    <w14:schemeClr w14:val="tx1"/>
                  </w14:solidFill>
                </w14:textFill>
              </w:rPr>
              <w:t>。</w:t>
            </w:r>
          </w:p>
          <w:p w14:paraId="344B9936">
            <w:pPr>
              <w:rPr>
                <w:color w:val="000000" w:themeColor="text1"/>
                <w14:textFill>
                  <w14:solidFill>
                    <w14:schemeClr w14:val="tx1"/>
                  </w14:solidFill>
                </w14:textFill>
              </w:rPr>
            </w:pPr>
            <w:r>
              <w:rPr>
                <w:rFonts w:hint="eastAsia"/>
                <w:color w:val="000000" w:themeColor="text1"/>
                <w14:textFill>
                  <w14:solidFill>
                    <w14:schemeClr w14:val="tx1"/>
                  </w14:solidFill>
                </w14:textFill>
              </w:rPr>
              <w:t>（1）生活用水</w:t>
            </w:r>
          </w:p>
          <w:p w14:paraId="53418E8C">
            <w:r>
              <w:rPr>
                <w:rFonts w:hint="eastAsia"/>
                <w:color w:val="000000" w:themeColor="text1"/>
                <w14:textFill>
                  <w14:solidFill>
                    <w14:schemeClr w14:val="tx1"/>
                  </w14:solidFill>
                </w14:textFill>
              </w:rPr>
              <w:t>本项目劳动定员16人，生活用水量参照《新疆维吾尔自治区生活用水定额》中30L/d·人标准，施工期180d，则生活用水量为0.48m³/d，总量</w:t>
            </w:r>
            <w:r>
              <w:rPr>
                <w:color w:val="000000" w:themeColor="text1"/>
                <w14:textFill>
                  <w14:solidFill>
                    <w14:schemeClr w14:val="tx1"/>
                  </w14:solidFill>
                </w14:textFill>
              </w:rPr>
              <w:t>86.4m³/a</w:t>
            </w:r>
            <w:r>
              <w:t>。</w:t>
            </w:r>
          </w:p>
          <w:p w14:paraId="15067A36">
            <w:pPr>
              <w:rPr>
                <w:color w:val="000000" w:themeColor="text1"/>
                <w14:textFill>
                  <w14:solidFill>
                    <w14:schemeClr w14:val="tx1"/>
                  </w14:solidFill>
                </w14:textFill>
              </w:rPr>
            </w:pPr>
            <w:r>
              <w:rPr>
                <w:color w:val="000000" w:themeColor="text1"/>
                <w14:textFill>
                  <w14:solidFill>
                    <w14:schemeClr w14:val="tx1"/>
                  </w14:solidFill>
                </w14:textFill>
              </w:rPr>
              <w:t>（2）生产用水</w:t>
            </w:r>
          </w:p>
          <w:p w14:paraId="348B2BEE">
            <w:r>
              <w:t>根据同类项目施工经验，钻探平台循环用水总量约为4.0m³/d（180天合计720m³）。钻探废水经沉淀池沉淀后回用于钻探，循环过程中因蒸发、岩屑带走及渗漏等因素，日损耗量约为2.0m³/d（180天合计360m³）。为保证循环系统平衡，每日需补充新鲜水2.0m³/d，施工期180天共需补充新鲜水360m³。</w:t>
            </w:r>
          </w:p>
          <w:p w14:paraId="5A2119C8">
            <w:r>
              <w:t>（3）洒水降尘用水</w:t>
            </w:r>
          </w:p>
          <w:p w14:paraId="42E70312">
            <w:r>
              <w:t>为减少临时道路及钻探工作区建设过程中的扬尘，本环评提出采用洒水抑尘的方法控制扬尘。根据同类型报告，洒水用水量为2m³/d，总需水量360m³/a。此部分水全部蒸发损耗</w:t>
            </w:r>
            <w:r>
              <w:rPr>
                <w:rFonts w:hint="eastAsia"/>
              </w:rPr>
              <w:t>。</w:t>
            </w:r>
          </w:p>
          <w:p w14:paraId="336D9538">
            <w:pPr>
              <w:ind w:firstLine="0" w:firstLineChars="0"/>
              <w:rPr>
                <w:b/>
                <w:bCs/>
              </w:rPr>
            </w:pPr>
            <w:r>
              <w:rPr>
                <w:b/>
                <w:bCs/>
              </w:rPr>
              <w:t>2.7.2排水</w:t>
            </w:r>
          </w:p>
          <w:p w14:paraId="0E024A5B">
            <w:r>
              <w:t>（1）生活污水</w:t>
            </w:r>
          </w:p>
          <w:p w14:paraId="08EB43B4">
            <w:r>
              <w:t>生活</w:t>
            </w:r>
            <w:r>
              <w:rPr>
                <w:rFonts w:hint="eastAsia"/>
              </w:rPr>
              <w:t>污水产生量按照产生系数0.8计</w:t>
            </w:r>
            <w:r>
              <w:t>，</w:t>
            </w:r>
            <w:r>
              <w:rPr>
                <w:rFonts w:hint="eastAsia"/>
              </w:rPr>
              <w:t>勘查</w:t>
            </w:r>
            <w:r>
              <w:t>期生活污水产生量为69.12m³/</w:t>
            </w:r>
            <w:r>
              <w:rPr>
                <w:rFonts w:hint="eastAsia"/>
              </w:rPr>
              <w:t>a</w:t>
            </w:r>
            <w:r>
              <w:t>（0.384m³/d）。生活污水排入一体化污水处理设备，出水水质达到《农村生活污水处理排放标准》（DB65 4275-2019）表2中C级标准后，用于</w:t>
            </w:r>
            <w:r>
              <w:rPr>
                <w:rFonts w:hint="eastAsia"/>
              </w:rPr>
              <w:t>周边植被绿化</w:t>
            </w:r>
            <w:r>
              <w:t>。</w:t>
            </w:r>
          </w:p>
          <w:p w14:paraId="4490FE2C">
            <w:r>
              <w:rPr>
                <w:rFonts w:hint="eastAsia"/>
              </w:rPr>
              <w:t>（2）生产废水</w:t>
            </w:r>
          </w:p>
          <w:p w14:paraId="0973B727">
            <w:pPr>
              <w:rPr>
                <w:color w:val="000000" w:themeColor="text1"/>
                <w14:textFill>
                  <w14:solidFill>
                    <w14:schemeClr w14:val="tx1"/>
                  </w14:solidFill>
                </w14:textFill>
              </w:rPr>
            </w:pPr>
            <w:r>
              <w:rPr>
                <w:rFonts w:hint="eastAsia"/>
              </w:rPr>
              <w:t>钻探废水产生量为2.0m³/d（</w:t>
            </w:r>
            <w:r>
              <w:t>1</w:t>
            </w:r>
            <w:r>
              <w:rPr>
                <w:rFonts w:hint="eastAsia"/>
              </w:rPr>
              <w:t>80d合计</w:t>
            </w:r>
            <w:r>
              <w:t>360</w:t>
            </w:r>
            <w:r>
              <w:rPr>
                <w:rFonts w:hint="eastAsia"/>
              </w:rPr>
              <w:t>m³），主要污染物为SS，浓度约2000mg/L。每个钻孔附近设1座5m³沉淀池，废水经沉淀后全部回用于钻探，不外排。SS产生量为0.004t/d（180d合计</w:t>
            </w:r>
            <w:r>
              <w:t>0.72</w:t>
            </w:r>
            <w:r>
              <w:rPr>
                <w:rFonts w:hint="eastAsia"/>
              </w:rPr>
              <w:t>t/a）</w:t>
            </w:r>
            <w:r>
              <w:rPr>
                <w:color w:val="000000" w:themeColor="text1"/>
                <w14:textFill>
                  <w14:solidFill>
                    <w14:schemeClr w14:val="tx1"/>
                  </w14:solidFill>
                </w14:textFill>
              </w:rPr>
              <w:t>。</w:t>
            </w:r>
          </w:p>
          <w:p w14:paraId="37460C7D">
            <w:r>
              <w:rPr>
                <w:rFonts w:hint="eastAsia"/>
              </w:rPr>
              <w:t>本项目用水一览表见表</w:t>
            </w:r>
            <w:r>
              <w:t>2-6</w:t>
            </w:r>
            <w:r>
              <w:rPr>
                <w:rFonts w:hint="eastAsia"/>
              </w:rPr>
              <w:t>。</w:t>
            </w:r>
          </w:p>
          <w:p w14:paraId="1559EF87">
            <w:pPr>
              <w:pStyle w:val="34"/>
              <w:spacing w:before="156"/>
              <w:rPr>
                <w:rFonts w:ascii="Times New Roman" w:hAnsi="Times New Roman"/>
              </w:rPr>
            </w:pPr>
            <w:r>
              <w:rPr>
                <w:rFonts w:hint="eastAsia" w:ascii="Times New Roman" w:hAnsi="Times New Roman"/>
              </w:rPr>
              <w:t>表</w:t>
            </w:r>
            <w:r>
              <w:rPr>
                <w:rFonts w:ascii="Times New Roman" w:hAnsi="Times New Roman"/>
              </w:rPr>
              <w:t xml:space="preserve">2-6  </w:t>
            </w:r>
            <w:r>
              <w:rPr>
                <w:rFonts w:hint="eastAsia" w:ascii="Times New Roman" w:hAnsi="Times New Roman"/>
              </w:rPr>
              <w:t>项目给排水情况（单位：</w:t>
            </w:r>
            <w:r>
              <w:rPr>
                <w:rFonts w:ascii="Times New Roman" w:hAnsi="Times New Roman"/>
              </w:rPr>
              <w:t>m</w:t>
            </w:r>
            <w:r>
              <w:rPr>
                <w:rFonts w:ascii="Times New Roman" w:hAnsi="Times New Roman"/>
                <w:vertAlign w:val="superscript"/>
              </w:rPr>
              <w:t>3</w:t>
            </w:r>
            <w:r>
              <w:rPr>
                <w:rFonts w:ascii="Times New Roman" w:hAnsi="Times New Roman"/>
              </w:rPr>
              <w:t>/a</w:t>
            </w:r>
            <w:r>
              <w:rPr>
                <w:rFonts w:hint="eastAsia" w:ascii="Times New Roman" w:hAnsi="Times New Roman"/>
              </w:rPr>
              <w:t>）</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821"/>
              <w:gridCol w:w="952"/>
              <w:gridCol w:w="1168"/>
              <w:gridCol w:w="1026"/>
              <w:gridCol w:w="2141"/>
            </w:tblGrid>
            <w:tr w14:paraId="5EC2A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00" w:type="pct"/>
                  <w:vAlign w:val="center"/>
                </w:tcPr>
                <w:p w14:paraId="66F1470A">
                  <w:pPr>
                    <w:spacing w:line="240" w:lineRule="auto"/>
                    <w:ind w:firstLine="0" w:firstLineChars="0"/>
                    <w:jc w:val="center"/>
                    <w:rPr>
                      <w:color w:val="000000"/>
                      <w:sz w:val="21"/>
                      <w:szCs w:val="21"/>
                    </w:rPr>
                  </w:pPr>
                  <w:r>
                    <w:rPr>
                      <w:rFonts w:hint="eastAsia"/>
                      <w:color w:val="000000"/>
                      <w:sz w:val="21"/>
                      <w:szCs w:val="21"/>
                    </w:rPr>
                    <w:t>用水单元</w:t>
                  </w:r>
                </w:p>
              </w:tc>
              <w:tc>
                <w:tcPr>
                  <w:tcW w:w="524" w:type="pct"/>
                  <w:vAlign w:val="center"/>
                </w:tcPr>
                <w:p w14:paraId="513F2E96">
                  <w:pPr>
                    <w:spacing w:line="240" w:lineRule="auto"/>
                    <w:ind w:firstLine="0" w:firstLineChars="0"/>
                    <w:jc w:val="center"/>
                    <w:rPr>
                      <w:color w:val="000000"/>
                      <w:sz w:val="21"/>
                      <w:szCs w:val="21"/>
                    </w:rPr>
                  </w:pPr>
                  <w:r>
                    <w:rPr>
                      <w:rFonts w:hint="eastAsia"/>
                      <w:color w:val="000000"/>
                      <w:sz w:val="21"/>
                      <w:szCs w:val="21"/>
                    </w:rPr>
                    <w:t>总用水量</w:t>
                  </w:r>
                </w:p>
              </w:tc>
              <w:tc>
                <w:tcPr>
                  <w:tcW w:w="608" w:type="pct"/>
                  <w:vAlign w:val="center"/>
                </w:tcPr>
                <w:p w14:paraId="7FEB162B">
                  <w:pPr>
                    <w:spacing w:line="240" w:lineRule="auto"/>
                    <w:ind w:firstLine="0" w:firstLineChars="0"/>
                    <w:jc w:val="center"/>
                    <w:rPr>
                      <w:color w:val="000000"/>
                      <w:sz w:val="21"/>
                      <w:szCs w:val="21"/>
                    </w:rPr>
                  </w:pPr>
                  <w:r>
                    <w:rPr>
                      <w:rFonts w:hint="eastAsia"/>
                      <w:color w:val="000000"/>
                      <w:sz w:val="21"/>
                      <w:szCs w:val="21"/>
                    </w:rPr>
                    <w:t>回用</w:t>
                  </w:r>
                </w:p>
                <w:p w14:paraId="78BE5C1D">
                  <w:pPr>
                    <w:spacing w:line="240" w:lineRule="auto"/>
                    <w:ind w:firstLine="0" w:firstLineChars="0"/>
                    <w:jc w:val="center"/>
                    <w:rPr>
                      <w:color w:val="000000"/>
                      <w:sz w:val="21"/>
                      <w:szCs w:val="21"/>
                    </w:rPr>
                  </w:pPr>
                  <w:r>
                    <w:rPr>
                      <w:rFonts w:hint="eastAsia"/>
                      <w:color w:val="000000"/>
                      <w:sz w:val="21"/>
                      <w:szCs w:val="21"/>
                    </w:rPr>
                    <w:t>水量</w:t>
                  </w:r>
                </w:p>
              </w:tc>
              <w:tc>
                <w:tcPr>
                  <w:tcW w:w="746" w:type="pct"/>
                  <w:vAlign w:val="center"/>
                </w:tcPr>
                <w:p w14:paraId="39E0C556">
                  <w:pPr>
                    <w:spacing w:line="240" w:lineRule="auto"/>
                    <w:ind w:firstLine="0" w:firstLineChars="0"/>
                    <w:jc w:val="center"/>
                    <w:rPr>
                      <w:color w:val="000000"/>
                      <w:sz w:val="21"/>
                      <w:szCs w:val="21"/>
                    </w:rPr>
                  </w:pPr>
                  <w:r>
                    <w:rPr>
                      <w:rFonts w:hint="eastAsia"/>
                      <w:color w:val="000000"/>
                      <w:sz w:val="21"/>
                      <w:szCs w:val="21"/>
                    </w:rPr>
                    <w:t>蒸发</w:t>
                  </w:r>
                </w:p>
                <w:p w14:paraId="7EFF575E">
                  <w:pPr>
                    <w:spacing w:line="240" w:lineRule="auto"/>
                    <w:ind w:firstLine="0" w:firstLineChars="0"/>
                    <w:jc w:val="center"/>
                    <w:rPr>
                      <w:color w:val="000000"/>
                      <w:sz w:val="21"/>
                      <w:szCs w:val="21"/>
                    </w:rPr>
                  </w:pPr>
                  <w:r>
                    <w:rPr>
                      <w:rFonts w:hint="eastAsia"/>
                      <w:color w:val="000000"/>
                      <w:sz w:val="21"/>
                      <w:szCs w:val="21"/>
                    </w:rPr>
                    <w:t>损失</w:t>
                  </w:r>
                </w:p>
              </w:tc>
              <w:tc>
                <w:tcPr>
                  <w:tcW w:w="655" w:type="pct"/>
                  <w:vAlign w:val="center"/>
                </w:tcPr>
                <w:p w14:paraId="24C7BD44">
                  <w:pPr>
                    <w:spacing w:line="240" w:lineRule="auto"/>
                    <w:ind w:firstLine="0" w:firstLineChars="0"/>
                    <w:jc w:val="center"/>
                    <w:rPr>
                      <w:color w:val="000000"/>
                      <w:sz w:val="21"/>
                      <w:szCs w:val="21"/>
                    </w:rPr>
                  </w:pPr>
                  <w:r>
                    <w:rPr>
                      <w:rFonts w:hint="eastAsia"/>
                      <w:color w:val="000000"/>
                      <w:sz w:val="21"/>
                      <w:szCs w:val="21"/>
                    </w:rPr>
                    <w:t>废水</w:t>
                  </w:r>
                </w:p>
                <w:p w14:paraId="1DB4A6F5">
                  <w:pPr>
                    <w:spacing w:line="240" w:lineRule="auto"/>
                    <w:ind w:firstLine="0" w:firstLineChars="0"/>
                    <w:jc w:val="center"/>
                    <w:rPr>
                      <w:color w:val="000000"/>
                      <w:sz w:val="21"/>
                      <w:szCs w:val="21"/>
                    </w:rPr>
                  </w:pPr>
                  <w:r>
                    <w:rPr>
                      <w:rFonts w:hint="eastAsia"/>
                      <w:color w:val="000000"/>
                      <w:sz w:val="21"/>
                      <w:szCs w:val="21"/>
                    </w:rPr>
                    <w:t>产生量</w:t>
                  </w:r>
                </w:p>
              </w:tc>
              <w:tc>
                <w:tcPr>
                  <w:tcW w:w="1367" w:type="pct"/>
                  <w:vAlign w:val="center"/>
                </w:tcPr>
                <w:p w14:paraId="3675C2E5">
                  <w:pPr>
                    <w:spacing w:line="240" w:lineRule="auto"/>
                    <w:ind w:firstLine="0" w:firstLineChars="0"/>
                    <w:jc w:val="center"/>
                    <w:rPr>
                      <w:color w:val="000000"/>
                      <w:sz w:val="21"/>
                      <w:szCs w:val="21"/>
                    </w:rPr>
                  </w:pPr>
                  <w:r>
                    <w:rPr>
                      <w:color w:val="000000"/>
                      <w:sz w:val="21"/>
                      <w:szCs w:val="21"/>
                    </w:rPr>
                    <w:t>备注</w:t>
                  </w:r>
                </w:p>
              </w:tc>
            </w:tr>
            <w:tr w14:paraId="4DDC7F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00" w:type="pct"/>
                  <w:vAlign w:val="center"/>
                </w:tcPr>
                <w:p w14:paraId="6C75B33F">
                  <w:pPr>
                    <w:spacing w:line="240" w:lineRule="auto"/>
                    <w:ind w:firstLine="0" w:firstLineChars="0"/>
                    <w:jc w:val="center"/>
                    <w:rPr>
                      <w:color w:val="000000"/>
                      <w:sz w:val="21"/>
                      <w:szCs w:val="21"/>
                    </w:rPr>
                  </w:pPr>
                  <w:r>
                    <w:rPr>
                      <w:rFonts w:hint="eastAsia"/>
                      <w:color w:val="000000"/>
                      <w:sz w:val="21"/>
                      <w:szCs w:val="21"/>
                    </w:rPr>
                    <w:t>生产用水</w:t>
                  </w:r>
                </w:p>
              </w:tc>
              <w:tc>
                <w:tcPr>
                  <w:tcW w:w="524" w:type="pct"/>
                  <w:vAlign w:val="center"/>
                </w:tcPr>
                <w:p w14:paraId="7A6A7A2F">
                  <w:pPr>
                    <w:spacing w:line="240" w:lineRule="auto"/>
                    <w:ind w:firstLine="0" w:firstLineChars="0"/>
                    <w:jc w:val="center"/>
                    <w:rPr>
                      <w:color w:val="000000"/>
                      <w:sz w:val="21"/>
                      <w:szCs w:val="21"/>
                    </w:rPr>
                  </w:pPr>
                  <w:r>
                    <w:rPr>
                      <w:color w:val="000000"/>
                      <w:sz w:val="21"/>
                      <w:szCs w:val="21"/>
                    </w:rPr>
                    <w:t>720</w:t>
                  </w:r>
                </w:p>
              </w:tc>
              <w:tc>
                <w:tcPr>
                  <w:tcW w:w="608" w:type="pct"/>
                  <w:vAlign w:val="center"/>
                </w:tcPr>
                <w:p w14:paraId="61DE587B">
                  <w:pPr>
                    <w:spacing w:line="240" w:lineRule="auto"/>
                    <w:ind w:firstLine="0" w:firstLineChars="0"/>
                    <w:jc w:val="center"/>
                    <w:rPr>
                      <w:color w:val="000000"/>
                      <w:sz w:val="21"/>
                      <w:szCs w:val="21"/>
                    </w:rPr>
                  </w:pPr>
                  <w:r>
                    <w:rPr>
                      <w:color w:val="000000"/>
                      <w:sz w:val="21"/>
                      <w:szCs w:val="21"/>
                    </w:rPr>
                    <w:t>360</w:t>
                  </w:r>
                </w:p>
              </w:tc>
              <w:tc>
                <w:tcPr>
                  <w:tcW w:w="746" w:type="pct"/>
                  <w:vAlign w:val="center"/>
                </w:tcPr>
                <w:p w14:paraId="29F546D1">
                  <w:pPr>
                    <w:spacing w:line="240" w:lineRule="auto"/>
                    <w:ind w:firstLine="0" w:firstLineChars="0"/>
                    <w:jc w:val="center"/>
                    <w:rPr>
                      <w:color w:val="000000"/>
                      <w:sz w:val="21"/>
                      <w:szCs w:val="21"/>
                    </w:rPr>
                  </w:pPr>
                  <w:r>
                    <w:rPr>
                      <w:color w:val="000000"/>
                      <w:sz w:val="21"/>
                      <w:szCs w:val="21"/>
                    </w:rPr>
                    <w:t>360</w:t>
                  </w:r>
                </w:p>
              </w:tc>
              <w:tc>
                <w:tcPr>
                  <w:tcW w:w="655" w:type="pct"/>
                  <w:vAlign w:val="center"/>
                </w:tcPr>
                <w:p w14:paraId="41AA9B7D">
                  <w:pPr>
                    <w:spacing w:line="240" w:lineRule="auto"/>
                    <w:ind w:firstLine="0" w:firstLineChars="0"/>
                    <w:jc w:val="center"/>
                    <w:rPr>
                      <w:color w:val="000000"/>
                      <w:sz w:val="21"/>
                      <w:szCs w:val="21"/>
                    </w:rPr>
                  </w:pPr>
                  <w:r>
                    <w:rPr>
                      <w:color w:val="000000"/>
                      <w:sz w:val="21"/>
                      <w:szCs w:val="21"/>
                    </w:rPr>
                    <w:t>0</w:t>
                  </w:r>
                </w:p>
              </w:tc>
              <w:tc>
                <w:tcPr>
                  <w:tcW w:w="1367" w:type="pct"/>
                  <w:vAlign w:val="center"/>
                </w:tcPr>
                <w:p w14:paraId="491BE2E6">
                  <w:pPr>
                    <w:spacing w:line="240" w:lineRule="auto"/>
                    <w:ind w:firstLine="0" w:firstLineChars="0"/>
                    <w:jc w:val="center"/>
                    <w:rPr>
                      <w:color w:val="000000"/>
                      <w:sz w:val="21"/>
                      <w:szCs w:val="21"/>
                    </w:rPr>
                  </w:pPr>
                  <w:r>
                    <w:rPr>
                      <w:rFonts w:hint="eastAsia"/>
                      <w:color w:val="000000"/>
                      <w:sz w:val="21"/>
                      <w:szCs w:val="21"/>
                    </w:rPr>
                    <w:t>全部回用，不外排</w:t>
                  </w:r>
                </w:p>
              </w:tc>
            </w:tr>
            <w:tr w14:paraId="582F7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100" w:type="pct"/>
                  <w:vAlign w:val="center"/>
                </w:tcPr>
                <w:p w14:paraId="1F0A9118">
                  <w:pPr>
                    <w:spacing w:line="240" w:lineRule="auto"/>
                    <w:ind w:firstLine="0" w:firstLineChars="0"/>
                    <w:jc w:val="center"/>
                    <w:rPr>
                      <w:color w:val="000000"/>
                      <w:sz w:val="21"/>
                      <w:szCs w:val="21"/>
                    </w:rPr>
                  </w:pPr>
                  <w:r>
                    <w:rPr>
                      <w:rFonts w:hint="eastAsia"/>
                      <w:color w:val="000000"/>
                      <w:sz w:val="21"/>
                      <w:szCs w:val="21"/>
                    </w:rPr>
                    <w:t>洒水降尘用水</w:t>
                  </w:r>
                </w:p>
              </w:tc>
              <w:tc>
                <w:tcPr>
                  <w:tcW w:w="524" w:type="pct"/>
                  <w:vAlign w:val="center"/>
                </w:tcPr>
                <w:p w14:paraId="736D0D33">
                  <w:pPr>
                    <w:spacing w:line="240" w:lineRule="auto"/>
                    <w:ind w:firstLine="0" w:firstLineChars="0"/>
                    <w:jc w:val="center"/>
                    <w:rPr>
                      <w:color w:val="000000"/>
                      <w:sz w:val="21"/>
                      <w:szCs w:val="21"/>
                    </w:rPr>
                  </w:pPr>
                  <w:r>
                    <w:rPr>
                      <w:color w:val="000000"/>
                      <w:sz w:val="21"/>
                      <w:szCs w:val="21"/>
                    </w:rPr>
                    <w:t>360</w:t>
                  </w:r>
                </w:p>
              </w:tc>
              <w:tc>
                <w:tcPr>
                  <w:tcW w:w="608" w:type="pct"/>
                  <w:vAlign w:val="center"/>
                </w:tcPr>
                <w:p w14:paraId="39A0424E">
                  <w:pPr>
                    <w:spacing w:line="240" w:lineRule="auto"/>
                    <w:ind w:firstLine="0" w:firstLineChars="0"/>
                    <w:jc w:val="center"/>
                    <w:rPr>
                      <w:color w:val="000000"/>
                      <w:sz w:val="21"/>
                      <w:szCs w:val="21"/>
                    </w:rPr>
                  </w:pPr>
                  <w:r>
                    <w:rPr>
                      <w:color w:val="000000"/>
                      <w:sz w:val="21"/>
                      <w:szCs w:val="21"/>
                    </w:rPr>
                    <w:t>0</w:t>
                  </w:r>
                </w:p>
              </w:tc>
              <w:tc>
                <w:tcPr>
                  <w:tcW w:w="746" w:type="pct"/>
                  <w:vAlign w:val="center"/>
                </w:tcPr>
                <w:p w14:paraId="541C9003">
                  <w:pPr>
                    <w:spacing w:line="240" w:lineRule="auto"/>
                    <w:ind w:firstLine="0" w:firstLineChars="0"/>
                    <w:jc w:val="center"/>
                    <w:rPr>
                      <w:color w:val="000000"/>
                      <w:sz w:val="21"/>
                      <w:szCs w:val="21"/>
                    </w:rPr>
                  </w:pPr>
                  <w:r>
                    <w:rPr>
                      <w:color w:val="000000"/>
                      <w:sz w:val="21"/>
                      <w:szCs w:val="21"/>
                    </w:rPr>
                    <w:t>360</w:t>
                  </w:r>
                </w:p>
              </w:tc>
              <w:tc>
                <w:tcPr>
                  <w:tcW w:w="655" w:type="pct"/>
                  <w:vAlign w:val="center"/>
                </w:tcPr>
                <w:p w14:paraId="66CDAF95">
                  <w:pPr>
                    <w:spacing w:line="240" w:lineRule="auto"/>
                    <w:ind w:firstLine="0" w:firstLineChars="0"/>
                    <w:jc w:val="center"/>
                    <w:rPr>
                      <w:color w:val="000000"/>
                      <w:sz w:val="21"/>
                      <w:szCs w:val="21"/>
                    </w:rPr>
                  </w:pPr>
                  <w:r>
                    <w:rPr>
                      <w:color w:val="000000"/>
                      <w:sz w:val="21"/>
                      <w:szCs w:val="21"/>
                    </w:rPr>
                    <w:t>0</w:t>
                  </w:r>
                </w:p>
              </w:tc>
              <w:tc>
                <w:tcPr>
                  <w:tcW w:w="1367" w:type="pct"/>
                  <w:vAlign w:val="center"/>
                </w:tcPr>
                <w:p w14:paraId="7BD5E7ED">
                  <w:pPr>
                    <w:spacing w:line="240" w:lineRule="auto"/>
                    <w:ind w:firstLine="0" w:firstLineChars="0"/>
                    <w:jc w:val="center"/>
                    <w:rPr>
                      <w:color w:val="000000"/>
                      <w:sz w:val="21"/>
                      <w:szCs w:val="21"/>
                    </w:rPr>
                  </w:pPr>
                  <w:r>
                    <w:rPr>
                      <w:rFonts w:hint="eastAsia"/>
                      <w:color w:val="000000"/>
                      <w:sz w:val="21"/>
                      <w:szCs w:val="21"/>
                    </w:rPr>
                    <w:t>自然蒸发</w:t>
                  </w:r>
                </w:p>
              </w:tc>
            </w:tr>
            <w:tr w14:paraId="3B5EA7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100" w:type="pct"/>
                  <w:vAlign w:val="center"/>
                </w:tcPr>
                <w:p w14:paraId="302F3EE3">
                  <w:pPr>
                    <w:spacing w:line="240" w:lineRule="auto"/>
                    <w:ind w:firstLine="0" w:firstLineChars="0"/>
                    <w:jc w:val="center"/>
                    <w:rPr>
                      <w:color w:val="000000"/>
                      <w:sz w:val="21"/>
                      <w:szCs w:val="21"/>
                    </w:rPr>
                  </w:pPr>
                  <w:r>
                    <w:rPr>
                      <w:rFonts w:hint="eastAsia"/>
                      <w:color w:val="000000"/>
                      <w:sz w:val="21"/>
                      <w:szCs w:val="21"/>
                    </w:rPr>
                    <w:t>生活用水</w:t>
                  </w:r>
                </w:p>
              </w:tc>
              <w:tc>
                <w:tcPr>
                  <w:tcW w:w="524" w:type="pct"/>
                  <w:vAlign w:val="center"/>
                </w:tcPr>
                <w:p w14:paraId="1F8C69A0">
                  <w:pPr>
                    <w:spacing w:line="240" w:lineRule="auto"/>
                    <w:ind w:firstLine="0" w:firstLineChars="0"/>
                    <w:jc w:val="center"/>
                    <w:rPr>
                      <w:color w:val="000000"/>
                      <w:sz w:val="21"/>
                      <w:szCs w:val="21"/>
                    </w:rPr>
                  </w:pPr>
                  <w:r>
                    <w:rPr>
                      <w:color w:val="000000"/>
                      <w:sz w:val="21"/>
                      <w:szCs w:val="21"/>
                    </w:rPr>
                    <w:t>86.4</w:t>
                  </w:r>
                </w:p>
              </w:tc>
              <w:tc>
                <w:tcPr>
                  <w:tcW w:w="608" w:type="pct"/>
                  <w:vAlign w:val="center"/>
                </w:tcPr>
                <w:p w14:paraId="68BCECD3">
                  <w:pPr>
                    <w:spacing w:line="240" w:lineRule="auto"/>
                    <w:ind w:firstLine="0" w:firstLineChars="0"/>
                    <w:jc w:val="center"/>
                    <w:rPr>
                      <w:color w:val="000000"/>
                      <w:sz w:val="21"/>
                      <w:szCs w:val="21"/>
                    </w:rPr>
                  </w:pPr>
                  <w:r>
                    <w:rPr>
                      <w:color w:val="000000"/>
                      <w:sz w:val="21"/>
                      <w:szCs w:val="21"/>
                    </w:rPr>
                    <w:t>0</w:t>
                  </w:r>
                </w:p>
              </w:tc>
              <w:tc>
                <w:tcPr>
                  <w:tcW w:w="746" w:type="pct"/>
                  <w:vAlign w:val="center"/>
                </w:tcPr>
                <w:p w14:paraId="32D6425B">
                  <w:pPr>
                    <w:spacing w:line="240" w:lineRule="auto"/>
                    <w:ind w:firstLine="0" w:firstLineChars="0"/>
                    <w:jc w:val="center"/>
                    <w:rPr>
                      <w:color w:val="000000"/>
                      <w:sz w:val="21"/>
                      <w:szCs w:val="21"/>
                    </w:rPr>
                  </w:pPr>
                  <w:r>
                    <w:rPr>
                      <w:rFonts w:hint="eastAsia"/>
                      <w:color w:val="000000"/>
                      <w:sz w:val="21"/>
                      <w:szCs w:val="21"/>
                    </w:rPr>
                    <w:t>1</w:t>
                  </w:r>
                  <w:r>
                    <w:rPr>
                      <w:color w:val="000000"/>
                      <w:sz w:val="21"/>
                      <w:szCs w:val="21"/>
                    </w:rPr>
                    <w:t>7.28</w:t>
                  </w:r>
                </w:p>
              </w:tc>
              <w:tc>
                <w:tcPr>
                  <w:tcW w:w="655" w:type="pct"/>
                  <w:vAlign w:val="center"/>
                </w:tcPr>
                <w:p w14:paraId="60BC5F85">
                  <w:pPr>
                    <w:spacing w:line="240" w:lineRule="auto"/>
                    <w:ind w:firstLine="0" w:firstLineChars="0"/>
                    <w:jc w:val="center"/>
                    <w:rPr>
                      <w:color w:val="000000"/>
                      <w:sz w:val="21"/>
                      <w:szCs w:val="21"/>
                    </w:rPr>
                  </w:pPr>
                  <w:r>
                    <w:rPr>
                      <w:color w:val="000000"/>
                      <w:sz w:val="21"/>
                      <w:szCs w:val="21"/>
                    </w:rPr>
                    <w:t>69.12</w:t>
                  </w:r>
                </w:p>
              </w:tc>
              <w:tc>
                <w:tcPr>
                  <w:tcW w:w="1367" w:type="pct"/>
                  <w:vAlign w:val="center"/>
                </w:tcPr>
                <w:p w14:paraId="35A94F94">
                  <w:pPr>
                    <w:spacing w:line="240" w:lineRule="auto"/>
                    <w:ind w:firstLine="0" w:firstLineChars="0"/>
                    <w:jc w:val="center"/>
                    <w:rPr>
                      <w:color w:val="000000"/>
                      <w:sz w:val="21"/>
                      <w:szCs w:val="21"/>
                    </w:rPr>
                  </w:pPr>
                  <w:r>
                    <w:rPr>
                      <w:rFonts w:hint="eastAsia"/>
                      <w:color w:val="000000"/>
                      <w:sz w:val="21"/>
                      <w:szCs w:val="21"/>
                    </w:rPr>
                    <w:t>经处理达标后用于周边植被绿化</w:t>
                  </w:r>
                </w:p>
              </w:tc>
            </w:tr>
            <w:tr w14:paraId="1B3DB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100" w:type="pct"/>
                  <w:vAlign w:val="center"/>
                </w:tcPr>
                <w:p w14:paraId="394F7ED4">
                  <w:pPr>
                    <w:spacing w:line="240" w:lineRule="auto"/>
                    <w:ind w:firstLine="0" w:firstLineChars="0"/>
                    <w:jc w:val="center"/>
                    <w:rPr>
                      <w:color w:val="000000"/>
                      <w:sz w:val="21"/>
                      <w:szCs w:val="21"/>
                    </w:rPr>
                  </w:pPr>
                  <w:r>
                    <w:rPr>
                      <w:rFonts w:hint="eastAsia"/>
                      <w:color w:val="000000"/>
                      <w:sz w:val="21"/>
                      <w:szCs w:val="21"/>
                    </w:rPr>
                    <w:t>合计</w:t>
                  </w:r>
                </w:p>
              </w:tc>
              <w:tc>
                <w:tcPr>
                  <w:tcW w:w="524" w:type="pct"/>
                  <w:vAlign w:val="center"/>
                </w:tcPr>
                <w:p w14:paraId="39C16F58">
                  <w:pPr>
                    <w:spacing w:line="240" w:lineRule="auto"/>
                    <w:ind w:firstLine="0" w:firstLineChars="0"/>
                    <w:jc w:val="center"/>
                    <w:rPr>
                      <w:color w:val="000000"/>
                      <w:sz w:val="21"/>
                      <w:szCs w:val="21"/>
                    </w:rPr>
                  </w:pPr>
                  <w:r>
                    <w:rPr>
                      <w:color w:val="000000"/>
                      <w:sz w:val="21"/>
                      <w:szCs w:val="21"/>
                    </w:rPr>
                    <w:t>1166.4</w:t>
                  </w:r>
                </w:p>
              </w:tc>
              <w:tc>
                <w:tcPr>
                  <w:tcW w:w="608" w:type="pct"/>
                  <w:vAlign w:val="center"/>
                </w:tcPr>
                <w:p w14:paraId="4CD96520">
                  <w:pPr>
                    <w:spacing w:line="240" w:lineRule="auto"/>
                    <w:ind w:firstLine="0" w:firstLineChars="0"/>
                    <w:jc w:val="center"/>
                    <w:rPr>
                      <w:color w:val="000000"/>
                      <w:sz w:val="21"/>
                      <w:szCs w:val="21"/>
                    </w:rPr>
                  </w:pPr>
                  <w:r>
                    <w:rPr>
                      <w:color w:val="000000"/>
                      <w:sz w:val="21"/>
                      <w:szCs w:val="21"/>
                    </w:rPr>
                    <w:t>360</w:t>
                  </w:r>
                </w:p>
              </w:tc>
              <w:tc>
                <w:tcPr>
                  <w:tcW w:w="746" w:type="pct"/>
                  <w:vAlign w:val="center"/>
                </w:tcPr>
                <w:p w14:paraId="4B095484">
                  <w:pPr>
                    <w:spacing w:line="240" w:lineRule="auto"/>
                    <w:ind w:firstLine="0" w:firstLineChars="0"/>
                    <w:jc w:val="center"/>
                    <w:rPr>
                      <w:color w:val="000000"/>
                      <w:sz w:val="21"/>
                      <w:szCs w:val="21"/>
                    </w:rPr>
                  </w:pPr>
                  <w:r>
                    <w:rPr>
                      <w:color w:val="000000"/>
                      <w:sz w:val="21"/>
                      <w:szCs w:val="21"/>
                    </w:rPr>
                    <w:t>737.28</w:t>
                  </w:r>
                </w:p>
              </w:tc>
              <w:tc>
                <w:tcPr>
                  <w:tcW w:w="655" w:type="pct"/>
                  <w:vAlign w:val="center"/>
                </w:tcPr>
                <w:p w14:paraId="3FFC2844">
                  <w:pPr>
                    <w:spacing w:line="240" w:lineRule="auto"/>
                    <w:ind w:firstLine="0" w:firstLineChars="0"/>
                    <w:jc w:val="center"/>
                    <w:rPr>
                      <w:color w:val="000000"/>
                      <w:sz w:val="21"/>
                      <w:szCs w:val="21"/>
                    </w:rPr>
                  </w:pPr>
                  <w:r>
                    <w:rPr>
                      <w:color w:val="000000"/>
                      <w:sz w:val="21"/>
                      <w:szCs w:val="21"/>
                    </w:rPr>
                    <w:t>69.12</w:t>
                  </w:r>
                </w:p>
              </w:tc>
              <w:tc>
                <w:tcPr>
                  <w:tcW w:w="1367" w:type="pct"/>
                  <w:vAlign w:val="center"/>
                </w:tcPr>
                <w:p w14:paraId="47A18A26">
                  <w:pPr>
                    <w:spacing w:line="240" w:lineRule="auto"/>
                    <w:ind w:firstLine="0" w:firstLineChars="0"/>
                    <w:jc w:val="center"/>
                    <w:rPr>
                      <w:color w:val="000000"/>
                      <w:sz w:val="21"/>
                      <w:szCs w:val="21"/>
                    </w:rPr>
                  </w:pPr>
                  <w:r>
                    <w:rPr>
                      <w:color w:val="000000"/>
                      <w:sz w:val="21"/>
                      <w:szCs w:val="21"/>
                    </w:rPr>
                    <w:t>/</w:t>
                  </w:r>
                </w:p>
              </w:tc>
            </w:tr>
            <w:tr w14:paraId="07BB8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000" w:type="pct"/>
                  <w:gridSpan w:val="6"/>
                  <w:vAlign w:val="center"/>
                </w:tcPr>
                <w:p w14:paraId="42566709">
                  <w:pPr>
                    <w:spacing w:line="240" w:lineRule="auto"/>
                    <w:ind w:firstLine="0" w:firstLineChars="0"/>
                    <w:rPr>
                      <w:color w:val="000000"/>
                      <w:sz w:val="21"/>
                      <w:szCs w:val="21"/>
                    </w:rPr>
                  </w:pPr>
                  <w:r>
                    <w:rPr>
                      <w:rFonts w:hint="eastAsia"/>
                      <w:color w:val="000000"/>
                      <w:sz w:val="18"/>
                      <w:szCs w:val="18"/>
                    </w:rPr>
                    <w:t>注：总用水量含回用水，项目新鲜水总取水量806.4m³/a。</w:t>
                  </w:r>
                </w:p>
              </w:tc>
            </w:tr>
          </w:tbl>
          <w:p w14:paraId="05E4AF9B">
            <w:pPr>
              <w:ind w:firstLine="0" w:firstLineChars="0"/>
              <w:jc w:val="center"/>
            </w:pPr>
            <w:r>
              <w:drawing>
                <wp:inline distT="0" distB="0" distL="0" distR="0">
                  <wp:extent cx="4811395" cy="2274570"/>
                  <wp:effectExtent l="19050" t="19050" r="27305"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4815438" cy="2276694"/>
                          </a:xfrm>
                          <a:prstGeom prst="rect">
                            <a:avLst/>
                          </a:prstGeom>
                          <a:ln>
                            <a:solidFill>
                              <a:schemeClr val="tx1"/>
                            </a:solidFill>
                          </a:ln>
                        </pic:spPr>
                      </pic:pic>
                    </a:graphicData>
                  </a:graphic>
                </wp:inline>
              </w:drawing>
            </w:r>
          </w:p>
          <w:p w14:paraId="31317732">
            <w:pPr>
              <w:pStyle w:val="34"/>
              <w:spacing w:before="156"/>
              <w:rPr>
                <w:rFonts w:ascii="Times New Roman" w:hAnsi="Times New Roman"/>
              </w:rPr>
            </w:pPr>
            <w:r>
              <w:rPr>
                <w:rFonts w:hint="eastAsia" w:ascii="Times New Roman" w:hAnsi="Times New Roman"/>
              </w:rPr>
              <w:t>图</w:t>
            </w:r>
            <w:r>
              <w:rPr>
                <w:rFonts w:ascii="Times New Roman" w:hAnsi="Times New Roman"/>
              </w:rPr>
              <w:t xml:space="preserve">2-1  </w:t>
            </w:r>
            <w:r>
              <w:rPr>
                <w:rFonts w:hint="eastAsia" w:ascii="Times New Roman" w:hAnsi="Times New Roman"/>
              </w:rPr>
              <w:t>本项目水平衡图单位：m</w:t>
            </w:r>
            <w:r>
              <w:rPr>
                <w:rFonts w:hint="eastAsia" w:ascii="Times New Roman" w:hAnsi="Times New Roman"/>
                <w:vertAlign w:val="superscript"/>
              </w:rPr>
              <w:t>3</w:t>
            </w:r>
            <w:r>
              <w:rPr>
                <w:rFonts w:hint="eastAsia" w:ascii="Times New Roman" w:hAnsi="Times New Roman"/>
              </w:rPr>
              <w:t>/</w:t>
            </w:r>
            <w:r>
              <w:rPr>
                <w:rFonts w:ascii="Times New Roman" w:hAnsi="Times New Roman"/>
              </w:rPr>
              <w:t>a</w:t>
            </w:r>
          </w:p>
          <w:p w14:paraId="51B6813F">
            <w:r>
              <w:t>（3）供电工程</w:t>
            </w:r>
          </w:p>
          <w:p w14:paraId="61891DAF">
            <w:r>
              <w:rPr>
                <w:bCs/>
              </w:rPr>
              <w:t>本项目生</w:t>
            </w:r>
            <w:r>
              <w:t>产用电来自项目自备的柴油发电机供电。</w:t>
            </w:r>
          </w:p>
          <w:p w14:paraId="6444AD92">
            <w:r>
              <w:t>（4）供暖</w:t>
            </w:r>
          </w:p>
          <w:p w14:paraId="39C3A291">
            <w:r>
              <w:t>本项目冬季不进行勘探作业，因此无需供暖。</w:t>
            </w:r>
          </w:p>
          <w:p w14:paraId="21405710">
            <w:pPr>
              <w:pStyle w:val="19"/>
            </w:pPr>
            <w:r>
              <w:t>2.8</w:t>
            </w:r>
            <w:r>
              <w:rPr>
                <w:rFonts w:hint="eastAsia"/>
              </w:rPr>
              <w:t>土石方平衡分析</w:t>
            </w:r>
          </w:p>
          <w:p w14:paraId="5B0BBCE5">
            <w:r>
              <w:t>（1）钻探工程</w:t>
            </w:r>
          </w:p>
          <w:p w14:paraId="5A68A5F8">
            <w:r>
              <w:t>本项目钻探总工程量为7378m，</w:t>
            </w:r>
            <w:r>
              <w:rPr>
                <w:rFonts w:hint="eastAsia"/>
              </w:rPr>
              <w:t>钻孔终孔直径不小于75mm</w:t>
            </w:r>
            <w:r>
              <w:t>。经计算，岩心理论实体体积为32.58m³，按岩石松散膨胀系数1.4计，岩心松散体积为45.61m³，该部分岩心全部作为样品带回实验室分析。按井眼扩大率10%计，因扩径新增的钻屑实体体积为3.26m³，对应的松散体积为4.56m³（3.26×1.4）。钻孔施工完毕后，该部分钻屑全部用于人工回填。</w:t>
            </w:r>
          </w:p>
          <w:p w14:paraId="46CE6DEE">
            <w:r>
              <w:t>（2）表土剥离</w:t>
            </w:r>
          </w:p>
          <w:p w14:paraId="45579481">
            <w:r>
              <w:t>施工前对每个钻孔周边进行表土剥离，按每孔剥离面积15m²、剥离厚度20cm计，22个钻孔共剥离表土66m³（实方），松散系数取1.3，堆放体积约85.8m³。剥离表土单独堆放，施工结束后用于场地植被恢复覆土。</w:t>
            </w:r>
          </w:p>
          <w:p w14:paraId="6E49056E">
            <w:r>
              <w:t>（3）槽探工程</w:t>
            </w:r>
          </w:p>
          <w:p w14:paraId="0DD5B16D">
            <w:r>
              <w:t>槽探总工程量为4000m³（实体方），按松散系数1.3计，松散方产生量为5200m³。槽探采用刻槽取样，单样刻槽尺寸1m×0.1m×0.03m，取样岩粉总产生量约3m³（实体方），按松散系数1.3计，松散体积约3.9m³，一并送至实验室分析。其余开挖土石方就近回填槽沟，并平整恢复原地貌。</w:t>
            </w:r>
          </w:p>
          <w:p w14:paraId="7313A353">
            <w:r>
              <w:t>（4）坑探工程</w:t>
            </w:r>
          </w:p>
          <w:p w14:paraId="40FEC8B8">
            <w:r>
              <w:t>本项目坑探工程总工作量为3934m，平硐规格采用2.2m（宽）×2.4m（高），硐底里高外低，坡降3‰。平硐开挖断面面积为5.28m²，实体体积为20771.52m³。按岩石松散膨胀系数1.4计，松散体积为29080.128m³。</w:t>
            </w:r>
            <w:r>
              <w:rPr>
                <w:rFonts w:hint="eastAsia"/>
              </w:rPr>
              <w:t>坑探产生的废石，部分用于硐口段回填封堵，其余用于场地平整及低洼处填垫</w:t>
            </w:r>
            <w:r>
              <w:t>。施工结束后对临时占用地进行植被恢复，施工垃圾按分类要求处置。</w:t>
            </w:r>
          </w:p>
          <w:p w14:paraId="114474B7">
            <w:pPr>
              <w:pStyle w:val="34"/>
              <w:spacing w:before="156"/>
              <w:rPr>
                <w:rFonts w:ascii="Times New Roman" w:hAnsi="Times New Roman"/>
                <w:szCs w:val="21"/>
              </w:rPr>
            </w:pPr>
            <w:bookmarkStart w:id="6" w:name="_Hlk237429797"/>
            <w:r>
              <w:rPr>
                <w:rFonts w:ascii="Times New Roman" w:hAnsi="Times New Roman"/>
                <w:szCs w:val="21"/>
              </w:rPr>
              <w:t>表2-7  土石方平衡一览表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28"/>
              <w:gridCol w:w="1143"/>
              <w:gridCol w:w="1143"/>
              <w:gridCol w:w="847"/>
              <w:gridCol w:w="3569"/>
            </w:tblGrid>
            <w:tr w14:paraId="5B21A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 w:hRule="atLeast"/>
                <w:tblHeader/>
                <w:jc w:val="center"/>
              </w:trPr>
              <w:tc>
                <w:tcPr>
                  <w:tcW w:w="720" w:type="pct"/>
                  <w:vMerge w:val="restart"/>
                  <w:tcBorders>
                    <w:tl2br w:val="nil"/>
                    <w:tr2bl w:val="nil"/>
                  </w:tcBorders>
                  <w:vAlign w:val="center"/>
                </w:tcPr>
                <w:p w14:paraId="0A3E51F9">
                  <w:pPr>
                    <w:pStyle w:val="32"/>
                    <w:rPr>
                      <w:szCs w:val="21"/>
                    </w:rPr>
                  </w:pPr>
                  <w:r>
                    <w:rPr>
                      <w:szCs w:val="21"/>
                    </w:rPr>
                    <w:t>项目</w:t>
                  </w:r>
                </w:p>
              </w:tc>
              <w:tc>
                <w:tcPr>
                  <w:tcW w:w="730" w:type="pct"/>
                  <w:vMerge w:val="restart"/>
                  <w:tcBorders>
                    <w:tl2br w:val="nil"/>
                    <w:tr2bl w:val="nil"/>
                  </w:tcBorders>
                  <w:vAlign w:val="center"/>
                </w:tcPr>
                <w:p w14:paraId="13DB677F">
                  <w:pPr>
                    <w:pStyle w:val="32"/>
                    <w:rPr>
                      <w:szCs w:val="21"/>
                    </w:rPr>
                  </w:pPr>
                  <w:r>
                    <w:rPr>
                      <w:rFonts w:hint="eastAsia"/>
                      <w:szCs w:val="21"/>
                    </w:rPr>
                    <w:t>松散方产生量</w:t>
                  </w:r>
                  <w:r>
                    <w:rPr>
                      <w:szCs w:val="21"/>
                    </w:rPr>
                    <w:t>m</w:t>
                  </w:r>
                  <w:r>
                    <w:rPr>
                      <w:szCs w:val="21"/>
                      <w:vertAlign w:val="superscript"/>
                    </w:rPr>
                    <w:t>3</w:t>
                  </w:r>
                </w:p>
              </w:tc>
              <w:tc>
                <w:tcPr>
                  <w:tcW w:w="730" w:type="pct"/>
                  <w:vMerge w:val="restart"/>
                  <w:tcBorders>
                    <w:tl2br w:val="nil"/>
                    <w:tr2bl w:val="nil"/>
                  </w:tcBorders>
                  <w:vAlign w:val="center"/>
                </w:tcPr>
                <w:p w14:paraId="631E22CA">
                  <w:pPr>
                    <w:pStyle w:val="32"/>
                    <w:rPr>
                      <w:szCs w:val="21"/>
                    </w:rPr>
                  </w:pPr>
                  <w:r>
                    <w:rPr>
                      <w:rFonts w:hint="eastAsia"/>
                      <w:szCs w:val="21"/>
                    </w:rPr>
                    <w:t>松散方回填量</w:t>
                  </w:r>
                  <w:r>
                    <w:rPr>
                      <w:szCs w:val="21"/>
                    </w:rPr>
                    <w:t>m</w:t>
                  </w:r>
                  <w:r>
                    <w:rPr>
                      <w:szCs w:val="21"/>
                      <w:vertAlign w:val="superscript"/>
                    </w:rPr>
                    <w:t>3</w:t>
                  </w:r>
                </w:p>
              </w:tc>
              <w:tc>
                <w:tcPr>
                  <w:tcW w:w="2820" w:type="pct"/>
                  <w:gridSpan w:val="2"/>
                  <w:tcBorders>
                    <w:tl2br w:val="nil"/>
                    <w:tr2bl w:val="nil"/>
                  </w:tcBorders>
                  <w:vAlign w:val="center"/>
                </w:tcPr>
                <w:p w14:paraId="531EAEB8">
                  <w:pPr>
                    <w:pStyle w:val="32"/>
                    <w:rPr>
                      <w:szCs w:val="21"/>
                    </w:rPr>
                  </w:pPr>
                  <w:r>
                    <w:rPr>
                      <w:szCs w:val="21"/>
                    </w:rPr>
                    <w:t>调出</w:t>
                  </w:r>
                </w:p>
              </w:tc>
            </w:tr>
            <w:tr w14:paraId="708477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 w:hRule="atLeast"/>
                <w:tblHeader/>
                <w:jc w:val="center"/>
              </w:trPr>
              <w:tc>
                <w:tcPr>
                  <w:tcW w:w="720" w:type="pct"/>
                  <w:vMerge w:val="continue"/>
                  <w:tcBorders>
                    <w:tl2br w:val="nil"/>
                    <w:tr2bl w:val="nil"/>
                  </w:tcBorders>
                  <w:vAlign w:val="center"/>
                </w:tcPr>
                <w:p w14:paraId="3590180E">
                  <w:pPr>
                    <w:pStyle w:val="32"/>
                    <w:rPr>
                      <w:szCs w:val="21"/>
                    </w:rPr>
                  </w:pPr>
                </w:p>
              </w:tc>
              <w:tc>
                <w:tcPr>
                  <w:tcW w:w="730" w:type="pct"/>
                  <w:vMerge w:val="continue"/>
                  <w:tcBorders>
                    <w:tl2br w:val="nil"/>
                    <w:tr2bl w:val="nil"/>
                  </w:tcBorders>
                  <w:vAlign w:val="center"/>
                </w:tcPr>
                <w:p w14:paraId="73F7AC1F">
                  <w:pPr>
                    <w:pStyle w:val="32"/>
                    <w:rPr>
                      <w:szCs w:val="21"/>
                    </w:rPr>
                  </w:pPr>
                </w:p>
              </w:tc>
              <w:tc>
                <w:tcPr>
                  <w:tcW w:w="730" w:type="pct"/>
                  <w:vMerge w:val="continue"/>
                  <w:tcBorders>
                    <w:tl2br w:val="nil"/>
                    <w:tr2bl w:val="nil"/>
                  </w:tcBorders>
                  <w:vAlign w:val="center"/>
                </w:tcPr>
                <w:p w14:paraId="7F9315B2">
                  <w:pPr>
                    <w:pStyle w:val="32"/>
                    <w:rPr>
                      <w:szCs w:val="21"/>
                    </w:rPr>
                  </w:pPr>
                </w:p>
              </w:tc>
              <w:tc>
                <w:tcPr>
                  <w:tcW w:w="541" w:type="pct"/>
                  <w:tcBorders>
                    <w:tl2br w:val="nil"/>
                    <w:tr2bl w:val="nil"/>
                  </w:tcBorders>
                  <w:vAlign w:val="center"/>
                </w:tcPr>
                <w:p w14:paraId="49AE7D4A">
                  <w:pPr>
                    <w:pStyle w:val="32"/>
                    <w:rPr>
                      <w:szCs w:val="21"/>
                    </w:rPr>
                  </w:pPr>
                  <w:r>
                    <w:rPr>
                      <w:szCs w:val="21"/>
                    </w:rPr>
                    <w:t>数量m</w:t>
                  </w:r>
                  <w:r>
                    <w:rPr>
                      <w:szCs w:val="21"/>
                      <w:vertAlign w:val="superscript"/>
                    </w:rPr>
                    <w:t>3</w:t>
                  </w:r>
                </w:p>
              </w:tc>
              <w:tc>
                <w:tcPr>
                  <w:tcW w:w="2280" w:type="pct"/>
                  <w:tcBorders>
                    <w:tl2br w:val="nil"/>
                    <w:tr2bl w:val="nil"/>
                  </w:tcBorders>
                  <w:vAlign w:val="center"/>
                </w:tcPr>
                <w:p w14:paraId="46095EBE">
                  <w:pPr>
                    <w:pStyle w:val="32"/>
                    <w:rPr>
                      <w:szCs w:val="21"/>
                    </w:rPr>
                  </w:pPr>
                  <w:r>
                    <w:rPr>
                      <w:szCs w:val="21"/>
                    </w:rPr>
                    <w:t>去向</w:t>
                  </w:r>
                </w:p>
              </w:tc>
            </w:tr>
            <w:tr w14:paraId="10FD0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tblHeader/>
                <w:jc w:val="center"/>
              </w:trPr>
              <w:tc>
                <w:tcPr>
                  <w:tcW w:w="720" w:type="pct"/>
                  <w:tcBorders>
                    <w:tl2br w:val="nil"/>
                    <w:tr2bl w:val="nil"/>
                  </w:tcBorders>
                  <w:vAlign w:val="center"/>
                </w:tcPr>
                <w:p w14:paraId="7EE881CC">
                  <w:pPr>
                    <w:pStyle w:val="32"/>
                    <w:rPr>
                      <w:szCs w:val="21"/>
                    </w:rPr>
                  </w:pPr>
                  <w:r>
                    <w:rPr>
                      <w:szCs w:val="21"/>
                    </w:rPr>
                    <w:t>钻探岩心</w:t>
                  </w:r>
                </w:p>
              </w:tc>
              <w:tc>
                <w:tcPr>
                  <w:tcW w:w="730" w:type="pct"/>
                  <w:tcBorders>
                    <w:tl2br w:val="nil"/>
                    <w:tr2bl w:val="nil"/>
                  </w:tcBorders>
                  <w:vAlign w:val="center"/>
                </w:tcPr>
                <w:p w14:paraId="38C85B75">
                  <w:pPr>
                    <w:pStyle w:val="32"/>
                    <w:rPr>
                      <w:color w:val="000000" w:themeColor="text1"/>
                      <w:szCs w:val="21"/>
                      <w14:textFill>
                        <w14:solidFill>
                          <w14:schemeClr w14:val="tx1"/>
                        </w14:solidFill>
                      </w14:textFill>
                    </w:rPr>
                  </w:pPr>
                  <w:r>
                    <w:rPr>
                      <w:szCs w:val="21"/>
                    </w:rPr>
                    <w:t>45.61</w:t>
                  </w:r>
                </w:p>
              </w:tc>
              <w:tc>
                <w:tcPr>
                  <w:tcW w:w="730" w:type="pct"/>
                  <w:tcBorders>
                    <w:tl2br w:val="nil"/>
                    <w:tr2bl w:val="nil"/>
                  </w:tcBorders>
                  <w:vAlign w:val="center"/>
                </w:tcPr>
                <w:p w14:paraId="79696427">
                  <w:pPr>
                    <w:pStyle w:val="32"/>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541" w:type="pct"/>
                  <w:tcBorders>
                    <w:tl2br w:val="nil"/>
                    <w:tr2bl w:val="nil"/>
                  </w:tcBorders>
                  <w:vAlign w:val="center"/>
                </w:tcPr>
                <w:p w14:paraId="7A8BB65C">
                  <w:pPr>
                    <w:pStyle w:val="32"/>
                    <w:rPr>
                      <w:color w:val="000000" w:themeColor="text1"/>
                      <w:kern w:val="0"/>
                      <w:szCs w:val="21"/>
                      <w14:textFill>
                        <w14:solidFill>
                          <w14:schemeClr w14:val="tx1"/>
                        </w14:solidFill>
                      </w14:textFill>
                    </w:rPr>
                  </w:pPr>
                  <w:r>
                    <w:rPr>
                      <w:szCs w:val="21"/>
                    </w:rPr>
                    <w:t>45.61</w:t>
                  </w:r>
                </w:p>
              </w:tc>
              <w:tc>
                <w:tcPr>
                  <w:tcW w:w="2280" w:type="pct"/>
                  <w:tcBorders>
                    <w:tl2br w:val="nil"/>
                    <w:tr2bl w:val="nil"/>
                  </w:tcBorders>
                  <w:vAlign w:val="center"/>
                </w:tcPr>
                <w:p w14:paraId="5CDFCE5F">
                  <w:pPr>
                    <w:pStyle w:val="32"/>
                    <w:jc w:val="both"/>
                    <w:rPr>
                      <w:szCs w:val="21"/>
                    </w:rPr>
                  </w:pPr>
                  <w:r>
                    <w:rPr>
                      <w:rFonts w:hint="eastAsia"/>
                      <w:szCs w:val="21"/>
                    </w:rPr>
                    <w:t>委托第三方进行分析，分析完成后由第三方妥善保存在专门的岩心库中</w:t>
                  </w:r>
                </w:p>
              </w:tc>
            </w:tr>
            <w:tr w14:paraId="48199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 w:hRule="atLeast"/>
                <w:tblHeader/>
                <w:jc w:val="center"/>
              </w:trPr>
              <w:tc>
                <w:tcPr>
                  <w:tcW w:w="720" w:type="pct"/>
                  <w:tcBorders>
                    <w:tl2br w:val="nil"/>
                    <w:tr2bl w:val="nil"/>
                  </w:tcBorders>
                  <w:vAlign w:val="center"/>
                </w:tcPr>
                <w:p w14:paraId="2FC496EB">
                  <w:pPr>
                    <w:pStyle w:val="32"/>
                    <w:rPr>
                      <w:szCs w:val="21"/>
                    </w:rPr>
                  </w:pPr>
                  <w:r>
                    <w:rPr>
                      <w:szCs w:val="21"/>
                    </w:rPr>
                    <w:t>钻孔岩屑</w:t>
                  </w:r>
                </w:p>
              </w:tc>
              <w:tc>
                <w:tcPr>
                  <w:tcW w:w="730" w:type="pct"/>
                  <w:tcBorders>
                    <w:tl2br w:val="nil"/>
                    <w:tr2bl w:val="nil"/>
                  </w:tcBorders>
                  <w:vAlign w:val="center"/>
                </w:tcPr>
                <w:p w14:paraId="23DE7476">
                  <w:pPr>
                    <w:pStyle w:val="32"/>
                    <w:rPr>
                      <w:szCs w:val="21"/>
                    </w:rPr>
                  </w:pPr>
                  <w:r>
                    <w:rPr>
                      <w:szCs w:val="21"/>
                    </w:rPr>
                    <w:t>4.56</w:t>
                  </w:r>
                </w:p>
              </w:tc>
              <w:tc>
                <w:tcPr>
                  <w:tcW w:w="730" w:type="pct"/>
                  <w:tcBorders>
                    <w:tl2br w:val="nil"/>
                    <w:tr2bl w:val="nil"/>
                  </w:tcBorders>
                  <w:vAlign w:val="center"/>
                </w:tcPr>
                <w:p w14:paraId="2826AA76">
                  <w:pPr>
                    <w:pStyle w:val="32"/>
                    <w:rPr>
                      <w:color w:val="000000" w:themeColor="text1"/>
                      <w:szCs w:val="21"/>
                      <w14:textFill>
                        <w14:solidFill>
                          <w14:schemeClr w14:val="tx1"/>
                        </w14:solidFill>
                      </w14:textFill>
                    </w:rPr>
                  </w:pPr>
                  <w:r>
                    <w:rPr>
                      <w:szCs w:val="21"/>
                    </w:rPr>
                    <w:t>4.56</w:t>
                  </w:r>
                </w:p>
              </w:tc>
              <w:tc>
                <w:tcPr>
                  <w:tcW w:w="541" w:type="pct"/>
                  <w:tcBorders>
                    <w:tl2br w:val="nil"/>
                    <w:tr2bl w:val="nil"/>
                  </w:tcBorders>
                  <w:vAlign w:val="center"/>
                </w:tcPr>
                <w:p w14:paraId="6E66314E">
                  <w:pPr>
                    <w:pStyle w:val="32"/>
                    <w:rPr>
                      <w:szCs w:val="21"/>
                    </w:rPr>
                  </w:pPr>
                  <w:r>
                    <w:rPr>
                      <w:rFonts w:hint="eastAsia"/>
                      <w:kern w:val="0"/>
                      <w:szCs w:val="21"/>
                    </w:rPr>
                    <w:t>0</w:t>
                  </w:r>
                </w:p>
              </w:tc>
              <w:tc>
                <w:tcPr>
                  <w:tcW w:w="2280" w:type="pct"/>
                  <w:tcBorders>
                    <w:tl2br w:val="nil"/>
                    <w:tr2bl w:val="nil"/>
                  </w:tcBorders>
                  <w:vAlign w:val="center"/>
                </w:tcPr>
                <w:p w14:paraId="617E5F44">
                  <w:pPr>
                    <w:pStyle w:val="32"/>
                    <w:jc w:val="both"/>
                    <w:rPr>
                      <w:szCs w:val="21"/>
                    </w:rPr>
                  </w:pPr>
                  <w:r>
                    <w:rPr>
                      <w:rFonts w:ascii="Segoe UI" w:hAnsi="Segoe UI" w:cs="Segoe UI"/>
                      <w:color w:val="0F1115"/>
                      <w:szCs w:val="21"/>
                      <w:shd w:val="clear" w:color="auto" w:fill="FFFFFF"/>
                    </w:rPr>
                    <w:t>钻孔施工完毕后人工回填</w:t>
                  </w:r>
                </w:p>
              </w:tc>
            </w:tr>
            <w:tr w14:paraId="28103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 w:hRule="atLeast"/>
                <w:tblHeader/>
                <w:jc w:val="center"/>
              </w:trPr>
              <w:tc>
                <w:tcPr>
                  <w:tcW w:w="720" w:type="pct"/>
                  <w:tcBorders>
                    <w:tl2br w:val="nil"/>
                    <w:tr2bl w:val="nil"/>
                  </w:tcBorders>
                  <w:vAlign w:val="center"/>
                </w:tcPr>
                <w:p w14:paraId="33A6CABF">
                  <w:pPr>
                    <w:pStyle w:val="32"/>
                    <w:rPr>
                      <w:szCs w:val="21"/>
                    </w:rPr>
                  </w:pPr>
                  <w:r>
                    <w:rPr>
                      <w:szCs w:val="21"/>
                    </w:rPr>
                    <w:t>钻探剥离</w:t>
                  </w:r>
                </w:p>
              </w:tc>
              <w:tc>
                <w:tcPr>
                  <w:tcW w:w="730" w:type="pct"/>
                  <w:tcBorders>
                    <w:tl2br w:val="nil"/>
                    <w:tr2bl w:val="nil"/>
                  </w:tcBorders>
                  <w:vAlign w:val="center"/>
                </w:tcPr>
                <w:p w14:paraId="20BCC978">
                  <w:pPr>
                    <w:pStyle w:val="32"/>
                    <w:rPr>
                      <w:szCs w:val="21"/>
                    </w:rPr>
                  </w:pPr>
                  <w:r>
                    <w:rPr>
                      <w:szCs w:val="21"/>
                    </w:rPr>
                    <w:t>85.8</w:t>
                  </w:r>
                </w:p>
              </w:tc>
              <w:tc>
                <w:tcPr>
                  <w:tcW w:w="730" w:type="pct"/>
                  <w:tcBorders>
                    <w:tl2br w:val="nil"/>
                    <w:tr2bl w:val="nil"/>
                  </w:tcBorders>
                  <w:vAlign w:val="center"/>
                </w:tcPr>
                <w:p w14:paraId="0589D065">
                  <w:pPr>
                    <w:pStyle w:val="32"/>
                    <w:rPr>
                      <w:szCs w:val="21"/>
                    </w:rPr>
                  </w:pPr>
                  <w:r>
                    <w:rPr>
                      <w:szCs w:val="21"/>
                    </w:rPr>
                    <w:t>85.8</w:t>
                  </w:r>
                </w:p>
              </w:tc>
              <w:tc>
                <w:tcPr>
                  <w:tcW w:w="541" w:type="pct"/>
                  <w:tcBorders>
                    <w:tl2br w:val="nil"/>
                    <w:tr2bl w:val="nil"/>
                  </w:tcBorders>
                  <w:vAlign w:val="center"/>
                </w:tcPr>
                <w:p w14:paraId="130C7754">
                  <w:pPr>
                    <w:pStyle w:val="32"/>
                    <w:rPr>
                      <w:kern w:val="0"/>
                      <w:szCs w:val="21"/>
                    </w:rPr>
                  </w:pPr>
                  <w:r>
                    <w:rPr>
                      <w:szCs w:val="21"/>
                    </w:rPr>
                    <w:t>0</w:t>
                  </w:r>
                </w:p>
              </w:tc>
              <w:tc>
                <w:tcPr>
                  <w:tcW w:w="2280" w:type="pct"/>
                  <w:tcBorders>
                    <w:tl2br w:val="nil"/>
                    <w:tr2bl w:val="nil"/>
                  </w:tcBorders>
                  <w:vAlign w:val="center"/>
                </w:tcPr>
                <w:p w14:paraId="604A93AD">
                  <w:pPr>
                    <w:pStyle w:val="32"/>
                    <w:jc w:val="both"/>
                    <w:rPr>
                      <w:rFonts w:ascii="Segoe UI" w:hAnsi="Segoe UI" w:cs="Segoe UI"/>
                      <w:color w:val="0F1115"/>
                      <w:szCs w:val="21"/>
                      <w:shd w:val="clear" w:color="auto" w:fill="FFFFFF"/>
                    </w:rPr>
                  </w:pPr>
                  <w:r>
                    <w:rPr>
                      <w:rFonts w:hint="eastAsia"/>
                      <w:szCs w:val="21"/>
                    </w:rPr>
                    <w:t>施工结束后用于场地植被恢复覆土</w:t>
                  </w:r>
                </w:p>
              </w:tc>
            </w:tr>
            <w:tr w14:paraId="7B7D2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4" w:hRule="atLeast"/>
                <w:tblHeader/>
                <w:jc w:val="center"/>
              </w:trPr>
              <w:tc>
                <w:tcPr>
                  <w:tcW w:w="720" w:type="pct"/>
                  <w:tcBorders>
                    <w:tl2br w:val="nil"/>
                    <w:tr2bl w:val="nil"/>
                  </w:tcBorders>
                  <w:vAlign w:val="center"/>
                </w:tcPr>
                <w:p w14:paraId="0179012E">
                  <w:pPr>
                    <w:pStyle w:val="32"/>
                    <w:rPr>
                      <w:szCs w:val="21"/>
                    </w:rPr>
                  </w:pPr>
                  <w:r>
                    <w:rPr>
                      <w:rFonts w:hint="eastAsia"/>
                      <w:szCs w:val="21"/>
                    </w:rPr>
                    <w:t>探槽</w:t>
                  </w:r>
                </w:p>
              </w:tc>
              <w:tc>
                <w:tcPr>
                  <w:tcW w:w="730" w:type="pct"/>
                  <w:tcBorders>
                    <w:tl2br w:val="nil"/>
                    <w:tr2bl w:val="nil"/>
                  </w:tcBorders>
                  <w:vAlign w:val="center"/>
                </w:tcPr>
                <w:p w14:paraId="1A2EE561">
                  <w:pPr>
                    <w:pStyle w:val="32"/>
                    <w:rPr>
                      <w:szCs w:val="21"/>
                    </w:rPr>
                  </w:pPr>
                  <w:r>
                    <w:rPr>
                      <w:szCs w:val="21"/>
                    </w:rPr>
                    <w:t>5200</w:t>
                  </w:r>
                </w:p>
              </w:tc>
              <w:tc>
                <w:tcPr>
                  <w:tcW w:w="730" w:type="pct"/>
                  <w:tcBorders>
                    <w:tl2br w:val="nil"/>
                    <w:tr2bl w:val="nil"/>
                  </w:tcBorders>
                  <w:vAlign w:val="center"/>
                </w:tcPr>
                <w:p w14:paraId="14227F67">
                  <w:pPr>
                    <w:pStyle w:val="32"/>
                    <w:rPr>
                      <w:color w:val="000000" w:themeColor="text1"/>
                      <w:szCs w:val="21"/>
                      <w14:textFill>
                        <w14:solidFill>
                          <w14:schemeClr w14:val="tx1"/>
                        </w14:solidFill>
                      </w14:textFill>
                    </w:rPr>
                  </w:pPr>
                  <w:r>
                    <w:rPr>
                      <w:szCs w:val="21"/>
                    </w:rPr>
                    <w:t>5196.1</w:t>
                  </w:r>
                </w:p>
              </w:tc>
              <w:tc>
                <w:tcPr>
                  <w:tcW w:w="541" w:type="pct"/>
                  <w:tcBorders>
                    <w:tl2br w:val="nil"/>
                    <w:tr2bl w:val="nil"/>
                  </w:tcBorders>
                  <w:vAlign w:val="center"/>
                </w:tcPr>
                <w:p w14:paraId="2908A6E7">
                  <w:pPr>
                    <w:pStyle w:val="32"/>
                    <w:rPr>
                      <w:color w:val="000000" w:themeColor="text1"/>
                      <w:szCs w:val="21"/>
                      <w14:textFill>
                        <w14:solidFill>
                          <w14:schemeClr w14:val="tx1"/>
                        </w14:solidFill>
                      </w14:textFill>
                    </w:rPr>
                  </w:pPr>
                  <w:r>
                    <w:rPr>
                      <w:rFonts w:hint="eastAsia"/>
                      <w:szCs w:val="21"/>
                    </w:rPr>
                    <w:t>3</w:t>
                  </w:r>
                  <w:r>
                    <w:rPr>
                      <w:szCs w:val="21"/>
                    </w:rPr>
                    <w:t>.9</w:t>
                  </w:r>
                </w:p>
              </w:tc>
              <w:tc>
                <w:tcPr>
                  <w:tcW w:w="2280" w:type="pct"/>
                  <w:tcBorders>
                    <w:tl2br w:val="nil"/>
                    <w:tr2bl w:val="nil"/>
                  </w:tcBorders>
                  <w:vAlign w:val="center"/>
                </w:tcPr>
                <w:p w14:paraId="4BF7C63E">
                  <w:pPr>
                    <w:pStyle w:val="32"/>
                    <w:jc w:val="both"/>
                    <w:rPr>
                      <w:szCs w:val="21"/>
                    </w:rPr>
                  </w:pPr>
                  <w:r>
                    <w:rPr>
                      <w:rFonts w:hint="eastAsia"/>
                      <w:szCs w:val="21"/>
                    </w:rPr>
                    <w:t>取样岩粉约3</w:t>
                  </w:r>
                  <w:r>
                    <w:rPr>
                      <w:szCs w:val="21"/>
                    </w:rPr>
                    <w:t>.9</w:t>
                  </w:r>
                  <w:r>
                    <w:rPr>
                      <w:rFonts w:hint="eastAsia"/>
                      <w:szCs w:val="21"/>
                    </w:rPr>
                    <w:t>m³送实验室分析，其余就近回填槽沟、平整恢复原地貌</w:t>
                  </w:r>
                </w:p>
              </w:tc>
            </w:tr>
            <w:tr w14:paraId="4B534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2" w:hRule="atLeast"/>
                <w:tblHeader/>
                <w:jc w:val="center"/>
              </w:trPr>
              <w:tc>
                <w:tcPr>
                  <w:tcW w:w="720" w:type="pct"/>
                  <w:tcBorders>
                    <w:tl2br w:val="nil"/>
                    <w:tr2bl w:val="nil"/>
                  </w:tcBorders>
                  <w:vAlign w:val="center"/>
                </w:tcPr>
                <w:p w14:paraId="50DB21A4">
                  <w:pPr>
                    <w:pStyle w:val="32"/>
                    <w:rPr>
                      <w:szCs w:val="21"/>
                    </w:rPr>
                  </w:pPr>
                  <w:r>
                    <w:rPr>
                      <w:rFonts w:hint="eastAsia"/>
                      <w:szCs w:val="21"/>
                    </w:rPr>
                    <w:t>坑探</w:t>
                  </w:r>
                </w:p>
              </w:tc>
              <w:tc>
                <w:tcPr>
                  <w:tcW w:w="730" w:type="pct"/>
                  <w:tcBorders>
                    <w:tl2br w:val="nil"/>
                    <w:tr2bl w:val="nil"/>
                  </w:tcBorders>
                  <w:vAlign w:val="center"/>
                </w:tcPr>
                <w:p w14:paraId="01A67CEE">
                  <w:pPr>
                    <w:pStyle w:val="32"/>
                    <w:rPr>
                      <w:szCs w:val="21"/>
                    </w:rPr>
                  </w:pPr>
                  <w:r>
                    <w:rPr>
                      <w:szCs w:val="21"/>
                    </w:rPr>
                    <w:t>29080.128</w:t>
                  </w:r>
                </w:p>
              </w:tc>
              <w:tc>
                <w:tcPr>
                  <w:tcW w:w="730" w:type="pct"/>
                  <w:tcBorders>
                    <w:tl2br w:val="nil"/>
                    <w:tr2bl w:val="nil"/>
                  </w:tcBorders>
                  <w:vAlign w:val="center"/>
                </w:tcPr>
                <w:p w14:paraId="6B135C99">
                  <w:pPr>
                    <w:pStyle w:val="32"/>
                    <w:rPr>
                      <w:szCs w:val="21"/>
                    </w:rPr>
                  </w:pPr>
                  <w:r>
                    <w:rPr>
                      <w:szCs w:val="21"/>
                    </w:rPr>
                    <w:t>29080.128</w:t>
                  </w:r>
                </w:p>
              </w:tc>
              <w:tc>
                <w:tcPr>
                  <w:tcW w:w="541" w:type="pct"/>
                  <w:tcBorders>
                    <w:tl2br w:val="nil"/>
                    <w:tr2bl w:val="nil"/>
                  </w:tcBorders>
                  <w:vAlign w:val="center"/>
                </w:tcPr>
                <w:p w14:paraId="4A635550">
                  <w:pPr>
                    <w:pStyle w:val="32"/>
                    <w:rPr>
                      <w:szCs w:val="21"/>
                    </w:rPr>
                  </w:pPr>
                  <w:r>
                    <w:rPr>
                      <w:rFonts w:hint="eastAsia"/>
                      <w:szCs w:val="21"/>
                    </w:rPr>
                    <w:t>0</w:t>
                  </w:r>
                </w:p>
              </w:tc>
              <w:tc>
                <w:tcPr>
                  <w:tcW w:w="2280" w:type="pct"/>
                  <w:tcBorders>
                    <w:tl2br w:val="nil"/>
                    <w:tr2bl w:val="nil"/>
                  </w:tcBorders>
                  <w:vAlign w:val="center"/>
                </w:tcPr>
                <w:p w14:paraId="5FCCB547">
                  <w:pPr>
                    <w:pStyle w:val="32"/>
                    <w:jc w:val="both"/>
                    <w:rPr>
                      <w:szCs w:val="21"/>
                    </w:rPr>
                  </w:pPr>
                  <w:r>
                    <w:rPr>
                      <w:rFonts w:hint="eastAsia"/>
                    </w:rPr>
                    <w:t>部分用于硐口段回填封堵，其余用于场地平整及低洼处填垫</w:t>
                  </w:r>
                </w:p>
              </w:tc>
            </w:tr>
            <w:tr w14:paraId="6C677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atLeast"/>
                <w:tblHeader/>
                <w:jc w:val="center"/>
              </w:trPr>
              <w:tc>
                <w:tcPr>
                  <w:tcW w:w="720" w:type="pct"/>
                  <w:tcBorders>
                    <w:tl2br w:val="nil"/>
                    <w:tr2bl w:val="nil"/>
                  </w:tcBorders>
                  <w:vAlign w:val="center"/>
                </w:tcPr>
                <w:p w14:paraId="529703C5">
                  <w:pPr>
                    <w:pStyle w:val="32"/>
                    <w:rPr>
                      <w:szCs w:val="21"/>
                    </w:rPr>
                  </w:pPr>
                  <w:r>
                    <w:rPr>
                      <w:szCs w:val="21"/>
                    </w:rPr>
                    <w:t>合计</w:t>
                  </w:r>
                </w:p>
              </w:tc>
              <w:tc>
                <w:tcPr>
                  <w:tcW w:w="730" w:type="pct"/>
                  <w:tcBorders>
                    <w:tl2br w:val="nil"/>
                    <w:tr2bl w:val="nil"/>
                  </w:tcBorders>
                  <w:vAlign w:val="center"/>
                </w:tcPr>
                <w:p w14:paraId="067886E5">
                  <w:pPr>
                    <w:pStyle w:val="32"/>
                    <w:rPr>
                      <w:szCs w:val="21"/>
                    </w:rPr>
                  </w:pPr>
                  <w:r>
                    <w:rPr>
                      <w:rFonts w:hint="eastAsia"/>
                      <w:szCs w:val="21"/>
                    </w:rPr>
                    <w:t>3</w:t>
                  </w:r>
                  <w:r>
                    <w:rPr>
                      <w:szCs w:val="21"/>
                    </w:rPr>
                    <w:t>4416.098</w:t>
                  </w:r>
                </w:p>
              </w:tc>
              <w:tc>
                <w:tcPr>
                  <w:tcW w:w="730" w:type="pct"/>
                  <w:tcBorders>
                    <w:tl2br w:val="nil"/>
                    <w:tr2bl w:val="nil"/>
                  </w:tcBorders>
                  <w:vAlign w:val="center"/>
                </w:tcPr>
                <w:p w14:paraId="58DBA900">
                  <w:pPr>
                    <w:pStyle w:val="32"/>
                    <w:rPr>
                      <w:szCs w:val="21"/>
                    </w:rPr>
                  </w:pPr>
                  <w:r>
                    <w:rPr>
                      <w:szCs w:val="21"/>
                    </w:rPr>
                    <w:t>34366.588</w:t>
                  </w:r>
                </w:p>
              </w:tc>
              <w:tc>
                <w:tcPr>
                  <w:tcW w:w="541" w:type="pct"/>
                  <w:tcBorders>
                    <w:tl2br w:val="nil"/>
                    <w:tr2bl w:val="nil"/>
                  </w:tcBorders>
                  <w:vAlign w:val="center"/>
                </w:tcPr>
                <w:p w14:paraId="6055B83D">
                  <w:pPr>
                    <w:pStyle w:val="32"/>
                    <w:rPr>
                      <w:szCs w:val="21"/>
                    </w:rPr>
                  </w:pPr>
                  <w:r>
                    <w:rPr>
                      <w:szCs w:val="21"/>
                    </w:rPr>
                    <w:t>49.51</w:t>
                  </w:r>
                </w:p>
              </w:tc>
              <w:tc>
                <w:tcPr>
                  <w:tcW w:w="2280" w:type="pct"/>
                  <w:tcBorders>
                    <w:tl2br w:val="nil"/>
                    <w:tr2bl w:val="nil"/>
                  </w:tcBorders>
                  <w:vAlign w:val="center"/>
                </w:tcPr>
                <w:p w14:paraId="5389E6C8">
                  <w:pPr>
                    <w:pStyle w:val="32"/>
                    <w:rPr>
                      <w:szCs w:val="21"/>
                    </w:rPr>
                  </w:pPr>
                  <w:r>
                    <w:rPr>
                      <w:szCs w:val="21"/>
                    </w:rPr>
                    <w:t>/</w:t>
                  </w:r>
                </w:p>
              </w:tc>
            </w:tr>
            <w:bookmarkEnd w:id="6"/>
          </w:tbl>
          <w:p w14:paraId="57A83A62">
            <w:pPr>
              <w:pStyle w:val="19"/>
            </w:pPr>
            <w:r>
              <w:t>2.9</w:t>
            </w:r>
            <w:r>
              <w:rPr>
                <w:rFonts w:hint="eastAsia"/>
              </w:rPr>
              <w:t>工作制度和职工人数</w:t>
            </w:r>
          </w:p>
          <w:p w14:paraId="6BD49718">
            <w:r>
              <w:rPr>
                <w:rFonts w:hint="eastAsia"/>
              </w:rPr>
              <w:t>本项目探矿权有效期为5年，其中主体野外施工期为24个月（每年有效作业天数180天，每天工作8小时），剩余时间用于室内资料整理及报告编制，不涉及野外施工作业。受冬季冻土期、雨季及大风天气等因素影响，每年有效作业天数按180天计。项目劳动定员为16人。</w:t>
            </w:r>
          </w:p>
        </w:tc>
      </w:tr>
      <w:tr w14:paraId="5624C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60" w:type="pct"/>
            <w:vAlign w:val="center"/>
          </w:tcPr>
          <w:p w14:paraId="28E007F1">
            <w:pPr>
              <w:pStyle w:val="32"/>
            </w:pPr>
            <w:r>
              <w:rPr>
                <w:rFonts w:hint="eastAsia"/>
                <w:sz w:val="24"/>
                <w:szCs w:val="28"/>
              </w:rPr>
              <w:t>总平面及现场布置</w:t>
            </w:r>
          </w:p>
        </w:tc>
        <w:tc>
          <w:tcPr>
            <w:tcW w:w="4740" w:type="pct"/>
          </w:tcPr>
          <w:p w14:paraId="74137A33">
            <w:pPr>
              <w:ind w:firstLine="0" w:firstLineChars="0"/>
              <w:rPr>
                <w:b/>
                <w:bCs/>
              </w:rPr>
            </w:pPr>
            <w:r>
              <w:rPr>
                <w:b/>
                <w:bCs/>
              </w:rPr>
              <w:t>2.10</w:t>
            </w:r>
            <w:r>
              <w:rPr>
                <w:rFonts w:hint="eastAsia"/>
                <w:b/>
                <w:bCs/>
              </w:rPr>
              <w:t>工程总体布局</w:t>
            </w:r>
          </w:p>
          <w:p w14:paraId="359D610C">
            <w:r>
              <w:rPr>
                <w:rFonts w:hint="eastAsia"/>
              </w:rPr>
              <w:t>本项目施工布置遵循“尽量减少土地占用和植被破坏”的原则，所有施工活动均严格控制在勘查作业区内。施工人员较少，生活驻地采用临时帐篷，随工程进度在勘查作业区内就近搭设，不设永久性建筑。</w:t>
            </w:r>
          </w:p>
          <w:p w14:paraId="71A0E18C">
            <w:r>
              <w:rPr>
                <w:rFonts w:hint="eastAsia"/>
              </w:rPr>
              <w:t>修建简易道路4条，长约16.703km，宽约5m。在钻探、槽探施工点附近设置临时堆场，用于堆放剥离的表土和开挖土石方。</w:t>
            </w:r>
            <w:r>
              <w:rPr>
                <w:rFonts w:hint="eastAsia"/>
                <w:color w:val="000000"/>
                <w:shd w:val="clear" w:color="auto" w:fill="FFFFFF"/>
              </w:rPr>
              <w:t>坑探工程产生的废石在硐口临时周转后，部分用于硐口段回填封堵，其余用于场地平整及低洼处填垫。</w:t>
            </w:r>
            <w:r>
              <w:rPr>
                <w:rFonts w:hint="eastAsia"/>
              </w:rPr>
              <w:t>堆场选址于地势平坦、植被稀疏处，堆放期间采取防雨水冲刷措施，施工结束后将表土回填、平整场地，恢复原貌。</w:t>
            </w:r>
          </w:p>
          <w:p w14:paraId="43F9B00B">
            <w:r>
              <w:rPr>
                <w:rFonts w:hint="eastAsia"/>
              </w:rPr>
              <w:t>本项目施工用水由水车从附近城镇拉运至</w:t>
            </w:r>
            <w:r>
              <w:rPr>
                <w:rFonts w:hint="eastAsia"/>
                <w:color w:val="000000"/>
              </w:rPr>
              <w:t>勘查</w:t>
            </w:r>
            <w:r>
              <w:rPr>
                <w:rFonts w:hint="eastAsia"/>
              </w:rPr>
              <w:t>区；工作人员生活用水为自带的纯净水，不从地表水体取水，且不设永久供水设施。在勘查区内设置柴油发电机供电，发电机周围设置隔音围挡，以防止噪声扩散。</w:t>
            </w:r>
          </w:p>
          <w:p w14:paraId="5CE37D52">
            <w:r>
              <w:rPr>
                <w:rFonts w:hint="eastAsia"/>
              </w:rPr>
              <w:t>在勘查区设置柴油临时存放点一处，柴油分期从哈尔莫敦镇购买，采用200L铁皮油桶（高0.93m，直径0.58m）装运至存放点堆放。存放点地面铺设防渗膜进行防渗处理，并采取防雨、防晒措施，油桶按规范分类摆放，周围设置警示标志，配备灭火器等消防器材，确保存放安全。</w:t>
            </w:r>
          </w:p>
          <w:p w14:paraId="1E4B9F23">
            <w:r>
              <w:rPr>
                <w:rFonts w:hint="eastAsia"/>
              </w:rPr>
              <w:t>施工区域不涉及自然保护区、风景名胜区、饮用水源地等敏感区，且无珍稀保护动植物分布。施工过程中采取临时遮盖、洒水降尘等抑尘措施，施工结束后全面清理场地并恢复植被。</w:t>
            </w:r>
          </w:p>
        </w:tc>
      </w:tr>
      <w:tr w14:paraId="1AD755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60" w:type="pct"/>
            <w:vAlign w:val="center"/>
          </w:tcPr>
          <w:p w14:paraId="5D07FF47">
            <w:pPr>
              <w:pStyle w:val="32"/>
            </w:pPr>
            <w:r>
              <w:rPr>
                <w:rFonts w:hint="eastAsia"/>
                <w:sz w:val="24"/>
                <w:szCs w:val="28"/>
              </w:rPr>
              <w:t>施工方案</w:t>
            </w:r>
          </w:p>
        </w:tc>
        <w:tc>
          <w:tcPr>
            <w:tcW w:w="4740" w:type="pct"/>
          </w:tcPr>
          <w:p w14:paraId="16D924D5">
            <w:pPr>
              <w:ind w:firstLine="0" w:firstLineChars="0"/>
              <w:rPr>
                <w:b/>
                <w:bCs/>
              </w:rPr>
            </w:pPr>
            <w:r>
              <w:rPr>
                <w:rFonts w:hint="eastAsia"/>
                <w:b/>
                <w:bCs/>
              </w:rPr>
              <w:t>2</w:t>
            </w:r>
            <w:r>
              <w:rPr>
                <w:b/>
                <w:bCs/>
              </w:rPr>
              <w:t>.11</w:t>
            </w:r>
            <w:r>
              <w:rPr>
                <w:rFonts w:hint="eastAsia"/>
                <w:b/>
                <w:bCs/>
              </w:rPr>
              <w:t>施工工艺</w:t>
            </w:r>
          </w:p>
          <w:p w14:paraId="2366B149">
            <w:r>
              <w:rPr>
                <w:rFonts w:hint="eastAsia"/>
              </w:rPr>
              <w:t>本项目环境影响主要发生在野外勘探施工期。探矿工作主要包括地质测量、槽探、钻探及坑探。工程实施过程中污染主要来自钻探、槽探、坑探施工产生的扬尘，机械设备及坑探爆破产生的噪声，施工产生的钻屑、废渣等固体废物，以及工作人员产生的生活污水和生活垃圾。本次评价对象为矿产资源勘探期间可能产生的“三废”污染、生态破坏及水土流失对环境的影响。</w:t>
            </w:r>
          </w:p>
          <w:p w14:paraId="35ABEFF2">
            <w:pPr>
              <w:ind w:firstLine="0" w:firstLineChars="0"/>
              <w:rPr>
                <w:b/>
                <w:bCs/>
              </w:rPr>
            </w:pPr>
            <w:r>
              <w:rPr>
                <w:b/>
                <w:bCs/>
              </w:rPr>
              <w:t>2.11.1</w:t>
            </w:r>
            <w:r>
              <w:rPr>
                <w:rFonts w:hint="eastAsia"/>
                <w:b/>
                <w:bCs/>
              </w:rPr>
              <w:t>钻探施工工艺及产污流程</w:t>
            </w:r>
          </w:p>
          <w:p w14:paraId="2020FA1F">
            <w:pPr>
              <w:pStyle w:val="7"/>
              <w:ind w:firstLine="480"/>
              <w:jc w:val="both"/>
            </w:pPr>
            <w:r>
              <w:rPr>
                <w:rFonts w:hint="eastAsia"/>
              </w:rPr>
              <w:t>钻探是用钻机按一定设计角度和方向施工钻孔，通过钻孔采取岩芯（或矿芯）、岩屑，以探查地下岩层、矿体等分布及储量的一种探矿手段，在研究和分析相邻工程所见的地质体、构造、蚀变、矿化的空间分布的基础上，选择地表矿化较好的矿体进行深部验证钻探验证。</w:t>
            </w:r>
          </w:p>
          <w:p w14:paraId="2C283D9F">
            <w:pPr>
              <w:pStyle w:val="7"/>
              <w:ind w:firstLine="480"/>
              <w:jc w:val="both"/>
            </w:pPr>
            <w:r>
              <w:rPr>
                <w:rFonts w:hint="eastAsia"/>
              </w:rPr>
              <w:t>钻孔全部采用终孔直径75mm的金刚石绳索取心钻进工艺。岩心采取率不低于80%，矿心采取率不低于90%。岩矿心取出后，按自上而下顺序依次排好，及时装箱编号。孔斜测量及孔深验证应在钻进过程中按规范要求分次进行，不得仅在终孔时一次性完成，测量结果应及时填入相应记录表格</w:t>
            </w:r>
            <w:r>
              <w:rPr>
                <w:rFonts w:ascii="宋体" w:hAnsi="宋体" w:cs="宋体"/>
              </w:rPr>
              <w:t>。</w:t>
            </w:r>
          </w:p>
          <w:p w14:paraId="1ED0C5BF">
            <w:pPr>
              <w:ind w:firstLine="0" w:firstLineChars="0"/>
              <w:jc w:val="center"/>
            </w:pPr>
            <w:r>
              <w:drawing>
                <wp:inline distT="0" distB="0" distL="0" distR="0">
                  <wp:extent cx="4881880" cy="1815465"/>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886796" cy="1817301"/>
                          </a:xfrm>
                          <a:prstGeom prst="rect">
                            <a:avLst/>
                          </a:prstGeom>
                          <a:noFill/>
                          <a:ln>
                            <a:noFill/>
                          </a:ln>
                        </pic:spPr>
                      </pic:pic>
                    </a:graphicData>
                  </a:graphic>
                </wp:inline>
              </w:drawing>
            </w:r>
          </w:p>
          <w:p w14:paraId="4A3EE0B7">
            <w:pPr>
              <w:pStyle w:val="34"/>
              <w:spacing w:before="156"/>
              <w:rPr>
                <w:rFonts w:ascii="Times New Roman" w:hAnsi="Times New Roman"/>
              </w:rPr>
            </w:pPr>
            <w:r>
              <w:rPr>
                <w:rFonts w:ascii="Times New Roman" w:hAnsi="Times New Roman"/>
              </w:rPr>
              <w:t>图2-2  钻探</w:t>
            </w:r>
            <w:r>
              <w:rPr>
                <w:rFonts w:hint="eastAsia" w:ascii="Times New Roman" w:hAnsi="Times New Roman"/>
              </w:rPr>
              <w:t>施工</w:t>
            </w:r>
            <w:r>
              <w:rPr>
                <w:rFonts w:ascii="Times New Roman" w:hAnsi="Times New Roman"/>
              </w:rPr>
              <w:t>工艺流程及产污环节图</w:t>
            </w:r>
          </w:p>
          <w:p w14:paraId="693FAC63">
            <w:r>
              <w:rPr>
                <w:rFonts w:hint="eastAsia"/>
              </w:rPr>
              <w:t>工艺说明：</w:t>
            </w:r>
          </w:p>
          <w:p w14:paraId="4AC53EFC">
            <w:r>
              <w:rPr>
                <w:rFonts w:hint="eastAsia"/>
              </w:rPr>
              <w:t>（1）钻探</w:t>
            </w:r>
            <w:r>
              <w:rPr>
                <w:color w:val="000000"/>
              </w:rPr>
              <w:t>目的任务</w:t>
            </w:r>
          </w:p>
          <w:p w14:paraId="0C0E2E67">
            <w:r>
              <w:rPr>
                <w:rFonts w:hint="eastAsia"/>
              </w:rPr>
              <w:t>本次暂布置</w:t>
            </w:r>
            <w:r>
              <w:t>7378</w:t>
            </w:r>
            <w:r>
              <w:rPr>
                <w:rFonts w:hint="eastAsia"/>
              </w:rPr>
              <w:t>m钻探工作量。根据由表及里、由浅入深，在矿体上盘方向，贴近矿体露头，由近及远的原则逐渐施工。按照《实施方案》及设计图纸等资料，确定钻孔位置。</w:t>
            </w:r>
          </w:p>
          <w:p w14:paraId="1716EBA1">
            <w:r>
              <w:rPr>
                <w:rFonts w:hint="eastAsia"/>
              </w:rPr>
              <w:t>（2）</w:t>
            </w:r>
            <w:r>
              <w:t>表土剥离</w:t>
            </w:r>
          </w:p>
          <w:p w14:paraId="655A3A88">
            <w:r>
              <w:t>本项目</w:t>
            </w:r>
            <w:r>
              <w:rPr>
                <w:rFonts w:hint="eastAsia"/>
              </w:rPr>
              <w:t>钻探</w:t>
            </w:r>
            <w:r>
              <w:t>总</w:t>
            </w:r>
            <w:r>
              <w:rPr>
                <w:rFonts w:hint="eastAsia"/>
              </w:rPr>
              <w:t>工作</w:t>
            </w:r>
            <w:r>
              <w:t>量为7378m，</w:t>
            </w:r>
            <w:r>
              <w:rPr>
                <w:rFonts w:hint="eastAsia"/>
              </w:rPr>
              <w:t>钻孔终孔直径不小于75mm，</w:t>
            </w:r>
            <w:r>
              <w:t>岩心产生的土方量为32.6m</w:t>
            </w:r>
            <w:r>
              <w:rPr>
                <w:vertAlign w:val="superscript"/>
              </w:rPr>
              <w:t>3</w:t>
            </w:r>
            <w:r>
              <w:rPr>
                <w:rFonts w:hint="eastAsia"/>
              </w:rPr>
              <w:t>（</w:t>
            </w:r>
            <w:r>
              <w:t>V=πr</w:t>
            </w:r>
            <w:r>
              <w:rPr>
                <w:vertAlign w:val="superscript"/>
              </w:rPr>
              <w:t>2</w:t>
            </w:r>
            <w:r>
              <w:t>×h</w:t>
            </w:r>
            <w:r>
              <w:rPr>
                <w:rFonts w:hint="eastAsia"/>
              </w:rPr>
              <w:t>）</w:t>
            </w:r>
            <w:r>
              <w:t>，全部带回实验室分析</w:t>
            </w:r>
            <w:r>
              <w:rPr>
                <w:rFonts w:hint="eastAsia"/>
              </w:rPr>
              <w:t>。</w:t>
            </w:r>
            <w:r>
              <w:t>按每孔周边需剥离面积</w:t>
            </w:r>
            <w:r>
              <w:rPr>
                <w:rFonts w:hint="eastAsia"/>
              </w:rPr>
              <w:t>15</w:t>
            </w:r>
            <w:r>
              <w:t>m</w:t>
            </w:r>
            <w:r>
              <w:rPr>
                <w:vertAlign w:val="superscript"/>
              </w:rPr>
              <w:t>2</w:t>
            </w:r>
            <w:r>
              <w:t>计算，</w:t>
            </w:r>
            <w:r>
              <w:rPr>
                <w:rFonts w:hint="eastAsia"/>
              </w:rPr>
              <w:t>本次评价按</w:t>
            </w:r>
            <w:r>
              <w:t>22</w:t>
            </w:r>
            <w:r>
              <w:rPr>
                <w:rFonts w:hint="eastAsia"/>
              </w:rPr>
              <w:t>个钻孔计，</w:t>
            </w:r>
            <w:r>
              <w:t>共计需剥离330m</w:t>
            </w:r>
            <w:r>
              <w:rPr>
                <w:vertAlign w:val="superscript"/>
              </w:rPr>
              <w:t>2</w:t>
            </w:r>
            <w:r>
              <w:t>，剥离厚度按20cm计算，每孔需剥离</w:t>
            </w:r>
            <w:r>
              <w:rPr>
                <w:rFonts w:hint="eastAsia"/>
              </w:rPr>
              <w:t>3</w:t>
            </w:r>
            <w:r>
              <w:t>m</w:t>
            </w:r>
            <w:r>
              <w:rPr>
                <w:vertAlign w:val="superscript"/>
              </w:rPr>
              <w:t>3</w:t>
            </w:r>
            <w:r>
              <w:t>，共需要堆放约66m</w:t>
            </w:r>
            <w:r>
              <w:rPr>
                <w:vertAlign w:val="superscript"/>
              </w:rPr>
              <w:t>3</w:t>
            </w:r>
            <w:r>
              <w:rPr>
                <w:rFonts w:hint="eastAsia"/>
              </w:rPr>
              <w:t>（</w:t>
            </w:r>
            <w:r>
              <w:t>松散系数k=1.3</w:t>
            </w:r>
            <w:r>
              <w:rPr>
                <w:rFonts w:hint="eastAsia"/>
              </w:rPr>
              <w:t>，</w:t>
            </w:r>
            <w:r>
              <w:t>剥离松</w:t>
            </w:r>
            <w:r>
              <w:rPr>
                <w:rFonts w:hint="eastAsia"/>
              </w:rPr>
              <w:t>散</w:t>
            </w:r>
            <w:r>
              <w:t>方85.8m</w:t>
            </w:r>
            <w:r>
              <w:rPr>
                <w:vertAlign w:val="superscript"/>
              </w:rPr>
              <w:t>3</w:t>
            </w:r>
            <w:r>
              <w:rPr>
                <w:rFonts w:hint="eastAsia"/>
              </w:rPr>
              <w:t>）</w:t>
            </w:r>
            <w:r>
              <w:t>。</w:t>
            </w:r>
          </w:p>
          <w:p w14:paraId="51845257">
            <w:r>
              <w:t>（3）钻孔施工</w:t>
            </w:r>
          </w:p>
          <w:p w14:paraId="5C57B2C3">
            <w:r>
              <w:rPr>
                <w:rFonts w:hint="eastAsia"/>
              </w:rPr>
              <w:t>钻机</w:t>
            </w:r>
            <w:r>
              <w:t>运至施工地点，剥离周边表土后即可架机开孔。钻孔设备均采用性能良好的设备，孔身采用多层套管结构，</w:t>
            </w:r>
            <w:r>
              <w:rPr>
                <w:rFonts w:hint="eastAsia"/>
              </w:rPr>
              <w:t>钻孔终孔直径不小于75mm</w:t>
            </w:r>
            <w:r>
              <w:t>。钻孔严格按设计要求和有关规范施工，采用金刚石钻进，采用斜孔（倾角48°～90°）对矿体进行深部控制。根据钻探规范要求，斜孔每50m校正一次孔深，允许误差率小于1‰，开钻后25m及此后每钻进50m用钢尺丈量钻具一次，确保孔深误差率满足规范要求。岩芯采取率不低于80%，回次合格率100%。在钻孔附近设置沉淀池（做防渗处理），泥浆废水经沉淀后循环使用，沉淀池内泥浆固化后按规范处置，不得外排。施工结束后对泥浆池清理掩埋，钻探平台覆土复绿。</w:t>
            </w:r>
          </w:p>
          <w:p w14:paraId="2B71D6E8">
            <w:pPr>
              <w:pStyle w:val="46"/>
              <w:numPr>
                <w:ilvl w:val="0"/>
                <w:numId w:val="2"/>
              </w:numPr>
              <w:ind w:firstLineChars="0"/>
            </w:pPr>
            <w:r>
              <w:rPr>
                <w:rFonts w:hint="eastAsia"/>
              </w:rPr>
              <w:t>编录、取样</w:t>
            </w:r>
          </w:p>
          <w:p w14:paraId="494E439E">
            <w:r>
              <w:rPr>
                <w:rFonts w:hint="eastAsia"/>
              </w:rPr>
              <w:t>原始现场的编录由机台各班指定记录员编录和保管，记录员必须认真反映生产情况，及时填写，内容详细，数字准确清晰、整洁，报表填写一律用钢笔现场填写。按有关规定填写岩芯标签、对岩芯和岩芯箱编号，岩芯牌一律用中性笔填写，岩芯箱用红色油漆和毛笔编写，对一些特殊易碎的矿化岩石（如蚀变带）需用塑料布包好放于岩芯箱中，岩芯长大于5cm应编号，编号要字迹清楚，防止脱落。岩芯标签、岩芯编号记录应与班报表记录一致，不得错编、漏编。</w:t>
            </w:r>
          </w:p>
          <w:p w14:paraId="5A84ED39">
            <w:r>
              <w:rPr>
                <w:rFonts w:hint="eastAsia"/>
              </w:rPr>
              <w:t>地质编录取样前，施工人员必须对岩芯妥善保管好，钻进中取出的岩矿芯应由当班人员清洗，剔除掉块等杂物，严格依次装箱，编号，不得出现岩芯丢失、颠倒混乱错位、任意拉长的现象。岩芯在现场保管因管理不慎缺失及翻箱，也为原始编录不合格。按地质要求妥善保管好岩心，运送到指定的岩心存放地点。</w:t>
            </w:r>
          </w:p>
          <w:p w14:paraId="388D81F8">
            <w:r>
              <w:rPr>
                <w:rFonts w:hint="eastAsia"/>
              </w:rPr>
              <w:t>（5）封孔</w:t>
            </w:r>
          </w:p>
          <w:p w14:paraId="27BFCDE7">
            <w:r>
              <w:rPr>
                <w:rFonts w:hint="eastAsia"/>
              </w:rPr>
              <w:t>终孔时，地质人员，按地质、水文共同研究的封孔要求填写在封孔通知书上交与机台，机台按有关要求封孔，将封孔实际情况填写登记表中，各级人员签名后及时交给地质编录人员，终孔后要严格封孔并做好封孔记录。要求封孔水泥柱进入基岩的长度不应小于5m；矿体所在部位（或主要含水层，含水构造、破碎带顶、底板）、矿体顶板以上5m、底板以下5m均应用325号以上水泥封孔，水灰比要符合有关要求，如矿层不厚或矿层与矿层、矿层与含水层距离比较近时，可一并封孔。其它稳定地段用浓泥浆封孔，各层间以木桩架桥。</w:t>
            </w:r>
          </w:p>
          <w:p w14:paraId="044AE359">
            <w:r>
              <w:rPr>
                <w:rFonts w:hint="eastAsia"/>
              </w:rPr>
              <w:t>封孔时不应从孔口一次性倒入水泥，应用水泵注入水泥浆，从下往上依次封孔。凡使用泥浆钻进的钻孔，应在洗涮封孔部位的泥皮后，再行封孔。钻孔终孔后应起拔井口管，并在孔口中心处设立埋深不小于5m的水泥标志桩（标志桩要高出地面50cm），并标明钻孔编号、孔深、施工日期等。钻探技术要求按行业标准</w:t>
            </w:r>
            <w:r>
              <w:t>DZ/T0227—2010</w:t>
            </w:r>
            <w:r>
              <w:rPr>
                <w:rFonts w:hint="eastAsia"/>
              </w:rPr>
              <w:t>《地质岩心钻探规程》、DZ/T0032-92《地质勘查钻探岩矿心管理通则》及《关于钻探工程质量标准的暂行规定》执行。</w:t>
            </w:r>
          </w:p>
          <w:p w14:paraId="48008B4C">
            <w:r>
              <w:rPr>
                <w:rFonts w:hint="eastAsia"/>
              </w:rPr>
              <w:t>（6）生态恢复</w:t>
            </w:r>
          </w:p>
          <w:p w14:paraId="57ECC4C4">
            <w:r>
              <w:rPr>
                <w:rFonts w:hint="eastAsia"/>
              </w:rPr>
              <w:t>对场地生态恢复措施落实情况进行监督管理；在勘探期满前落实闭坑计划的编制情况；严格按照土地复垦要求，对</w:t>
            </w:r>
            <w:r>
              <w:rPr>
                <w:rFonts w:hint="eastAsia"/>
                <w:color w:val="000000"/>
              </w:rPr>
              <w:t>勘查</w:t>
            </w:r>
            <w:r>
              <w:rPr>
                <w:rFonts w:hint="eastAsia"/>
              </w:rPr>
              <w:t>区复垦情况进行监督管理。</w:t>
            </w:r>
          </w:p>
          <w:p w14:paraId="31456B18">
            <w:pPr>
              <w:ind w:firstLine="0" w:firstLineChars="0"/>
              <w:rPr>
                <w:b/>
                <w:bCs/>
              </w:rPr>
            </w:pPr>
            <w:r>
              <w:rPr>
                <w:b/>
                <w:bCs/>
              </w:rPr>
              <w:t>2.11.2</w:t>
            </w:r>
            <w:r>
              <w:rPr>
                <w:rFonts w:hint="eastAsia"/>
                <w:b/>
                <w:bCs/>
              </w:rPr>
              <w:t>槽探施工工艺及产污流程</w:t>
            </w:r>
          </w:p>
          <w:p w14:paraId="4F2A5408">
            <w:r>
              <w:rPr>
                <w:rFonts w:hint="eastAsia"/>
              </w:rPr>
              <w:t>槽探工程</w:t>
            </w:r>
            <w:r>
              <w:t>主要用于揭露地表矿体、矿化蚀变带，以控制矿体厚度、品位变化情况及发现新矿体。探槽布设原则为垂直并贯穿矿（化）体、主要蚀变带及重要地质体，长度以能控制矿体、矿化体出露宽度为原则。探槽断面呈倒梯形，槽底宽不小于0.6m，深度不大于3m，槽壁需见新鲜基岩0.3m。重点工作区设计工作量3000m³（含机动800m³），一般工作区设计工作量1000m³，槽探总工作量4000m³。</w:t>
            </w:r>
          </w:p>
          <w:p w14:paraId="25E6885B">
            <w:pPr>
              <w:ind w:firstLine="0" w:firstLineChars="0"/>
              <w:jc w:val="center"/>
            </w:pPr>
            <w:r>
              <w:drawing>
                <wp:inline distT="0" distB="0" distL="0" distR="0">
                  <wp:extent cx="4841875" cy="1397000"/>
                  <wp:effectExtent l="19050" t="19050" r="15875"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tretch>
                            <a:fillRect/>
                          </a:stretch>
                        </pic:blipFill>
                        <pic:spPr>
                          <a:xfrm>
                            <a:off x="0" y="0"/>
                            <a:ext cx="4853870" cy="1400762"/>
                          </a:xfrm>
                          <a:prstGeom prst="rect">
                            <a:avLst/>
                          </a:prstGeom>
                          <a:ln>
                            <a:solidFill>
                              <a:schemeClr val="tx1"/>
                            </a:solidFill>
                          </a:ln>
                        </pic:spPr>
                      </pic:pic>
                    </a:graphicData>
                  </a:graphic>
                </wp:inline>
              </w:drawing>
            </w:r>
          </w:p>
          <w:p w14:paraId="1809CF8C">
            <w:pPr>
              <w:ind w:firstLine="0" w:firstLineChars="0"/>
              <w:jc w:val="center"/>
              <w:rPr>
                <w:rFonts w:ascii="宋体" w:hAnsi="宋体"/>
              </w:rPr>
            </w:pPr>
            <w:r>
              <w:rPr>
                <w:rFonts w:hint="eastAsia"/>
                <w:b/>
                <w:kern w:val="0"/>
                <w:sz w:val="21"/>
                <w:szCs w:val="20"/>
              </w:rPr>
              <w:t>图</w:t>
            </w:r>
            <w:r>
              <w:rPr>
                <w:b/>
                <w:kern w:val="0"/>
                <w:sz w:val="21"/>
                <w:szCs w:val="20"/>
              </w:rPr>
              <w:t xml:space="preserve">2-3  </w:t>
            </w:r>
            <w:r>
              <w:rPr>
                <w:rFonts w:hint="eastAsia"/>
                <w:b/>
                <w:kern w:val="0"/>
                <w:sz w:val="21"/>
                <w:szCs w:val="20"/>
              </w:rPr>
              <w:t>槽探施工工艺流程及产污环节图</w:t>
            </w:r>
          </w:p>
          <w:p w14:paraId="4B6BE216">
            <w:pPr>
              <w:ind w:firstLine="0" w:firstLineChars="0"/>
            </w:pPr>
            <w:r>
              <w:rPr>
                <w:b/>
                <w:bCs/>
              </w:rPr>
              <w:t>2.11.3</w:t>
            </w:r>
            <w:r>
              <w:rPr>
                <w:rFonts w:hint="eastAsia"/>
                <w:b/>
                <w:bCs/>
              </w:rPr>
              <w:t>坑探施工工艺及产污流程</w:t>
            </w:r>
          </w:p>
          <w:p w14:paraId="04CD30A0">
            <w:r>
              <w:t>在重点工作区中部针对K3矿体布设，施工沿脉及穿脉坑道，沿脉向西到达15号勘探线，向东到达16号勘探线，穿脉按160m及80m工程间距布设。平硐规格2.2m（宽）×2.4m（高），硐底里高外低，坡降3‰，坑探总工作量3934m（含机动200m）。</w:t>
            </w:r>
          </w:p>
          <w:p w14:paraId="4ECF1A4E">
            <w:pPr>
              <w:ind w:firstLine="0" w:firstLineChars="0"/>
              <w:jc w:val="center"/>
              <w:rPr>
                <w:rFonts w:ascii="宋体" w:hAnsi="宋体"/>
              </w:rPr>
            </w:pPr>
            <w:r>
              <w:drawing>
                <wp:inline distT="0" distB="0" distL="0" distR="0">
                  <wp:extent cx="4735830" cy="949960"/>
                  <wp:effectExtent l="19050" t="19050" r="7620" b="215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4790060" cy="961357"/>
                          </a:xfrm>
                          <a:prstGeom prst="rect">
                            <a:avLst/>
                          </a:prstGeom>
                          <a:ln>
                            <a:solidFill>
                              <a:schemeClr val="tx1"/>
                            </a:solidFill>
                          </a:ln>
                        </pic:spPr>
                      </pic:pic>
                    </a:graphicData>
                  </a:graphic>
                </wp:inline>
              </w:drawing>
            </w:r>
          </w:p>
          <w:p w14:paraId="7A30F44E">
            <w:pPr>
              <w:ind w:firstLine="422"/>
              <w:jc w:val="center"/>
            </w:pPr>
            <w:r>
              <w:rPr>
                <w:rFonts w:hint="eastAsia"/>
                <w:b/>
                <w:kern w:val="0"/>
                <w:sz w:val="21"/>
                <w:szCs w:val="20"/>
              </w:rPr>
              <w:t>图</w:t>
            </w:r>
            <w:r>
              <w:rPr>
                <w:b/>
                <w:kern w:val="0"/>
                <w:sz w:val="21"/>
                <w:szCs w:val="20"/>
              </w:rPr>
              <w:t xml:space="preserve">2-4  </w:t>
            </w:r>
            <w:r>
              <w:rPr>
                <w:rFonts w:hint="eastAsia"/>
                <w:b/>
                <w:kern w:val="0"/>
                <w:sz w:val="21"/>
                <w:szCs w:val="20"/>
              </w:rPr>
              <w:t>坑探施工工艺流程及产污环节图</w:t>
            </w:r>
          </w:p>
          <w:p w14:paraId="43194999">
            <w:pPr>
              <w:ind w:firstLine="0" w:firstLineChars="0"/>
              <w:rPr>
                <w:b/>
                <w:bCs/>
              </w:rPr>
            </w:pPr>
            <w:r>
              <w:rPr>
                <w:b/>
                <w:bCs/>
              </w:rPr>
              <w:t>2.12</w:t>
            </w:r>
            <w:r>
              <w:rPr>
                <w:rFonts w:hint="eastAsia"/>
                <w:b/>
                <w:bCs/>
              </w:rPr>
              <w:t>施工时序</w:t>
            </w:r>
          </w:p>
          <w:p w14:paraId="3C2956C3">
            <w:r>
              <w:rPr>
                <w:rFonts w:hint="eastAsia"/>
              </w:rPr>
              <w:t>施工顺序为：施工放样→场地清理→探矿工程施工（钻探平台平整压实后钻进、槽探表土剥离后人工开挖、坑探硐口施工及硐内掘进）→编录采样→封孔/回填/硐口封堵→场地恢复。</w:t>
            </w:r>
          </w:p>
          <w:p w14:paraId="18F24B10">
            <w:pPr>
              <w:ind w:firstLine="0" w:firstLineChars="0"/>
              <w:rPr>
                <w:b/>
                <w:bCs/>
              </w:rPr>
            </w:pPr>
            <w:r>
              <w:rPr>
                <w:b/>
                <w:bCs/>
              </w:rPr>
              <w:t>2.13</w:t>
            </w:r>
            <w:r>
              <w:rPr>
                <w:rFonts w:hint="eastAsia"/>
                <w:b/>
                <w:bCs/>
              </w:rPr>
              <w:t>建设周期</w:t>
            </w:r>
          </w:p>
          <w:p w14:paraId="22365E96">
            <w:r>
              <w:t>年工作</w:t>
            </w:r>
            <w:r>
              <w:rPr>
                <w:rFonts w:hint="eastAsia"/>
              </w:rPr>
              <w:t>1</w:t>
            </w:r>
            <w:r>
              <w:t>80天，每天8小时</w:t>
            </w:r>
            <w:r>
              <w:rPr>
                <w:rFonts w:hint="eastAsia"/>
              </w:rPr>
              <w:t>，</w:t>
            </w:r>
            <w:r>
              <w:t>施工期劳动定员可达</w:t>
            </w:r>
            <w:r>
              <w:rPr>
                <w:rFonts w:hint="eastAsia"/>
              </w:rPr>
              <w:t>1</w:t>
            </w:r>
            <w:r>
              <w:t>6人。</w:t>
            </w:r>
          </w:p>
        </w:tc>
      </w:tr>
      <w:tr w14:paraId="373ED4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260" w:type="pct"/>
            <w:vAlign w:val="center"/>
          </w:tcPr>
          <w:p w14:paraId="51FF3FCA">
            <w:pPr>
              <w:pStyle w:val="32"/>
            </w:pPr>
            <w:r>
              <w:rPr>
                <w:rFonts w:hint="eastAsia"/>
                <w:sz w:val="24"/>
                <w:szCs w:val="28"/>
              </w:rPr>
              <w:t>其他</w:t>
            </w:r>
          </w:p>
        </w:tc>
        <w:tc>
          <w:tcPr>
            <w:tcW w:w="4740" w:type="pct"/>
            <w:vAlign w:val="center"/>
          </w:tcPr>
          <w:p w14:paraId="483F1614">
            <w:pPr>
              <w:jc w:val="center"/>
            </w:pPr>
            <w:r>
              <w:rPr>
                <w:rFonts w:hint="eastAsia"/>
              </w:rPr>
              <w:t>无</w:t>
            </w:r>
          </w:p>
        </w:tc>
      </w:tr>
    </w:tbl>
    <w:p w14:paraId="005BFDA8">
      <w:pPr>
        <w:sectPr>
          <w:footerReference r:id="rId11" w:type="default"/>
          <w:pgSz w:w="11906" w:h="16838"/>
          <w:pgMar w:top="1440" w:right="1800" w:bottom="1440" w:left="1800" w:header="851" w:footer="992" w:gutter="0"/>
          <w:pgNumType w:start="1"/>
          <w:cols w:space="425" w:num="1"/>
          <w:docGrid w:type="lines" w:linePitch="312" w:charSpace="0"/>
        </w:sectPr>
      </w:pPr>
    </w:p>
    <w:p w14:paraId="641ED472">
      <w:pPr>
        <w:pStyle w:val="2"/>
      </w:pPr>
      <w:r>
        <w:rPr>
          <w:rFonts w:hint="eastAsia"/>
        </w:rPr>
        <w:t>三、生态环境现状、保护目标及评价标准</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066"/>
      </w:tblGrid>
      <w:tr w14:paraId="2F5C6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51" w:type="pct"/>
            <w:vAlign w:val="center"/>
          </w:tcPr>
          <w:p w14:paraId="0DC8FF06">
            <w:pPr>
              <w:pStyle w:val="32"/>
              <w:rPr>
                <w:sz w:val="24"/>
                <w:szCs w:val="28"/>
              </w:rPr>
            </w:pPr>
            <w:r>
              <w:rPr>
                <w:rFonts w:hint="eastAsia"/>
                <w:sz w:val="24"/>
                <w:szCs w:val="28"/>
              </w:rPr>
              <w:t>生态</w:t>
            </w:r>
          </w:p>
          <w:p w14:paraId="72EC305D">
            <w:pPr>
              <w:pStyle w:val="32"/>
              <w:rPr>
                <w:sz w:val="24"/>
                <w:szCs w:val="28"/>
              </w:rPr>
            </w:pPr>
            <w:r>
              <w:rPr>
                <w:rFonts w:hint="eastAsia"/>
                <w:sz w:val="24"/>
                <w:szCs w:val="28"/>
              </w:rPr>
              <w:t>环境</w:t>
            </w:r>
          </w:p>
          <w:p w14:paraId="6A085FE9">
            <w:pPr>
              <w:pStyle w:val="32"/>
            </w:pPr>
            <w:r>
              <w:rPr>
                <w:rFonts w:hint="eastAsia"/>
                <w:sz w:val="24"/>
                <w:szCs w:val="28"/>
              </w:rPr>
              <w:t>现状</w:t>
            </w:r>
          </w:p>
        </w:tc>
        <w:tc>
          <w:tcPr>
            <w:tcW w:w="4749" w:type="pct"/>
            <w:vAlign w:val="center"/>
          </w:tcPr>
          <w:p w14:paraId="5E545EDC">
            <w:pPr>
              <w:pStyle w:val="19"/>
            </w:pPr>
            <w:r>
              <w:t>3.1</w:t>
            </w:r>
            <w:r>
              <w:rPr>
                <w:rFonts w:hint="eastAsia"/>
              </w:rPr>
              <w:t>与主体功能规划相符性</w:t>
            </w:r>
          </w:p>
          <w:p w14:paraId="65C8095E">
            <w:r>
              <w:t>根据《新疆维吾尔自治区主体功能区规划》，新疆主体功能区按开发方式，分为重点开发区域、限制开发区域和禁止开发区域；按开发内容，分为城市化地区、农产品主产区和重点生态功能区三类；按层级，分为国家和自治区级两个层面。</w:t>
            </w:r>
          </w:p>
          <w:p w14:paraId="461C471F">
            <w:pPr>
              <w:rPr>
                <w:highlight w:val="yellow"/>
              </w:rPr>
            </w:pPr>
            <w:r>
              <w:t>项目区位于</w:t>
            </w:r>
            <w:r>
              <w:rPr>
                <w:rFonts w:hint="eastAsia"/>
              </w:rPr>
              <w:t>和静县察汗乌苏北方向约</w:t>
            </w:r>
            <w:r>
              <w:t>359.4</w:t>
            </w:r>
            <w:r>
              <w:rPr>
                <w:rFonts w:hint="eastAsia"/>
              </w:rPr>
              <w:t>°直距约</w:t>
            </w:r>
            <w:r>
              <w:t>6.422</w:t>
            </w:r>
            <w:r>
              <w:rPr>
                <w:rFonts w:hint="eastAsia"/>
              </w:rPr>
              <w:t>千米处</w:t>
            </w:r>
            <w:r>
              <w:t>，行政区划隶属新疆和静县管辖</w:t>
            </w:r>
            <w:r>
              <w:rPr>
                <w:lang w:val="zh-CN"/>
              </w:rPr>
              <w:t>。</w:t>
            </w:r>
            <w:r>
              <w:t>不属于主体功能区划中确定的国家和自治区层面的禁止开发区域。</w:t>
            </w:r>
          </w:p>
          <w:p w14:paraId="45E14049">
            <w:pPr>
              <w:pStyle w:val="19"/>
            </w:pPr>
            <w:r>
              <w:t>3.2</w:t>
            </w:r>
            <w:r>
              <w:rPr>
                <w:rFonts w:hint="eastAsia"/>
              </w:rPr>
              <w:t>生态环境现状调查</w:t>
            </w:r>
          </w:p>
          <w:p w14:paraId="6D6C0A0E">
            <w:pPr>
              <w:pStyle w:val="19"/>
            </w:pPr>
            <w:r>
              <w:t>3.2.1</w:t>
            </w:r>
            <w:r>
              <w:rPr>
                <w:rFonts w:hint="eastAsia"/>
              </w:rPr>
              <w:t>生态功能区划</w:t>
            </w:r>
          </w:p>
          <w:p w14:paraId="64CABD9C">
            <w:r>
              <w:t>根据《新疆生态功能区划》，本项目评价区域属于</w:t>
            </w:r>
            <w:r>
              <w:fldChar w:fldCharType="begin"/>
            </w:r>
            <w:r>
              <w:instrText xml:space="preserve"> </w:instrText>
            </w:r>
            <w:r>
              <w:rPr>
                <w:rFonts w:hint="eastAsia"/>
              </w:rPr>
              <w:instrText xml:space="preserve">= 3 \* ROMAN</w:instrText>
            </w:r>
            <w:r>
              <w:instrText xml:space="preserve"> </w:instrText>
            </w:r>
            <w:r>
              <w:fldChar w:fldCharType="separate"/>
            </w:r>
            <w:r>
              <w:t>III</w:t>
            </w:r>
            <w:r>
              <w:fldChar w:fldCharType="end"/>
            </w:r>
            <w:r>
              <w:t>3</w:t>
            </w:r>
            <w:r>
              <w:rPr>
                <w:rFonts w:hint="eastAsia"/>
              </w:rPr>
              <w:t>天山南坡草原牧业、绿洲农业生态亚区-42．托木尔峰和天山南坡中段冰雪水源及生物多样性保护生态功能区</w:t>
            </w:r>
            <w:r>
              <w:t>。具体见表3-1。</w:t>
            </w:r>
          </w:p>
          <w:p w14:paraId="50D8F3B2">
            <w:pPr>
              <w:pStyle w:val="34"/>
              <w:spacing w:before="156"/>
              <w:rPr>
                <w:rFonts w:ascii="Times New Roman" w:hAnsi="Times New Roman"/>
              </w:rPr>
            </w:pPr>
            <w:r>
              <w:rPr>
                <w:rFonts w:ascii="Times New Roman" w:hAnsi="Times New Roman"/>
              </w:rPr>
              <w:t>表3-1  生态功能区划及主要环境问题和保护目标</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71"/>
              <w:gridCol w:w="1139"/>
              <w:gridCol w:w="1131"/>
              <w:gridCol w:w="1145"/>
              <w:gridCol w:w="1244"/>
              <w:gridCol w:w="890"/>
              <w:gridCol w:w="1000"/>
            </w:tblGrid>
            <w:tr w14:paraId="26E4F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1" w:hRule="atLeast"/>
              </w:trPr>
              <w:tc>
                <w:tcPr>
                  <w:tcW w:w="813" w:type="pct"/>
                  <w:shd w:val="clear" w:color="auto" w:fill="auto"/>
                  <w:vAlign w:val="center"/>
                </w:tcPr>
                <w:p w14:paraId="2E09CE54">
                  <w:pPr>
                    <w:pStyle w:val="32"/>
                  </w:pPr>
                  <w:r>
                    <w:t>生态功能区名称</w:t>
                  </w:r>
                </w:p>
              </w:tc>
              <w:tc>
                <w:tcPr>
                  <w:tcW w:w="728" w:type="pct"/>
                  <w:shd w:val="clear" w:color="auto" w:fill="auto"/>
                  <w:vAlign w:val="center"/>
                </w:tcPr>
                <w:p w14:paraId="493D3E1D">
                  <w:pPr>
                    <w:pStyle w:val="32"/>
                  </w:pPr>
                  <w:r>
                    <w:t>主要生态服务功能</w:t>
                  </w:r>
                </w:p>
              </w:tc>
              <w:tc>
                <w:tcPr>
                  <w:tcW w:w="723" w:type="pct"/>
                  <w:shd w:val="clear" w:color="auto" w:fill="auto"/>
                  <w:vAlign w:val="center"/>
                </w:tcPr>
                <w:p w14:paraId="4D84B0F5">
                  <w:pPr>
                    <w:pStyle w:val="32"/>
                  </w:pPr>
                  <w:r>
                    <w:t>主要生态环境问题</w:t>
                  </w:r>
                </w:p>
              </w:tc>
              <w:tc>
                <w:tcPr>
                  <w:tcW w:w="732" w:type="pct"/>
                  <w:shd w:val="clear" w:color="auto" w:fill="auto"/>
                  <w:vAlign w:val="center"/>
                </w:tcPr>
                <w:p w14:paraId="76857959">
                  <w:pPr>
                    <w:pStyle w:val="32"/>
                  </w:pPr>
                  <w:r>
                    <w:t>生态敏感因子敏感程度</w:t>
                  </w:r>
                </w:p>
              </w:tc>
              <w:tc>
                <w:tcPr>
                  <w:tcW w:w="795" w:type="pct"/>
                  <w:shd w:val="clear" w:color="auto" w:fill="auto"/>
                  <w:vAlign w:val="center"/>
                </w:tcPr>
                <w:p w14:paraId="798D3D12">
                  <w:pPr>
                    <w:pStyle w:val="32"/>
                  </w:pPr>
                  <w:r>
                    <w:t>保护目标</w:t>
                  </w:r>
                </w:p>
              </w:tc>
              <w:tc>
                <w:tcPr>
                  <w:tcW w:w="569" w:type="pct"/>
                  <w:shd w:val="clear" w:color="auto" w:fill="auto"/>
                  <w:vAlign w:val="center"/>
                </w:tcPr>
                <w:p w14:paraId="3A6CD18D">
                  <w:pPr>
                    <w:pStyle w:val="32"/>
                  </w:pPr>
                  <w:r>
                    <w:t>保护措施</w:t>
                  </w:r>
                </w:p>
              </w:tc>
              <w:tc>
                <w:tcPr>
                  <w:tcW w:w="639" w:type="pct"/>
                  <w:shd w:val="clear" w:color="auto" w:fill="auto"/>
                  <w:vAlign w:val="center"/>
                </w:tcPr>
                <w:p w14:paraId="7BAFEB5B">
                  <w:pPr>
                    <w:pStyle w:val="32"/>
                  </w:pPr>
                  <w:r>
                    <w:t>发展方向</w:t>
                  </w:r>
                </w:p>
              </w:tc>
            </w:tr>
            <w:tr w14:paraId="5962A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56" w:hRule="atLeast"/>
              </w:trPr>
              <w:tc>
                <w:tcPr>
                  <w:tcW w:w="813" w:type="pct"/>
                  <w:shd w:val="clear" w:color="auto" w:fill="auto"/>
                  <w:vAlign w:val="center"/>
                </w:tcPr>
                <w:p w14:paraId="394FC4C7">
                  <w:pPr>
                    <w:pStyle w:val="32"/>
                  </w:pPr>
                  <w:r>
                    <w:rPr>
                      <w:rFonts w:hint="eastAsia"/>
                    </w:rPr>
                    <w:t>42．托木尔峰和天山南坡中段冰雪水源及生物多样性保护生态功能区</w:t>
                  </w:r>
                </w:p>
              </w:tc>
              <w:tc>
                <w:tcPr>
                  <w:tcW w:w="728" w:type="pct"/>
                  <w:shd w:val="clear" w:color="auto" w:fill="auto"/>
                  <w:vAlign w:val="center"/>
                </w:tcPr>
                <w:p w14:paraId="443CCC93">
                  <w:pPr>
                    <w:pStyle w:val="32"/>
                  </w:pPr>
                  <w:r>
                    <w:rPr>
                      <w:rFonts w:hint="eastAsia"/>
                    </w:rPr>
                    <w:t>水源补给、生物多样性维护、土壤保持</w:t>
                  </w:r>
                </w:p>
              </w:tc>
              <w:tc>
                <w:tcPr>
                  <w:tcW w:w="723" w:type="pct"/>
                  <w:shd w:val="clear" w:color="auto" w:fill="auto"/>
                  <w:vAlign w:val="center"/>
                </w:tcPr>
                <w:p w14:paraId="6B810BC6">
                  <w:pPr>
                    <w:pStyle w:val="32"/>
                  </w:pPr>
                  <w:r>
                    <w:rPr>
                      <w:rFonts w:hint="eastAsia"/>
                    </w:rPr>
                    <w:t>水土流失、野生动物减少、土壤侵蚀、森林破坏</w:t>
                  </w:r>
                </w:p>
              </w:tc>
              <w:tc>
                <w:tcPr>
                  <w:tcW w:w="732" w:type="pct"/>
                  <w:shd w:val="clear" w:color="auto" w:fill="auto"/>
                  <w:vAlign w:val="center"/>
                </w:tcPr>
                <w:p w14:paraId="50ADAC1B">
                  <w:pPr>
                    <w:pStyle w:val="32"/>
                  </w:pPr>
                  <w:r>
                    <w:rPr>
                      <w:rFonts w:hint="eastAsia"/>
                    </w:rPr>
                    <w:t>生物多样性及其生境极度敏感，土壤侵蚀轻度敏感</w:t>
                  </w:r>
                </w:p>
              </w:tc>
              <w:tc>
                <w:tcPr>
                  <w:tcW w:w="795" w:type="pct"/>
                  <w:shd w:val="clear" w:color="auto" w:fill="auto"/>
                  <w:vAlign w:val="center"/>
                </w:tcPr>
                <w:p w14:paraId="31B06758">
                  <w:pPr>
                    <w:pStyle w:val="32"/>
                  </w:pPr>
                  <w:r>
                    <w:rPr>
                      <w:rFonts w:hint="eastAsia"/>
                    </w:rPr>
                    <w:t>保护托木尔峰自然景观、保护高山冰川、保护野生动物、保护森林和草原</w:t>
                  </w:r>
                </w:p>
              </w:tc>
              <w:tc>
                <w:tcPr>
                  <w:tcW w:w="569" w:type="pct"/>
                  <w:shd w:val="clear" w:color="auto" w:fill="auto"/>
                  <w:vAlign w:val="center"/>
                </w:tcPr>
                <w:p w14:paraId="57796526">
                  <w:pPr>
                    <w:pStyle w:val="32"/>
                  </w:pPr>
                  <w:r>
                    <w:rPr>
                      <w:rFonts w:hint="eastAsia"/>
                    </w:rPr>
                    <w:t>草地减牧、森林禁伐、禁猎、加强保护区管理</w:t>
                  </w:r>
                </w:p>
              </w:tc>
              <w:tc>
                <w:tcPr>
                  <w:tcW w:w="639" w:type="pct"/>
                  <w:shd w:val="clear" w:color="auto" w:fill="auto"/>
                  <w:vAlign w:val="center"/>
                </w:tcPr>
                <w:p w14:paraId="672A35E6">
                  <w:pPr>
                    <w:pStyle w:val="32"/>
                  </w:pPr>
                  <w:r>
                    <w:rPr>
                      <w:rFonts w:hint="eastAsia"/>
                    </w:rPr>
                    <w:t>合理利用天然草地，维护自然景观和生物多样性</w:t>
                  </w:r>
                </w:p>
              </w:tc>
            </w:tr>
          </w:tbl>
          <w:p w14:paraId="381DC144">
            <w:pPr>
              <w:ind w:firstLine="0" w:firstLineChars="0"/>
              <w:rPr>
                <w:b/>
                <w:bCs/>
                <w:color w:val="0F1115"/>
                <w:shd w:val="clear" w:color="auto" w:fill="FFFFFF"/>
              </w:rPr>
            </w:pPr>
            <w:r>
              <w:rPr>
                <w:b/>
                <w:bCs/>
                <w:color w:val="0F1115"/>
                <w:shd w:val="clear" w:color="auto" w:fill="FFFFFF"/>
              </w:rPr>
              <w:t>3.2.2</w:t>
            </w:r>
            <w:r>
              <w:rPr>
                <w:rFonts w:hint="eastAsia"/>
                <w:b/>
                <w:bCs/>
                <w:color w:val="0F1115"/>
                <w:shd w:val="clear" w:color="auto" w:fill="FFFFFF"/>
              </w:rPr>
              <w:t>土地利用现状调查</w:t>
            </w:r>
          </w:p>
          <w:p w14:paraId="688C2092">
            <w:pPr>
              <w:rPr>
                <w:b/>
                <w:bCs/>
                <w:color w:val="000000"/>
              </w:rPr>
            </w:pPr>
            <w:r>
              <w:rPr>
                <w:rFonts w:hint="eastAsia"/>
                <w:color w:val="0F1115"/>
                <w:shd w:val="clear" w:color="auto" w:fill="FFFFFF"/>
              </w:rPr>
              <w:t>根据自然资源局出具的选址意见复函，本项目临时用地情况如下：道路工程用地长度16.703km，均宽5m；槽探35处；钻探22处；生活区2处。临时用地合计面积9.8337hm²（147.5</w:t>
            </w:r>
            <w:r>
              <w:rPr>
                <w:color w:val="0F1115"/>
                <w:shd w:val="clear" w:color="auto" w:fill="FFFFFF"/>
              </w:rPr>
              <w:t>055</w:t>
            </w:r>
            <w:r>
              <w:rPr>
                <w:rFonts w:hint="eastAsia"/>
                <w:color w:val="0F1115"/>
                <w:shd w:val="clear" w:color="auto" w:fill="FFFFFF"/>
              </w:rPr>
              <w:t>亩）。土地权属均为国有，地类为天然牧草地、农村道路、裸岩石砾地。项目临时用地范围不涉及生态保护红线。</w:t>
            </w:r>
          </w:p>
          <w:p w14:paraId="62CA7D32">
            <w:pPr>
              <w:pStyle w:val="19"/>
            </w:pPr>
            <w:r>
              <w:rPr>
                <w:color w:val="0F1115"/>
                <w:shd w:val="clear" w:color="auto" w:fill="FFFFFF"/>
              </w:rPr>
              <w:t>3.2.3</w:t>
            </w:r>
            <w:r>
              <w:t>植被类型现状调查</w:t>
            </w:r>
          </w:p>
          <w:p w14:paraId="0D31C02F">
            <w:pPr>
              <w:rPr>
                <w:color w:val="000000"/>
                <w:kern w:val="0"/>
              </w:rPr>
            </w:pPr>
            <w:r>
              <w:rPr>
                <w:rFonts w:hint="eastAsia"/>
                <w:color w:val="000000"/>
                <w:kern w:val="0"/>
              </w:rPr>
              <w:t>工作区位于天山山脉中段南坡，地势南高北低，地形起伏较大，坡度较陡，山顶相对平缓，基岩出露较差，多被第四系草甸覆盖，植被发育良好，覆盖度介于60%～70%之间。</w:t>
            </w:r>
          </w:p>
          <w:p w14:paraId="48A67675">
            <w:pPr>
              <w:rPr>
                <w:color w:val="000000"/>
                <w:kern w:val="0"/>
              </w:rPr>
            </w:pPr>
            <w:r>
              <w:rPr>
                <w:rFonts w:hint="eastAsia"/>
                <w:color w:val="000000"/>
                <w:kern w:val="0"/>
              </w:rPr>
              <w:t>紫花针茅草原（</w:t>
            </w:r>
            <w:r>
              <w:rPr>
                <w:rFonts w:hint="eastAsia"/>
                <w:i/>
                <w:iCs/>
                <w:color w:val="000000"/>
                <w:kern w:val="0"/>
              </w:rPr>
              <w:t>Stipa purpurea</w:t>
            </w:r>
            <w:r>
              <w:rPr>
                <w:rFonts w:hint="eastAsia"/>
                <w:color w:val="000000"/>
                <w:kern w:val="0"/>
              </w:rPr>
              <w:t>），紫菀木（</w:t>
            </w:r>
            <w:r>
              <w:rPr>
                <w:rFonts w:hint="eastAsia"/>
                <w:i/>
                <w:iCs/>
                <w:color w:val="000000"/>
                <w:kern w:val="0"/>
              </w:rPr>
              <w:t>Asterothamnus alyssoides</w:t>
            </w:r>
            <w:r>
              <w:rPr>
                <w:rFonts w:hint="eastAsia"/>
                <w:color w:val="000000"/>
                <w:kern w:val="0"/>
              </w:rPr>
              <w:t>）、灌木亚菊（</w:t>
            </w:r>
            <w:r>
              <w:rPr>
                <w:rFonts w:hint="eastAsia"/>
                <w:i/>
                <w:iCs/>
                <w:color w:val="000000"/>
                <w:kern w:val="0"/>
              </w:rPr>
              <w:t>Ajania fruticulosa</w:t>
            </w:r>
            <w:r>
              <w:rPr>
                <w:rFonts w:hint="eastAsia"/>
                <w:color w:val="000000"/>
                <w:kern w:val="0"/>
              </w:rPr>
              <w:t>）、沙生针茅（</w:t>
            </w:r>
            <w:r>
              <w:rPr>
                <w:rFonts w:hint="eastAsia"/>
                <w:i/>
                <w:iCs/>
                <w:color w:val="000000"/>
                <w:kern w:val="0"/>
              </w:rPr>
              <w:t>Stipa glareosa</w:t>
            </w:r>
            <w:r>
              <w:rPr>
                <w:rFonts w:hint="eastAsia"/>
                <w:color w:val="000000"/>
                <w:kern w:val="0"/>
              </w:rPr>
              <w:t>）荒漠，并混生有少量适应荒漠环境的伴生植物</w:t>
            </w:r>
            <w:r>
              <w:rPr>
                <w:color w:val="000000"/>
                <w:kern w:val="0"/>
              </w:rPr>
              <w:t>。</w:t>
            </w:r>
          </w:p>
          <w:p w14:paraId="351B46DD">
            <w:r>
              <w:rPr>
                <w:rFonts w:hint="eastAsia"/>
                <w:color w:val="000000"/>
              </w:rPr>
              <w:t>这些植物共同构成了天山高寒—荒漠过渡带的典型原生植被群落，具有强耐旱、耐寒、耐贫瘠、抗风蚀等特点，是维持当地生态系统稳定的重要基础。经核实，上述物种均未列入《国家重点保护野生植物名录》（2021）和《新疆维吾尔自治区重点保护野生植物名录》（新政发〔2023〕63号），项目区用地不涉及国家及地方公益林，亦未占用耕地或基本农田保护区。综合判断，项目建设对区域植被生态影响较小。</w:t>
            </w:r>
            <w:r>
              <w:t>详见附图5</w:t>
            </w:r>
            <w:r>
              <w:rPr>
                <w:rFonts w:hint="eastAsia"/>
              </w:rPr>
              <w:t>《</w:t>
            </w:r>
            <w:r>
              <w:t>植物类型图</w:t>
            </w:r>
            <w:r>
              <w:rPr>
                <w:rFonts w:hint="eastAsia"/>
              </w:rPr>
              <w:t>》。</w:t>
            </w:r>
          </w:p>
          <w:p w14:paraId="727A5663">
            <w:pPr>
              <w:ind w:firstLine="0" w:firstLineChars="0"/>
              <w:rPr>
                <w:b/>
                <w:bCs/>
              </w:rPr>
            </w:pPr>
            <w:r>
              <w:rPr>
                <w:b/>
                <w:bCs/>
                <w:color w:val="0F1115"/>
                <w:shd w:val="clear" w:color="auto" w:fill="FFFFFF"/>
              </w:rPr>
              <w:t>3.2.4</w:t>
            </w:r>
            <w:r>
              <w:rPr>
                <w:rFonts w:hint="eastAsia"/>
                <w:b/>
                <w:bCs/>
              </w:rPr>
              <w:t>土壤类型</w:t>
            </w:r>
            <w:r>
              <w:rPr>
                <w:b/>
                <w:bCs/>
              </w:rPr>
              <w:t>现状调查</w:t>
            </w:r>
          </w:p>
          <w:p w14:paraId="5A510674">
            <w:r>
              <w:rPr>
                <w:rFonts w:hint="eastAsia"/>
              </w:rPr>
              <w:t>勘查区土壤类型主要包括亚高山草原土、栗钙土和棕钙土，以栗钙土和棕钙土为主，土壤分布具有明显的地带性分异特征。栗钙土区域土壤肥力较高，适宜牧草及灌丛生长；高山草甸土主要分布于高山带湿润缓坡及低洼地带，腐殖质层较厚，有机质含量较高，土壤生物活性较强。具体分布情况详见附图</w:t>
            </w:r>
            <w:r>
              <w:t>6</w:t>
            </w:r>
            <w:r>
              <w:rPr>
                <w:rFonts w:hint="eastAsia"/>
              </w:rPr>
              <w:t>《土壤类型图》。</w:t>
            </w:r>
          </w:p>
          <w:p w14:paraId="71717EF5">
            <w:pPr>
              <w:ind w:firstLine="0" w:firstLineChars="0"/>
              <w:rPr>
                <w:b/>
                <w:bCs/>
              </w:rPr>
            </w:pPr>
            <w:r>
              <w:rPr>
                <w:b/>
                <w:bCs/>
              </w:rPr>
              <w:t>3.</w:t>
            </w:r>
            <w:r>
              <w:rPr>
                <w:rFonts w:hint="eastAsia"/>
                <w:b/>
                <w:bCs/>
              </w:rPr>
              <w:t>2</w:t>
            </w:r>
            <w:r>
              <w:rPr>
                <w:b/>
                <w:bCs/>
              </w:rPr>
              <w:t>.5</w:t>
            </w:r>
            <w:r>
              <w:rPr>
                <w:rFonts w:hint="eastAsia"/>
                <w:b/>
                <w:bCs/>
              </w:rPr>
              <w:t>陆生</w:t>
            </w:r>
            <w:r>
              <w:rPr>
                <w:b/>
                <w:bCs/>
              </w:rPr>
              <w:t>动物现状调查</w:t>
            </w:r>
          </w:p>
          <w:p w14:paraId="2A206FA5">
            <w:r>
              <w:rPr>
                <w:rFonts w:hint="eastAsia"/>
              </w:rPr>
              <w:t>项目区及其周边区域生态环境较为简单，受历史及现状人类活动干扰，植被结构单一，生境承载力低，不适合大型野生动物栖息。现状调查显示，区内仅有一些常见的鸟类和鼠类，未观测到大型哺乳动物。经与《国家重点保护野生动物名录（2021年版）》和《新疆国家重点保护野生动物名录》（2021年7月28日发布）核对，项目评价范围内未发现列入上述名录的重点保护野生动物及其栖息地。</w:t>
            </w:r>
          </w:p>
          <w:p w14:paraId="3967E37C">
            <w:pPr>
              <w:ind w:firstLine="0" w:firstLineChars="0"/>
              <w:rPr>
                <w:b/>
                <w:bCs/>
              </w:rPr>
            </w:pPr>
            <w:r>
              <w:rPr>
                <w:b/>
                <w:bCs/>
              </w:rPr>
              <w:t>3.2.6</w:t>
            </w:r>
            <w:r>
              <w:rPr>
                <w:rFonts w:hint="eastAsia"/>
                <w:b/>
                <w:bCs/>
              </w:rPr>
              <w:t>水生</w:t>
            </w:r>
            <w:r>
              <w:rPr>
                <w:b/>
                <w:bCs/>
              </w:rPr>
              <w:t>动物现状调查</w:t>
            </w:r>
          </w:p>
          <w:p w14:paraId="618EDE04">
            <w:r>
              <w:rPr>
                <w:rFonts w:hint="eastAsia"/>
              </w:rPr>
              <w:t>根据现场调查及相关资料，芒奇提河评价河段内水生生物资源较为贫乏，未发现国家和省级重点保护鱼类，亦未发现鱼类产卵场、索饵场及越冬场集中分布，现有物种以泥鳅等广布性小型底栖鱼类为主；本项目施工作业不占用且不涉及河道水域，对水生生态影响较小。</w:t>
            </w:r>
          </w:p>
          <w:p w14:paraId="40E834B7">
            <w:pPr>
              <w:pStyle w:val="57"/>
              <w:spacing w:line="360" w:lineRule="auto"/>
              <w:jc w:val="both"/>
              <w:rPr>
                <w:rFonts w:eastAsia="宋体"/>
                <w:b/>
                <w:bCs/>
                <w:szCs w:val="24"/>
              </w:rPr>
            </w:pPr>
            <w:r>
              <w:rPr>
                <w:rFonts w:eastAsia="宋体"/>
                <w:b/>
                <w:bCs/>
                <w:szCs w:val="24"/>
              </w:rPr>
              <w:t>3.2.7水土流失</w:t>
            </w:r>
            <w:r>
              <w:rPr>
                <w:rFonts w:hint="eastAsia" w:eastAsia="宋体"/>
                <w:b/>
                <w:bCs/>
                <w:szCs w:val="24"/>
              </w:rPr>
              <w:t>现状调查</w:t>
            </w:r>
          </w:p>
          <w:p w14:paraId="273B3496">
            <w:r>
              <w:rPr>
                <w:rFonts w:hint="eastAsia"/>
              </w:rPr>
              <w:t>根据水利部办公厅《关于印发&lt;全国水土保持规划国家级水土流失重点预防区和重点治理区复核划分成果&gt;的通知》（办水保</w:t>
            </w:r>
            <w:r>
              <w:rPr>
                <w:rFonts w:hint="eastAsia" w:ascii="宋体" w:hAnsi="宋体" w:cs="宋体"/>
              </w:rPr>
              <w:t>〔</w:t>
            </w:r>
            <w:r>
              <w:t>2013</w:t>
            </w:r>
            <w:r>
              <w:rPr>
                <w:rFonts w:hint="eastAsia" w:ascii="宋体" w:hAnsi="宋体" w:cs="宋体"/>
              </w:rPr>
              <w:t>〕</w:t>
            </w:r>
            <w:r>
              <w:rPr>
                <w:rFonts w:hint="eastAsia"/>
              </w:rPr>
              <w:t>188号），本项目所在区域不属于国家级水土流失重点预防区和重点治理区；</w:t>
            </w:r>
            <w:r>
              <w:t>依据《新疆维吾尔自治区巴音郭楞蒙古自治州水土保持规划（2021-2030年）》</w:t>
            </w:r>
            <w:r>
              <w:rPr>
                <w:rFonts w:hint="eastAsia"/>
              </w:rPr>
              <w:t>、</w:t>
            </w:r>
            <w:r>
              <w:t>《关于印发</w:t>
            </w:r>
            <w:r>
              <w:rPr>
                <w:rFonts w:hint="eastAsia"/>
                <w:lang w:eastAsia="zh-CN"/>
              </w:rPr>
              <w:t>新疆维吾尔自治区</w:t>
            </w:r>
            <w:r>
              <w:t>级水土流失重点预防保护区和重点治理区复核划分成果的通知》（新水水保</w:t>
            </w:r>
            <w:r>
              <w:rPr>
                <w:rFonts w:hint="eastAsia"/>
              </w:rPr>
              <w:t>〔</w:t>
            </w:r>
            <w:r>
              <w:t>2019</w:t>
            </w:r>
            <w:r>
              <w:rPr>
                <w:rFonts w:hint="eastAsia"/>
              </w:rPr>
              <w:t>〕</w:t>
            </w:r>
            <w:r>
              <w:t>4号），项目</w:t>
            </w:r>
            <w:r>
              <w:rPr>
                <w:rFonts w:hint="eastAsia"/>
              </w:rPr>
              <w:t>所在区域属于自治区级水土流失重点预防区，即天山山区水土流失重点预防区</w:t>
            </w:r>
            <w:r>
              <w:t>。</w:t>
            </w:r>
            <w:r>
              <w:rPr>
                <w:rFonts w:hint="eastAsia"/>
              </w:rPr>
              <w:t>详见附图1</w:t>
            </w:r>
            <w:r>
              <w:t>3</w:t>
            </w:r>
            <w:r>
              <w:rPr>
                <w:rFonts w:hint="eastAsia"/>
              </w:rPr>
              <w:t>《水土流失重点预防区、重点治理区分布图》。</w:t>
            </w:r>
          </w:p>
          <w:p w14:paraId="255D2BBF">
            <w:pPr>
              <w:ind w:firstLine="0" w:firstLineChars="0"/>
              <w:rPr>
                <w:b/>
                <w:bCs/>
              </w:rPr>
            </w:pPr>
            <w:r>
              <w:rPr>
                <w:b/>
                <w:bCs/>
              </w:rPr>
              <w:t>3.2.8</w:t>
            </w:r>
            <w:r>
              <w:rPr>
                <w:rFonts w:hint="eastAsia"/>
                <w:b/>
                <w:bCs/>
              </w:rPr>
              <w:t>土地沙化现状调查</w:t>
            </w:r>
          </w:p>
          <w:p w14:paraId="0263FC48">
            <w:r>
              <w:t>根据《新疆第六次沙化土地监测报告》，结合新疆第六次沙化监测沙化土地分布图，项目区周围没有沙漠、沙化荒漠存在，并且不在国家沙化土地封禁保护区名单中，属于非沙化土地。详见附图</w:t>
            </w:r>
            <w:r>
              <w:rPr>
                <w:rFonts w:hint="eastAsia"/>
              </w:rPr>
              <w:t>8</w:t>
            </w:r>
            <w:r>
              <w:t>《项目区沙化土地现状图》。</w:t>
            </w:r>
          </w:p>
          <w:p w14:paraId="50D20AFB">
            <w:pPr>
              <w:pStyle w:val="19"/>
            </w:pPr>
            <w:r>
              <w:t>3.3</w:t>
            </w:r>
            <w:r>
              <w:rPr>
                <w:rFonts w:hint="eastAsia"/>
              </w:rPr>
              <w:t>环境空气质量评价</w:t>
            </w:r>
          </w:p>
          <w:p w14:paraId="24FC1B33">
            <w:pPr>
              <w:adjustRightInd w:val="0"/>
              <w:snapToGrid w:val="0"/>
              <w:rPr>
                <w:kern w:val="0"/>
              </w:rPr>
            </w:pPr>
            <w:r>
              <w:rPr>
                <w:bCs/>
                <w:kern w:val="0"/>
              </w:rPr>
              <w:t>根据《环境影响评价技术导则 大气环境》（HJ2.2-2018），大气常规因子可直接采用国家或地方生态环境主管部门公开发布的评价基准年环境质量公告或环境质量报告中的数据或结论。因此，本次评价采用和静县空气自动监测站2024年全年监测数据，作为基本污染物SO</w:t>
            </w:r>
            <w:r>
              <w:rPr>
                <w:bCs/>
                <w:kern w:val="0"/>
                <w:vertAlign w:val="subscript"/>
              </w:rPr>
              <w:t>2</w:t>
            </w:r>
            <w:r>
              <w:rPr>
                <w:bCs/>
                <w:kern w:val="0"/>
              </w:rPr>
              <w:t>、NO</w:t>
            </w:r>
            <w:r>
              <w:rPr>
                <w:bCs/>
                <w:kern w:val="0"/>
                <w:vertAlign w:val="subscript"/>
              </w:rPr>
              <w:t>2</w:t>
            </w:r>
            <w:r>
              <w:rPr>
                <w:bCs/>
                <w:kern w:val="0"/>
              </w:rPr>
              <w:t>、PM</w:t>
            </w:r>
            <w:r>
              <w:rPr>
                <w:bCs/>
                <w:kern w:val="0"/>
                <w:vertAlign w:val="subscript"/>
              </w:rPr>
              <w:t>10</w:t>
            </w:r>
            <w:r>
              <w:rPr>
                <w:bCs/>
                <w:kern w:val="0"/>
              </w:rPr>
              <w:t>、PM</w:t>
            </w:r>
            <w:r>
              <w:rPr>
                <w:bCs/>
                <w:kern w:val="0"/>
                <w:vertAlign w:val="subscript"/>
              </w:rPr>
              <w:t>2.5</w:t>
            </w:r>
            <w:r>
              <w:rPr>
                <w:bCs/>
                <w:kern w:val="0"/>
              </w:rPr>
              <w:t>、CO和O</w:t>
            </w:r>
            <w:r>
              <w:rPr>
                <w:bCs/>
                <w:kern w:val="0"/>
                <w:vertAlign w:val="subscript"/>
              </w:rPr>
              <w:t>3</w:t>
            </w:r>
            <w:r>
              <w:rPr>
                <w:bCs/>
                <w:kern w:val="0"/>
              </w:rPr>
              <w:t>的环境空气现状评价数据来源，是可行的。基本污染物环境空气质量现状见表3-2</w:t>
            </w:r>
            <w:r>
              <w:rPr>
                <w:rFonts w:hint="eastAsia"/>
                <w:kern w:val="0"/>
              </w:rPr>
              <w:t>。</w:t>
            </w:r>
          </w:p>
          <w:p w14:paraId="76AC401A">
            <w:pPr>
              <w:adjustRightInd w:val="0"/>
              <w:snapToGrid w:val="0"/>
              <w:spacing w:line="240" w:lineRule="auto"/>
              <w:ind w:firstLine="0" w:firstLineChars="0"/>
              <w:jc w:val="center"/>
              <w:rPr>
                <w:b/>
                <w:kern w:val="0"/>
                <w:sz w:val="21"/>
                <w:szCs w:val="21"/>
              </w:rPr>
            </w:pPr>
            <w:r>
              <w:rPr>
                <w:b/>
                <w:kern w:val="0"/>
                <w:sz w:val="21"/>
                <w:szCs w:val="21"/>
              </w:rPr>
              <w:t>表3-2  区域空气质量现状评价表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2272"/>
              <w:gridCol w:w="1228"/>
              <w:gridCol w:w="1379"/>
              <w:gridCol w:w="1106"/>
              <w:gridCol w:w="1021"/>
            </w:tblGrid>
            <w:tr w14:paraId="5C369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6" w:type="dxa"/>
                  <w:tcBorders>
                    <w:tl2br w:val="nil"/>
                    <w:tr2bl w:val="nil"/>
                  </w:tcBorders>
                  <w:vAlign w:val="center"/>
                </w:tcPr>
                <w:p w14:paraId="492417B6">
                  <w:pPr>
                    <w:adjustRightInd w:val="0"/>
                    <w:snapToGrid w:val="0"/>
                    <w:spacing w:line="240" w:lineRule="auto"/>
                    <w:ind w:firstLine="0" w:firstLineChars="0"/>
                    <w:jc w:val="center"/>
                    <w:rPr>
                      <w:bCs/>
                      <w:kern w:val="0"/>
                      <w:sz w:val="21"/>
                      <w:szCs w:val="21"/>
                    </w:rPr>
                  </w:pPr>
                  <w:r>
                    <w:rPr>
                      <w:bCs/>
                      <w:kern w:val="0"/>
                      <w:sz w:val="21"/>
                      <w:szCs w:val="21"/>
                    </w:rPr>
                    <w:t>评价因子</w:t>
                  </w:r>
                </w:p>
              </w:tc>
              <w:tc>
                <w:tcPr>
                  <w:tcW w:w="2219" w:type="dxa"/>
                  <w:tcBorders>
                    <w:tl2br w:val="nil"/>
                    <w:tr2bl w:val="nil"/>
                  </w:tcBorders>
                  <w:vAlign w:val="center"/>
                </w:tcPr>
                <w:p w14:paraId="08AE7B1C">
                  <w:pPr>
                    <w:adjustRightInd w:val="0"/>
                    <w:snapToGrid w:val="0"/>
                    <w:spacing w:line="240" w:lineRule="auto"/>
                    <w:ind w:firstLine="0" w:firstLineChars="0"/>
                    <w:jc w:val="center"/>
                    <w:rPr>
                      <w:bCs/>
                      <w:kern w:val="0"/>
                      <w:sz w:val="21"/>
                      <w:szCs w:val="21"/>
                    </w:rPr>
                  </w:pPr>
                  <w:r>
                    <w:rPr>
                      <w:rFonts w:hint="eastAsia"/>
                      <w:bCs/>
                      <w:kern w:val="0"/>
                      <w:sz w:val="21"/>
                      <w:szCs w:val="21"/>
                    </w:rPr>
                    <w:t>评价项目</w:t>
                  </w:r>
                </w:p>
              </w:tc>
              <w:tc>
                <w:tcPr>
                  <w:tcW w:w="1200" w:type="dxa"/>
                  <w:tcBorders>
                    <w:tl2br w:val="nil"/>
                    <w:tr2bl w:val="nil"/>
                  </w:tcBorders>
                  <w:vAlign w:val="center"/>
                </w:tcPr>
                <w:p w14:paraId="59F1CC04">
                  <w:pPr>
                    <w:adjustRightInd w:val="0"/>
                    <w:snapToGrid w:val="0"/>
                    <w:spacing w:line="240" w:lineRule="auto"/>
                    <w:ind w:firstLine="0" w:firstLineChars="0"/>
                    <w:jc w:val="center"/>
                    <w:rPr>
                      <w:bCs/>
                      <w:kern w:val="0"/>
                      <w:sz w:val="21"/>
                      <w:szCs w:val="21"/>
                    </w:rPr>
                  </w:pPr>
                  <w:r>
                    <w:rPr>
                      <w:bCs/>
                      <w:kern w:val="0"/>
                      <w:sz w:val="21"/>
                      <w:szCs w:val="21"/>
                    </w:rPr>
                    <w:t>浓度</w:t>
                  </w:r>
                  <w:r>
                    <w:rPr>
                      <w:rFonts w:hint="eastAsia"/>
                      <w:bCs/>
                      <w:kern w:val="0"/>
                      <w:sz w:val="21"/>
                      <w:szCs w:val="21"/>
                    </w:rPr>
                    <w:t>（</w:t>
                  </w:r>
                  <w:r>
                    <w:rPr>
                      <w:bCs/>
                      <w:kern w:val="0"/>
                      <w:sz w:val="21"/>
                      <w:szCs w:val="21"/>
                    </w:rPr>
                    <w:t>ug/m</w:t>
                  </w:r>
                  <w:r>
                    <w:rPr>
                      <w:bCs/>
                      <w:kern w:val="0"/>
                      <w:sz w:val="21"/>
                      <w:szCs w:val="21"/>
                      <w:vertAlign w:val="superscript"/>
                    </w:rPr>
                    <w:t>3</w:t>
                  </w:r>
                  <w:r>
                    <w:rPr>
                      <w:rFonts w:hint="eastAsia"/>
                      <w:bCs/>
                      <w:kern w:val="0"/>
                      <w:sz w:val="21"/>
                      <w:szCs w:val="21"/>
                    </w:rPr>
                    <w:t>）</w:t>
                  </w:r>
                </w:p>
              </w:tc>
              <w:tc>
                <w:tcPr>
                  <w:tcW w:w="1347" w:type="dxa"/>
                  <w:tcBorders>
                    <w:tl2br w:val="nil"/>
                    <w:tr2bl w:val="nil"/>
                  </w:tcBorders>
                  <w:vAlign w:val="center"/>
                </w:tcPr>
                <w:p w14:paraId="2C2CAACB">
                  <w:pPr>
                    <w:adjustRightInd w:val="0"/>
                    <w:snapToGrid w:val="0"/>
                    <w:spacing w:line="240" w:lineRule="auto"/>
                    <w:ind w:firstLine="0" w:firstLineChars="0"/>
                    <w:rPr>
                      <w:bCs/>
                      <w:kern w:val="0"/>
                      <w:sz w:val="21"/>
                      <w:szCs w:val="21"/>
                    </w:rPr>
                  </w:pPr>
                  <w:r>
                    <w:rPr>
                      <w:rFonts w:hint="eastAsia"/>
                      <w:bCs/>
                      <w:kern w:val="0"/>
                      <w:sz w:val="21"/>
                      <w:szCs w:val="21"/>
                    </w:rPr>
                    <w:t>标准（二级）（</w:t>
                  </w:r>
                  <w:r>
                    <w:rPr>
                      <w:bCs/>
                      <w:kern w:val="0"/>
                      <w:sz w:val="21"/>
                      <w:szCs w:val="21"/>
                    </w:rPr>
                    <w:t>ug/m</w:t>
                  </w:r>
                  <w:r>
                    <w:rPr>
                      <w:bCs/>
                      <w:kern w:val="0"/>
                      <w:sz w:val="21"/>
                      <w:szCs w:val="21"/>
                      <w:vertAlign w:val="superscript"/>
                    </w:rPr>
                    <w:t>3</w:t>
                  </w:r>
                  <w:r>
                    <w:rPr>
                      <w:rFonts w:hint="eastAsia"/>
                      <w:bCs/>
                      <w:kern w:val="0"/>
                      <w:sz w:val="21"/>
                      <w:szCs w:val="21"/>
                    </w:rPr>
                    <w:t>）</w:t>
                  </w:r>
                </w:p>
              </w:tc>
              <w:tc>
                <w:tcPr>
                  <w:tcW w:w="1080" w:type="dxa"/>
                  <w:tcBorders>
                    <w:tl2br w:val="nil"/>
                    <w:tr2bl w:val="nil"/>
                  </w:tcBorders>
                  <w:vAlign w:val="center"/>
                </w:tcPr>
                <w:p w14:paraId="48A0F275">
                  <w:pPr>
                    <w:adjustRightInd w:val="0"/>
                    <w:snapToGrid w:val="0"/>
                    <w:spacing w:line="240" w:lineRule="auto"/>
                    <w:ind w:firstLine="0" w:firstLineChars="0"/>
                    <w:jc w:val="center"/>
                    <w:rPr>
                      <w:bCs/>
                      <w:kern w:val="0"/>
                      <w:sz w:val="21"/>
                      <w:szCs w:val="21"/>
                    </w:rPr>
                  </w:pPr>
                  <w:r>
                    <w:rPr>
                      <w:rFonts w:hint="eastAsia"/>
                      <w:bCs/>
                      <w:kern w:val="0"/>
                      <w:sz w:val="21"/>
                      <w:szCs w:val="21"/>
                    </w:rPr>
                    <w:t>占标率</w:t>
                  </w:r>
                  <w:r>
                    <w:rPr>
                      <w:bCs/>
                      <w:kern w:val="0"/>
                      <w:sz w:val="21"/>
                      <w:szCs w:val="21"/>
                    </w:rPr>
                    <w:t>%</w:t>
                  </w:r>
                </w:p>
              </w:tc>
              <w:tc>
                <w:tcPr>
                  <w:tcW w:w="997" w:type="dxa"/>
                  <w:tcBorders>
                    <w:tl2br w:val="nil"/>
                    <w:tr2bl w:val="nil"/>
                  </w:tcBorders>
                  <w:vAlign w:val="center"/>
                </w:tcPr>
                <w:p w14:paraId="61823BA2">
                  <w:pPr>
                    <w:adjustRightInd w:val="0"/>
                    <w:snapToGrid w:val="0"/>
                    <w:spacing w:line="240" w:lineRule="auto"/>
                    <w:ind w:firstLine="0" w:firstLineChars="0"/>
                    <w:jc w:val="center"/>
                    <w:rPr>
                      <w:bCs/>
                      <w:kern w:val="0"/>
                      <w:sz w:val="21"/>
                      <w:szCs w:val="21"/>
                    </w:rPr>
                  </w:pPr>
                  <w:r>
                    <w:rPr>
                      <w:bCs/>
                      <w:kern w:val="0"/>
                      <w:sz w:val="21"/>
                      <w:szCs w:val="21"/>
                    </w:rPr>
                    <w:t>达标情况</w:t>
                  </w:r>
                </w:p>
              </w:tc>
            </w:tr>
            <w:tr w14:paraId="2B189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96" w:type="dxa"/>
                  <w:vMerge w:val="restart"/>
                  <w:tcBorders>
                    <w:tl2br w:val="nil"/>
                    <w:tr2bl w:val="nil"/>
                  </w:tcBorders>
                  <w:vAlign w:val="center"/>
                </w:tcPr>
                <w:p w14:paraId="35D1385A">
                  <w:pPr>
                    <w:adjustRightInd w:val="0"/>
                    <w:snapToGrid w:val="0"/>
                    <w:spacing w:line="240" w:lineRule="auto"/>
                    <w:ind w:firstLine="0" w:firstLineChars="0"/>
                    <w:jc w:val="center"/>
                    <w:rPr>
                      <w:bCs/>
                      <w:kern w:val="0"/>
                      <w:sz w:val="21"/>
                      <w:szCs w:val="21"/>
                    </w:rPr>
                  </w:pPr>
                  <w:r>
                    <w:rPr>
                      <w:bCs/>
                      <w:kern w:val="0"/>
                      <w:sz w:val="21"/>
                      <w:szCs w:val="21"/>
                    </w:rPr>
                    <w:t>SO</w:t>
                  </w:r>
                  <w:r>
                    <w:rPr>
                      <w:bCs/>
                      <w:kern w:val="0"/>
                      <w:sz w:val="21"/>
                      <w:szCs w:val="21"/>
                      <w:vertAlign w:val="subscript"/>
                    </w:rPr>
                    <w:t>2</w:t>
                  </w:r>
                </w:p>
              </w:tc>
              <w:tc>
                <w:tcPr>
                  <w:tcW w:w="2219" w:type="dxa"/>
                  <w:tcBorders>
                    <w:tl2br w:val="nil"/>
                    <w:tr2bl w:val="nil"/>
                  </w:tcBorders>
                  <w:vAlign w:val="center"/>
                </w:tcPr>
                <w:p w14:paraId="366B9C1A">
                  <w:pPr>
                    <w:adjustRightInd w:val="0"/>
                    <w:snapToGrid w:val="0"/>
                    <w:spacing w:line="240" w:lineRule="auto"/>
                    <w:ind w:firstLine="0" w:firstLineChars="0"/>
                    <w:jc w:val="center"/>
                    <w:rPr>
                      <w:bCs/>
                      <w:kern w:val="0"/>
                      <w:sz w:val="21"/>
                      <w:szCs w:val="21"/>
                    </w:rPr>
                  </w:pPr>
                  <w:r>
                    <w:rPr>
                      <w:bCs/>
                      <w:kern w:val="0"/>
                      <w:sz w:val="21"/>
                      <w:szCs w:val="21"/>
                    </w:rPr>
                    <w:t>年平均质量浓度</w:t>
                  </w:r>
                </w:p>
              </w:tc>
              <w:tc>
                <w:tcPr>
                  <w:tcW w:w="1200" w:type="dxa"/>
                  <w:tcBorders>
                    <w:tl2br w:val="nil"/>
                    <w:tr2bl w:val="nil"/>
                  </w:tcBorders>
                  <w:vAlign w:val="center"/>
                </w:tcPr>
                <w:p w14:paraId="59506F41">
                  <w:pPr>
                    <w:adjustRightInd w:val="0"/>
                    <w:snapToGrid w:val="0"/>
                    <w:spacing w:line="240" w:lineRule="auto"/>
                    <w:ind w:firstLine="0" w:firstLineChars="0"/>
                    <w:jc w:val="center"/>
                    <w:rPr>
                      <w:bCs/>
                      <w:kern w:val="0"/>
                      <w:sz w:val="21"/>
                      <w:szCs w:val="21"/>
                    </w:rPr>
                  </w:pPr>
                  <w:r>
                    <w:rPr>
                      <w:bCs/>
                      <w:kern w:val="0"/>
                      <w:sz w:val="21"/>
                      <w:szCs w:val="21"/>
                    </w:rPr>
                    <w:t>5</w:t>
                  </w:r>
                </w:p>
              </w:tc>
              <w:tc>
                <w:tcPr>
                  <w:tcW w:w="1347" w:type="dxa"/>
                  <w:tcBorders>
                    <w:tl2br w:val="nil"/>
                    <w:tr2bl w:val="nil"/>
                  </w:tcBorders>
                  <w:vAlign w:val="center"/>
                </w:tcPr>
                <w:p w14:paraId="7DC8FA55">
                  <w:pPr>
                    <w:adjustRightInd w:val="0"/>
                    <w:snapToGrid w:val="0"/>
                    <w:spacing w:line="240" w:lineRule="auto"/>
                    <w:ind w:firstLine="0" w:firstLineChars="0"/>
                    <w:jc w:val="center"/>
                    <w:rPr>
                      <w:bCs/>
                      <w:kern w:val="0"/>
                      <w:sz w:val="21"/>
                      <w:szCs w:val="21"/>
                    </w:rPr>
                  </w:pPr>
                  <w:r>
                    <w:rPr>
                      <w:bCs/>
                      <w:kern w:val="0"/>
                      <w:sz w:val="21"/>
                      <w:szCs w:val="21"/>
                    </w:rPr>
                    <w:t>60</w:t>
                  </w:r>
                </w:p>
              </w:tc>
              <w:tc>
                <w:tcPr>
                  <w:tcW w:w="1080" w:type="dxa"/>
                  <w:tcBorders>
                    <w:tl2br w:val="nil"/>
                    <w:tr2bl w:val="nil"/>
                  </w:tcBorders>
                  <w:vAlign w:val="center"/>
                </w:tcPr>
                <w:p w14:paraId="22389A66">
                  <w:pPr>
                    <w:adjustRightInd w:val="0"/>
                    <w:snapToGrid w:val="0"/>
                    <w:spacing w:line="240" w:lineRule="auto"/>
                    <w:ind w:firstLine="0" w:firstLineChars="0"/>
                    <w:jc w:val="center"/>
                    <w:rPr>
                      <w:bCs/>
                      <w:kern w:val="0"/>
                      <w:sz w:val="21"/>
                      <w:szCs w:val="21"/>
                    </w:rPr>
                  </w:pPr>
                  <w:r>
                    <w:rPr>
                      <w:bCs/>
                      <w:kern w:val="0"/>
                      <w:sz w:val="21"/>
                      <w:szCs w:val="21"/>
                    </w:rPr>
                    <w:t>8</w:t>
                  </w:r>
                </w:p>
              </w:tc>
              <w:tc>
                <w:tcPr>
                  <w:tcW w:w="997" w:type="dxa"/>
                  <w:tcBorders>
                    <w:tl2br w:val="nil"/>
                    <w:tr2bl w:val="nil"/>
                  </w:tcBorders>
                  <w:vAlign w:val="center"/>
                </w:tcPr>
                <w:p w14:paraId="7087F6EB">
                  <w:pPr>
                    <w:adjustRightInd w:val="0"/>
                    <w:snapToGrid w:val="0"/>
                    <w:spacing w:line="240" w:lineRule="auto"/>
                    <w:ind w:firstLine="0" w:firstLineChars="0"/>
                    <w:jc w:val="center"/>
                    <w:rPr>
                      <w:bCs/>
                      <w:kern w:val="0"/>
                      <w:sz w:val="21"/>
                      <w:szCs w:val="21"/>
                    </w:rPr>
                  </w:pPr>
                  <w:r>
                    <w:rPr>
                      <w:bCs/>
                      <w:kern w:val="0"/>
                      <w:sz w:val="21"/>
                      <w:szCs w:val="21"/>
                    </w:rPr>
                    <w:t>达标</w:t>
                  </w:r>
                </w:p>
              </w:tc>
            </w:tr>
            <w:tr w14:paraId="68E09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96" w:type="dxa"/>
                  <w:vMerge w:val="continue"/>
                  <w:tcBorders>
                    <w:tl2br w:val="nil"/>
                    <w:tr2bl w:val="nil"/>
                  </w:tcBorders>
                  <w:vAlign w:val="center"/>
                </w:tcPr>
                <w:p w14:paraId="69EF918F">
                  <w:pPr>
                    <w:adjustRightInd w:val="0"/>
                    <w:snapToGrid w:val="0"/>
                    <w:spacing w:line="240" w:lineRule="auto"/>
                    <w:ind w:firstLine="0" w:firstLineChars="0"/>
                    <w:jc w:val="center"/>
                    <w:rPr>
                      <w:bCs/>
                      <w:kern w:val="0"/>
                      <w:sz w:val="21"/>
                      <w:szCs w:val="21"/>
                    </w:rPr>
                  </w:pPr>
                </w:p>
              </w:tc>
              <w:tc>
                <w:tcPr>
                  <w:tcW w:w="2219" w:type="dxa"/>
                  <w:tcBorders>
                    <w:tl2br w:val="nil"/>
                    <w:tr2bl w:val="nil"/>
                  </w:tcBorders>
                  <w:vAlign w:val="center"/>
                </w:tcPr>
                <w:p w14:paraId="26AFFAB6">
                  <w:pPr>
                    <w:adjustRightInd w:val="0"/>
                    <w:snapToGrid w:val="0"/>
                    <w:spacing w:line="240" w:lineRule="auto"/>
                    <w:ind w:firstLine="0" w:firstLineChars="0"/>
                    <w:jc w:val="center"/>
                    <w:rPr>
                      <w:bCs/>
                      <w:kern w:val="0"/>
                      <w:sz w:val="21"/>
                      <w:szCs w:val="21"/>
                    </w:rPr>
                  </w:pPr>
                  <w:r>
                    <w:rPr>
                      <w:bCs/>
                      <w:kern w:val="0"/>
                      <w:sz w:val="21"/>
                      <w:szCs w:val="21"/>
                    </w:rPr>
                    <w:t>24小时平均质量浓度第98百分位数</w:t>
                  </w:r>
                </w:p>
              </w:tc>
              <w:tc>
                <w:tcPr>
                  <w:tcW w:w="1200" w:type="dxa"/>
                  <w:tcBorders>
                    <w:tl2br w:val="nil"/>
                    <w:tr2bl w:val="nil"/>
                  </w:tcBorders>
                  <w:vAlign w:val="center"/>
                </w:tcPr>
                <w:p w14:paraId="4831D0D6">
                  <w:pPr>
                    <w:adjustRightInd w:val="0"/>
                    <w:snapToGrid w:val="0"/>
                    <w:spacing w:line="240" w:lineRule="auto"/>
                    <w:ind w:firstLine="0" w:firstLineChars="0"/>
                    <w:jc w:val="center"/>
                    <w:rPr>
                      <w:bCs/>
                      <w:kern w:val="0"/>
                      <w:sz w:val="21"/>
                      <w:szCs w:val="21"/>
                    </w:rPr>
                  </w:pPr>
                  <w:r>
                    <w:rPr>
                      <w:bCs/>
                      <w:kern w:val="0"/>
                      <w:sz w:val="21"/>
                      <w:szCs w:val="21"/>
                    </w:rPr>
                    <w:t>12</w:t>
                  </w:r>
                </w:p>
              </w:tc>
              <w:tc>
                <w:tcPr>
                  <w:tcW w:w="1347" w:type="dxa"/>
                  <w:tcBorders>
                    <w:tl2br w:val="nil"/>
                    <w:tr2bl w:val="nil"/>
                  </w:tcBorders>
                  <w:vAlign w:val="center"/>
                </w:tcPr>
                <w:p w14:paraId="3A258ED7">
                  <w:pPr>
                    <w:adjustRightInd w:val="0"/>
                    <w:snapToGrid w:val="0"/>
                    <w:spacing w:line="240" w:lineRule="auto"/>
                    <w:ind w:firstLine="0" w:firstLineChars="0"/>
                    <w:jc w:val="center"/>
                    <w:rPr>
                      <w:bCs/>
                      <w:kern w:val="0"/>
                      <w:sz w:val="21"/>
                      <w:szCs w:val="21"/>
                    </w:rPr>
                  </w:pPr>
                  <w:r>
                    <w:rPr>
                      <w:bCs/>
                      <w:kern w:val="0"/>
                      <w:sz w:val="21"/>
                      <w:szCs w:val="21"/>
                    </w:rPr>
                    <w:t>150</w:t>
                  </w:r>
                </w:p>
              </w:tc>
              <w:tc>
                <w:tcPr>
                  <w:tcW w:w="1080" w:type="dxa"/>
                  <w:tcBorders>
                    <w:tl2br w:val="nil"/>
                    <w:tr2bl w:val="nil"/>
                  </w:tcBorders>
                  <w:vAlign w:val="center"/>
                </w:tcPr>
                <w:p w14:paraId="4DE59390">
                  <w:pPr>
                    <w:adjustRightInd w:val="0"/>
                    <w:snapToGrid w:val="0"/>
                    <w:spacing w:line="240" w:lineRule="auto"/>
                    <w:ind w:firstLine="0" w:firstLineChars="0"/>
                    <w:jc w:val="center"/>
                    <w:rPr>
                      <w:bCs/>
                      <w:kern w:val="0"/>
                      <w:sz w:val="21"/>
                      <w:szCs w:val="21"/>
                    </w:rPr>
                  </w:pPr>
                  <w:r>
                    <w:rPr>
                      <w:bCs/>
                      <w:kern w:val="0"/>
                      <w:sz w:val="21"/>
                      <w:szCs w:val="21"/>
                    </w:rPr>
                    <w:t>8</w:t>
                  </w:r>
                </w:p>
              </w:tc>
              <w:tc>
                <w:tcPr>
                  <w:tcW w:w="997" w:type="dxa"/>
                  <w:tcBorders>
                    <w:tl2br w:val="nil"/>
                    <w:tr2bl w:val="nil"/>
                  </w:tcBorders>
                  <w:vAlign w:val="center"/>
                </w:tcPr>
                <w:p w14:paraId="7B5AE3C2">
                  <w:pPr>
                    <w:adjustRightInd w:val="0"/>
                    <w:snapToGrid w:val="0"/>
                    <w:spacing w:line="240" w:lineRule="auto"/>
                    <w:ind w:firstLine="0" w:firstLineChars="0"/>
                    <w:jc w:val="center"/>
                    <w:rPr>
                      <w:bCs/>
                      <w:kern w:val="0"/>
                      <w:sz w:val="21"/>
                      <w:szCs w:val="21"/>
                    </w:rPr>
                  </w:pPr>
                  <w:r>
                    <w:rPr>
                      <w:bCs/>
                      <w:kern w:val="0"/>
                      <w:sz w:val="21"/>
                      <w:szCs w:val="21"/>
                    </w:rPr>
                    <w:t>达标</w:t>
                  </w:r>
                </w:p>
              </w:tc>
            </w:tr>
            <w:tr w14:paraId="036A84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96" w:type="dxa"/>
                  <w:vMerge w:val="restart"/>
                  <w:tcBorders>
                    <w:tl2br w:val="nil"/>
                    <w:tr2bl w:val="nil"/>
                  </w:tcBorders>
                  <w:vAlign w:val="center"/>
                </w:tcPr>
                <w:p w14:paraId="0A3F5C41">
                  <w:pPr>
                    <w:adjustRightInd w:val="0"/>
                    <w:snapToGrid w:val="0"/>
                    <w:spacing w:line="240" w:lineRule="auto"/>
                    <w:ind w:firstLine="0" w:firstLineChars="0"/>
                    <w:jc w:val="center"/>
                    <w:rPr>
                      <w:bCs/>
                      <w:kern w:val="0"/>
                      <w:sz w:val="21"/>
                      <w:szCs w:val="21"/>
                    </w:rPr>
                  </w:pPr>
                  <w:r>
                    <w:rPr>
                      <w:bCs/>
                      <w:kern w:val="0"/>
                      <w:sz w:val="21"/>
                      <w:szCs w:val="21"/>
                    </w:rPr>
                    <w:t>NO</w:t>
                  </w:r>
                  <w:r>
                    <w:rPr>
                      <w:bCs/>
                      <w:kern w:val="0"/>
                      <w:sz w:val="21"/>
                      <w:szCs w:val="21"/>
                      <w:vertAlign w:val="subscript"/>
                    </w:rPr>
                    <w:t>2</w:t>
                  </w:r>
                </w:p>
              </w:tc>
              <w:tc>
                <w:tcPr>
                  <w:tcW w:w="2219" w:type="dxa"/>
                  <w:tcBorders>
                    <w:tl2br w:val="nil"/>
                    <w:tr2bl w:val="nil"/>
                  </w:tcBorders>
                  <w:vAlign w:val="center"/>
                </w:tcPr>
                <w:p w14:paraId="3BC2D4C6">
                  <w:pPr>
                    <w:adjustRightInd w:val="0"/>
                    <w:snapToGrid w:val="0"/>
                    <w:spacing w:line="240" w:lineRule="auto"/>
                    <w:ind w:firstLine="0" w:firstLineChars="0"/>
                    <w:jc w:val="center"/>
                    <w:rPr>
                      <w:bCs/>
                      <w:kern w:val="0"/>
                      <w:sz w:val="21"/>
                      <w:szCs w:val="21"/>
                    </w:rPr>
                  </w:pPr>
                  <w:r>
                    <w:rPr>
                      <w:bCs/>
                      <w:kern w:val="0"/>
                      <w:sz w:val="21"/>
                      <w:szCs w:val="21"/>
                    </w:rPr>
                    <w:t>年平均质量浓度</w:t>
                  </w:r>
                </w:p>
              </w:tc>
              <w:tc>
                <w:tcPr>
                  <w:tcW w:w="1200" w:type="dxa"/>
                  <w:tcBorders>
                    <w:tl2br w:val="nil"/>
                    <w:tr2bl w:val="nil"/>
                  </w:tcBorders>
                  <w:vAlign w:val="center"/>
                </w:tcPr>
                <w:p w14:paraId="3C697B62">
                  <w:pPr>
                    <w:adjustRightInd w:val="0"/>
                    <w:snapToGrid w:val="0"/>
                    <w:spacing w:line="240" w:lineRule="auto"/>
                    <w:ind w:firstLine="0" w:firstLineChars="0"/>
                    <w:jc w:val="center"/>
                    <w:rPr>
                      <w:bCs/>
                      <w:kern w:val="0"/>
                      <w:sz w:val="21"/>
                      <w:szCs w:val="21"/>
                    </w:rPr>
                  </w:pPr>
                  <w:r>
                    <w:rPr>
                      <w:bCs/>
                      <w:kern w:val="0"/>
                      <w:sz w:val="21"/>
                      <w:szCs w:val="21"/>
                    </w:rPr>
                    <w:t>19</w:t>
                  </w:r>
                </w:p>
              </w:tc>
              <w:tc>
                <w:tcPr>
                  <w:tcW w:w="1347" w:type="dxa"/>
                  <w:tcBorders>
                    <w:tl2br w:val="nil"/>
                    <w:tr2bl w:val="nil"/>
                  </w:tcBorders>
                  <w:vAlign w:val="center"/>
                </w:tcPr>
                <w:p w14:paraId="35AF3512">
                  <w:pPr>
                    <w:adjustRightInd w:val="0"/>
                    <w:snapToGrid w:val="0"/>
                    <w:spacing w:line="240" w:lineRule="auto"/>
                    <w:ind w:firstLine="0" w:firstLineChars="0"/>
                    <w:jc w:val="center"/>
                    <w:rPr>
                      <w:bCs/>
                      <w:kern w:val="0"/>
                      <w:sz w:val="21"/>
                      <w:szCs w:val="21"/>
                    </w:rPr>
                  </w:pPr>
                  <w:r>
                    <w:rPr>
                      <w:bCs/>
                      <w:kern w:val="0"/>
                      <w:sz w:val="21"/>
                      <w:szCs w:val="21"/>
                    </w:rPr>
                    <w:t>40</w:t>
                  </w:r>
                </w:p>
              </w:tc>
              <w:tc>
                <w:tcPr>
                  <w:tcW w:w="1080" w:type="dxa"/>
                  <w:tcBorders>
                    <w:tl2br w:val="nil"/>
                    <w:tr2bl w:val="nil"/>
                  </w:tcBorders>
                  <w:vAlign w:val="center"/>
                </w:tcPr>
                <w:p w14:paraId="1D93BE8B">
                  <w:pPr>
                    <w:adjustRightInd w:val="0"/>
                    <w:snapToGrid w:val="0"/>
                    <w:spacing w:line="240" w:lineRule="auto"/>
                    <w:ind w:firstLine="0" w:firstLineChars="0"/>
                    <w:jc w:val="center"/>
                    <w:rPr>
                      <w:bCs/>
                      <w:kern w:val="0"/>
                      <w:sz w:val="21"/>
                      <w:szCs w:val="21"/>
                    </w:rPr>
                  </w:pPr>
                  <w:r>
                    <w:rPr>
                      <w:bCs/>
                      <w:kern w:val="0"/>
                      <w:sz w:val="21"/>
                      <w:szCs w:val="21"/>
                    </w:rPr>
                    <w:t>48</w:t>
                  </w:r>
                </w:p>
              </w:tc>
              <w:tc>
                <w:tcPr>
                  <w:tcW w:w="997" w:type="dxa"/>
                  <w:tcBorders>
                    <w:tl2br w:val="nil"/>
                    <w:tr2bl w:val="nil"/>
                  </w:tcBorders>
                  <w:vAlign w:val="center"/>
                </w:tcPr>
                <w:p w14:paraId="4801AD84">
                  <w:pPr>
                    <w:adjustRightInd w:val="0"/>
                    <w:snapToGrid w:val="0"/>
                    <w:spacing w:line="240" w:lineRule="auto"/>
                    <w:ind w:firstLine="0" w:firstLineChars="0"/>
                    <w:jc w:val="center"/>
                    <w:rPr>
                      <w:bCs/>
                      <w:kern w:val="0"/>
                      <w:sz w:val="21"/>
                      <w:szCs w:val="21"/>
                    </w:rPr>
                  </w:pPr>
                  <w:r>
                    <w:rPr>
                      <w:bCs/>
                      <w:kern w:val="0"/>
                      <w:sz w:val="21"/>
                      <w:szCs w:val="21"/>
                    </w:rPr>
                    <w:t>达标</w:t>
                  </w:r>
                </w:p>
              </w:tc>
            </w:tr>
            <w:tr w14:paraId="1A2BC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96" w:type="dxa"/>
                  <w:vMerge w:val="continue"/>
                  <w:tcBorders>
                    <w:tl2br w:val="nil"/>
                    <w:tr2bl w:val="nil"/>
                  </w:tcBorders>
                  <w:vAlign w:val="center"/>
                </w:tcPr>
                <w:p w14:paraId="2870FE59">
                  <w:pPr>
                    <w:adjustRightInd w:val="0"/>
                    <w:snapToGrid w:val="0"/>
                    <w:spacing w:line="240" w:lineRule="auto"/>
                    <w:ind w:firstLine="0" w:firstLineChars="0"/>
                    <w:jc w:val="center"/>
                    <w:rPr>
                      <w:bCs/>
                      <w:kern w:val="0"/>
                      <w:sz w:val="21"/>
                      <w:szCs w:val="21"/>
                    </w:rPr>
                  </w:pPr>
                </w:p>
              </w:tc>
              <w:tc>
                <w:tcPr>
                  <w:tcW w:w="2219" w:type="dxa"/>
                  <w:tcBorders>
                    <w:tl2br w:val="nil"/>
                    <w:tr2bl w:val="nil"/>
                  </w:tcBorders>
                  <w:vAlign w:val="center"/>
                </w:tcPr>
                <w:p w14:paraId="11DA6ED5">
                  <w:pPr>
                    <w:adjustRightInd w:val="0"/>
                    <w:snapToGrid w:val="0"/>
                    <w:spacing w:line="240" w:lineRule="auto"/>
                    <w:ind w:firstLine="0" w:firstLineChars="0"/>
                    <w:jc w:val="center"/>
                    <w:rPr>
                      <w:bCs/>
                      <w:kern w:val="0"/>
                      <w:sz w:val="21"/>
                      <w:szCs w:val="21"/>
                    </w:rPr>
                  </w:pPr>
                  <w:r>
                    <w:rPr>
                      <w:bCs/>
                      <w:kern w:val="0"/>
                      <w:sz w:val="21"/>
                      <w:szCs w:val="21"/>
                    </w:rPr>
                    <w:t>24小时平均质量浓度第98百分位数</w:t>
                  </w:r>
                </w:p>
              </w:tc>
              <w:tc>
                <w:tcPr>
                  <w:tcW w:w="1200" w:type="dxa"/>
                  <w:tcBorders>
                    <w:tl2br w:val="nil"/>
                    <w:tr2bl w:val="nil"/>
                  </w:tcBorders>
                  <w:vAlign w:val="center"/>
                </w:tcPr>
                <w:p w14:paraId="03DA9456">
                  <w:pPr>
                    <w:adjustRightInd w:val="0"/>
                    <w:snapToGrid w:val="0"/>
                    <w:spacing w:line="240" w:lineRule="auto"/>
                    <w:ind w:firstLine="0" w:firstLineChars="0"/>
                    <w:jc w:val="center"/>
                    <w:rPr>
                      <w:bCs/>
                      <w:kern w:val="0"/>
                      <w:sz w:val="21"/>
                      <w:szCs w:val="21"/>
                    </w:rPr>
                  </w:pPr>
                  <w:r>
                    <w:rPr>
                      <w:bCs/>
                      <w:kern w:val="0"/>
                      <w:sz w:val="21"/>
                      <w:szCs w:val="21"/>
                    </w:rPr>
                    <w:t>49</w:t>
                  </w:r>
                </w:p>
              </w:tc>
              <w:tc>
                <w:tcPr>
                  <w:tcW w:w="1347" w:type="dxa"/>
                  <w:tcBorders>
                    <w:tl2br w:val="nil"/>
                    <w:tr2bl w:val="nil"/>
                  </w:tcBorders>
                  <w:vAlign w:val="center"/>
                </w:tcPr>
                <w:p w14:paraId="73794822">
                  <w:pPr>
                    <w:adjustRightInd w:val="0"/>
                    <w:snapToGrid w:val="0"/>
                    <w:spacing w:line="240" w:lineRule="auto"/>
                    <w:ind w:firstLine="0" w:firstLineChars="0"/>
                    <w:jc w:val="center"/>
                    <w:rPr>
                      <w:bCs/>
                      <w:kern w:val="0"/>
                      <w:sz w:val="21"/>
                      <w:szCs w:val="21"/>
                    </w:rPr>
                  </w:pPr>
                  <w:r>
                    <w:rPr>
                      <w:bCs/>
                      <w:kern w:val="0"/>
                      <w:sz w:val="21"/>
                      <w:szCs w:val="21"/>
                    </w:rPr>
                    <w:t>80</w:t>
                  </w:r>
                </w:p>
              </w:tc>
              <w:tc>
                <w:tcPr>
                  <w:tcW w:w="1080" w:type="dxa"/>
                  <w:tcBorders>
                    <w:tl2br w:val="nil"/>
                    <w:tr2bl w:val="nil"/>
                  </w:tcBorders>
                  <w:vAlign w:val="center"/>
                </w:tcPr>
                <w:p w14:paraId="0ED13697">
                  <w:pPr>
                    <w:adjustRightInd w:val="0"/>
                    <w:snapToGrid w:val="0"/>
                    <w:spacing w:line="240" w:lineRule="auto"/>
                    <w:ind w:firstLine="0" w:firstLineChars="0"/>
                    <w:jc w:val="center"/>
                    <w:rPr>
                      <w:bCs/>
                      <w:kern w:val="0"/>
                      <w:sz w:val="21"/>
                      <w:szCs w:val="21"/>
                    </w:rPr>
                  </w:pPr>
                  <w:r>
                    <w:rPr>
                      <w:bCs/>
                      <w:kern w:val="0"/>
                      <w:sz w:val="21"/>
                      <w:szCs w:val="21"/>
                    </w:rPr>
                    <w:t>61</w:t>
                  </w:r>
                </w:p>
              </w:tc>
              <w:tc>
                <w:tcPr>
                  <w:tcW w:w="997" w:type="dxa"/>
                  <w:tcBorders>
                    <w:tl2br w:val="nil"/>
                    <w:tr2bl w:val="nil"/>
                  </w:tcBorders>
                  <w:vAlign w:val="center"/>
                </w:tcPr>
                <w:p w14:paraId="0B280A9D">
                  <w:pPr>
                    <w:adjustRightInd w:val="0"/>
                    <w:snapToGrid w:val="0"/>
                    <w:spacing w:line="240" w:lineRule="auto"/>
                    <w:ind w:firstLine="0" w:firstLineChars="0"/>
                    <w:jc w:val="center"/>
                    <w:rPr>
                      <w:bCs/>
                      <w:kern w:val="0"/>
                      <w:sz w:val="21"/>
                      <w:szCs w:val="21"/>
                    </w:rPr>
                  </w:pPr>
                  <w:r>
                    <w:rPr>
                      <w:bCs/>
                      <w:kern w:val="0"/>
                      <w:sz w:val="21"/>
                      <w:szCs w:val="21"/>
                    </w:rPr>
                    <w:t>达标</w:t>
                  </w:r>
                </w:p>
              </w:tc>
            </w:tr>
            <w:tr w14:paraId="06C49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96" w:type="dxa"/>
                  <w:vMerge w:val="restart"/>
                  <w:tcBorders>
                    <w:tl2br w:val="nil"/>
                    <w:tr2bl w:val="nil"/>
                  </w:tcBorders>
                  <w:vAlign w:val="center"/>
                </w:tcPr>
                <w:p w14:paraId="1DA39730">
                  <w:pPr>
                    <w:adjustRightInd w:val="0"/>
                    <w:snapToGrid w:val="0"/>
                    <w:spacing w:line="240" w:lineRule="auto"/>
                    <w:ind w:firstLine="0" w:firstLineChars="0"/>
                    <w:jc w:val="center"/>
                    <w:rPr>
                      <w:bCs/>
                      <w:kern w:val="0"/>
                      <w:sz w:val="21"/>
                      <w:szCs w:val="21"/>
                    </w:rPr>
                  </w:pPr>
                  <w:r>
                    <w:rPr>
                      <w:bCs/>
                      <w:kern w:val="0"/>
                      <w:sz w:val="21"/>
                      <w:szCs w:val="21"/>
                    </w:rPr>
                    <w:t>PM</w:t>
                  </w:r>
                  <w:r>
                    <w:rPr>
                      <w:bCs/>
                      <w:kern w:val="0"/>
                      <w:sz w:val="21"/>
                      <w:szCs w:val="21"/>
                      <w:vertAlign w:val="subscript"/>
                    </w:rPr>
                    <w:t>2.5</w:t>
                  </w:r>
                </w:p>
              </w:tc>
              <w:tc>
                <w:tcPr>
                  <w:tcW w:w="2219" w:type="dxa"/>
                  <w:tcBorders>
                    <w:tl2br w:val="nil"/>
                    <w:tr2bl w:val="nil"/>
                  </w:tcBorders>
                  <w:vAlign w:val="center"/>
                </w:tcPr>
                <w:p w14:paraId="27EBE0F5">
                  <w:pPr>
                    <w:adjustRightInd w:val="0"/>
                    <w:snapToGrid w:val="0"/>
                    <w:spacing w:line="240" w:lineRule="auto"/>
                    <w:ind w:firstLine="0" w:firstLineChars="0"/>
                    <w:jc w:val="center"/>
                    <w:rPr>
                      <w:bCs/>
                      <w:kern w:val="0"/>
                      <w:sz w:val="21"/>
                      <w:szCs w:val="21"/>
                    </w:rPr>
                  </w:pPr>
                  <w:r>
                    <w:rPr>
                      <w:bCs/>
                      <w:kern w:val="0"/>
                      <w:sz w:val="21"/>
                      <w:szCs w:val="21"/>
                    </w:rPr>
                    <w:t>年平均质量浓度</w:t>
                  </w:r>
                </w:p>
              </w:tc>
              <w:tc>
                <w:tcPr>
                  <w:tcW w:w="1200" w:type="dxa"/>
                  <w:tcBorders>
                    <w:tl2br w:val="nil"/>
                    <w:tr2bl w:val="nil"/>
                  </w:tcBorders>
                  <w:vAlign w:val="center"/>
                </w:tcPr>
                <w:p w14:paraId="1F21ECA6">
                  <w:pPr>
                    <w:adjustRightInd w:val="0"/>
                    <w:snapToGrid w:val="0"/>
                    <w:spacing w:line="240" w:lineRule="auto"/>
                    <w:ind w:firstLine="0" w:firstLineChars="0"/>
                    <w:jc w:val="center"/>
                    <w:rPr>
                      <w:bCs/>
                      <w:kern w:val="0"/>
                      <w:sz w:val="21"/>
                      <w:szCs w:val="21"/>
                    </w:rPr>
                  </w:pPr>
                  <w:r>
                    <w:rPr>
                      <w:bCs/>
                      <w:kern w:val="0"/>
                      <w:sz w:val="21"/>
                      <w:szCs w:val="21"/>
                    </w:rPr>
                    <w:t>36</w:t>
                  </w:r>
                </w:p>
              </w:tc>
              <w:tc>
                <w:tcPr>
                  <w:tcW w:w="1347" w:type="dxa"/>
                  <w:tcBorders>
                    <w:tl2br w:val="nil"/>
                    <w:tr2bl w:val="nil"/>
                  </w:tcBorders>
                  <w:vAlign w:val="center"/>
                </w:tcPr>
                <w:p w14:paraId="73806761">
                  <w:pPr>
                    <w:adjustRightInd w:val="0"/>
                    <w:snapToGrid w:val="0"/>
                    <w:spacing w:line="240" w:lineRule="auto"/>
                    <w:ind w:firstLine="0" w:firstLineChars="0"/>
                    <w:jc w:val="center"/>
                    <w:rPr>
                      <w:bCs/>
                      <w:kern w:val="0"/>
                      <w:sz w:val="21"/>
                      <w:szCs w:val="21"/>
                    </w:rPr>
                  </w:pPr>
                  <w:r>
                    <w:rPr>
                      <w:bCs/>
                      <w:kern w:val="0"/>
                      <w:sz w:val="21"/>
                      <w:szCs w:val="21"/>
                    </w:rPr>
                    <w:t>30</w:t>
                  </w:r>
                </w:p>
              </w:tc>
              <w:tc>
                <w:tcPr>
                  <w:tcW w:w="1080" w:type="dxa"/>
                  <w:tcBorders>
                    <w:tl2br w:val="nil"/>
                    <w:tr2bl w:val="nil"/>
                  </w:tcBorders>
                  <w:vAlign w:val="center"/>
                </w:tcPr>
                <w:p w14:paraId="200AF498">
                  <w:pPr>
                    <w:adjustRightInd w:val="0"/>
                    <w:snapToGrid w:val="0"/>
                    <w:spacing w:line="240" w:lineRule="auto"/>
                    <w:ind w:firstLine="0" w:firstLineChars="0"/>
                    <w:jc w:val="center"/>
                    <w:rPr>
                      <w:bCs/>
                      <w:kern w:val="0"/>
                      <w:sz w:val="21"/>
                      <w:szCs w:val="21"/>
                    </w:rPr>
                  </w:pPr>
                  <w:r>
                    <w:rPr>
                      <w:bCs/>
                      <w:kern w:val="0"/>
                      <w:sz w:val="21"/>
                      <w:szCs w:val="21"/>
                    </w:rPr>
                    <w:t>120</w:t>
                  </w:r>
                </w:p>
              </w:tc>
              <w:tc>
                <w:tcPr>
                  <w:tcW w:w="997" w:type="dxa"/>
                  <w:tcBorders>
                    <w:tl2br w:val="nil"/>
                    <w:tr2bl w:val="nil"/>
                  </w:tcBorders>
                  <w:vAlign w:val="center"/>
                </w:tcPr>
                <w:p w14:paraId="5F56248A">
                  <w:pPr>
                    <w:adjustRightInd w:val="0"/>
                    <w:snapToGrid w:val="0"/>
                    <w:spacing w:line="240" w:lineRule="auto"/>
                    <w:ind w:firstLine="0" w:firstLineChars="0"/>
                    <w:jc w:val="center"/>
                    <w:rPr>
                      <w:bCs/>
                      <w:kern w:val="0"/>
                      <w:sz w:val="21"/>
                      <w:szCs w:val="21"/>
                    </w:rPr>
                  </w:pPr>
                  <w:r>
                    <w:rPr>
                      <w:bCs/>
                      <w:kern w:val="0"/>
                      <w:sz w:val="21"/>
                      <w:szCs w:val="21"/>
                    </w:rPr>
                    <w:t>超标</w:t>
                  </w:r>
                </w:p>
              </w:tc>
            </w:tr>
            <w:tr w14:paraId="35750D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96" w:type="dxa"/>
                  <w:vMerge w:val="continue"/>
                  <w:tcBorders>
                    <w:tl2br w:val="nil"/>
                    <w:tr2bl w:val="nil"/>
                  </w:tcBorders>
                  <w:vAlign w:val="center"/>
                </w:tcPr>
                <w:p w14:paraId="3F5E541B">
                  <w:pPr>
                    <w:adjustRightInd w:val="0"/>
                    <w:snapToGrid w:val="0"/>
                    <w:spacing w:line="240" w:lineRule="auto"/>
                    <w:ind w:firstLine="0" w:firstLineChars="0"/>
                    <w:jc w:val="center"/>
                    <w:rPr>
                      <w:bCs/>
                      <w:kern w:val="0"/>
                      <w:sz w:val="21"/>
                      <w:szCs w:val="21"/>
                    </w:rPr>
                  </w:pPr>
                </w:p>
              </w:tc>
              <w:tc>
                <w:tcPr>
                  <w:tcW w:w="2219" w:type="dxa"/>
                  <w:tcBorders>
                    <w:tl2br w:val="nil"/>
                    <w:tr2bl w:val="nil"/>
                  </w:tcBorders>
                  <w:vAlign w:val="center"/>
                </w:tcPr>
                <w:p w14:paraId="20CD54E5">
                  <w:pPr>
                    <w:adjustRightInd w:val="0"/>
                    <w:snapToGrid w:val="0"/>
                    <w:spacing w:line="240" w:lineRule="auto"/>
                    <w:ind w:firstLine="0" w:firstLineChars="0"/>
                    <w:jc w:val="center"/>
                    <w:rPr>
                      <w:bCs/>
                      <w:kern w:val="0"/>
                      <w:sz w:val="21"/>
                      <w:szCs w:val="21"/>
                    </w:rPr>
                  </w:pPr>
                  <w:r>
                    <w:rPr>
                      <w:bCs/>
                      <w:kern w:val="0"/>
                      <w:sz w:val="21"/>
                      <w:szCs w:val="21"/>
                    </w:rPr>
                    <w:t>24小时平均质量浓度第95百分位数</w:t>
                  </w:r>
                </w:p>
              </w:tc>
              <w:tc>
                <w:tcPr>
                  <w:tcW w:w="1200" w:type="dxa"/>
                  <w:tcBorders>
                    <w:tl2br w:val="nil"/>
                    <w:tr2bl w:val="nil"/>
                  </w:tcBorders>
                  <w:vAlign w:val="center"/>
                </w:tcPr>
                <w:p w14:paraId="003E9ACE">
                  <w:pPr>
                    <w:adjustRightInd w:val="0"/>
                    <w:snapToGrid w:val="0"/>
                    <w:spacing w:line="240" w:lineRule="auto"/>
                    <w:ind w:firstLine="0" w:firstLineChars="0"/>
                    <w:jc w:val="center"/>
                    <w:rPr>
                      <w:bCs/>
                      <w:kern w:val="0"/>
                      <w:sz w:val="21"/>
                      <w:szCs w:val="21"/>
                    </w:rPr>
                  </w:pPr>
                  <w:r>
                    <w:rPr>
                      <w:bCs/>
                      <w:kern w:val="0"/>
                      <w:sz w:val="21"/>
                      <w:szCs w:val="21"/>
                    </w:rPr>
                    <w:t>78</w:t>
                  </w:r>
                </w:p>
              </w:tc>
              <w:tc>
                <w:tcPr>
                  <w:tcW w:w="1347" w:type="dxa"/>
                  <w:tcBorders>
                    <w:tl2br w:val="nil"/>
                    <w:tr2bl w:val="nil"/>
                  </w:tcBorders>
                  <w:vAlign w:val="center"/>
                </w:tcPr>
                <w:p w14:paraId="7CC57A7E">
                  <w:pPr>
                    <w:adjustRightInd w:val="0"/>
                    <w:snapToGrid w:val="0"/>
                    <w:spacing w:line="240" w:lineRule="auto"/>
                    <w:ind w:firstLine="0" w:firstLineChars="0"/>
                    <w:jc w:val="center"/>
                    <w:rPr>
                      <w:bCs/>
                      <w:kern w:val="0"/>
                      <w:sz w:val="21"/>
                      <w:szCs w:val="21"/>
                    </w:rPr>
                  </w:pPr>
                  <w:r>
                    <w:rPr>
                      <w:bCs/>
                      <w:kern w:val="0"/>
                      <w:sz w:val="21"/>
                      <w:szCs w:val="21"/>
                    </w:rPr>
                    <w:t>60</w:t>
                  </w:r>
                </w:p>
              </w:tc>
              <w:tc>
                <w:tcPr>
                  <w:tcW w:w="1080" w:type="dxa"/>
                  <w:tcBorders>
                    <w:tl2br w:val="nil"/>
                    <w:tr2bl w:val="nil"/>
                  </w:tcBorders>
                  <w:vAlign w:val="center"/>
                </w:tcPr>
                <w:p w14:paraId="3EF933AE">
                  <w:pPr>
                    <w:adjustRightInd w:val="0"/>
                    <w:snapToGrid w:val="0"/>
                    <w:spacing w:line="240" w:lineRule="auto"/>
                    <w:ind w:firstLine="0" w:firstLineChars="0"/>
                    <w:jc w:val="center"/>
                    <w:rPr>
                      <w:bCs/>
                      <w:kern w:val="0"/>
                      <w:sz w:val="21"/>
                      <w:szCs w:val="21"/>
                    </w:rPr>
                  </w:pPr>
                  <w:r>
                    <w:rPr>
                      <w:bCs/>
                      <w:kern w:val="0"/>
                      <w:sz w:val="21"/>
                      <w:szCs w:val="21"/>
                    </w:rPr>
                    <w:t>130</w:t>
                  </w:r>
                </w:p>
              </w:tc>
              <w:tc>
                <w:tcPr>
                  <w:tcW w:w="997" w:type="dxa"/>
                  <w:tcBorders>
                    <w:tl2br w:val="nil"/>
                    <w:tr2bl w:val="nil"/>
                  </w:tcBorders>
                  <w:vAlign w:val="center"/>
                </w:tcPr>
                <w:p w14:paraId="79405E78">
                  <w:pPr>
                    <w:adjustRightInd w:val="0"/>
                    <w:snapToGrid w:val="0"/>
                    <w:spacing w:line="240" w:lineRule="auto"/>
                    <w:ind w:firstLine="0" w:firstLineChars="0"/>
                    <w:jc w:val="center"/>
                    <w:rPr>
                      <w:bCs/>
                      <w:kern w:val="0"/>
                      <w:sz w:val="21"/>
                      <w:szCs w:val="21"/>
                    </w:rPr>
                  </w:pPr>
                  <w:r>
                    <w:rPr>
                      <w:bCs/>
                      <w:kern w:val="0"/>
                      <w:sz w:val="21"/>
                      <w:szCs w:val="21"/>
                    </w:rPr>
                    <w:t>超标</w:t>
                  </w:r>
                </w:p>
              </w:tc>
            </w:tr>
            <w:tr w14:paraId="0AAAB3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96" w:type="dxa"/>
                  <w:vMerge w:val="restart"/>
                  <w:tcBorders>
                    <w:tl2br w:val="nil"/>
                    <w:tr2bl w:val="nil"/>
                  </w:tcBorders>
                  <w:vAlign w:val="center"/>
                </w:tcPr>
                <w:p w14:paraId="669923B8">
                  <w:pPr>
                    <w:adjustRightInd w:val="0"/>
                    <w:snapToGrid w:val="0"/>
                    <w:spacing w:line="240" w:lineRule="auto"/>
                    <w:ind w:firstLine="0" w:firstLineChars="0"/>
                    <w:jc w:val="center"/>
                    <w:rPr>
                      <w:bCs/>
                      <w:kern w:val="0"/>
                      <w:sz w:val="21"/>
                      <w:szCs w:val="21"/>
                    </w:rPr>
                  </w:pPr>
                  <w:r>
                    <w:rPr>
                      <w:bCs/>
                      <w:kern w:val="0"/>
                      <w:sz w:val="21"/>
                      <w:szCs w:val="21"/>
                    </w:rPr>
                    <w:t>PM</w:t>
                  </w:r>
                  <w:r>
                    <w:rPr>
                      <w:bCs/>
                      <w:kern w:val="0"/>
                      <w:sz w:val="21"/>
                      <w:szCs w:val="21"/>
                      <w:vertAlign w:val="subscript"/>
                    </w:rPr>
                    <w:t>10</w:t>
                  </w:r>
                </w:p>
              </w:tc>
              <w:tc>
                <w:tcPr>
                  <w:tcW w:w="2219" w:type="dxa"/>
                  <w:tcBorders>
                    <w:tl2br w:val="nil"/>
                    <w:tr2bl w:val="nil"/>
                  </w:tcBorders>
                  <w:vAlign w:val="center"/>
                </w:tcPr>
                <w:p w14:paraId="1BFC2D34">
                  <w:pPr>
                    <w:adjustRightInd w:val="0"/>
                    <w:snapToGrid w:val="0"/>
                    <w:spacing w:line="240" w:lineRule="auto"/>
                    <w:ind w:firstLine="0" w:firstLineChars="0"/>
                    <w:jc w:val="center"/>
                    <w:rPr>
                      <w:bCs/>
                      <w:kern w:val="0"/>
                      <w:sz w:val="21"/>
                      <w:szCs w:val="21"/>
                    </w:rPr>
                  </w:pPr>
                  <w:r>
                    <w:rPr>
                      <w:bCs/>
                      <w:kern w:val="0"/>
                      <w:sz w:val="21"/>
                      <w:szCs w:val="21"/>
                    </w:rPr>
                    <w:t>年平均质量浓度</w:t>
                  </w:r>
                </w:p>
              </w:tc>
              <w:tc>
                <w:tcPr>
                  <w:tcW w:w="1200" w:type="dxa"/>
                  <w:tcBorders>
                    <w:tl2br w:val="nil"/>
                    <w:tr2bl w:val="nil"/>
                  </w:tcBorders>
                  <w:vAlign w:val="center"/>
                </w:tcPr>
                <w:p w14:paraId="345ED1D3">
                  <w:pPr>
                    <w:adjustRightInd w:val="0"/>
                    <w:snapToGrid w:val="0"/>
                    <w:spacing w:line="240" w:lineRule="auto"/>
                    <w:ind w:firstLine="0" w:firstLineChars="0"/>
                    <w:jc w:val="center"/>
                    <w:rPr>
                      <w:bCs/>
                      <w:kern w:val="0"/>
                      <w:sz w:val="21"/>
                      <w:szCs w:val="21"/>
                    </w:rPr>
                  </w:pPr>
                  <w:r>
                    <w:rPr>
                      <w:bCs/>
                      <w:kern w:val="0"/>
                      <w:sz w:val="21"/>
                      <w:szCs w:val="21"/>
                    </w:rPr>
                    <w:t>108</w:t>
                  </w:r>
                </w:p>
              </w:tc>
              <w:tc>
                <w:tcPr>
                  <w:tcW w:w="1347" w:type="dxa"/>
                  <w:tcBorders>
                    <w:tl2br w:val="nil"/>
                    <w:tr2bl w:val="nil"/>
                  </w:tcBorders>
                  <w:vAlign w:val="center"/>
                </w:tcPr>
                <w:p w14:paraId="34A44C64">
                  <w:pPr>
                    <w:adjustRightInd w:val="0"/>
                    <w:snapToGrid w:val="0"/>
                    <w:spacing w:line="240" w:lineRule="auto"/>
                    <w:ind w:firstLine="0" w:firstLineChars="0"/>
                    <w:jc w:val="center"/>
                    <w:rPr>
                      <w:bCs/>
                      <w:kern w:val="0"/>
                      <w:sz w:val="21"/>
                      <w:szCs w:val="21"/>
                    </w:rPr>
                  </w:pPr>
                  <w:r>
                    <w:rPr>
                      <w:bCs/>
                      <w:kern w:val="0"/>
                      <w:sz w:val="21"/>
                      <w:szCs w:val="21"/>
                    </w:rPr>
                    <w:t>60</w:t>
                  </w:r>
                </w:p>
              </w:tc>
              <w:tc>
                <w:tcPr>
                  <w:tcW w:w="1080" w:type="dxa"/>
                  <w:tcBorders>
                    <w:tl2br w:val="nil"/>
                    <w:tr2bl w:val="nil"/>
                  </w:tcBorders>
                  <w:vAlign w:val="center"/>
                </w:tcPr>
                <w:p w14:paraId="1E136FC6">
                  <w:pPr>
                    <w:adjustRightInd w:val="0"/>
                    <w:snapToGrid w:val="0"/>
                    <w:spacing w:line="240" w:lineRule="auto"/>
                    <w:ind w:firstLine="0" w:firstLineChars="0"/>
                    <w:jc w:val="center"/>
                    <w:rPr>
                      <w:bCs/>
                      <w:kern w:val="0"/>
                      <w:sz w:val="21"/>
                      <w:szCs w:val="21"/>
                    </w:rPr>
                  </w:pPr>
                  <w:r>
                    <w:rPr>
                      <w:bCs/>
                      <w:kern w:val="0"/>
                      <w:sz w:val="21"/>
                      <w:szCs w:val="21"/>
                    </w:rPr>
                    <w:t>180</w:t>
                  </w:r>
                </w:p>
              </w:tc>
              <w:tc>
                <w:tcPr>
                  <w:tcW w:w="997" w:type="dxa"/>
                  <w:tcBorders>
                    <w:tl2br w:val="nil"/>
                    <w:tr2bl w:val="nil"/>
                  </w:tcBorders>
                  <w:vAlign w:val="center"/>
                </w:tcPr>
                <w:p w14:paraId="6AB3B16E">
                  <w:pPr>
                    <w:adjustRightInd w:val="0"/>
                    <w:snapToGrid w:val="0"/>
                    <w:spacing w:line="240" w:lineRule="auto"/>
                    <w:ind w:firstLine="0" w:firstLineChars="0"/>
                    <w:jc w:val="center"/>
                    <w:rPr>
                      <w:bCs/>
                      <w:kern w:val="0"/>
                      <w:sz w:val="21"/>
                      <w:szCs w:val="21"/>
                    </w:rPr>
                  </w:pPr>
                  <w:r>
                    <w:rPr>
                      <w:bCs/>
                      <w:kern w:val="0"/>
                      <w:sz w:val="21"/>
                      <w:szCs w:val="21"/>
                    </w:rPr>
                    <w:t>超标</w:t>
                  </w:r>
                </w:p>
              </w:tc>
            </w:tr>
            <w:tr w14:paraId="774C76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96" w:type="dxa"/>
                  <w:vMerge w:val="continue"/>
                  <w:tcBorders>
                    <w:tl2br w:val="nil"/>
                    <w:tr2bl w:val="nil"/>
                  </w:tcBorders>
                  <w:vAlign w:val="center"/>
                </w:tcPr>
                <w:p w14:paraId="51A707F3">
                  <w:pPr>
                    <w:adjustRightInd w:val="0"/>
                    <w:snapToGrid w:val="0"/>
                    <w:spacing w:line="240" w:lineRule="auto"/>
                    <w:ind w:firstLine="0" w:firstLineChars="0"/>
                    <w:jc w:val="center"/>
                    <w:rPr>
                      <w:bCs/>
                      <w:kern w:val="0"/>
                      <w:sz w:val="21"/>
                      <w:szCs w:val="21"/>
                    </w:rPr>
                  </w:pPr>
                </w:p>
              </w:tc>
              <w:tc>
                <w:tcPr>
                  <w:tcW w:w="2219" w:type="dxa"/>
                  <w:tcBorders>
                    <w:tl2br w:val="nil"/>
                    <w:tr2bl w:val="nil"/>
                  </w:tcBorders>
                  <w:vAlign w:val="center"/>
                </w:tcPr>
                <w:p w14:paraId="0FE8E500">
                  <w:pPr>
                    <w:adjustRightInd w:val="0"/>
                    <w:snapToGrid w:val="0"/>
                    <w:spacing w:line="240" w:lineRule="auto"/>
                    <w:ind w:firstLine="0" w:firstLineChars="0"/>
                    <w:jc w:val="center"/>
                    <w:rPr>
                      <w:bCs/>
                      <w:kern w:val="0"/>
                      <w:sz w:val="21"/>
                      <w:szCs w:val="21"/>
                    </w:rPr>
                  </w:pPr>
                  <w:r>
                    <w:rPr>
                      <w:bCs/>
                      <w:kern w:val="0"/>
                      <w:sz w:val="21"/>
                      <w:szCs w:val="21"/>
                    </w:rPr>
                    <w:t>24小时平均质量浓度第95百分位数</w:t>
                  </w:r>
                </w:p>
              </w:tc>
              <w:tc>
                <w:tcPr>
                  <w:tcW w:w="1200" w:type="dxa"/>
                  <w:tcBorders>
                    <w:tl2br w:val="nil"/>
                    <w:tr2bl w:val="nil"/>
                  </w:tcBorders>
                  <w:vAlign w:val="center"/>
                </w:tcPr>
                <w:p w14:paraId="74A5DDCE">
                  <w:pPr>
                    <w:adjustRightInd w:val="0"/>
                    <w:snapToGrid w:val="0"/>
                    <w:spacing w:line="240" w:lineRule="auto"/>
                    <w:ind w:firstLine="0" w:firstLineChars="0"/>
                    <w:jc w:val="center"/>
                    <w:rPr>
                      <w:bCs/>
                      <w:kern w:val="0"/>
                      <w:sz w:val="21"/>
                      <w:szCs w:val="21"/>
                    </w:rPr>
                  </w:pPr>
                  <w:r>
                    <w:rPr>
                      <w:bCs/>
                      <w:kern w:val="0"/>
                      <w:sz w:val="21"/>
                      <w:szCs w:val="21"/>
                    </w:rPr>
                    <w:t>318</w:t>
                  </w:r>
                </w:p>
              </w:tc>
              <w:tc>
                <w:tcPr>
                  <w:tcW w:w="1347" w:type="dxa"/>
                  <w:tcBorders>
                    <w:tl2br w:val="nil"/>
                    <w:tr2bl w:val="nil"/>
                  </w:tcBorders>
                  <w:vAlign w:val="center"/>
                </w:tcPr>
                <w:p w14:paraId="1A3B1981">
                  <w:pPr>
                    <w:adjustRightInd w:val="0"/>
                    <w:snapToGrid w:val="0"/>
                    <w:spacing w:line="240" w:lineRule="auto"/>
                    <w:ind w:firstLine="0" w:firstLineChars="0"/>
                    <w:jc w:val="center"/>
                    <w:rPr>
                      <w:bCs/>
                      <w:kern w:val="0"/>
                      <w:sz w:val="21"/>
                      <w:szCs w:val="21"/>
                    </w:rPr>
                  </w:pPr>
                  <w:r>
                    <w:rPr>
                      <w:bCs/>
                      <w:kern w:val="0"/>
                      <w:sz w:val="21"/>
                      <w:szCs w:val="21"/>
                    </w:rPr>
                    <w:t>120</w:t>
                  </w:r>
                </w:p>
              </w:tc>
              <w:tc>
                <w:tcPr>
                  <w:tcW w:w="1080" w:type="dxa"/>
                  <w:tcBorders>
                    <w:tl2br w:val="nil"/>
                    <w:tr2bl w:val="nil"/>
                  </w:tcBorders>
                  <w:vAlign w:val="center"/>
                </w:tcPr>
                <w:p w14:paraId="684E3277">
                  <w:pPr>
                    <w:adjustRightInd w:val="0"/>
                    <w:snapToGrid w:val="0"/>
                    <w:spacing w:line="240" w:lineRule="auto"/>
                    <w:ind w:firstLine="0" w:firstLineChars="0"/>
                    <w:jc w:val="center"/>
                    <w:rPr>
                      <w:bCs/>
                      <w:kern w:val="0"/>
                      <w:sz w:val="21"/>
                      <w:szCs w:val="21"/>
                    </w:rPr>
                  </w:pPr>
                  <w:r>
                    <w:rPr>
                      <w:bCs/>
                      <w:kern w:val="0"/>
                      <w:sz w:val="21"/>
                      <w:szCs w:val="21"/>
                    </w:rPr>
                    <w:t>265</w:t>
                  </w:r>
                </w:p>
              </w:tc>
              <w:tc>
                <w:tcPr>
                  <w:tcW w:w="997" w:type="dxa"/>
                  <w:tcBorders>
                    <w:tl2br w:val="nil"/>
                    <w:tr2bl w:val="nil"/>
                  </w:tcBorders>
                  <w:vAlign w:val="center"/>
                </w:tcPr>
                <w:p w14:paraId="1AF2FFCF">
                  <w:pPr>
                    <w:adjustRightInd w:val="0"/>
                    <w:snapToGrid w:val="0"/>
                    <w:spacing w:line="240" w:lineRule="auto"/>
                    <w:ind w:firstLine="0" w:firstLineChars="0"/>
                    <w:jc w:val="center"/>
                    <w:rPr>
                      <w:bCs/>
                      <w:kern w:val="0"/>
                      <w:sz w:val="21"/>
                      <w:szCs w:val="21"/>
                    </w:rPr>
                  </w:pPr>
                  <w:r>
                    <w:rPr>
                      <w:bCs/>
                      <w:kern w:val="0"/>
                      <w:sz w:val="21"/>
                      <w:szCs w:val="21"/>
                    </w:rPr>
                    <w:t>超标</w:t>
                  </w:r>
                </w:p>
              </w:tc>
            </w:tr>
            <w:tr w14:paraId="50CE22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96" w:type="dxa"/>
                  <w:tcBorders>
                    <w:tl2br w:val="nil"/>
                    <w:tr2bl w:val="nil"/>
                  </w:tcBorders>
                  <w:vAlign w:val="center"/>
                </w:tcPr>
                <w:p w14:paraId="4B651F7B">
                  <w:pPr>
                    <w:adjustRightInd w:val="0"/>
                    <w:snapToGrid w:val="0"/>
                    <w:spacing w:line="240" w:lineRule="auto"/>
                    <w:ind w:firstLine="0" w:firstLineChars="0"/>
                    <w:jc w:val="center"/>
                    <w:rPr>
                      <w:bCs/>
                      <w:kern w:val="0"/>
                      <w:sz w:val="21"/>
                      <w:szCs w:val="21"/>
                    </w:rPr>
                  </w:pPr>
                  <w:r>
                    <w:rPr>
                      <w:bCs/>
                      <w:kern w:val="0"/>
                      <w:sz w:val="21"/>
                      <w:szCs w:val="21"/>
                    </w:rPr>
                    <w:t>CO</w:t>
                  </w:r>
                </w:p>
              </w:tc>
              <w:tc>
                <w:tcPr>
                  <w:tcW w:w="2219" w:type="dxa"/>
                  <w:tcBorders>
                    <w:tl2br w:val="nil"/>
                    <w:tr2bl w:val="nil"/>
                  </w:tcBorders>
                  <w:vAlign w:val="center"/>
                </w:tcPr>
                <w:p w14:paraId="017581F0">
                  <w:pPr>
                    <w:adjustRightInd w:val="0"/>
                    <w:snapToGrid w:val="0"/>
                    <w:spacing w:line="240" w:lineRule="auto"/>
                    <w:ind w:firstLine="0" w:firstLineChars="0"/>
                    <w:rPr>
                      <w:bCs/>
                      <w:kern w:val="0"/>
                      <w:sz w:val="21"/>
                      <w:szCs w:val="21"/>
                    </w:rPr>
                  </w:pPr>
                  <w:r>
                    <w:rPr>
                      <w:bCs/>
                      <w:kern w:val="0"/>
                      <w:sz w:val="21"/>
                      <w:szCs w:val="21"/>
                    </w:rPr>
                    <w:t>24小时平均质量浓度</w:t>
                  </w:r>
                </w:p>
              </w:tc>
              <w:tc>
                <w:tcPr>
                  <w:tcW w:w="1200" w:type="dxa"/>
                  <w:tcBorders>
                    <w:tl2br w:val="nil"/>
                    <w:tr2bl w:val="nil"/>
                  </w:tcBorders>
                  <w:vAlign w:val="center"/>
                </w:tcPr>
                <w:p w14:paraId="140675E9">
                  <w:pPr>
                    <w:adjustRightInd w:val="0"/>
                    <w:snapToGrid w:val="0"/>
                    <w:spacing w:line="240" w:lineRule="auto"/>
                    <w:ind w:firstLine="0" w:firstLineChars="0"/>
                    <w:jc w:val="center"/>
                    <w:rPr>
                      <w:bCs/>
                      <w:kern w:val="0"/>
                      <w:sz w:val="21"/>
                      <w:szCs w:val="21"/>
                    </w:rPr>
                  </w:pPr>
                  <w:r>
                    <w:rPr>
                      <w:bCs/>
                      <w:kern w:val="0"/>
                      <w:sz w:val="21"/>
                      <w:szCs w:val="21"/>
                    </w:rPr>
                    <w:t>2.2</w:t>
                  </w:r>
                </w:p>
              </w:tc>
              <w:tc>
                <w:tcPr>
                  <w:tcW w:w="1347" w:type="dxa"/>
                  <w:tcBorders>
                    <w:tl2br w:val="nil"/>
                    <w:tr2bl w:val="nil"/>
                  </w:tcBorders>
                  <w:vAlign w:val="center"/>
                </w:tcPr>
                <w:p w14:paraId="56E61514">
                  <w:pPr>
                    <w:adjustRightInd w:val="0"/>
                    <w:snapToGrid w:val="0"/>
                    <w:spacing w:line="240" w:lineRule="auto"/>
                    <w:ind w:firstLine="0" w:firstLineChars="0"/>
                    <w:jc w:val="center"/>
                    <w:rPr>
                      <w:bCs/>
                      <w:kern w:val="0"/>
                      <w:sz w:val="21"/>
                      <w:szCs w:val="21"/>
                    </w:rPr>
                  </w:pPr>
                  <w:r>
                    <w:rPr>
                      <w:bCs/>
                      <w:kern w:val="0"/>
                      <w:sz w:val="21"/>
                      <w:szCs w:val="21"/>
                    </w:rPr>
                    <w:t>4</w:t>
                  </w:r>
                </w:p>
              </w:tc>
              <w:tc>
                <w:tcPr>
                  <w:tcW w:w="1080" w:type="dxa"/>
                  <w:tcBorders>
                    <w:tl2br w:val="nil"/>
                    <w:tr2bl w:val="nil"/>
                  </w:tcBorders>
                  <w:vAlign w:val="center"/>
                </w:tcPr>
                <w:p w14:paraId="53C396C4">
                  <w:pPr>
                    <w:adjustRightInd w:val="0"/>
                    <w:snapToGrid w:val="0"/>
                    <w:spacing w:line="240" w:lineRule="auto"/>
                    <w:ind w:firstLine="0" w:firstLineChars="0"/>
                    <w:jc w:val="center"/>
                    <w:rPr>
                      <w:bCs/>
                      <w:kern w:val="0"/>
                      <w:sz w:val="21"/>
                      <w:szCs w:val="21"/>
                    </w:rPr>
                  </w:pPr>
                  <w:r>
                    <w:rPr>
                      <w:bCs/>
                      <w:kern w:val="0"/>
                      <w:sz w:val="21"/>
                      <w:szCs w:val="21"/>
                    </w:rPr>
                    <w:t>55</w:t>
                  </w:r>
                </w:p>
              </w:tc>
              <w:tc>
                <w:tcPr>
                  <w:tcW w:w="997" w:type="dxa"/>
                  <w:tcBorders>
                    <w:tl2br w:val="nil"/>
                    <w:tr2bl w:val="nil"/>
                  </w:tcBorders>
                  <w:vAlign w:val="center"/>
                </w:tcPr>
                <w:p w14:paraId="117BADFB">
                  <w:pPr>
                    <w:adjustRightInd w:val="0"/>
                    <w:snapToGrid w:val="0"/>
                    <w:spacing w:line="240" w:lineRule="auto"/>
                    <w:ind w:firstLine="0" w:firstLineChars="0"/>
                    <w:jc w:val="center"/>
                    <w:rPr>
                      <w:bCs/>
                      <w:kern w:val="0"/>
                      <w:sz w:val="21"/>
                      <w:szCs w:val="21"/>
                    </w:rPr>
                  </w:pPr>
                  <w:r>
                    <w:rPr>
                      <w:bCs/>
                      <w:kern w:val="0"/>
                      <w:sz w:val="21"/>
                      <w:szCs w:val="21"/>
                    </w:rPr>
                    <w:t>达标</w:t>
                  </w:r>
                </w:p>
              </w:tc>
            </w:tr>
            <w:tr w14:paraId="317AF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96" w:type="dxa"/>
                  <w:tcBorders>
                    <w:tl2br w:val="nil"/>
                    <w:tr2bl w:val="nil"/>
                  </w:tcBorders>
                  <w:vAlign w:val="center"/>
                </w:tcPr>
                <w:p w14:paraId="0F0756BE">
                  <w:pPr>
                    <w:adjustRightInd w:val="0"/>
                    <w:snapToGrid w:val="0"/>
                    <w:spacing w:line="240" w:lineRule="auto"/>
                    <w:ind w:firstLine="0" w:firstLineChars="0"/>
                    <w:jc w:val="center"/>
                    <w:rPr>
                      <w:bCs/>
                      <w:kern w:val="0"/>
                      <w:sz w:val="21"/>
                      <w:szCs w:val="21"/>
                    </w:rPr>
                  </w:pPr>
                  <w:r>
                    <w:rPr>
                      <w:bCs/>
                      <w:kern w:val="0"/>
                      <w:sz w:val="21"/>
                      <w:szCs w:val="21"/>
                    </w:rPr>
                    <w:t>O</w:t>
                  </w:r>
                  <w:r>
                    <w:rPr>
                      <w:bCs/>
                      <w:kern w:val="0"/>
                      <w:sz w:val="21"/>
                      <w:szCs w:val="21"/>
                      <w:vertAlign w:val="subscript"/>
                    </w:rPr>
                    <w:t>3</w:t>
                  </w:r>
                </w:p>
              </w:tc>
              <w:tc>
                <w:tcPr>
                  <w:tcW w:w="2219" w:type="dxa"/>
                  <w:tcBorders>
                    <w:tl2br w:val="nil"/>
                    <w:tr2bl w:val="nil"/>
                  </w:tcBorders>
                  <w:vAlign w:val="center"/>
                </w:tcPr>
                <w:p w14:paraId="27977E48">
                  <w:pPr>
                    <w:adjustRightInd w:val="0"/>
                    <w:snapToGrid w:val="0"/>
                    <w:spacing w:line="240" w:lineRule="auto"/>
                    <w:ind w:firstLine="0" w:firstLineChars="0"/>
                    <w:jc w:val="center"/>
                    <w:rPr>
                      <w:bCs/>
                      <w:kern w:val="0"/>
                      <w:sz w:val="21"/>
                      <w:szCs w:val="21"/>
                    </w:rPr>
                  </w:pPr>
                  <w:r>
                    <w:rPr>
                      <w:rFonts w:hint="eastAsia"/>
                      <w:bCs/>
                      <w:kern w:val="0"/>
                      <w:sz w:val="21"/>
                      <w:szCs w:val="21"/>
                    </w:rPr>
                    <w:t>日最大8小时滑动平均值的第90百分位数</w:t>
                  </w:r>
                </w:p>
              </w:tc>
              <w:tc>
                <w:tcPr>
                  <w:tcW w:w="1200" w:type="dxa"/>
                  <w:tcBorders>
                    <w:tl2br w:val="nil"/>
                    <w:tr2bl w:val="nil"/>
                  </w:tcBorders>
                  <w:vAlign w:val="center"/>
                </w:tcPr>
                <w:p w14:paraId="79D46007">
                  <w:pPr>
                    <w:adjustRightInd w:val="0"/>
                    <w:snapToGrid w:val="0"/>
                    <w:spacing w:line="240" w:lineRule="auto"/>
                    <w:ind w:firstLine="0" w:firstLineChars="0"/>
                    <w:jc w:val="center"/>
                    <w:rPr>
                      <w:bCs/>
                      <w:kern w:val="0"/>
                      <w:sz w:val="21"/>
                      <w:szCs w:val="21"/>
                    </w:rPr>
                  </w:pPr>
                  <w:r>
                    <w:rPr>
                      <w:bCs/>
                      <w:kern w:val="0"/>
                      <w:sz w:val="21"/>
                      <w:szCs w:val="21"/>
                    </w:rPr>
                    <w:t>130</w:t>
                  </w:r>
                </w:p>
              </w:tc>
              <w:tc>
                <w:tcPr>
                  <w:tcW w:w="1347" w:type="dxa"/>
                  <w:tcBorders>
                    <w:tl2br w:val="nil"/>
                    <w:tr2bl w:val="nil"/>
                  </w:tcBorders>
                  <w:vAlign w:val="center"/>
                </w:tcPr>
                <w:p w14:paraId="6374DE82">
                  <w:pPr>
                    <w:adjustRightInd w:val="0"/>
                    <w:snapToGrid w:val="0"/>
                    <w:spacing w:line="240" w:lineRule="auto"/>
                    <w:ind w:firstLine="0" w:firstLineChars="0"/>
                    <w:jc w:val="center"/>
                    <w:rPr>
                      <w:bCs/>
                      <w:kern w:val="0"/>
                      <w:sz w:val="21"/>
                      <w:szCs w:val="21"/>
                    </w:rPr>
                  </w:pPr>
                  <w:r>
                    <w:rPr>
                      <w:bCs/>
                      <w:kern w:val="0"/>
                      <w:sz w:val="21"/>
                      <w:szCs w:val="21"/>
                    </w:rPr>
                    <w:t>160</w:t>
                  </w:r>
                </w:p>
              </w:tc>
              <w:tc>
                <w:tcPr>
                  <w:tcW w:w="1080" w:type="dxa"/>
                  <w:tcBorders>
                    <w:tl2br w:val="nil"/>
                    <w:tr2bl w:val="nil"/>
                  </w:tcBorders>
                  <w:vAlign w:val="center"/>
                </w:tcPr>
                <w:p w14:paraId="158905B5">
                  <w:pPr>
                    <w:adjustRightInd w:val="0"/>
                    <w:snapToGrid w:val="0"/>
                    <w:spacing w:line="240" w:lineRule="auto"/>
                    <w:ind w:firstLine="0" w:firstLineChars="0"/>
                    <w:jc w:val="center"/>
                    <w:rPr>
                      <w:bCs/>
                      <w:kern w:val="0"/>
                      <w:sz w:val="21"/>
                      <w:szCs w:val="21"/>
                    </w:rPr>
                  </w:pPr>
                  <w:r>
                    <w:rPr>
                      <w:bCs/>
                      <w:kern w:val="0"/>
                      <w:sz w:val="21"/>
                      <w:szCs w:val="21"/>
                    </w:rPr>
                    <w:t>81</w:t>
                  </w:r>
                </w:p>
              </w:tc>
              <w:tc>
                <w:tcPr>
                  <w:tcW w:w="997" w:type="dxa"/>
                  <w:tcBorders>
                    <w:tl2br w:val="nil"/>
                    <w:tr2bl w:val="nil"/>
                  </w:tcBorders>
                  <w:vAlign w:val="center"/>
                </w:tcPr>
                <w:p w14:paraId="44ACBA7C">
                  <w:pPr>
                    <w:adjustRightInd w:val="0"/>
                    <w:snapToGrid w:val="0"/>
                    <w:spacing w:line="240" w:lineRule="auto"/>
                    <w:ind w:firstLine="0" w:firstLineChars="0"/>
                    <w:jc w:val="center"/>
                    <w:rPr>
                      <w:bCs/>
                      <w:kern w:val="0"/>
                      <w:sz w:val="21"/>
                      <w:szCs w:val="21"/>
                    </w:rPr>
                  </w:pPr>
                  <w:r>
                    <w:rPr>
                      <w:bCs/>
                      <w:kern w:val="0"/>
                      <w:sz w:val="21"/>
                      <w:szCs w:val="21"/>
                    </w:rPr>
                    <w:t>达标</w:t>
                  </w:r>
                </w:p>
              </w:tc>
            </w:tr>
          </w:tbl>
          <w:p w14:paraId="5556E7B9">
            <w:pPr>
              <w:adjustRightInd w:val="0"/>
              <w:snapToGrid w:val="0"/>
            </w:pPr>
            <w:r>
              <w:rPr>
                <w:rFonts w:hint="eastAsia"/>
              </w:rPr>
              <w:t>和静县空气自动监测站</w:t>
            </w:r>
            <w:r>
              <w:t>2024</w:t>
            </w:r>
            <w:r>
              <w:rPr>
                <w:rFonts w:hint="eastAsia"/>
              </w:rPr>
              <w:t>年空气质量监测总天数为</w:t>
            </w:r>
            <w:r>
              <w:t>365</w:t>
            </w:r>
            <w:r>
              <w:rPr>
                <w:rFonts w:hint="eastAsia"/>
              </w:rPr>
              <w:t>天。受沙尘天气影响，</w:t>
            </w:r>
            <w:r>
              <w:t>PM</w:t>
            </w:r>
            <w:r>
              <w:rPr>
                <w:vertAlign w:val="subscript"/>
              </w:rPr>
              <w:t>2.5</w:t>
            </w:r>
            <w:r>
              <w:rPr>
                <w:rFonts w:hint="eastAsia"/>
              </w:rPr>
              <w:t>和</w:t>
            </w:r>
            <w:r>
              <w:t>PM</w:t>
            </w:r>
            <w:r>
              <w:rPr>
                <w:vertAlign w:val="subscript"/>
              </w:rPr>
              <w:t>10</w:t>
            </w:r>
            <w:r>
              <w:rPr>
                <w:rFonts w:hint="eastAsia"/>
              </w:rPr>
              <w:t>的年平均浓度及</w:t>
            </w:r>
            <w:r>
              <w:t>24</w:t>
            </w:r>
            <w:r>
              <w:rPr>
                <w:rFonts w:hint="eastAsia"/>
              </w:rPr>
              <w:t>小时平均浓度的第</w:t>
            </w:r>
            <w:r>
              <w:t>95</w:t>
            </w:r>
            <w:r>
              <w:rPr>
                <w:rFonts w:hint="eastAsia"/>
              </w:rPr>
              <w:t>百分位数均超过《环境空气质量标准》（GB3095-2026）中二级标准过渡阶段浓度限值，而</w:t>
            </w:r>
            <w:r>
              <w:t>SO₂</w:t>
            </w:r>
            <w:r>
              <w:rPr>
                <w:rFonts w:hint="eastAsia"/>
              </w:rPr>
              <w:t>、</w:t>
            </w:r>
            <w:r>
              <w:t>NO₂</w:t>
            </w:r>
            <w:r>
              <w:rPr>
                <w:rFonts w:hint="eastAsia"/>
              </w:rPr>
              <w:t>、</w:t>
            </w:r>
            <w:r>
              <w:t>CO</w:t>
            </w:r>
            <w:r>
              <w:rPr>
                <w:rFonts w:hint="eastAsia"/>
              </w:rPr>
              <w:t>、</w:t>
            </w:r>
            <w:r>
              <w:t>O₃</w:t>
            </w:r>
            <w:r>
              <w:rPr>
                <w:rFonts w:hint="eastAsia"/>
              </w:rPr>
              <w:t>等监测指标均满足标准限值要求。</w:t>
            </w:r>
            <w:r>
              <w:t>PM</w:t>
            </w:r>
            <w:r>
              <w:rPr>
                <w:vertAlign w:val="subscript"/>
              </w:rPr>
              <w:t>10</w:t>
            </w:r>
            <w:r>
              <w:t>、PM</w:t>
            </w:r>
            <w:r>
              <w:rPr>
                <w:vertAlign w:val="subscript"/>
              </w:rPr>
              <w:t>2.5</w:t>
            </w:r>
            <w:r>
              <w:t>超标主要与当地气候条件和地理位置有关，评价区大气受当地干旱气候的影响，空气中PM</w:t>
            </w:r>
            <w:r>
              <w:rPr>
                <w:vertAlign w:val="subscript"/>
              </w:rPr>
              <w:t>2.5</w:t>
            </w:r>
            <w:r>
              <w:t>、PM</w:t>
            </w:r>
            <w:r>
              <w:rPr>
                <w:vertAlign w:val="subscript"/>
              </w:rPr>
              <w:t>10</w:t>
            </w:r>
            <w:r>
              <w:t>的本底值偏高，尤其在沙尘暴和浮尘天气，会出现严重超标。因此，项目所在区域为不达标区</w:t>
            </w:r>
            <w:r>
              <w:rPr>
                <w:rFonts w:hint="eastAsia"/>
              </w:rPr>
              <w:t>。</w:t>
            </w:r>
          </w:p>
          <w:p w14:paraId="020494FA">
            <w:pPr>
              <w:adjustRightInd w:val="0"/>
              <w:snapToGrid w:val="0"/>
              <w:ind w:firstLine="0" w:firstLineChars="0"/>
            </w:pPr>
            <w:r>
              <w:rPr>
                <w:b/>
                <w:bCs/>
              </w:rPr>
              <w:t>3.4</w:t>
            </w:r>
            <w:r>
              <w:rPr>
                <w:rFonts w:hint="eastAsia"/>
                <w:b/>
                <w:bCs/>
              </w:rPr>
              <w:t>声环境质量现状</w:t>
            </w:r>
          </w:p>
          <w:p w14:paraId="04D3FC76">
            <w:pPr>
              <w:adjustRightInd w:val="0"/>
              <w:snapToGrid w:val="0"/>
            </w:pPr>
            <w:r>
              <w:t>根据《声环境功能区划分技术规范》（GB/T15190-2014），本项目属于声环境功能区2类区域，声环境执行《声环境质量标准》（GB3096-2008）的2类声环境功能限值。</w:t>
            </w:r>
          </w:p>
          <w:p w14:paraId="5388F2D7">
            <w:pPr>
              <w:adjustRightInd w:val="0"/>
              <w:snapToGrid w:val="0"/>
            </w:pPr>
            <w:r>
              <w:rPr>
                <w:rFonts w:hint="eastAsia"/>
              </w:rPr>
              <w:t>项目厂界外周边5</w:t>
            </w:r>
            <w:r>
              <w:t>0</w:t>
            </w:r>
            <w:r>
              <w:rPr>
                <w:rFonts w:hint="eastAsia"/>
              </w:rPr>
              <w:t>米范围内不存在声环境保护目标，因此对项目不进行声环境监测。</w:t>
            </w:r>
            <w:bookmarkStart w:id="7" w:name="_Toc240865444"/>
            <w:bookmarkStart w:id="8" w:name="_Toc29722417"/>
          </w:p>
          <w:p w14:paraId="47D906E0">
            <w:pPr>
              <w:adjustRightInd w:val="0"/>
              <w:snapToGrid w:val="0"/>
              <w:ind w:firstLine="0" w:firstLineChars="0"/>
              <w:rPr>
                <w:b/>
                <w:bCs/>
              </w:rPr>
            </w:pPr>
            <w:r>
              <w:rPr>
                <w:b/>
                <w:bCs/>
              </w:rPr>
              <w:t>3.5</w:t>
            </w:r>
            <w:r>
              <w:rPr>
                <w:rFonts w:hint="eastAsia"/>
                <w:b/>
                <w:bCs/>
              </w:rPr>
              <w:t>地表水环境质量现状</w:t>
            </w:r>
            <w:bookmarkEnd w:id="7"/>
            <w:bookmarkEnd w:id="8"/>
          </w:p>
          <w:p w14:paraId="6BE995B1">
            <w:pPr>
              <w:adjustRightInd w:val="0"/>
              <w:snapToGrid w:val="0"/>
            </w:pPr>
            <w:r>
              <w:rPr>
                <w:bCs/>
              </w:rPr>
              <w:t>本项目周边的主要地表水体为</w:t>
            </w:r>
            <w:r>
              <w:rPr>
                <w:rFonts w:hint="eastAsia"/>
                <w:bCs/>
              </w:rPr>
              <w:t>芒奇提河</w:t>
            </w:r>
            <w:r>
              <w:rPr>
                <w:bCs/>
              </w:rPr>
              <w:t>，该沟流经区域由北向南穿越项目区，属开都河流域支流。</w:t>
            </w:r>
            <w:r>
              <w:rPr>
                <w:rFonts w:hint="eastAsia"/>
                <w:bCs/>
              </w:rPr>
              <w:t>根据《新疆水环境功能区划》</w:t>
            </w:r>
            <w:r>
              <w:rPr>
                <w:bCs/>
              </w:rPr>
              <w:t>，开都河部分河段水质目标为Ⅰ类，</w:t>
            </w:r>
            <w:r>
              <w:rPr>
                <w:rFonts w:hint="eastAsia"/>
                <w:bCs/>
              </w:rPr>
              <w:t>芒奇提河</w:t>
            </w:r>
            <w:r>
              <w:rPr>
                <w:bCs/>
              </w:rPr>
              <w:t>作为其支流，水质状况受控于流域整体保护要求</w:t>
            </w:r>
            <w:r>
              <w:rPr>
                <w:color w:val="000000"/>
                <w:kern w:val="0"/>
                <w:szCs w:val="22"/>
              </w:rPr>
              <w:t>。</w:t>
            </w:r>
          </w:p>
          <w:p w14:paraId="7B208ABA">
            <w:pPr>
              <w:ind w:firstLine="482"/>
              <w:rPr>
                <w:b/>
                <w:bCs/>
                <w:lang w:bidi="ar"/>
              </w:rPr>
            </w:pPr>
            <w:r>
              <w:rPr>
                <w:rFonts w:hint="eastAsia"/>
                <w:b/>
                <w:bCs/>
                <w:lang w:bidi="ar"/>
              </w:rPr>
              <w:t>（</w:t>
            </w:r>
            <w:r>
              <w:rPr>
                <w:b/>
                <w:bCs/>
                <w:lang w:bidi="ar"/>
              </w:rPr>
              <w:t>1</w:t>
            </w:r>
            <w:r>
              <w:rPr>
                <w:rFonts w:hint="eastAsia"/>
                <w:b/>
                <w:bCs/>
                <w:lang w:bidi="ar"/>
              </w:rPr>
              <w:t>）数据来源</w:t>
            </w:r>
          </w:p>
          <w:p w14:paraId="2A770346">
            <w:pPr>
              <w:rPr>
                <w:b/>
                <w:bCs/>
                <w:lang w:bidi="ar"/>
              </w:rPr>
            </w:pPr>
            <w:r>
              <w:rPr>
                <w:rFonts w:hint="eastAsia"/>
                <w:bCs/>
              </w:rPr>
              <w:t>本次地表水环境质量现状评价数据，由西安地质矿产勘查开发院有限公司采样后送新疆中测测试有限责任公司检测，该公司于2026年7月9日收样并完成检测</w:t>
            </w:r>
            <w:r>
              <w:rPr>
                <w:rFonts w:hint="eastAsia"/>
                <w:lang w:bidi="ar"/>
              </w:rPr>
              <w:t>。</w:t>
            </w:r>
          </w:p>
          <w:p w14:paraId="32C55817">
            <w:pPr>
              <w:ind w:firstLine="482"/>
              <w:rPr>
                <w:b/>
                <w:bCs/>
                <w:lang w:bidi="ar"/>
              </w:rPr>
            </w:pPr>
            <w:r>
              <w:rPr>
                <w:rFonts w:hint="eastAsia"/>
                <w:b/>
                <w:bCs/>
                <w:lang w:bidi="ar"/>
              </w:rPr>
              <w:t>（</w:t>
            </w:r>
            <w:r>
              <w:rPr>
                <w:b/>
                <w:bCs/>
                <w:lang w:bidi="ar"/>
              </w:rPr>
              <w:t>2</w:t>
            </w:r>
            <w:r>
              <w:rPr>
                <w:rFonts w:hint="eastAsia"/>
                <w:b/>
                <w:bCs/>
                <w:lang w:bidi="ar"/>
              </w:rPr>
              <w:t>）监测布点及监测因子</w:t>
            </w:r>
          </w:p>
          <w:p w14:paraId="57D14504">
            <w:pPr>
              <w:rPr>
                <w:color w:val="000000"/>
                <w:szCs w:val="22"/>
              </w:rPr>
            </w:pPr>
            <w:r>
              <w:rPr>
                <w:rFonts w:hint="eastAsia"/>
                <w:color w:val="000000"/>
                <w:szCs w:val="22"/>
              </w:rPr>
              <w:t>监测点位见表</w:t>
            </w:r>
            <w:r>
              <w:rPr>
                <w:color w:val="000000"/>
                <w:szCs w:val="22"/>
              </w:rPr>
              <w:t>3-</w:t>
            </w:r>
            <w:r>
              <w:rPr>
                <w:rFonts w:hint="eastAsia"/>
                <w:color w:val="000000"/>
                <w:szCs w:val="22"/>
              </w:rPr>
              <w:t>3。</w:t>
            </w:r>
          </w:p>
          <w:p w14:paraId="1251A26B">
            <w:pPr>
              <w:adjustRightInd w:val="0"/>
              <w:snapToGrid w:val="0"/>
              <w:spacing w:line="240" w:lineRule="auto"/>
              <w:ind w:firstLine="0" w:firstLineChars="0"/>
              <w:jc w:val="center"/>
              <w:rPr>
                <w:b/>
                <w:kern w:val="0"/>
                <w:sz w:val="21"/>
                <w:szCs w:val="21"/>
              </w:rPr>
            </w:pPr>
            <w:r>
              <w:rPr>
                <w:rFonts w:hint="eastAsia"/>
                <w:b/>
                <w:kern w:val="0"/>
                <w:sz w:val="21"/>
                <w:szCs w:val="21"/>
              </w:rPr>
              <w:t>表</w:t>
            </w:r>
            <w:r>
              <w:rPr>
                <w:b/>
                <w:kern w:val="0"/>
                <w:sz w:val="21"/>
                <w:szCs w:val="21"/>
              </w:rPr>
              <w:t>3-</w:t>
            </w:r>
            <w:r>
              <w:rPr>
                <w:rFonts w:hint="eastAsia"/>
                <w:b/>
                <w:kern w:val="0"/>
                <w:sz w:val="21"/>
                <w:szCs w:val="21"/>
              </w:rPr>
              <w:t>3</w:t>
            </w:r>
            <w:r>
              <w:rPr>
                <w:b/>
                <w:kern w:val="0"/>
                <w:sz w:val="21"/>
                <w:szCs w:val="21"/>
              </w:rPr>
              <w:t xml:space="preserve">  </w:t>
            </w:r>
            <w:r>
              <w:rPr>
                <w:rFonts w:hint="eastAsia"/>
                <w:b/>
                <w:kern w:val="0"/>
                <w:sz w:val="21"/>
                <w:szCs w:val="21"/>
              </w:rPr>
              <w:t>监测方案</w:t>
            </w:r>
          </w:p>
          <w:tbl>
            <w:tblPr>
              <w:tblStyle w:val="23"/>
              <w:tblW w:w="500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198"/>
              <w:gridCol w:w="889"/>
              <w:gridCol w:w="2071"/>
              <w:gridCol w:w="3662"/>
            </w:tblGrid>
            <w:tr w14:paraId="0990C3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76" w:hRule="atLeast"/>
                <w:jc w:val="center"/>
              </w:trPr>
              <w:tc>
                <w:tcPr>
                  <w:tcW w:w="766" w:type="pct"/>
                  <w:tcBorders>
                    <w:top w:val="single" w:color="000000" w:sz="12" w:space="0"/>
                    <w:left w:val="single" w:color="000000" w:sz="12" w:space="0"/>
                    <w:bottom w:val="single" w:color="000000" w:sz="6" w:space="0"/>
                    <w:right w:val="single" w:color="000000" w:sz="6" w:space="0"/>
                  </w:tcBorders>
                  <w:vAlign w:val="center"/>
                </w:tcPr>
                <w:p w14:paraId="3C0812CF">
                  <w:pPr>
                    <w:pStyle w:val="32"/>
                    <w:rPr>
                      <w:rFonts w:cstheme="minorBidi"/>
                      <w:szCs w:val="21"/>
                    </w:rPr>
                  </w:pPr>
                  <w:r>
                    <w:rPr>
                      <w:rFonts w:hint="eastAsia"/>
                      <w:szCs w:val="21"/>
                    </w:rPr>
                    <w:t>监测项目</w:t>
                  </w:r>
                </w:p>
              </w:tc>
              <w:tc>
                <w:tcPr>
                  <w:tcW w:w="568" w:type="pct"/>
                  <w:tcBorders>
                    <w:top w:val="single" w:color="000000" w:sz="12" w:space="0"/>
                    <w:left w:val="single" w:color="000000" w:sz="6" w:space="0"/>
                    <w:bottom w:val="single" w:color="000000" w:sz="6" w:space="0"/>
                    <w:right w:val="single" w:color="000000" w:sz="6" w:space="0"/>
                  </w:tcBorders>
                  <w:vAlign w:val="center"/>
                </w:tcPr>
                <w:p w14:paraId="1CC65A94">
                  <w:pPr>
                    <w:pStyle w:val="32"/>
                    <w:rPr>
                      <w:szCs w:val="21"/>
                    </w:rPr>
                  </w:pPr>
                  <w:r>
                    <w:rPr>
                      <w:rFonts w:hint="eastAsia"/>
                      <w:szCs w:val="21"/>
                    </w:rPr>
                    <w:t>类别</w:t>
                  </w:r>
                </w:p>
              </w:tc>
              <w:tc>
                <w:tcPr>
                  <w:tcW w:w="1324" w:type="pct"/>
                  <w:tcBorders>
                    <w:top w:val="single" w:color="000000" w:sz="12" w:space="0"/>
                    <w:left w:val="single" w:color="000000" w:sz="6" w:space="0"/>
                    <w:bottom w:val="single" w:color="000000" w:sz="6" w:space="0"/>
                    <w:right w:val="single" w:color="000000" w:sz="6" w:space="0"/>
                  </w:tcBorders>
                  <w:vAlign w:val="center"/>
                </w:tcPr>
                <w:p w14:paraId="008DAF45">
                  <w:pPr>
                    <w:pStyle w:val="32"/>
                    <w:rPr>
                      <w:szCs w:val="21"/>
                    </w:rPr>
                  </w:pPr>
                  <w:r>
                    <w:rPr>
                      <w:rFonts w:hint="eastAsia"/>
                      <w:szCs w:val="21"/>
                    </w:rPr>
                    <w:t>监测采样点位</w:t>
                  </w:r>
                </w:p>
              </w:tc>
              <w:tc>
                <w:tcPr>
                  <w:tcW w:w="2341" w:type="pct"/>
                  <w:tcBorders>
                    <w:top w:val="single" w:color="000000" w:sz="12" w:space="0"/>
                    <w:left w:val="single" w:color="000000" w:sz="6" w:space="0"/>
                    <w:bottom w:val="single" w:color="000000" w:sz="6" w:space="0"/>
                    <w:right w:val="single" w:color="000000" w:sz="6" w:space="0"/>
                  </w:tcBorders>
                  <w:vAlign w:val="center"/>
                </w:tcPr>
                <w:p w14:paraId="568992D4">
                  <w:pPr>
                    <w:pStyle w:val="32"/>
                    <w:rPr>
                      <w:szCs w:val="21"/>
                    </w:rPr>
                  </w:pPr>
                  <w:r>
                    <w:rPr>
                      <w:rFonts w:hint="eastAsia"/>
                      <w:szCs w:val="21"/>
                    </w:rPr>
                    <w:t>监测因子</w:t>
                  </w:r>
                </w:p>
              </w:tc>
            </w:tr>
            <w:tr w14:paraId="580E25F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766" w:type="pct"/>
                  <w:tcBorders>
                    <w:top w:val="single" w:color="000000" w:sz="6" w:space="0"/>
                    <w:left w:val="single" w:color="000000" w:sz="12" w:space="0"/>
                    <w:bottom w:val="single" w:color="000000" w:sz="12" w:space="0"/>
                    <w:right w:val="single" w:color="000000" w:sz="6" w:space="0"/>
                  </w:tcBorders>
                  <w:vAlign w:val="center"/>
                </w:tcPr>
                <w:p w14:paraId="1199E69C">
                  <w:pPr>
                    <w:pStyle w:val="32"/>
                    <w:rPr>
                      <w:szCs w:val="21"/>
                    </w:rPr>
                  </w:pPr>
                  <w:r>
                    <w:rPr>
                      <w:rFonts w:hint="eastAsia"/>
                      <w:szCs w:val="21"/>
                    </w:rPr>
                    <w:t>地表水</w:t>
                  </w:r>
                </w:p>
              </w:tc>
              <w:tc>
                <w:tcPr>
                  <w:tcW w:w="568" w:type="pct"/>
                  <w:tcBorders>
                    <w:top w:val="single" w:color="000000" w:sz="6" w:space="0"/>
                    <w:left w:val="single" w:color="000000" w:sz="6" w:space="0"/>
                    <w:bottom w:val="single" w:color="000000" w:sz="12" w:space="0"/>
                    <w:right w:val="single" w:color="000000" w:sz="6" w:space="0"/>
                  </w:tcBorders>
                  <w:vAlign w:val="center"/>
                </w:tcPr>
                <w:p w14:paraId="5830B58E">
                  <w:pPr>
                    <w:pStyle w:val="32"/>
                    <w:rPr>
                      <w:szCs w:val="21"/>
                    </w:rPr>
                  </w:pPr>
                  <w:r>
                    <w:rPr>
                      <w:rFonts w:hint="eastAsia"/>
                      <w:szCs w:val="21"/>
                    </w:rPr>
                    <w:t>地表水质监测</w:t>
                  </w:r>
                </w:p>
              </w:tc>
              <w:tc>
                <w:tcPr>
                  <w:tcW w:w="1324" w:type="pct"/>
                  <w:tcBorders>
                    <w:top w:val="single" w:color="000000" w:sz="6" w:space="0"/>
                    <w:left w:val="single" w:color="000000" w:sz="6" w:space="0"/>
                    <w:bottom w:val="single" w:color="000000" w:sz="12" w:space="0"/>
                    <w:right w:val="single" w:color="000000" w:sz="6" w:space="0"/>
                  </w:tcBorders>
                  <w:vAlign w:val="center"/>
                </w:tcPr>
                <w:p w14:paraId="5FB1DBFB">
                  <w:pPr>
                    <w:spacing w:line="240" w:lineRule="auto"/>
                    <w:ind w:firstLine="0" w:firstLineChars="0"/>
                    <w:jc w:val="center"/>
                    <w:rPr>
                      <w:color w:val="000000"/>
                      <w:sz w:val="21"/>
                      <w:szCs w:val="21"/>
                    </w:rPr>
                  </w:pPr>
                  <w:r>
                    <w:rPr>
                      <w:rFonts w:hint="eastAsia"/>
                      <w:color w:val="000000"/>
                      <w:sz w:val="21"/>
                      <w:szCs w:val="21"/>
                    </w:rPr>
                    <w:t>芒奇提河</w:t>
                  </w:r>
                </w:p>
                <w:p w14:paraId="45510C64">
                  <w:pPr>
                    <w:spacing w:line="240" w:lineRule="auto"/>
                    <w:ind w:firstLine="0" w:firstLineChars="0"/>
                    <w:jc w:val="center"/>
                    <w:rPr>
                      <w:sz w:val="21"/>
                      <w:szCs w:val="21"/>
                    </w:rPr>
                  </w:pPr>
                  <w:r>
                    <w:rPr>
                      <w:rFonts w:hint="eastAsia"/>
                      <w:color w:val="000000"/>
                      <w:sz w:val="21"/>
                      <w:szCs w:val="21"/>
                    </w:rPr>
                    <w:t>经度</w:t>
                  </w:r>
                  <w:r>
                    <w:rPr>
                      <w:sz w:val="21"/>
                      <w:szCs w:val="21"/>
                    </w:rPr>
                    <w:t>85°31′19.492″</w:t>
                  </w:r>
                </w:p>
                <w:p w14:paraId="51553ADC">
                  <w:pPr>
                    <w:spacing w:line="240" w:lineRule="auto"/>
                    <w:ind w:firstLine="0" w:firstLineChars="0"/>
                    <w:jc w:val="center"/>
                    <w:rPr>
                      <w:color w:val="000000"/>
                      <w:sz w:val="21"/>
                      <w:szCs w:val="21"/>
                    </w:rPr>
                  </w:pPr>
                  <w:r>
                    <w:rPr>
                      <w:rFonts w:hint="eastAsia"/>
                      <w:color w:val="000000"/>
                      <w:sz w:val="21"/>
                      <w:szCs w:val="21"/>
                    </w:rPr>
                    <w:t>纬度</w:t>
                  </w:r>
                  <w:r>
                    <w:rPr>
                      <w:sz w:val="21"/>
                      <w:szCs w:val="21"/>
                    </w:rPr>
                    <w:t>42°26′16.686″</w:t>
                  </w:r>
                </w:p>
              </w:tc>
              <w:tc>
                <w:tcPr>
                  <w:tcW w:w="2341" w:type="pct"/>
                  <w:tcBorders>
                    <w:top w:val="single" w:color="000000" w:sz="6" w:space="0"/>
                    <w:left w:val="single" w:color="000000" w:sz="6" w:space="0"/>
                    <w:bottom w:val="single" w:color="000000" w:sz="12" w:space="0"/>
                    <w:right w:val="single" w:color="000000" w:sz="6" w:space="0"/>
                  </w:tcBorders>
                  <w:vAlign w:val="center"/>
                </w:tcPr>
                <w:p w14:paraId="4DBFDE4A">
                  <w:pPr>
                    <w:pStyle w:val="32"/>
                    <w:jc w:val="both"/>
                    <w:rPr>
                      <w:szCs w:val="21"/>
                    </w:rPr>
                  </w:pPr>
                  <w:r>
                    <w:rPr>
                      <w:color w:val="000000"/>
                      <w:szCs w:val="21"/>
                    </w:rPr>
                    <w:t>pH</w:t>
                  </w:r>
                  <w:r>
                    <w:rPr>
                      <w:rFonts w:hint="eastAsia"/>
                      <w:color w:val="000000"/>
                      <w:szCs w:val="21"/>
                    </w:rPr>
                    <w:t>、</w:t>
                  </w:r>
                  <w:r>
                    <w:rPr>
                      <w:color w:val="000000"/>
                      <w:szCs w:val="21"/>
                    </w:rPr>
                    <w:t>BOD₅</w:t>
                  </w:r>
                  <w:r>
                    <w:rPr>
                      <w:rFonts w:hint="eastAsia"/>
                      <w:color w:val="000000"/>
                      <w:szCs w:val="21"/>
                    </w:rPr>
                    <w:t>、高锰酸盐指数、氯化物、粪大肠菌群、总磷、总氮、氨氮、挥发酚、氰化物、六价铬、氟化物、阴离子表面活性剂、石油类、硫化物、汞、砷、硒、铜、锌、铅、镉及溶解氧</w:t>
                  </w:r>
                </w:p>
              </w:tc>
            </w:tr>
          </w:tbl>
          <w:p w14:paraId="31D3279C">
            <w:pPr>
              <w:spacing w:line="480" w:lineRule="exact"/>
              <w:ind w:firstLine="482"/>
              <w:rPr>
                <w:b/>
                <w:bCs/>
                <w:lang w:bidi="ar"/>
              </w:rPr>
            </w:pPr>
            <w:r>
              <w:rPr>
                <w:rFonts w:hint="eastAsia"/>
                <w:b/>
                <w:bCs/>
                <w:lang w:bidi="ar"/>
              </w:rPr>
              <w:t>（</w:t>
            </w:r>
            <w:r>
              <w:rPr>
                <w:b/>
                <w:bCs/>
                <w:lang w:bidi="ar"/>
              </w:rPr>
              <w:t>3</w:t>
            </w:r>
            <w:r>
              <w:rPr>
                <w:rFonts w:hint="eastAsia"/>
                <w:b/>
                <w:bCs/>
                <w:lang w:bidi="ar"/>
              </w:rPr>
              <w:t>）评价方法</w:t>
            </w:r>
          </w:p>
          <w:p w14:paraId="0CA34BF7">
            <w:pPr>
              <w:rPr>
                <w:color w:val="000000"/>
                <w:szCs w:val="22"/>
              </w:rPr>
            </w:pPr>
            <w:r>
              <w:rPr>
                <w:rFonts w:hint="eastAsia"/>
                <w:color w:val="000000"/>
                <w:szCs w:val="22"/>
              </w:rPr>
              <w:t>采用单项质量指数法进行评价：</w:t>
            </w:r>
          </w:p>
          <w:p w14:paraId="6FA5F05C">
            <w:pPr>
              <w:rPr>
                <w:color w:val="000000"/>
                <w:szCs w:val="22"/>
              </w:rPr>
            </w:pPr>
            <w:r>
              <w:rPr>
                <w:color w:val="000000"/>
                <w:szCs w:val="22"/>
              </w:rPr>
              <w:t>a.</w:t>
            </w:r>
            <w:r>
              <w:rPr>
                <w:rFonts w:hint="eastAsia"/>
                <w:color w:val="000000"/>
                <w:szCs w:val="22"/>
              </w:rPr>
              <w:t>对于一般污染物</w:t>
            </w:r>
          </w:p>
          <w:p w14:paraId="4C02EB03">
            <w:pPr>
              <w:rPr>
                <w:color w:val="000000"/>
                <w:szCs w:val="22"/>
              </w:rPr>
            </w:pPr>
            <m:oMathPara>
              <m:oMath>
                <m:sSub>
                  <m:sSubPr>
                    <m:ctrlPr>
                      <w:rPr>
                        <w:rFonts w:ascii="Cambria Math" w:hAnsi="Cambria Math"/>
                        <w:color w:val="000000"/>
                        <w:szCs w:val="22"/>
                      </w:rPr>
                    </m:ctrlPr>
                  </m:sSubPr>
                  <m:e>
                    <m:r>
                      <m:rPr/>
                      <w:rPr>
                        <w:rFonts w:ascii="Cambria Math" w:hAnsi="Cambria Math"/>
                        <w:color w:val="000000"/>
                        <w:szCs w:val="22"/>
                      </w:rPr>
                      <m:t>S</m:t>
                    </m:r>
                    <m:ctrlPr>
                      <w:rPr>
                        <w:rFonts w:ascii="Cambria Math" w:hAnsi="Cambria Math"/>
                        <w:color w:val="000000"/>
                        <w:szCs w:val="22"/>
                      </w:rPr>
                    </m:ctrlPr>
                  </m:e>
                  <m:sub>
                    <m:r>
                      <m:rPr/>
                      <w:rPr>
                        <w:rFonts w:ascii="Cambria Math" w:hAnsi="Cambria Math"/>
                        <w:color w:val="000000"/>
                        <w:szCs w:val="22"/>
                      </w:rPr>
                      <m:t>i</m:t>
                    </m:r>
                    <m:ctrlPr>
                      <w:rPr>
                        <w:rFonts w:ascii="Cambria Math" w:hAnsi="Cambria Math"/>
                        <w:color w:val="000000"/>
                        <w:szCs w:val="22"/>
                      </w:rPr>
                    </m:ctrlPr>
                  </m:sub>
                </m:sSub>
                <m:r>
                  <m:rPr>
                    <m:sty m:val="p"/>
                  </m:rPr>
                  <w:rPr>
                    <w:rFonts w:ascii="Cambria Math" w:hAnsi="Cambria Math"/>
                    <w:color w:val="000000"/>
                    <w:szCs w:val="22"/>
                  </w:rPr>
                  <m:t>=</m:t>
                </m:r>
                <m:f>
                  <m:fPr>
                    <m:type m:val="skw"/>
                    <m:ctrlPr>
                      <w:rPr>
                        <w:rFonts w:ascii="Cambria Math" w:hAnsi="Cambria Math"/>
                        <w:color w:val="000000"/>
                        <w:szCs w:val="22"/>
                      </w:rPr>
                    </m:ctrlPr>
                  </m:fPr>
                  <m:num>
                    <m:sSub>
                      <m:sSubPr>
                        <m:ctrlPr>
                          <w:rPr>
                            <w:rFonts w:ascii="Cambria Math" w:hAnsi="Cambria Math"/>
                            <w:color w:val="000000"/>
                            <w:szCs w:val="22"/>
                          </w:rPr>
                        </m:ctrlPr>
                      </m:sSubPr>
                      <m:e>
                        <m:r>
                          <m:rPr/>
                          <w:rPr>
                            <w:rFonts w:ascii="Cambria Math" w:hAnsi="Cambria Math"/>
                            <w:color w:val="000000"/>
                            <w:szCs w:val="22"/>
                          </w:rPr>
                          <m:t>C</m:t>
                        </m:r>
                        <m:ctrlPr>
                          <w:rPr>
                            <w:rFonts w:ascii="Cambria Math" w:hAnsi="Cambria Math"/>
                            <w:color w:val="000000"/>
                            <w:szCs w:val="22"/>
                          </w:rPr>
                        </m:ctrlPr>
                      </m:e>
                      <m:sub>
                        <m:r>
                          <m:rPr/>
                          <w:rPr>
                            <w:rFonts w:ascii="Cambria Math" w:hAnsi="Cambria Math"/>
                            <w:color w:val="000000"/>
                            <w:szCs w:val="22"/>
                          </w:rPr>
                          <m:t>i</m:t>
                        </m:r>
                        <m:r>
                          <m:rPr>
                            <m:sty m:val="p"/>
                          </m:rPr>
                          <w:rPr>
                            <w:rFonts w:hint="eastAsia" w:ascii="Cambria Math" w:hAnsi="Cambria Math"/>
                            <w:color w:val="000000"/>
                            <w:szCs w:val="22"/>
                          </w:rPr>
                          <m:t>，</m:t>
                        </m:r>
                        <m:r>
                          <m:rPr/>
                          <w:rPr>
                            <w:rFonts w:ascii="Cambria Math" w:hAnsi="Cambria Math"/>
                            <w:color w:val="000000"/>
                            <w:szCs w:val="22"/>
                          </w:rPr>
                          <m:t>j</m:t>
                        </m:r>
                        <m:ctrlPr>
                          <w:rPr>
                            <w:rFonts w:ascii="Cambria Math" w:hAnsi="Cambria Math"/>
                            <w:color w:val="000000"/>
                            <w:szCs w:val="22"/>
                          </w:rPr>
                        </m:ctrlPr>
                      </m:sub>
                    </m:sSub>
                    <m:ctrlPr>
                      <w:rPr>
                        <w:rFonts w:ascii="Cambria Math" w:hAnsi="Cambria Math"/>
                        <w:color w:val="000000"/>
                        <w:szCs w:val="22"/>
                      </w:rPr>
                    </m:ctrlPr>
                  </m:num>
                  <m:den>
                    <m:sSub>
                      <m:sSubPr>
                        <m:ctrlPr>
                          <w:rPr>
                            <w:rFonts w:ascii="Cambria Math" w:hAnsi="Cambria Math"/>
                            <w:color w:val="000000"/>
                            <w:szCs w:val="22"/>
                          </w:rPr>
                        </m:ctrlPr>
                      </m:sSubPr>
                      <m:e>
                        <m:r>
                          <m:rPr/>
                          <w:rPr>
                            <w:rFonts w:ascii="Cambria Math" w:hAnsi="Cambria Math"/>
                            <w:color w:val="000000"/>
                            <w:szCs w:val="22"/>
                          </w:rPr>
                          <m:t>Cs</m:t>
                        </m:r>
                        <m:ctrlPr>
                          <w:rPr>
                            <w:rFonts w:ascii="Cambria Math" w:hAnsi="Cambria Math"/>
                            <w:color w:val="000000"/>
                            <w:szCs w:val="22"/>
                          </w:rPr>
                        </m:ctrlPr>
                      </m:e>
                      <m:sub>
                        <m:r>
                          <m:rPr/>
                          <w:rPr>
                            <w:rFonts w:ascii="Cambria Math" w:hAnsi="Cambria Math"/>
                            <w:color w:val="000000"/>
                            <w:szCs w:val="22"/>
                          </w:rPr>
                          <m:t>i</m:t>
                        </m:r>
                        <m:ctrlPr>
                          <w:rPr>
                            <w:rFonts w:ascii="Cambria Math" w:hAnsi="Cambria Math"/>
                            <w:color w:val="000000"/>
                            <w:szCs w:val="22"/>
                          </w:rPr>
                        </m:ctrlPr>
                      </m:sub>
                    </m:sSub>
                    <m:ctrlPr>
                      <w:rPr>
                        <w:rFonts w:ascii="Cambria Math" w:hAnsi="Cambria Math"/>
                        <w:color w:val="000000"/>
                        <w:szCs w:val="22"/>
                      </w:rPr>
                    </m:ctrlPr>
                  </m:den>
                </m:f>
              </m:oMath>
            </m:oMathPara>
          </w:p>
          <w:p w14:paraId="26FEBA04">
            <w:pPr>
              <w:rPr>
                <w:color w:val="000000"/>
                <w:szCs w:val="22"/>
              </w:rPr>
            </w:pPr>
            <w:r>
              <w:rPr>
                <w:rFonts w:hint="eastAsia"/>
                <w:color w:val="000000"/>
                <w:szCs w:val="22"/>
              </w:rPr>
              <w:t>式中：</w:t>
            </w:r>
            <w:r>
              <w:rPr>
                <w:color w:val="000000"/>
                <w:szCs w:val="22"/>
              </w:rPr>
              <w:t>S</w:t>
            </w:r>
            <w:r>
              <w:rPr>
                <w:color w:val="000000"/>
                <w:szCs w:val="22"/>
                <w:vertAlign w:val="subscript"/>
              </w:rPr>
              <w:t>i</w:t>
            </w:r>
            <w:r>
              <w:rPr>
                <w:rFonts w:hint="eastAsia"/>
                <w:color w:val="000000"/>
                <w:szCs w:val="22"/>
                <w:vertAlign w:val="subscript"/>
              </w:rPr>
              <w:t>，</w:t>
            </w:r>
            <w:r>
              <w:rPr>
                <w:color w:val="000000"/>
                <w:szCs w:val="22"/>
                <w:vertAlign w:val="subscript"/>
              </w:rPr>
              <w:t>j</w:t>
            </w:r>
            <w:r>
              <w:rPr>
                <w:color w:val="000000"/>
                <w:szCs w:val="22"/>
              </w:rPr>
              <w:t>——</w:t>
            </w:r>
            <w:r>
              <w:rPr>
                <w:rFonts w:hint="eastAsia"/>
                <w:color w:val="000000"/>
                <w:szCs w:val="22"/>
              </w:rPr>
              <w:t>评价因子</w:t>
            </w:r>
            <w:r>
              <w:rPr>
                <w:color w:val="000000"/>
                <w:szCs w:val="22"/>
              </w:rPr>
              <w:t>i</w:t>
            </w:r>
            <w:r>
              <w:rPr>
                <w:rFonts w:hint="eastAsia"/>
                <w:color w:val="000000"/>
                <w:szCs w:val="22"/>
              </w:rPr>
              <w:t>的水质指数，大于</w:t>
            </w:r>
            <w:r>
              <w:rPr>
                <w:color w:val="000000"/>
                <w:szCs w:val="22"/>
              </w:rPr>
              <w:t>1</w:t>
            </w:r>
            <w:r>
              <w:rPr>
                <w:rFonts w:hint="eastAsia"/>
                <w:color w:val="000000"/>
                <w:szCs w:val="22"/>
              </w:rPr>
              <w:t>表明该水质因子超标；</w:t>
            </w:r>
          </w:p>
          <w:p w14:paraId="153302D3">
            <w:pPr>
              <w:ind w:firstLine="1200" w:firstLineChars="500"/>
              <w:rPr>
                <w:color w:val="000000"/>
                <w:szCs w:val="22"/>
              </w:rPr>
            </w:pPr>
            <w:r>
              <w:rPr>
                <w:color w:val="000000"/>
                <w:szCs w:val="22"/>
              </w:rPr>
              <w:t>C</w:t>
            </w:r>
            <w:r>
              <w:rPr>
                <w:color w:val="000000"/>
                <w:szCs w:val="22"/>
                <w:vertAlign w:val="subscript"/>
              </w:rPr>
              <w:t>i</w:t>
            </w:r>
            <w:r>
              <w:rPr>
                <w:rFonts w:hint="eastAsia"/>
                <w:color w:val="000000"/>
                <w:szCs w:val="22"/>
                <w:vertAlign w:val="subscript"/>
              </w:rPr>
              <w:t>，</w:t>
            </w:r>
            <w:r>
              <w:rPr>
                <w:color w:val="000000"/>
                <w:szCs w:val="22"/>
                <w:vertAlign w:val="subscript"/>
              </w:rPr>
              <w:t>j</w:t>
            </w:r>
            <w:r>
              <w:rPr>
                <w:color w:val="000000"/>
                <w:szCs w:val="22"/>
              </w:rPr>
              <w:t>——</w:t>
            </w:r>
            <w:r>
              <w:rPr>
                <w:rFonts w:hint="eastAsia"/>
                <w:color w:val="000000"/>
                <w:szCs w:val="22"/>
              </w:rPr>
              <w:t>评价因子</w:t>
            </w:r>
            <w:r>
              <w:rPr>
                <w:color w:val="000000"/>
                <w:szCs w:val="22"/>
              </w:rPr>
              <w:t>i</w:t>
            </w:r>
            <w:r>
              <w:rPr>
                <w:rFonts w:hint="eastAsia"/>
                <w:color w:val="000000"/>
                <w:szCs w:val="22"/>
              </w:rPr>
              <w:t>在</w:t>
            </w:r>
            <w:r>
              <w:rPr>
                <w:color w:val="000000"/>
                <w:szCs w:val="22"/>
              </w:rPr>
              <w:t>j</w:t>
            </w:r>
            <w:r>
              <w:rPr>
                <w:rFonts w:hint="eastAsia"/>
                <w:color w:val="000000"/>
                <w:szCs w:val="22"/>
              </w:rPr>
              <w:t>点的实测统计代表值，</w:t>
            </w:r>
            <w:r>
              <w:rPr>
                <w:color w:val="000000"/>
                <w:szCs w:val="22"/>
              </w:rPr>
              <w:t>mg/L</w:t>
            </w:r>
            <w:r>
              <w:rPr>
                <w:rFonts w:hint="eastAsia"/>
                <w:color w:val="000000"/>
                <w:szCs w:val="22"/>
              </w:rPr>
              <w:t>；</w:t>
            </w:r>
          </w:p>
          <w:p w14:paraId="6100042F">
            <w:pPr>
              <w:ind w:firstLine="1200" w:firstLineChars="500"/>
              <w:rPr>
                <w:color w:val="000000"/>
                <w:szCs w:val="22"/>
              </w:rPr>
            </w:pPr>
            <w:r>
              <w:rPr>
                <w:color w:val="000000"/>
                <w:szCs w:val="22"/>
              </w:rPr>
              <w:t>C</w:t>
            </w:r>
            <w:r>
              <w:rPr>
                <w:color w:val="000000"/>
                <w:szCs w:val="22"/>
                <w:vertAlign w:val="subscript"/>
              </w:rPr>
              <w:t>si</w:t>
            </w:r>
            <w:r>
              <w:rPr>
                <w:color w:val="000000"/>
                <w:szCs w:val="22"/>
              </w:rPr>
              <w:t>——</w:t>
            </w:r>
            <w:r>
              <w:rPr>
                <w:rFonts w:hint="eastAsia"/>
                <w:color w:val="000000"/>
                <w:szCs w:val="22"/>
              </w:rPr>
              <w:t>评价因子</w:t>
            </w:r>
            <w:r>
              <w:rPr>
                <w:color w:val="000000"/>
                <w:szCs w:val="22"/>
              </w:rPr>
              <w:t>i</w:t>
            </w:r>
            <w:r>
              <w:rPr>
                <w:rFonts w:hint="eastAsia"/>
                <w:color w:val="000000"/>
                <w:szCs w:val="22"/>
              </w:rPr>
              <w:t>的水质评价标准限值，</w:t>
            </w:r>
            <w:r>
              <w:rPr>
                <w:color w:val="000000"/>
                <w:szCs w:val="22"/>
              </w:rPr>
              <w:t>mg/L</w:t>
            </w:r>
            <w:r>
              <w:rPr>
                <w:rFonts w:hint="eastAsia"/>
                <w:color w:val="000000"/>
                <w:szCs w:val="22"/>
              </w:rPr>
              <w:t>。</w:t>
            </w:r>
          </w:p>
          <w:p w14:paraId="7BFFE5A9">
            <w:pPr>
              <w:rPr>
                <w:color w:val="000000"/>
                <w:szCs w:val="22"/>
              </w:rPr>
            </w:pPr>
            <w:r>
              <w:rPr>
                <w:color w:val="000000"/>
                <w:szCs w:val="22"/>
              </w:rPr>
              <w:t>b.</w:t>
            </w:r>
            <w:r>
              <w:rPr>
                <w:rFonts w:hint="eastAsia"/>
                <w:color w:val="000000"/>
                <w:szCs w:val="22"/>
              </w:rPr>
              <w:t>对于溶解氧（DO）：</w:t>
            </w:r>
          </w:p>
          <w:p w14:paraId="14306146">
            <w:pPr>
              <w:rPr>
                <w:color w:val="0F1115"/>
                <w:shd w:val="clear" w:color="auto" w:fill="FFFFFF"/>
              </w:rPr>
            </w:pPr>
            <w:r>
              <w:rPr>
                <w:color w:val="0F1115"/>
                <w:shd w:val="clear" w:color="auto" w:fill="FFFFFF"/>
              </w:rPr>
              <w:t>当DO</w:t>
            </w:r>
            <w:r>
              <w:rPr>
                <w:color w:val="0F1115"/>
                <w:shd w:val="clear" w:color="auto" w:fill="FFFFFF"/>
                <w:vertAlign w:val="subscript"/>
              </w:rPr>
              <w:t>j</w:t>
            </w:r>
            <w:r>
              <w:rPr>
                <w:color w:val="0F1115"/>
                <w:shd w:val="clear" w:color="auto" w:fill="FFFFFF"/>
              </w:rPr>
              <w:t>≥DO</w:t>
            </w:r>
            <w:r>
              <w:rPr>
                <w:color w:val="0F1115"/>
                <w:shd w:val="clear" w:color="auto" w:fill="FFFFFF"/>
                <w:vertAlign w:val="subscript"/>
              </w:rPr>
              <w:t>s</w:t>
            </w:r>
            <w:r>
              <w:rPr>
                <w:color w:val="0F1115"/>
                <w:shd w:val="clear" w:color="auto" w:fill="FFFFFF"/>
              </w:rPr>
              <w:t>时：</w:t>
            </w:r>
          </w:p>
          <w:p w14:paraId="43510BE2">
            <w:pPr>
              <w:jc w:val="center"/>
              <w:rPr>
                <w:rFonts w:ascii="Segoe UI" w:hAnsi="Segoe UI" w:cs="Segoe UI"/>
                <w:color w:val="0F1115"/>
                <w:shd w:val="clear" w:color="auto" w:fill="FFFFFF"/>
              </w:rPr>
            </w:pPr>
            <w:r>
              <w:drawing>
                <wp:inline distT="0" distB="0" distL="0" distR="0">
                  <wp:extent cx="1647190" cy="48958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1656608" cy="492326"/>
                          </a:xfrm>
                          <a:prstGeom prst="rect">
                            <a:avLst/>
                          </a:prstGeom>
                        </pic:spPr>
                      </pic:pic>
                    </a:graphicData>
                  </a:graphic>
                </wp:inline>
              </w:drawing>
            </w:r>
          </w:p>
          <w:p w14:paraId="18A892EB">
            <w:pPr>
              <w:rPr>
                <w:color w:val="0F1115"/>
                <w:shd w:val="clear" w:color="auto" w:fill="FFFFFF"/>
              </w:rPr>
            </w:pPr>
            <w:r>
              <w:rPr>
                <w:color w:val="0F1115"/>
                <w:shd w:val="clear" w:color="auto" w:fill="FFFFFF"/>
              </w:rPr>
              <w:t>当DO</w:t>
            </w:r>
            <w:r>
              <w:rPr>
                <w:color w:val="0F1115"/>
                <w:shd w:val="clear" w:color="auto" w:fill="FFFFFF"/>
                <w:vertAlign w:val="subscript"/>
              </w:rPr>
              <w:t>j</w:t>
            </w:r>
            <w:r>
              <w:rPr>
                <w:color w:val="0F1115"/>
                <w:shd w:val="clear" w:color="auto" w:fill="FFFFFF"/>
              </w:rPr>
              <w:t>&lt;DO</w:t>
            </w:r>
            <w:r>
              <w:rPr>
                <w:color w:val="0F1115"/>
                <w:shd w:val="clear" w:color="auto" w:fill="FFFFFF"/>
                <w:vertAlign w:val="subscript"/>
              </w:rPr>
              <w:t>s</w:t>
            </w:r>
            <w:r>
              <w:rPr>
                <w:rFonts w:hint="eastAsia"/>
                <w:color w:val="0F1115"/>
                <w:shd w:val="clear" w:color="auto" w:fill="FFFFFF"/>
              </w:rPr>
              <w:t>时：</w:t>
            </w:r>
          </w:p>
          <w:p w14:paraId="0BA42531">
            <w:pPr>
              <w:jc w:val="center"/>
              <w:rPr>
                <w:rFonts w:ascii="Segoe UI" w:hAnsi="Segoe UI" w:cs="Segoe UI"/>
                <w:color w:val="0F1115"/>
                <w:shd w:val="clear" w:color="auto" w:fill="FFFFFF"/>
              </w:rPr>
            </w:pPr>
            <w:r>
              <w:drawing>
                <wp:inline distT="0" distB="0" distL="0" distR="0">
                  <wp:extent cx="1440180" cy="397510"/>
                  <wp:effectExtent l="0" t="0" r="762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stretch>
                            <a:fillRect/>
                          </a:stretch>
                        </pic:blipFill>
                        <pic:spPr>
                          <a:xfrm>
                            <a:off x="0" y="0"/>
                            <a:ext cx="1453184" cy="401538"/>
                          </a:xfrm>
                          <a:prstGeom prst="rect">
                            <a:avLst/>
                          </a:prstGeom>
                        </pic:spPr>
                      </pic:pic>
                    </a:graphicData>
                  </a:graphic>
                </wp:inline>
              </w:drawing>
            </w:r>
          </w:p>
          <w:p w14:paraId="4518AA03">
            <w:pPr>
              <w:rPr>
                <w:color w:val="0F1115"/>
                <w:shd w:val="clear" w:color="auto" w:fill="FFFFFF"/>
              </w:rPr>
            </w:pPr>
            <w:r>
              <w:rPr>
                <w:rFonts w:hint="eastAsia"/>
                <w:color w:val="000000"/>
                <w:szCs w:val="22"/>
              </w:rPr>
              <w:t>式中：</w:t>
            </w:r>
            <w:r>
              <w:rPr>
                <w:color w:val="0F1115"/>
                <w:shd w:val="clear" w:color="auto" w:fill="FFFFFF"/>
              </w:rPr>
              <w:t>S</w:t>
            </w:r>
            <w:r>
              <w:rPr>
                <w:color w:val="0F1115"/>
                <w:shd w:val="clear" w:color="auto" w:fill="FFFFFF"/>
                <w:vertAlign w:val="subscript"/>
              </w:rPr>
              <w:t>DO,j</w:t>
            </w:r>
            <w:r>
              <w:rPr>
                <w:color w:val="0F1115"/>
                <w:shd w:val="clear" w:color="auto" w:fill="FFFFFF"/>
              </w:rPr>
              <w:t>——溶解氧的标准指数；</w:t>
            </w:r>
          </w:p>
          <w:p w14:paraId="5BD18C66">
            <w:pPr>
              <w:ind w:firstLine="960" w:firstLineChars="400"/>
              <w:rPr>
                <w:color w:val="0F1115"/>
                <w:shd w:val="clear" w:color="auto" w:fill="FFFFFF"/>
              </w:rPr>
            </w:pPr>
            <w:r>
              <w:rPr>
                <w:color w:val="0F1115"/>
                <w:shd w:val="clear" w:color="auto" w:fill="FFFFFF"/>
              </w:rPr>
              <w:t>DO</w:t>
            </w:r>
            <w:r>
              <w:rPr>
                <w:color w:val="0F1115"/>
                <w:shd w:val="clear" w:color="auto" w:fill="FFFFFF"/>
                <w:vertAlign w:val="subscript"/>
              </w:rPr>
              <w:t>j</w:t>
            </w:r>
            <w:r>
              <w:rPr>
                <w:color w:val="0F1115"/>
                <w:shd w:val="clear" w:color="auto" w:fill="FFFFFF"/>
              </w:rPr>
              <w:t>——溶解氧在j点的实测统计代表值，mg/L；</w:t>
            </w:r>
          </w:p>
          <w:p w14:paraId="68DBBED7">
            <w:pPr>
              <w:ind w:firstLine="960" w:firstLineChars="400"/>
              <w:rPr>
                <w:color w:val="0F1115"/>
                <w:shd w:val="clear" w:color="auto" w:fill="FFFFFF"/>
              </w:rPr>
            </w:pPr>
            <w:r>
              <w:rPr>
                <w:color w:val="0F1115"/>
                <w:shd w:val="clear" w:color="auto" w:fill="FFFFFF"/>
              </w:rPr>
              <w:t>DOs——溶解氧的水质评价标准限值，mg/L；</w:t>
            </w:r>
          </w:p>
          <w:p w14:paraId="074ADFCE">
            <w:pPr>
              <w:ind w:firstLine="960" w:firstLineChars="400"/>
              <w:rPr>
                <w:color w:val="0F1115"/>
                <w:shd w:val="clear" w:color="auto" w:fill="FFFFFF"/>
              </w:rPr>
            </w:pPr>
            <w:r>
              <w:rPr>
                <w:color w:val="0F1115"/>
                <w:shd w:val="clear" w:color="auto" w:fill="FFFFFF"/>
              </w:rPr>
              <w:t>DO</w:t>
            </w:r>
            <w:r>
              <w:rPr>
                <w:color w:val="0F1115"/>
                <w:shd w:val="clear" w:color="auto" w:fill="FFFFFF"/>
                <w:vertAlign w:val="subscript"/>
              </w:rPr>
              <w:t>f</w:t>
            </w:r>
            <w:r>
              <w:rPr>
                <w:color w:val="0F1115"/>
                <w:shd w:val="clear" w:color="auto" w:fill="FFFFFF"/>
              </w:rPr>
              <w:t>——饱和溶解氧浓度，mg/L。对于河流</w:t>
            </w:r>
            <w:r>
              <w:rPr>
                <w:rFonts w:hint="eastAsia"/>
                <w:color w:val="0F1115"/>
                <w:shd w:val="clear" w:color="auto" w:fill="FFFFFF"/>
              </w:rPr>
              <w:t>，</w:t>
            </w:r>
            <w:r>
              <w:rPr>
                <w:rStyle w:val="64"/>
                <w:color w:val="0F1115"/>
                <w:shd w:val="clear" w:color="auto" w:fill="FFFFFF"/>
              </w:rPr>
              <w:t>DO</w:t>
            </w:r>
            <w:r>
              <w:rPr>
                <w:rStyle w:val="64"/>
                <w:color w:val="0F1115"/>
                <w:shd w:val="clear" w:color="auto" w:fill="FFFFFF"/>
                <w:vertAlign w:val="subscript"/>
              </w:rPr>
              <w:t>f</w:t>
            </w:r>
            <w:r>
              <w:rPr>
                <w:color w:val="0F1115"/>
                <w:shd w:val="clear" w:color="auto" w:fill="FFFFFF"/>
              </w:rPr>
              <w:t>=</w:t>
            </w:r>
            <w:r>
              <w:rPr>
                <w:rStyle w:val="64"/>
                <w:color w:val="0F1115"/>
                <w:shd w:val="clear" w:color="auto" w:fill="FFFFFF"/>
              </w:rPr>
              <w:t>468/</w:t>
            </w:r>
            <w:r>
              <w:rPr>
                <w:rStyle w:val="66"/>
                <w:rFonts w:hint="eastAsia"/>
              </w:rPr>
              <w:t>（</w:t>
            </w:r>
            <w:r>
              <w:rPr>
                <w:rStyle w:val="64"/>
                <w:color w:val="0F1115"/>
                <w:shd w:val="clear" w:color="auto" w:fill="FFFFFF"/>
              </w:rPr>
              <w:t>31.6</w:t>
            </w:r>
            <w:r>
              <w:rPr>
                <w:rStyle w:val="67"/>
                <w:color w:val="0F1115"/>
                <w:shd w:val="clear" w:color="auto" w:fill="FFFFFF"/>
              </w:rPr>
              <w:t>+</w:t>
            </w:r>
            <w:r>
              <w:rPr>
                <w:rStyle w:val="64"/>
                <w:color w:val="0F1115"/>
                <w:shd w:val="clear" w:color="auto" w:fill="FFFFFF"/>
              </w:rPr>
              <w:t>T</w:t>
            </w:r>
            <w:r>
              <w:rPr>
                <w:rStyle w:val="66"/>
                <w:rFonts w:hint="eastAsia"/>
              </w:rPr>
              <w:t>）</w:t>
            </w:r>
            <w:r>
              <w:rPr>
                <w:color w:val="0F1115"/>
                <w:shd w:val="clear" w:color="auto" w:fill="FFFFFF"/>
              </w:rPr>
              <w:t>，T为水温（</w:t>
            </w:r>
            <w:r>
              <w:rPr>
                <w:rFonts w:eastAsia="微软雅黑"/>
                <w:color w:val="0F1115"/>
                <w:shd w:val="clear" w:color="auto" w:fill="FFFFFF"/>
              </w:rPr>
              <w:t>℃</w:t>
            </w:r>
            <w:r>
              <w:rPr>
                <w:color w:val="0F1115"/>
                <w:shd w:val="clear" w:color="auto" w:fill="FFFFFF"/>
              </w:rPr>
              <w:t>）。</w:t>
            </w:r>
          </w:p>
          <w:p w14:paraId="58AD6D5E">
            <w:pPr>
              <w:rPr>
                <w:color w:val="000000"/>
                <w:szCs w:val="22"/>
              </w:rPr>
            </w:pPr>
            <w:r>
              <w:rPr>
                <w:color w:val="000000"/>
                <w:szCs w:val="22"/>
              </w:rPr>
              <w:t>c.</w:t>
            </w:r>
            <w:r>
              <w:rPr>
                <w:rFonts w:hint="eastAsia"/>
                <w:color w:val="000000"/>
                <w:szCs w:val="22"/>
              </w:rPr>
              <w:t>对具有上下限标准的项目</w:t>
            </w:r>
            <w:r>
              <w:rPr>
                <w:color w:val="000000"/>
                <w:szCs w:val="22"/>
              </w:rPr>
              <w:t>pH</w:t>
            </w:r>
            <w:r>
              <w:rPr>
                <w:rFonts w:hint="eastAsia"/>
                <w:color w:val="000000"/>
                <w:szCs w:val="22"/>
              </w:rPr>
              <w:t>，单项指数模式为：</w:t>
            </w:r>
          </w:p>
          <w:p w14:paraId="10499760">
            <w:pPr>
              <w:jc w:val="center"/>
              <w:rPr>
                <w:color w:val="000000"/>
                <w:szCs w:val="22"/>
              </w:rPr>
            </w:pPr>
            <w:r>
              <w:rPr>
                <w:color w:val="000000"/>
                <w:szCs w:val="22"/>
              </w:rPr>
              <w:drawing>
                <wp:inline distT="0" distB="0" distL="0" distR="0">
                  <wp:extent cx="2429510" cy="955040"/>
                  <wp:effectExtent l="0" t="0" r="889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429510" cy="955040"/>
                          </a:xfrm>
                          <a:prstGeom prst="rect">
                            <a:avLst/>
                          </a:prstGeom>
                          <a:noFill/>
                          <a:ln>
                            <a:noFill/>
                          </a:ln>
                        </pic:spPr>
                      </pic:pic>
                    </a:graphicData>
                  </a:graphic>
                </wp:inline>
              </w:drawing>
            </w:r>
          </w:p>
          <w:p w14:paraId="72410AC0">
            <w:pPr>
              <w:rPr>
                <w:color w:val="000000"/>
              </w:rPr>
            </w:pPr>
            <w:r>
              <w:rPr>
                <w:rFonts w:hint="eastAsia"/>
                <w:color w:val="000000"/>
                <w:szCs w:val="22"/>
              </w:rPr>
              <w:t>式中：</w:t>
            </w:r>
            <w:r>
              <w:rPr>
                <w:color w:val="000000"/>
                <w:szCs w:val="22"/>
              </w:rPr>
              <w:t>S</w:t>
            </w:r>
            <w:r>
              <w:rPr>
                <w:color w:val="000000"/>
                <w:szCs w:val="22"/>
                <w:vertAlign w:val="subscript"/>
              </w:rPr>
              <w:t>pH</w:t>
            </w:r>
            <w:r>
              <w:rPr>
                <w:rFonts w:hint="eastAsia"/>
                <w:color w:val="000000"/>
                <w:szCs w:val="22"/>
                <w:vertAlign w:val="subscript"/>
              </w:rPr>
              <w:t>，</w:t>
            </w:r>
            <w:r>
              <w:rPr>
                <w:color w:val="000000"/>
                <w:szCs w:val="22"/>
                <w:vertAlign w:val="subscript"/>
              </w:rPr>
              <w:t>j</w:t>
            </w:r>
            <w:r>
              <w:rPr>
                <w:color w:val="000000"/>
                <w:szCs w:val="22"/>
              </w:rPr>
              <w:t>——pH</w:t>
            </w:r>
            <w:r>
              <w:rPr>
                <w:rFonts w:hint="eastAsia"/>
                <w:color w:val="000000"/>
                <w:szCs w:val="22"/>
              </w:rPr>
              <w:t>值的指数，大于</w:t>
            </w:r>
            <w:r>
              <w:rPr>
                <w:color w:val="000000"/>
                <w:szCs w:val="22"/>
              </w:rPr>
              <w:t>1</w:t>
            </w:r>
            <w:r>
              <w:rPr>
                <w:rFonts w:hint="eastAsia"/>
                <w:color w:val="000000"/>
                <w:szCs w:val="22"/>
              </w:rPr>
              <w:t>表明该水质因子超标；</w:t>
            </w:r>
          </w:p>
          <w:p w14:paraId="44464F87">
            <w:pPr>
              <w:ind w:firstLine="1200" w:firstLineChars="500"/>
              <w:rPr>
                <w:color w:val="000000"/>
              </w:rPr>
            </w:pPr>
            <w:r>
              <w:rPr>
                <w:color w:val="000000"/>
                <w:szCs w:val="22"/>
              </w:rPr>
              <w:t>pH</w:t>
            </w:r>
            <w:r>
              <w:rPr>
                <w:color w:val="000000"/>
                <w:szCs w:val="22"/>
                <w:vertAlign w:val="subscript"/>
              </w:rPr>
              <w:t>j</w:t>
            </w:r>
            <w:r>
              <w:rPr>
                <w:color w:val="000000"/>
                <w:szCs w:val="22"/>
              </w:rPr>
              <w:t>——pH</w:t>
            </w:r>
            <w:r>
              <w:rPr>
                <w:rFonts w:hint="eastAsia"/>
                <w:color w:val="000000"/>
                <w:szCs w:val="22"/>
              </w:rPr>
              <w:t>值实测统计代表值；</w:t>
            </w:r>
          </w:p>
          <w:p w14:paraId="5865B78C">
            <w:pPr>
              <w:ind w:firstLine="1150" w:firstLineChars="500"/>
              <w:rPr>
                <w:color w:val="000000"/>
              </w:rPr>
            </w:pPr>
            <w:r>
              <w:rPr>
                <w:color w:val="000000"/>
                <w:sz w:val="23"/>
                <w:szCs w:val="23"/>
              </w:rPr>
              <w:t>pH</w:t>
            </w:r>
            <w:r>
              <w:rPr>
                <w:color w:val="000000"/>
                <w:sz w:val="23"/>
                <w:szCs w:val="23"/>
                <w:vertAlign w:val="subscript"/>
              </w:rPr>
              <w:t>sd</w:t>
            </w:r>
            <w:r>
              <w:rPr>
                <w:color w:val="000000"/>
                <w:szCs w:val="22"/>
              </w:rPr>
              <w:t>——</w:t>
            </w:r>
            <w:r>
              <w:rPr>
                <w:rFonts w:hint="eastAsia"/>
                <w:color w:val="000000"/>
                <w:szCs w:val="22"/>
              </w:rPr>
              <w:t>评价标准中</w:t>
            </w:r>
            <w:r>
              <w:rPr>
                <w:color w:val="000000"/>
                <w:szCs w:val="22"/>
              </w:rPr>
              <w:t>pH</w:t>
            </w:r>
            <w:r>
              <w:rPr>
                <w:rFonts w:hint="eastAsia"/>
                <w:color w:val="000000"/>
                <w:szCs w:val="22"/>
              </w:rPr>
              <w:t>值的下限值；</w:t>
            </w:r>
          </w:p>
          <w:p w14:paraId="513F56F7">
            <w:pPr>
              <w:ind w:firstLine="1150" w:firstLineChars="500"/>
              <w:rPr>
                <w:color w:val="000000"/>
                <w:szCs w:val="22"/>
              </w:rPr>
            </w:pPr>
            <w:r>
              <w:rPr>
                <w:color w:val="000000"/>
                <w:sz w:val="23"/>
                <w:szCs w:val="23"/>
              </w:rPr>
              <w:t>pH</w:t>
            </w:r>
            <w:r>
              <w:rPr>
                <w:color w:val="000000"/>
                <w:sz w:val="23"/>
                <w:szCs w:val="23"/>
                <w:vertAlign w:val="subscript"/>
              </w:rPr>
              <w:t>su</w:t>
            </w:r>
            <w:r>
              <w:rPr>
                <w:color w:val="000000"/>
                <w:sz w:val="13"/>
                <w:szCs w:val="13"/>
              </w:rPr>
              <w:t xml:space="preserve"> </w:t>
            </w:r>
            <w:r>
              <w:rPr>
                <w:color w:val="000000"/>
                <w:szCs w:val="22"/>
              </w:rPr>
              <w:t>——</w:t>
            </w:r>
            <w:r>
              <w:rPr>
                <w:rFonts w:hint="eastAsia"/>
                <w:color w:val="000000"/>
                <w:szCs w:val="22"/>
              </w:rPr>
              <w:t>评价标准中</w:t>
            </w:r>
            <w:r>
              <w:rPr>
                <w:color w:val="000000"/>
                <w:szCs w:val="22"/>
              </w:rPr>
              <w:t>pH</w:t>
            </w:r>
            <w:r>
              <w:rPr>
                <w:rFonts w:hint="eastAsia"/>
                <w:color w:val="000000"/>
                <w:szCs w:val="22"/>
              </w:rPr>
              <w:t>值的上限值。</w:t>
            </w:r>
          </w:p>
          <w:p w14:paraId="05F82B29">
            <w:pPr>
              <w:adjustRightInd w:val="0"/>
              <w:snapToGrid w:val="0"/>
              <w:spacing w:line="480" w:lineRule="exact"/>
              <w:ind w:firstLine="482"/>
              <w:textAlignment w:val="baseline"/>
              <w:rPr>
                <w:b/>
                <w:bCs/>
                <w:snapToGrid w:val="0"/>
                <w:kern w:val="0"/>
              </w:rPr>
            </w:pPr>
            <w:r>
              <w:rPr>
                <w:rFonts w:hint="eastAsia"/>
                <w:b/>
                <w:bCs/>
                <w:snapToGrid w:val="0"/>
                <w:kern w:val="0"/>
              </w:rPr>
              <w:t>（</w:t>
            </w:r>
            <w:r>
              <w:rPr>
                <w:b/>
                <w:bCs/>
                <w:snapToGrid w:val="0"/>
                <w:kern w:val="0"/>
              </w:rPr>
              <w:t>4</w:t>
            </w:r>
            <w:r>
              <w:rPr>
                <w:rFonts w:hint="eastAsia"/>
                <w:b/>
                <w:bCs/>
                <w:snapToGrid w:val="0"/>
                <w:kern w:val="0"/>
              </w:rPr>
              <w:t>）监测结果及评价</w:t>
            </w:r>
          </w:p>
          <w:p w14:paraId="1C9C66D0">
            <w:pPr>
              <w:adjustRightInd w:val="0"/>
              <w:snapToGrid w:val="0"/>
              <w:spacing w:line="480" w:lineRule="exact"/>
              <w:textAlignment w:val="baseline"/>
              <w:rPr>
                <w:snapToGrid w:val="0"/>
                <w:kern w:val="0"/>
              </w:rPr>
            </w:pPr>
            <w:r>
              <w:rPr>
                <w:rFonts w:hint="eastAsia"/>
                <w:snapToGrid w:val="0"/>
                <w:kern w:val="0"/>
              </w:rPr>
              <w:t>监测结果见表</w:t>
            </w:r>
            <w:r>
              <w:rPr>
                <w:color w:val="000000"/>
                <w:szCs w:val="22"/>
              </w:rPr>
              <w:t>3-</w:t>
            </w:r>
            <w:r>
              <w:rPr>
                <w:rFonts w:hint="eastAsia"/>
                <w:color w:val="000000"/>
                <w:szCs w:val="22"/>
              </w:rPr>
              <w:t>4</w:t>
            </w:r>
            <w:r>
              <w:rPr>
                <w:rFonts w:hint="eastAsia"/>
                <w:snapToGrid w:val="0"/>
                <w:kern w:val="0"/>
              </w:rPr>
              <w:t>。</w:t>
            </w:r>
          </w:p>
          <w:p w14:paraId="372105C4">
            <w:pPr>
              <w:spacing w:before="156" w:beforeLines="50" w:line="240" w:lineRule="auto"/>
              <w:ind w:firstLine="0" w:firstLineChars="0"/>
              <w:jc w:val="center"/>
              <w:rPr>
                <w:b/>
                <w:color w:val="000000"/>
                <w:sz w:val="21"/>
                <w:szCs w:val="22"/>
              </w:rPr>
            </w:pPr>
            <w:r>
              <w:rPr>
                <w:rFonts w:hint="eastAsia"/>
                <w:b/>
                <w:color w:val="000000"/>
                <w:sz w:val="21"/>
                <w:szCs w:val="22"/>
              </w:rPr>
              <w:t>表</w:t>
            </w:r>
            <w:r>
              <w:rPr>
                <w:color w:val="000000"/>
                <w:szCs w:val="22"/>
              </w:rPr>
              <w:t>3-</w:t>
            </w:r>
            <w:r>
              <w:rPr>
                <w:rFonts w:hint="eastAsia"/>
                <w:color w:val="000000"/>
                <w:szCs w:val="22"/>
              </w:rPr>
              <w:t>4</w:t>
            </w:r>
            <w:r>
              <w:rPr>
                <w:b/>
                <w:color w:val="000000"/>
                <w:sz w:val="21"/>
                <w:szCs w:val="22"/>
              </w:rPr>
              <w:t xml:space="preserve">  </w:t>
            </w:r>
            <w:r>
              <w:rPr>
                <w:rFonts w:hint="eastAsia"/>
                <w:b/>
                <w:color w:val="000000"/>
                <w:sz w:val="21"/>
                <w:szCs w:val="22"/>
              </w:rPr>
              <w:t>地表水水质监测及评价结果一览表</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2"/>
              <w:gridCol w:w="1641"/>
              <w:gridCol w:w="1237"/>
              <w:gridCol w:w="974"/>
              <w:gridCol w:w="1037"/>
              <w:gridCol w:w="2319"/>
            </w:tblGrid>
            <w:tr w14:paraId="15940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vMerge w:val="restart"/>
                  <w:tcBorders>
                    <w:top w:val="single" w:color="auto" w:sz="12" w:space="0"/>
                    <w:left w:val="single" w:color="auto" w:sz="12" w:space="0"/>
                    <w:bottom w:val="single" w:color="auto" w:sz="6" w:space="0"/>
                    <w:right w:val="single" w:color="auto" w:sz="6" w:space="0"/>
                  </w:tcBorders>
                  <w:vAlign w:val="center"/>
                </w:tcPr>
                <w:p w14:paraId="08E6FFA1">
                  <w:pPr>
                    <w:spacing w:line="240" w:lineRule="auto"/>
                    <w:ind w:firstLine="0" w:firstLineChars="0"/>
                    <w:jc w:val="center"/>
                    <w:rPr>
                      <w:color w:val="000000"/>
                      <w:sz w:val="21"/>
                      <w:szCs w:val="21"/>
                    </w:rPr>
                  </w:pPr>
                  <w:r>
                    <w:rPr>
                      <w:color w:val="000000"/>
                      <w:sz w:val="21"/>
                      <w:szCs w:val="21"/>
                    </w:rPr>
                    <w:t>序号</w:t>
                  </w:r>
                </w:p>
              </w:tc>
              <w:tc>
                <w:tcPr>
                  <w:tcW w:w="1049" w:type="pct"/>
                  <w:vMerge w:val="restart"/>
                  <w:tcBorders>
                    <w:top w:val="single" w:color="auto" w:sz="12" w:space="0"/>
                    <w:left w:val="single" w:color="auto" w:sz="6" w:space="0"/>
                    <w:bottom w:val="single" w:color="auto" w:sz="6" w:space="0"/>
                    <w:right w:val="single" w:color="auto" w:sz="6" w:space="0"/>
                  </w:tcBorders>
                  <w:vAlign w:val="center"/>
                </w:tcPr>
                <w:p w14:paraId="20E98BA5">
                  <w:pPr>
                    <w:spacing w:line="240" w:lineRule="auto"/>
                    <w:ind w:firstLine="0" w:firstLineChars="0"/>
                    <w:jc w:val="center"/>
                    <w:rPr>
                      <w:color w:val="000000"/>
                      <w:sz w:val="21"/>
                      <w:szCs w:val="21"/>
                    </w:rPr>
                  </w:pPr>
                  <w:r>
                    <w:rPr>
                      <w:color w:val="000000"/>
                      <w:sz w:val="21"/>
                      <w:szCs w:val="21"/>
                    </w:rPr>
                    <w:t>监测项目</w:t>
                  </w:r>
                </w:p>
              </w:tc>
              <w:tc>
                <w:tcPr>
                  <w:tcW w:w="791" w:type="pct"/>
                  <w:vMerge w:val="restart"/>
                  <w:tcBorders>
                    <w:top w:val="single" w:color="auto" w:sz="12" w:space="0"/>
                    <w:left w:val="single" w:color="auto" w:sz="6" w:space="0"/>
                    <w:bottom w:val="single" w:color="auto" w:sz="6" w:space="0"/>
                    <w:right w:val="single" w:color="auto" w:sz="6" w:space="0"/>
                  </w:tcBorders>
                  <w:vAlign w:val="center"/>
                </w:tcPr>
                <w:p w14:paraId="3A9F0FB6">
                  <w:pPr>
                    <w:spacing w:line="240" w:lineRule="auto"/>
                    <w:ind w:firstLine="0" w:firstLineChars="0"/>
                    <w:jc w:val="center"/>
                    <w:rPr>
                      <w:color w:val="000000"/>
                      <w:sz w:val="21"/>
                      <w:szCs w:val="21"/>
                    </w:rPr>
                  </w:pPr>
                  <w:r>
                    <w:rPr>
                      <w:color w:val="000000"/>
                      <w:sz w:val="21"/>
                      <w:szCs w:val="21"/>
                    </w:rPr>
                    <w:t>单位</w:t>
                  </w:r>
                </w:p>
              </w:tc>
              <w:tc>
                <w:tcPr>
                  <w:tcW w:w="1286" w:type="pct"/>
                  <w:gridSpan w:val="2"/>
                  <w:tcBorders>
                    <w:top w:val="single" w:color="auto" w:sz="12" w:space="0"/>
                    <w:left w:val="single" w:color="auto" w:sz="6" w:space="0"/>
                    <w:bottom w:val="single" w:color="auto" w:sz="6" w:space="0"/>
                    <w:right w:val="single" w:color="auto" w:sz="6" w:space="0"/>
                  </w:tcBorders>
                  <w:vAlign w:val="center"/>
                </w:tcPr>
                <w:p w14:paraId="032A79A2">
                  <w:pPr>
                    <w:spacing w:line="240" w:lineRule="auto"/>
                    <w:ind w:firstLine="0" w:firstLineChars="0"/>
                    <w:jc w:val="center"/>
                    <w:rPr>
                      <w:color w:val="000000"/>
                      <w:sz w:val="21"/>
                      <w:szCs w:val="21"/>
                    </w:rPr>
                  </w:pPr>
                  <w:r>
                    <w:rPr>
                      <w:color w:val="000000"/>
                      <w:sz w:val="21"/>
                      <w:szCs w:val="21"/>
                    </w:rPr>
                    <w:t>样品编号及检测结果</w:t>
                  </w:r>
                </w:p>
              </w:tc>
              <w:tc>
                <w:tcPr>
                  <w:tcW w:w="1483" w:type="pct"/>
                  <w:vMerge w:val="restart"/>
                  <w:tcBorders>
                    <w:top w:val="single" w:color="auto" w:sz="12" w:space="0"/>
                    <w:left w:val="single" w:color="auto" w:sz="6" w:space="0"/>
                    <w:bottom w:val="single" w:color="auto" w:sz="6" w:space="0"/>
                    <w:right w:val="single" w:color="auto" w:sz="12" w:space="0"/>
                  </w:tcBorders>
                  <w:vAlign w:val="center"/>
                </w:tcPr>
                <w:p w14:paraId="0F88FE64">
                  <w:pPr>
                    <w:spacing w:line="240" w:lineRule="auto"/>
                    <w:ind w:firstLine="0" w:firstLineChars="0"/>
                    <w:jc w:val="center"/>
                    <w:rPr>
                      <w:color w:val="000000"/>
                      <w:sz w:val="21"/>
                      <w:szCs w:val="21"/>
                    </w:rPr>
                  </w:pPr>
                  <w:r>
                    <w:rPr>
                      <w:color w:val="000000"/>
                      <w:sz w:val="21"/>
                      <w:szCs w:val="21"/>
                    </w:rPr>
                    <w:t>标准限值</w:t>
                  </w:r>
                </w:p>
              </w:tc>
            </w:tr>
            <w:tr w14:paraId="303E2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vMerge w:val="continue"/>
                  <w:tcBorders>
                    <w:top w:val="single" w:color="auto" w:sz="12" w:space="0"/>
                    <w:left w:val="single" w:color="auto" w:sz="12" w:space="0"/>
                    <w:bottom w:val="single" w:color="auto" w:sz="6" w:space="0"/>
                    <w:right w:val="single" w:color="auto" w:sz="6" w:space="0"/>
                  </w:tcBorders>
                  <w:vAlign w:val="center"/>
                </w:tcPr>
                <w:p w14:paraId="69FEB4DA">
                  <w:pPr>
                    <w:widowControl/>
                    <w:spacing w:line="240" w:lineRule="auto"/>
                    <w:ind w:firstLine="0" w:firstLineChars="0"/>
                    <w:jc w:val="center"/>
                    <w:rPr>
                      <w:color w:val="000000"/>
                      <w:sz w:val="21"/>
                      <w:szCs w:val="21"/>
                    </w:rPr>
                  </w:pPr>
                </w:p>
              </w:tc>
              <w:tc>
                <w:tcPr>
                  <w:tcW w:w="1049" w:type="pct"/>
                  <w:vMerge w:val="continue"/>
                  <w:tcBorders>
                    <w:top w:val="single" w:color="auto" w:sz="12" w:space="0"/>
                    <w:left w:val="single" w:color="auto" w:sz="6" w:space="0"/>
                    <w:bottom w:val="single" w:color="auto" w:sz="6" w:space="0"/>
                    <w:right w:val="single" w:color="auto" w:sz="6" w:space="0"/>
                  </w:tcBorders>
                  <w:vAlign w:val="center"/>
                </w:tcPr>
                <w:p w14:paraId="6B6CF94B">
                  <w:pPr>
                    <w:widowControl/>
                    <w:spacing w:line="240" w:lineRule="auto"/>
                    <w:ind w:firstLine="0" w:firstLineChars="0"/>
                    <w:jc w:val="center"/>
                    <w:rPr>
                      <w:color w:val="000000"/>
                      <w:sz w:val="21"/>
                      <w:szCs w:val="21"/>
                    </w:rPr>
                  </w:pPr>
                </w:p>
              </w:tc>
              <w:tc>
                <w:tcPr>
                  <w:tcW w:w="791" w:type="pct"/>
                  <w:vMerge w:val="continue"/>
                  <w:tcBorders>
                    <w:top w:val="single" w:color="auto" w:sz="12" w:space="0"/>
                    <w:left w:val="single" w:color="auto" w:sz="6" w:space="0"/>
                    <w:bottom w:val="single" w:color="auto" w:sz="6" w:space="0"/>
                    <w:right w:val="single" w:color="auto" w:sz="6" w:space="0"/>
                  </w:tcBorders>
                  <w:vAlign w:val="center"/>
                </w:tcPr>
                <w:p w14:paraId="4EA493E1">
                  <w:pPr>
                    <w:widowControl/>
                    <w:spacing w:line="240" w:lineRule="auto"/>
                    <w:ind w:firstLine="0" w:firstLineChars="0"/>
                    <w:jc w:val="center"/>
                    <w:rPr>
                      <w:color w:val="000000"/>
                      <w:sz w:val="21"/>
                      <w:szCs w:val="21"/>
                    </w:rPr>
                  </w:pPr>
                </w:p>
              </w:tc>
              <w:tc>
                <w:tcPr>
                  <w:tcW w:w="1286" w:type="pct"/>
                  <w:gridSpan w:val="2"/>
                  <w:tcBorders>
                    <w:top w:val="single" w:color="auto" w:sz="6" w:space="0"/>
                    <w:left w:val="single" w:color="auto" w:sz="6" w:space="0"/>
                    <w:bottom w:val="single" w:color="auto" w:sz="6" w:space="0"/>
                    <w:right w:val="single" w:color="auto" w:sz="6" w:space="0"/>
                  </w:tcBorders>
                  <w:vAlign w:val="center"/>
                </w:tcPr>
                <w:p w14:paraId="1AC9EC4B">
                  <w:pPr>
                    <w:spacing w:line="240" w:lineRule="auto"/>
                    <w:ind w:firstLine="0" w:firstLineChars="0"/>
                    <w:jc w:val="center"/>
                    <w:rPr>
                      <w:color w:val="000000"/>
                      <w:sz w:val="21"/>
                      <w:szCs w:val="21"/>
                    </w:rPr>
                  </w:pPr>
                  <w:r>
                    <w:rPr>
                      <w:color w:val="000000"/>
                      <w:sz w:val="21"/>
                      <w:szCs w:val="21"/>
                    </w:rPr>
                    <w:t>芒奇提河</w:t>
                  </w:r>
                </w:p>
              </w:tc>
              <w:tc>
                <w:tcPr>
                  <w:tcW w:w="1483" w:type="pct"/>
                  <w:vMerge w:val="continue"/>
                  <w:tcBorders>
                    <w:top w:val="single" w:color="auto" w:sz="12" w:space="0"/>
                    <w:left w:val="single" w:color="auto" w:sz="6" w:space="0"/>
                    <w:bottom w:val="single" w:color="auto" w:sz="6" w:space="0"/>
                    <w:right w:val="single" w:color="auto" w:sz="12" w:space="0"/>
                  </w:tcBorders>
                  <w:vAlign w:val="center"/>
                </w:tcPr>
                <w:p w14:paraId="4F7AACA5">
                  <w:pPr>
                    <w:widowControl/>
                    <w:spacing w:line="240" w:lineRule="auto"/>
                    <w:ind w:firstLine="0" w:firstLineChars="0"/>
                    <w:jc w:val="center"/>
                    <w:rPr>
                      <w:color w:val="000000"/>
                      <w:sz w:val="21"/>
                      <w:szCs w:val="21"/>
                    </w:rPr>
                  </w:pPr>
                </w:p>
              </w:tc>
            </w:tr>
            <w:tr w14:paraId="5769B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vMerge w:val="continue"/>
                  <w:tcBorders>
                    <w:top w:val="single" w:color="auto" w:sz="12" w:space="0"/>
                    <w:left w:val="single" w:color="auto" w:sz="12" w:space="0"/>
                    <w:bottom w:val="single" w:color="auto" w:sz="6" w:space="0"/>
                    <w:right w:val="single" w:color="auto" w:sz="6" w:space="0"/>
                  </w:tcBorders>
                  <w:vAlign w:val="center"/>
                </w:tcPr>
                <w:p w14:paraId="5B6B553C">
                  <w:pPr>
                    <w:widowControl/>
                    <w:spacing w:line="240" w:lineRule="auto"/>
                    <w:ind w:firstLine="0" w:firstLineChars="0"/>
                    <w:jc w:val="center"/>
                    <w:rPr>
                      <w:color w:val="000000"/>
                      <w:sz w:val="21"/>
                      <w:szCs w:val="21"/>
                    </w:rPr>
                  </w:pPr>
                </w:p>
              </w:tc>
              <w:tc>
                <w:tcPr>
                  <w:tcW w:w="1049" w:type="pct"/>
                  <w:vMerge w:val="continue"/>
                  <w:tcBorders>
                    <w:top w:val="single" w:color="auto" w:sz="12" w:space="0"/>
                    <w:left w:val="single" w:color="auto" w:sz="6" w:space="0"/>
                    <w:bottom w:val="single" w:color="auto" w:sz="6" w:space="0"/>
                    <w:right w:val="single" w:color="auto" w:sz="6" w:space="0"/>
                  </w:tcBorders>
                  <w:vAlign w:val="center"/>
                </w:tcPr>
                <w:p w14:paraId="3FB1D303">
                  <w:pPr>
                    <w:widowControl/>
                    <w:spacing w:line="240" w:lineRule="auto"/>
                    <w:ind w:firstLine="0" w:firstLineChars="0"/>
                    <w:jc w:val="center"/>
                    <w:rPr>
                      <w:color w:val="000000"/>
                      <w:sz w:val="21"/>
                      <w:szCs w:val="21"/>
                    </w:rPr>
                  </w:pPr>
                </w:p>
              </w:tc>
              <w:tc>
                <w:tcPr>
                  <w:tcW w:w="791" w:type="pct"/>
                  <w:vMerge w:val="continue"/>
                  <w:tcBorders>
                    <w:top w:val="single" w:color="auto" w:sz="12" w:space="0"/>
                    <w:left w:val="single" w:color="auto" w:sz="6" w:space="0"/>
                    <w:bottom w:val="single" w:color="auto" w:sz="6" w:space="0"/>
                    <w:right w:val="single" w:color="auto" w:sz="6" w:space="0"/>
                  </w:tcBorders>
                  <w:vAlign w:val="center"/>
                </w:tcPr>
                <w:p w14:paraId="23F8E95E">
                  <w:pPr>
                    <w:widowControl/>
                    <w:spacing w:line="240" w:lineRule="auto"/>
                    <w:ind w:firstLine="0" w:firstLineChars="0"/>
                    <w:jc w:val="center"/>
                    <w:rPr>
                      <w:color w:val="000000"/>
                      <w:sz w:val="21"/>
                      <w:szCs w:val="21"/>
                    </w:rPr>
                  </w:pPr>
                </w:p>
              </w:tc>
              <w:tc>
                <w:tcPr>
                  <w:tcW w:w="623" w:type="pct"/>
                  <w:tcBorders>
                    <w:top w:val="single" w:color="auto" w:sz="6" w:space="0"/>
                    <w:left w:val="single" w:color="auto" w:sz="6" w:space="0"/>
                    <w:bottom w:val="single" w:color="auto" w:sz="6" w:space="0"/>
                    <w:right w:val="single" w:color="auto" w:sz="6" w:space="0"/>
                  </w:tcBorders>
                  <w:vAlign w:val="center"/>
                </w:tcPr>
                <w:p w14:paraId="1F1D755F">
                  <w:pPr>
                    <w:spacing w:line="240" w:lineRule="auto"/>
                    <w:ind w:firstLine="0" w:firstLineChars="0"/>
                    <w:jc w:val="center"/>
                    <w:rPr>
                      <w:color w:val="000000"/>
                      <w:sz w:val="21"/>
                      <w:szCs w:val="21"/>
                    </w:rPr>
                  </w:pPr>
                  <w:r>
                    <w:rPr>
                      <w:color w:val="000000"/>
                      <w:sz w:val="21"/>
                      <w:szCs w:val="21"/>
                    </w:rPr>
                    <w:t>监测值</w:t>
                  </w:r>
                </w:p>
              </w:tc>
              <w:tc>
                <w:tcPr>
                  <w:tcW w:w="663" w:type="pct"/>
                  <w:tcBorders>
                    <w:top w:val="single" w:color="auto" w:sz="6" w:space="0"/>
                    <w:left w:val="single" w:color="auto" w:sz="6" w:space="0"/>
                    <w:bottom w:val="single" w:color="auto" w:sz="6" w:space="0"/>
                    <w:right w:val="single" w:color="auto" w:sz="6" w:space="0"/>
                  </w:tcBorders>
                  <w:vAlign w:val="center"/>
                </w:tcPr>
                <w:p w14:paraId="5FDCE4DE">
                  <w:pPr>
                    <w:spacing w:line="240" w:lineRule="auto"/>
                    <w:ind w:firstLine="0" w:firstLineChars="0"/>
                    <w:jc w:val="center"/>
                    <w:rPr>
                      <w:color w:val="000000"/>
                      <w:sz w:val="21"/>
                      <w:szCs w:val="21"/>
                    </w:rPr>
                  </w:pPr>
                  <w:r>
                    <w:rPr>
                      <w:color w:val="000000"/>
                      <w:sz w:val="21"/>
                      <w:szCs w:val="21"/>
                    </w:rPr>
                    <w:t>标准</w:t>
                  </w:r>
                </w:p>
                <w:p w14:paraId="6CBDC2A8">
                  <w:pPr>
                    <w:spacing w:line="240" w:lineRule="auto"/>
                    <w:ind w:firstLine="0" w:firstLineChars="0"/>
                    <w:jc w:val="center"/>
                    <w:rPr>
                      <w:color w:val="000000"/>
                      <w:sz w:val="21"/>
                      <w:szCs w:val="21"/>
                    </w:rPr>
                  </w:pPr>
                  <w:r>
                    <w:rPr>
                      <w:color w:val="000000"/>
                      <w:sz w:val="21"/>
                      <w:szCs w:val="21"/>
                    </w:rPr>
                    <w:t>指数</w:t>
                  </w:r>
                </w:p>
              </w:tc>
              <w:tc>
                <w:tcPr>
                  <w:tcW w:w="1483" w:type="pct"/>
                  <w:vMerge w:val="continue"/>
                  <w:tcBorders>
                    <w:top w:val="single" w:color="auto" w:sz="12" w:space="0"/>
                    <w:left w:val="single" w:color="auto" w:sz="6" w:space="0"/>
                    <w:bottom w:val="single" w:color="auto" w:sz="6" w:space="0"/>
                    <w:right w:val="single" w:color="auto" w:sz="12" w:space="0"/>
                  </w:tcBorders>
                  <w:vAlign w:val="center"/>
                </w:tcPr>
                <w:p w14:paraId="46E196F9">
                  <w:pPr>
                    <w:widowControl/>
                    <w:spacing w:line="240" w:lineRule="auto"/>
                    <w:ind w:firstLine="0" w:firstLineChars="0"/>
                    <w:jc w:val="center"/>
                    <w:rPr>
                      <w:color w:val="000000"/>
                      <w:sz w:val="21"/>
                      <w:szCs w:val="21"/>
                    </w:rPr>
                  </w:pPr>
                </w:p>
              </w:tc>
            </w:tr>
            <w:tr w14:paraId="3E4C20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0D922474">
                  <w:pPr>
                    <w:spacing w:line="240" w:lineRule="auto"/>
                    <w:ind w:firstLine="0" w:firstLineChars="0"/>
                    <w:jc w:val="center"/>
                    <w:rPr>
                      <w:color w:val="000000"/>
                      <w:sz w:val="21"/>
                      <w:szCs w:val="21"/>
                    </w:rPr>
                  </w:pPr>
                  <w:r>
                    <w:rPr>
                      <w:color w:val="000000"/>
                      <w:sz w:val="21"/>
                      <w:szCs w:val="21"/>
                    </w:rPr>
                    <w:t>1</w:t>
                  </w:r>
                </w:p>
              </w:tc>
              <w:tc>
                <w:tcPr>
                  <w:tcW w:w="1049" w:type="pct"/>
                  <w:tcBorders>
                    <w:top w:val="single" w:color="auto" w:sz="6" w:space="0"/>
                    <w:left w:val="single" w:color="auto" w:sz="6" w:space="0"/>
                    <w:bottom w:val="single" w:color="auto" w:sz="6" w:space="0"/>
                    <w:right w:val="single" w:color="auto" w:sz="6" w:space="0"/>
                  </w:tcBorders>
                  <w:vAlign w:val="center"/>
                </w:tcPr>
                <w:p w14:paraId="3A8D378E">
                  <w:pPr>
                    <w:spacing w:line="240" w:lineRule="auto"/>
                    <w:ind w:firstLine="0" w:firstLineChars="0"/>
                    <w:jc w:val="center"/>
                    <w:rPr>
                      <w:color w:val="000000"/>
                      <w:sz w:val="21"/>
                      <w:szCs w:val="21"/>
                    </w:rPr>
                  </w:pPr>
                  <w:r>
                    <w:rPr>
                      <w:color w:val="000000"/>
                      <w:sz w:val="21"/>
                      <w:szCs w:val="21"/>
                    </w:rPr>
                    <w:t>pH</w:t>
                  </w:r>
                </w:p>
              </w:tc>
              <w:tc>
                <w:tcPr>
                  <w:tcW w:w="791" w:type="pct"/>
                  <w:tcBorders>
                    <w:top w:val="single" w:color="auto" w:sz="6" w:space="0"/>
                    <w:left w:val="single" w:color="auto" w:sz="6" w:space="0"/>
                    <w:bottom w:val="single" w:color="auto" w:sz="6" w:space="0"/>
                    <w:right w:val="single" w:color="auto" w:sz="6" w:space="0"/>
                  </w:tcBorders>
                  <w:vAlign w:val="center"/>
                </w:tcPr>
                <w:p w14:paraId="56990C04">
                  <w:pPr>
                    <w:spacing w:line="240" w:lineRule="auto"/>
                    <w:ind w:firstLine="0" w:firstLineChars="0"/>
                    <w:jc w:val="center"/>
                    <w:rPr>
                      <w:color w:val="000000"/>
                      <w:sz w:val="21"/>
                      <w:szCs w:val="21"/>
                    </w:rPr>
                  </w:pPr>
                  <w:r>
                    <w:rPr>
                      <w:color w:val="000000"/>
                      <w:sz w:val="21"/>
                      <w:szCs w:val="21"/>
                    </w:rPr>
                    <w:t>无量纲</w:t>
                  </w:r>
                </w:p>
              </w:tc>
              <w:tc>
                <w:tcPr>
                  <w:tcW w:w="623" w:type="pct"/>
                  <w:tcBorders>
                    <w:top w:val="single" w:color="auto" w:sz="6" w:space="0"/>
                    <w:left w:val="single" w:color="auto" w:sz="6" w:space="0"/>
                    <w:bottom w:val="single" w:color="auto" w:sz="6" w:space="0"/>
                    <w:right w:val="single" w:color="auto" w:sz="6" w:space="0"/>
                  </w:tcBorders>
                  <w:vAlign w:val="center"/>
                </w:tcPr>
                <w:p w14:paraId="486ECF97">
                  <w:pPr>
                    <w:spacing w:line="240" w:lineRule="auto"/>
                    <w:ind w:firstLine="0" w:firstLineChars="0"/>
                    <w:jc w:val="center"/>
                    <w:rPr>
                      <w:color w:val="000000"/>
                      <w:sz w:val="21"/>
                      <w:szCs w:val="21"/>
                    </w:rPr>
                  </w:pPr>
                  <w:r>
                    <w:rPr>
                      <w:color w:val="000000"/>
                      <w:sz w:val="21"/>
                      <w:szCs w:val="21"/>
                    </w:rPr>
                    <w:t>8.2</w:t>
                  </w:r>
                </w:p>
              </w:tc>
              <w:tc>
                <w:tcPr>
                  <w:tcW w:w="663" w:type="pct"/>
                  <w:tcBorders>
                    <w:top w:val="single" w:color="auto" w:sz="6" w:space="0"/>
                    <w:left w:val="single" w:color="auto" w:sz="6" w:space="0"/>
                    <w:bottom w:val="single" w:color="auto" w:sz="6" w:space="0"/>
                    <w:right w:val="single" w:color="auto" w:sz="6" w:space="0"/>
                  </w:tcBorders>
                  <w:vAlign w:val="center"/>
                </w:tcPr>
                <w:p w14:paraId="5E1EC166">
                  <w:pPr>
                    <w:spacing w:line="240" w:lineRule="auto"/>
                    <w:ind w:firstLine="0" w:firstLineChars="0"/>
                    <w:jc w:val="center"/>
                    <w:rPr>
                      <w:color w:val="000000"/>
                      <w:sz w:val="21"/>
                      <w:szCs w:val="21"/>
                    </w:rPr>
                  </w:pPr>
                  <w:r>
                    <w:rPr>
                      <w:color w:val="000000"/>
                      <w:sz w:val="21"/>
                      <w:szCs w:val="21"/>
                    </w:rPr>
                    <w:t>0.6</w:t>
                  </w:r>
                </w:p>
              </w:tc>
              <w:tc>
                <w:tcPr>
                  <w:tcW w:w="1483" w:type="pct"/>
                  <w:tcBorders>
                    <w:top w:val="single" w:color="auto" w:sz="6" w:space="0"/>
                    <w:left w:val="single" w:color="auto" w:sz="6" w:space="0"/>
                    <w:bottom w:val="single" w:color="auto" w:sz="6" w:space="0"/>
                    <w:right w:val="single" w:color="auto" w:sz="12" w:space="0"/>
                  </w:tcBorders>
                  <w:vAlign w:val="center"/>
                </w:tcPr>
                <w:p w14:paraId="5CEE5552">
                  <w:pPr>
                    <w:spacing w:line="240" w:lineRule="auto"/>
                    <w:ind w:firstLine="0" w:firstLineChars="0"/>
                    <w:jc w:val="center"/>
                    <w:rPr>
                      <w:color w:val="000000"/>
                      <w:sz w:val="21"/>
                      <w:szCs w:val="21"/>
                      <w:highlight w:val="yellow"/>
                    </w:rPr>
                  </w:pPr>
                  <w:r>
                    <w:rPr>
                      <w:color w:val="000000"/>
                      <w:sz w:val="21"/>
                      <w:szCs w:val="21"/>
                    </w:rPr>
                    <w:t>6-9</w:t>
                  </w:r>
                </w:p>
              </w:tc>
            </w:tr>
            <w:tr w14:paraId="0F2FE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09961568">
                  <w:pPr>
                    <w:spacing w:line="240" w:lineRule="auto"/>
                    <w:ind w:firstLine="0" w:firstLineChars="0"/>
                    <w:jc w:val="center"/>
                    <w:rPr>
                      <w:color w:val="000000"/>
                      <w:sz w:val="21"/>
                      <w:szCs w:val="21"/>
                    </w:rPr>
                  </w:pPr>
                  <w:r>
                    <w:rPr>
                      <w:color w:val="000000"/>
                      <w:sz w:val="21"/>
                      <w:szCs w:val="21"/>
                    </w:rPr>
                    <w:t>2</w:t>
                  </w:r>
                </w:p>
              </w:tc>
              <w:tc>
                <w:tcPr>
                  <w:tcW w:w="1049" w:type="pct"/>
                  <w:tcBorders>
                    <w:top w:val="single" w:color="auto" w:sz="6" w:space="0"/>
                    <w:left w:val="single" w:color="auto" w:sz="6" w:space="0"/>
                    <w:bottom w:val="single" w:color="auto" w:sz="6" w:space="0"/>
                    <w:right w:val="single" w:color="auto" w:sz="6" w:space="0"/>
                  </w:tcBorders>
                  <w:vAlign w:val="center"/>
                </w:tcPr>
                <w:p w14:paraId="5DBFFD10">
                  <w:pPr>
                    <w:spacing w:line="240" w:lineRule="auto"/>
                    <w:ind w:firstLine="0" w:firstLineChars="0"/>
                    <w:jc w:val="center"/>
                    <w:rPr>
                      <w:color w:val="000000"/>
                      <w:sz w:val="21"/>
                      <w:szCs w:val="21"/>
                    </w:rPr>
                  </w:pPr>
                  <w:r>
                    <w:rPr>
                      <w:color w:val="000000"/>
                      <w:sz w:val="21"/>
                      <w:szCs w:val="21"/>
                    </w:rPr>
                    <w:t>BOD</w:t>
                  </w:r>
                  <w:r>
                    <w:rPr>
                      <w:color w:val="000000"/>
                      <w:sz w:val="21"/>
                      <w:szCs w:val="21"/>
                      <w:vertAlign w:val="subscript"/>
                    </w:rPr>
                    <w:t>5</w:t>
                  </w:r>
                </w:p>
              </w:tc>
              <w:tc>
                <w:tcPr>
                  <w:tcW w:w="791" w:type="pct"/>
                  <w:tcBorders>
                    <w:top w:val="single" w:color="auto" w:sz="6" w:space="0"/>
                    <w:left w:val="single" w:color="auto" w:sz="6" w:space="0"/>
                    <w:bottom w:val="single" w:color="auto" w:sz="6" w:space="0"/>
                    <w:right w:val="single" w:color="auto" w:sz="6" w:space="0"/>
                  </w:tcBorders>
                  <w:vAlign w:val="center"/>
                </w:tcPr>
                <w:p w14:paraId="295C3730">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51BE0740">
                  <w:pPr>
                    <w:spacing w:line="240" w:lineRule="auto"/>
                    <w:ind w:firstLine="0" w:firstLineChars="0"/>
                    <w:jc w:val="center"/>
                    <w:rPr>
                      <w:color w:val="000000"/>
                      <w:sz w:val="21"/>
                      <w:szCs w:val="21"/>
                    </w:rPr>
                  </w:pPr>
                  <w:r>
                    <w:rPr>
                      <w:color w:val="000000"/>
                      <w:sz w:val="21"/>
                      <w:szCs w:val="21"/>
                    </w:rPr>
                    <w:t>1.2</w:t>
                  </w:r>
                </w:p>
              </w:tc>
              <w:tc>
                <w:tcPr>
                  <w:tcW w:w="663" w:type="pct"/>
                  <w:tcBorders>
                    <w:top w:val="single" w:color="auto" w:sz="6" w:space="0"/>
                    <w:left w:val="single" w:color="auto" w:sz="6" w:space="0"/>
                    <w:bottom w:val="single" w:color="auto" w:sz="6" w:space="0"/>
                    <w:right w:val="single" w:color="auto" w:sz="6" w:space="0"/>
                  </w:tcBorders>
                  <w:vAlign w:val="center"/>
                </w:tcPr>
                <w:p w14:paraId="022901CA">
                  <w:pPr>
                    <w:spacing w:line="240" w:lineRule="auto"/>
                    <w:ind w:firstLine="0" w:firstLineChars="0"/>
                    <w:jc w:val="center"/>
                    <w:rPr>
                      <w:color w:val="000000"/>
                      <w:sz w:val="21"/>
                      <w:szCs w:val="21"/>
                    </w:rPr>
                  </w:pPr>
                  <w:r>
                    <w:rPr>
                      <w:color w:val="000000"/>
                      <w:sz w:val="21"/>
                      <w:szCs w:val="21"/>
                    </w:rPr>
                    <w:t>0.4</w:t>
                  </w:r>
                </w:p>
              </w:tc>
              <w:tc>
                <w:tcPr>
                  <w:tcW w:w="1483" w:type="pct"/>
                  <w:tcBorders>
                    <w:top w:val="single" w:color="auto" w:sz="6" w:space="0"/>
                    <w:left w:val="single" w:color="auto" w:sz="6" w:space="0"/>
                    <w:bottom w:val="single" w:color="auto" w:sz="6" w:space="0"/>
                    <w:right w:val="single" w:color="auto" w:sz="12" w:space="0"/>
                  </w:tcBorders>
                  <w:vAlign w:val="center"/>
                </w:tcPr>
                <w:p w14:paraId="7A364632">
                  <w:pPr>
                    <w:spacing w:line="240" w:lineRule="auto"/>
                    <w:ind w:firstLine="0" w:firstLineChars="0"/>
                    <w:jc w:val="center"/>
                    <w:rPr>
                      <w:color w:val="000000"/>
                      <w:sz w:val="21"/>
                      <w:szCs w:val="21"/>
                    </w:rPr>
                  </w:pPr>
                  <w:r>
                    <w:rPr>
                      <w:color w:val="000000"/>
                      <w:sz w:val="21"/>
                      <w:szCs w:val="21"/>
                    </w:rPr>
                    <w:t>≤3</w:t>
                  </w:r>
                </w:p>
              </w:tc>
            </w:tr>
            <w:tr w14:paraId="563217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3B890677">
                  <w:pPr>
                    <w:spacing w:line="240" w:lineRule="auto"/>
                    <w:ind w:firstLine="0" w:firstLineChars="0"/>
                    <w:jc w:val="center"/>
                    <w:rPr>
                      <w:color w:val="000000"/>
                      <w:sz w:val="21"/>
                      <w:szCs w:val="21"/>
                    </w:rPr>
                  </w:pPr>
                  <w:r>
                    <w:rPr>
                      <w:color w:val="000000"/>
                      <w:sz w:val="21"/>
                      <w:szCs w:val="21"/>
                    </w:rPr>
                    <w:t>3</w:t>
                  </w:r>
                </w:p>
              </w:tc>
              <w:tc>
                <w:tcPr>
                  <w:tcW w:w="1049" w:type="pct"/>
                  <w:tcBorders>
                    <w:top w:val="single" w:color="auto" w:sz="6" w:space="0"/>
                    <w:left w:val="single" w:color="auto" w:sz="6" w:space="0"/>
                    <w:bottom w:val="single" w:color="auto" w:sz="6" w:space="0"/>
                    <w:right w:val="single" w:color="auto" w:sz="6" w:space="0"/>
                  </w:tcBorders>
                  <w:vAlign w:val="center"/>
                </w:tcPr>
                <w:p w14:paraId="12C9C6D2">
                  <w:pPr>
                    <w:spacing w:line="240" w:lineRule="auto"/>
                    <w:ind w:firstLine="0" w:firstLineChars="0"/>
                    <w:rPr>
                      <w:color w:val="000000"/>
                      <w:sz w:val="21"/>
                      <w:szCs w:val="21"/>
                    </w:rPr>
                  </w:pPr>
                  <w:r>
                    <w:rPr>
                      <w:color w:val="000000"/>
                      <w:sz w:val="21"/>
                      <w:szCs w:val="21"/>
                    </w:rPr>
                    <w:t>高锰酸盐指数</w:t>
                  </w:r>
                </w:p>
              </w:tc>
              <w:tc>
                <w:tcPr>
                  <w:tcW w:w="791" w:type="pct"/>
                  <w:tcBorders>
                    <w:top w:val="single" w:color="auto" w:sz="6" w:space="0"/>
                    <w:left w:val="single" w:color="auto" w:sz="6" w:space="0"/>
                    <w:bottom w:val="single" w:color="auto" w:sz="6" w:space="0"/>
                    <w:right w:val="single" w:color="auto" w:sz="6" w:space="0"/>
                  </w:tcBorders>
                  <w:vAlign w:val="center"/>
                </w:tcPr>
                <w:p w14:paraId="61DD139E">
                  <w:pPr>
                    <w:spacing w:line="240" w:lineRule="auto"/>
                    <w:ind w:firstLine="0" w:firstLineChars="0"/>
                    <w:jc w:val="center"/>
                    <w:rPr>
                      <w:color w:val="000000"/>
                      <w:sz w:val="21"/>
                      <w:szCs w:val="21"/>
                    </w:rPr>
                  </w:pPr>
                  <w:r>
                    <w:rPr>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7946907A">
                  <w:pPr>
                    <w:spacing w:line="240" w:lineRule="auto"/>
                    <w:ind w:firstLine="0" w:firstLineChars="0"/>
                    <w:jc w:val="center"/>
                    <w:rPr>
                      <w:color w:val="000000"/>
                      <w:sz w:val="21"/>
                      <w:szCs w:val="21"/>
                    </w:rPr>
                  </w:pPr>
                  <w:r>
                    <w:rPr>
                      <w:sz w:val="21"/>
                      <w:szCs w:val="21"/>
                    </w:rPr>
                    <w:t>0.5</w:t>
                  </w:r>
                </w:p>
              </w:tc>
              <w:tc>
                <w:tcPr>
                  <w:tcW w:w="663" w:type="pct"/>
                  <w:tcBorders>
                    <w:top w:val="single" w:color="auto" w:sz="6" w:space="0"/>
                    <w:left w:val="single" w:color="auto" w:sz="6" w:space="0"/>
                    <w:bottom w:val="single" w:color="auto" w:sz="6" w:space="0"/>
                    <w:right w:val="single" w:color="auto" w:sz="6" w:space="0"/>
                  </w:tcBorders>
                  <w:vAlign w:val="center"/>
                </w:tcPr>
                <w:p w14:paraId="232190BB">
                  <w:pPr>
                    <w:spacing w:line="240" w:lineRule="auto"/>
                    <w:ind w:firstLine="0" w:firstLineChars="0"/>
                    <w:jc w:val="center"/>
                    <w:rPr>
                      <w:color w:val="000000"/>
                      <w:sz w:val="21"/>
                      <w:szCs w:val="21"/>
                    </w:rPr>
                  </w:pPr>
                  <w:r>
                    <w:rPr>
                      <w:rFonts w:eastAsia="等线"/>
                      <w:color w:val="000000"/>
                      <w:sz w:val="21"/>
                      <w:szCs w:val="21"/>
                    </w:rPr>
                    <w:t>0.25</w:t>
                  </w:r>
                </w:p>
              </w:tc>
              <w:tc>
                <w:tcPr>
                  <w:tcW w:w="1483" w:type="pct"/>
                  <w:tcBorders>
                    <w:top w:val="single" w:color="auto" w:sz="6" w:space="0"/>
                    <w:left w:val="single" w:color="auto" w:sz="6" w:space="0"/>
                    <w:bottom w:val="single" w:color="auto" w:sz="6" w:space="0"/>
                    <w:right w:val="single" w:color="auto" w:sz="12" w:space="0"/>
                  </w:tcBorders>
                  <w:vAlign w:val="center"/>
                </w:tcPr>
                <w:p w14:paraId="59BA2BE0">
                  <w:pPr>
                    <w:spacing w:line="240" w:lineRule="auto"/>
                    <w:ind w:firstLine="0" w:firstLineChars="0"/>
                    <w:jc w:val="center"/>
                    <w:rPr>
                      <w:color w:val="000000"/>
                      <w:sz w:val="21"/>
                      <w:szCs w:val="21"/>
                      <w:highlight w:val="yellow"/>
                    </w:rPr>
                  </w:pPr>
                  <w:r>
                    <w:rPr>
                      <w:sz w:val="21"/>
                      <w:szCs w:val="21"/>
                    </w:rPr>
                    <w:t>≤2</w:t>
                  </w:r>
                </w:p>
              </w:tc>
            </w:tr>
            <w:tr w14:paraId="176932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5AB5BB05">
                  <w:pPr>
                    <w:spacing w:line="240" w:lineRule="auto"/>
                    <w:ind w:firstLine="0" w:firstLineChars="0"/>
                    <w:jc w:val="center"/>
                    <w:rPr>
                      <w:color w:val="000000"/>
                      <w:sz w:val="21"/>
                      <w:szCs w:val="21"/>
                    </w:rPr>
                  </w:pPr>
                  <w:r>
                    <w:rPr>
                      <w:color w:val="000000"/>
                      <w:sz w:val="21"/>
                      <w:szCs w:val="21"/>
                    </w:rPr>
                    <w:t>4</w:t>
                  </w:r>
                </w:p>
              </w:tc>
              <w:tc>
                <w:tcPr>
                  <w:tcW w:w="1049" w:type="pct"/>
                  <w:tcBorders>
                    <w:top w:val="single" w:color="auto" w:sz="6" w:space="0"/>
                    <w:left w:val="single" w:color="auto" w:sz="6" w:space="0"/>
                    <w:bottom w:val="single" w:color="auto" w:sz="6" w:space="0"/>
                    <w:right w:val="single" w:color="auto" w:sz="6" w:space="0"/>
                  </w:tcBorders>
                  <w:vAlign w:val="center"/>
                </w:tcPr>
                <w:p w14:paraId="08D48FED">
                  <w:pPr>
                    <w:spacing w:line="240" w:lineRule="auto"/>
                    <w:ind w:firstLine="0" w:firstLineChars="0"/>
                    <w:jc w:val="center"/>
                    <w:rPr>
                      <w:color w:val="000000"/>
                      <w:sz w:val="21"/>
                      <w:szCs w:val="21"/>
                    </w:rPr>
                  </w:pPr>
                  <w:r>
                    <w:rPr>
                      <w:color w:val="000000"/>
                      <w:sz w:val="21"/>
                      <w:szCs w:val="21"/>
                    </w:rPr>
                    <w:t>氯化物</w:t>
                  </w:r>
                </w:p>
              </w:tc>
              <w:tc>
                <w:tcPr>
                  <w:tcW w:w="791" w:type="pct"/>
                  <w:tcBorders>
                    <w:top w:val="single" w:color="auto" w:sz="6" w:space="0"/>
                    <w:left w:val="single" w:color="auto" w:sz="6" w:space="0"/>
                    <w:bottom w:val="single" w:color="auto" w:sz="6" w:space="0"/>
                    <w:right w:val="single" w:color="auto" w:sz="6" w:space="0"/>
                  </w:tcBorders>
                  <w:vAlign w:val="center"/>
                </w:tcPr>
                <w:p w14:paraId="5DA23A28">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339E002D">
                  <w:pPr>
                    <w:spacing w:line="240" w:lineRule="auto"/>
                    <w:ind w:firstLine="0" w:firstLineChars="0"/>
                    <w:jc w:val="center"/>
                    <w:rPr>
                      <w:color w:val="000000"/>
                      <w:sz w:val="21"/>
                      <w:szCs w:val="21"/>
                    </w:rPr>
                  </w:pPr>
                  <w:r>
                    <w:rPr>
                      <w:sz w:val="21"/>
                      <w:szCs w:val="21"/>
                    </w:rPr>
                    <w:t>13.6</w:t>
                  </w:r>
                </w:p>
              </w:tc>
              <w:tc>
                <w:tcPr>
                  <w:tcW w:w="663" w:type="pct"/>
                  <w:tcBorders>
                    <w:top w:val="single" w:color="auto" w:sz="6" w:space="0"/>
                    <w:left w:val="single" w:color="auto" w:sz="6" w:space="0"/>
                    <w:bottom w:val="single" w:color="auto" w:sz="6" w:space="0"/>
                    <w:right w:val="single" w:color="auto" w:sz="6" w:space="0"/>
                  </w:tcBorders>
                  <w:vAlign w:val="center"/>
                </w:tcPr>
                <w:p w14:paraId="4F798A8D">
                  <w:pPr>
                    <w:spacing w:line="240" w:lineRule="auto"/>
                    <w:ind w:firstLine="0" w:firstLineChars="0"/>
                    <w:jc w:val="center"/>
                    <w:rPr>
                      <w:color w:val="000000"/>
                      <w:sz w:val="21"/>
                      <w:szCs w:val="21"/>
                    </w:rPr>
                  </w:pPr>
                  <w:r>
                    <w:rPr>
                      <w:rFonts w:eastAsia="等线"/>
                      <w:color w:val="000000"/>
                      <w:sz w:val="21"/>
                      <w:szCs w:val="21"/>
                    </w:rPr>
                    <w:t>0.05</w:t>
                  </w:r>
                </w:p>
              </w:tc>
              <w:tc>
                <w:tcPr>
                  <w:tcW w:w="1483" w:type="pct"/>
                  <w:tcBorders>
                    <w:top w:val="single" w:color="auto" w:sz="6" w:space="0"/>
                    <w:left w:val="single" w:color="auto" w:sz="6" w:space="0"/>
                    <w:bottom w:val="single" w:color="auto" w:sz="6" w:space="0"/>
                    <w:right w:val="single" w:color="auto" w:sz="12" w:space="0"/>
                  </w:tcBorders>
                  <w:vAlign w:val="center"/>
                </w:tcPr>
                <w:p w14:paraId="04C512A7">
                  <w:pPr>
                    <w:spacing w:line="240" w:lineRule="auto"/>
                    <w:ind w:firstLine="0" w:firstLineChars="0"/>
                    <w:jc w:val="center"/>
                    <w:rPr>
                      <w:color w:val="000000"/>
                      <w:sz w:val="21"/>
                      <w:szCs w:val="21"/>
                      <w:highlight w:val="yellow"/>
                    </w:rPr>
                  </w:pPr>
                  <w:r>
                    <w:rPr>
                      <w:color w:val="000000"/>
                      <w:sz w:val="21"/>
                      <w:szCs w:val="21"/>
                    </w:rPr>
                    <w:t>≤250</w:t>
                  </w:r>
                </w:p>
              </w:tc>
            </w:tr>
            <w:tr w14:paraId="0EA6C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39C1AFA3">
                  <w:pPr>
                    <w:spacing w:line="240" w:lineRule="auto"/>
                    <w:ind w:firstLine="0" w:firstLineChars="0"/>
                    <w:jc w:val="center"/>
                    <w:rPr>
                      <w:color w:val="000000"/>
                      <w:sz w:val="21"/>
                      <w:szCs w:val="21"/>
                    </w:rPr>
                  </w:pPr>
                  <w:r>
                    <w:rPr>
                      <w:color w:val="000000"/>
                      <w:sz w:val="21"/>
                      <w:szCs w:val="21"/>
                    </w:rPr>
                    <w:t>5</w:t>
                  </w:r>
                </w:p>
              </w:tc>
              <w:tc>
                <w:tcPr>
                  <w:tcW w:w="1049" w:type="pct"/>
                  <w:tcBorders>
                    <w:top w:val="single" w:color="auto" w:sz="6" w:space="0"/>
                    <w:left w:val="single" w:color="auto" w:sz="6" w:space="0"/>
                    <w:bottom w:val="single" w:color="auto" w:sz="6" w:space="0"/>
                    <w:right w:val="single" w:color="auto" w:sz="6" w:space="0"/>
                  </w:tcBorders>
                  <w:vAlign w:val="center"/>
                </w:tcPr>
                <w:p w14:paraId="567BC0BA">
                  <w:pPr>
                    <w:spacing w:line="240" w:lineRule="auto"/>
                    <w:ind w:firstLine="0" w:firstLineChars="0"/>
                    <w:jc w:val="center"/>
                    <w:rPr>
                      <w:color w:val="000000"/>
                      <w:sz w:val="21"/>
                      <w:szCs w:val="21"/>
                    </w:rPr>
                  </w:pPr>
                  <w:r>
                    <w:rPr>
                      <w:color w:val="000000"/>
                      <w:sz w:val="21"/>
                      <w:szCs w:val="21"/>
                    </w:rPr>
                    <w:t>粪大肠菌群</w:t>
                  </w:r>
                </w:p>
              </w:tc>
              <w:tc>
                <w:tcPr>
                  <w:tcW w:w="791" w:type="pct"/>
                  <w:tcBorders>
                    <w:top w:val="single" w:color="auto" w:sz="6" w:space="0"/>
                    <w:left w:val="single" w:color="auto" w:sz="6" w:space="0"/>
                    <w:bottom w:val="single" w:color="auto" w:sz="6" w:space="0"/>
                    <w:right w:val="single" w:color="auto" w:sz="6" w:space="0"/>
                  </w:tcBorders>
                  <w:vAlign w:val="center"/>
                </w:tcPr>
                <w:p w14:paraId="649D8878">
                  <w:pPr>
                    <w:spacing w:line="240" w:lineRule="auto"/>
                    <w:ind w:firstLine="0" w:firstLineChars="0"/>
                    <w:jc w:val="center"/>
                    <w:rPr>
                      <w:color w:val="000000"/>
                      <w:sz w:val="21"/>
                      <w:szCs w:val="21"/>
                    </w:rPr>
                  </w:pPr>
                  <w:r>
                    <w:rPr>
                      <w:sz w:val="21"/>
                      <w:szCs w:val="21"/>
                    </w:rPr>
                    <w:t>MPN/L</w:t>
                  </w:r>
                </w:p>
              </w:tc>
              <w:tc>
                <w:tcPr>
                  <w:tcW w:w="623" w:type="pct"/>
                  <w:tcBorders>
                    <w:top w:val="single" w:color="auto" w:sz="6" w:space="0"/>
                    <w:left w:val="single" w:color="auto" w:sz="6" w:space="0"/>
                    <w:bottom w:val="single" w:color="auto" w:sz="6" w:space="0"/>
                    <w:right w:val="single" w:color="auto" w:sz="6" w:space="0"/>
                  </w:tcBorders>
                  <w:vAlign w:val="center"/>
                </w:tcPr>
                <w:p w14:paraId="0A8948D3">
                  <w:pPr>
                    <w:spacing w:line="240" w:lineRule="auto"/>
                    <w:ind w:firstLine="0" w:firstLineChars="0"/>
                    <w:jc w:val="center"/>
                    <w:rPr>
                      <w:color w:val="000000"/>
                      <w:sz w:val="21"/>
                      <w:szCs w:val="21"/>
                    </w:rPr>
                  </w:pPr>
                  <w:r>
                    <w:rPr>
                      <w:sz w:val="21"/>
                      <w:szCs w:val="21"/>
                    </w:rPr>
                    <w:t>20</w:t>
                  </w:r>
                </w:p>
              </w:tc>
              <w:tc>
                <w:tcPr>
                  <w:tcW w:w="663" w:type="pct"/>
                  <w:tcBorders>
                    <w:top w:val="single" w:color="auto" w:sz="6" w:space="0"/>
                    <w:left w:val="single" w:color="auto" w:sz="6" w:space="0"/>
                    <w:bottom w:val="single" w:color="auto" w:sz="6" w:space="0"/>
                    <w:right w:val="single" w:color="auto" w:sz="6" w:space="0"/>
                  </w:tcBorders>
                  <w:vAlign w:val="center"/>
                </w:tcPr>
                <w:p w14:paraId="4FBB8957">
                  <w:pPr>
                    <w:spacing w:line="240" w:lineRule="auto"/>
                    <w:ind w:firstLine="0" w:firstLineChars="0"/>
                    <w:jc w:val="center"/>
                    <w:rPr>
                      <w:color w:val="000000"/>
                      <w:sz w:val="21"/>
                      <w:szCs w:val="21"/>
                    </w:rPr>
                  </w:pPr>
                  <w:r>
                    <w:rPr>
                      <w:rFonts w:eastAsia="等线"/>
                      <w:color w:val="000000"/>
                      <w:sz w:val="21"/>
                      <w:szCs w:val="21"/>
                    </w:rPr>
                    <w:t>0.1</w:t>
                  </w:r>
                </w:p>
              </w:tc>
              <w:tc>
                <w:tcPr>
                  <w:tcW w:w="1483" w:type="pct"/>
                  <w:tcBorders>
                    <w:top w:val="single" w:color="auto" w:sz="6" w:space="0"/>
                    <w:left w:val="single" w:color="auto" w:sz="6" w:space="0"/>
                    <w:bottom w:val="single" w:color="auto" w:sz="6" w:space="0"/>
                    <w:right w:val="single" w:color="auto" w:sz="12" w:space="0"/>
                  </w:tcBorders>
                  <w:vAlign w:val="center"/>
                </w:tcPr>
                <w:p w14:paraId="68909B68">
                  <w:pPr>
                    <w:spacing w:line="240" w:lineRule="auto"/>
                    <w:ind w:firstLine="0" w:firstLineChars="0"/>
                    <w:jc w:val="center"/>
                    <w:rPr>
                      <w:color w:val="000000"/>
                      <w:sz w:val="21"/>
                      <w:szCs w:val="21"/>
                      <w:highlight w:val="yellow"/>
                    </w:rPr>
                  </w:pPr>
                  <w:r>
                    <w:rPr>
                      <w:color w:val="000000"/>
                      <w:sz w:val="21"/>
                      <w:szCs w:val="21"/>
                    </w:rPr>
                    <w:t>≤200</w:t>
                  </w:r>
                </w:p>
              </w:tc>
            </w:tr>
            <w:tr w14:paraId="0DA2B3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2EF6FF68">
                  <w:pPr>
                    <w:spacing w:line="240" w:lineRule="auto"/>
                    <w:ind w:firstLine="0" w:firstLineChars="0"/>
                    <w:jc w:val="center"/>
                    <w:rPr>
                      <w:color w:val="000000"/>
                      <w:sz w:val="21"/>
                      <w:szCs w:val="21"/>
                    </w:rPr>
                  </w:pPr>
                  <w:r>
                    <w:rPr>
                      <w:color w:val="000000"/>
                      <w:sz w:val="21"/>
                      <w:szCs w:val="21"/>
                    </w:rPr>
                    <w:t>6</w:t>
                  </w:r>
                </w:p>
              </w:tc>
              <w:tc>
                <w:tcPr>
                  <w:tcW w:w="1049" w:type="pct"/>
                  <w:tcBorders>
                    <w:top w:val="single" w:color="auto" w:sz="6" w:space="0"/>
                    <w:left w:val="single" w:color="auto" w:sz="6" w:space="0"/>
                    <w:bottom w:val="single" w:color="auto" w:sz="6" w:space="0"/>
                    <w:right w:val="single" w:color="auto" w:sz="6" w:space="0"/>
                  </w:tcBorders>
                  <w:vAlign w:val="center"/>
                </w:tcPr>
                <w:p w14:paraId="54B1128B">
                  <w:pPr>
                    <w:spacing w:line="240" w:lineRule="auto"/>
                    <w:ind w:firstLine="0" w:firstLineChars="0"/>
                    <w:jc w:val="center"/>
                    <w:rPr>
                      <w:color w:val="000000"/>
                      <w:sz w:val="21"/>
                      <w:szCs w:val="21"/>
                    </w:rPr>
                  </w:pPr>
                  <w:r>
                    <w:rPr>
                      <w:color w:val="000000"/>
                      <w:sz w:val="21"/>
                      <w:szCs w:val="21"/>
                    </w:rPr>
                    <w:t>总磷</w:t>
                  </w:r>
                </w:p>
              </w:tc>
              <w:tc>
                <w:tcPr>
                  <w:tcW w:w="791" w:type="pct"/>
                  <w:tcBorders>
                    <w:top w:val="single" w:color="auto" w:sz="6" w:space="0"/>
                    <w:left w:val="single" w:color="auto" w:sz="6" w:space="0"/>
                    <w:bottom w:val="single" w:color="auto" w:sz="6" w:space="0"/>
                    <w:right w:val="single" w:color="auto" w:sz="6" w:space="0"/>
                  </w:tcBorders>
                  <w:vAlign w:val="center"/>
                </w:tcPr>
                <w:p w14:paraId="28214F91">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20F624D3">
                  <w:pPr>
                    <w:spacing w:line="240" w:lineRule="auto"/>
                    <w:ind w:firstLine="0" w:firstLineChars="0"/>
                    <w:jc w:val="center"/>
                    <w:rPr>
                      <w:color w:val="000000"/>
                      <w:sz w:val="21"/>
                      <w:szCs w:val="21"/>
                    </w:rPr>
                  </w:pPr>
                  <w:r>
                    <w:rPr>
                      <w:sz w:val="21"/>
                      <w:szCs w:val="21"/>
                    </w:rPr>
                    <w:t>0.01</w:t>
                  </w:r>
                </w:p>
              </w:tc>
              <w:tc>
                <w:tcPr>
                  <w:tcW w:w="663" w:type="pct"/>
                  <w:tcBorders>
                    <w:top w:val="single" w:color="auto" w:sz="6" w:space="0"/>
                    <w:left w:val="single" w:color="auto" w:sz="6" w:space="0"/>
                    <w:bottom w:val="single" w:color="auto" w:sz="6" w:space="0"/>
                    <w:right w:val="single" w:color="auto" w:sz="6" w:space="0"/>
                  </w:tcBorders>
                  <w:vAlign w:val="center"/>
                </w:tcPr>
                <w:p w14:paraId="1DEF8081">
                  <w:pPr>
                    <w:spacing w:line="240" w:lineRule="auto"/>
                    <w:ind w:firstLine="0" w:firstLineChars="0"/>
                    <w:jc w:val="center"/>
                    <w:rPr>
                      <w:color w:val="000000"/>
                      <w:sz w:val="21"/>
                      <w:szCs w:val="21"/>
                    </w:rPr>
                  </w:pPr>
                  <w:r>
                    <w:rPr>
                      <w:rFonts w:eastAsia="等线"/>
                      <w:color w:val="000000"/>
                      <w:sz w:val="21"/>
                      <w:szCs w:val="21"/>
                    </w:rPr>
                    <w:t>0.5</w:t>
                  </w:r>
                </w:p>
              </w:tc>
              <w:tc>
                <w:tcPr>
                  <w:tcW w:w="1483" w:type="pct"/>
                  <w:tcBorders>
                    <w:top w:val="single" w:color="auto" w:sz="6" w:space="0"/>
                    <w:left w:val="single" w:color="auto" w:sz="6" w:space="0"/>
                    <w:bottom w:val="single" w:color="auto" w:sz="6" w:space="0"/>
                    <w:right w:val="single" w:color="auto" w:sz="12" w:space="0"/>
                  </w:tcBorders>
                  <w:vAlign w:val="center"/>
                </w:tcPr>
                <w:p w14:paraId="0821A424">
                  <w:pPr>
                    <w:spacing w:line="240" w:lineRule="auto"/>
                    <w:ind w:firstLine="0" w:firstLineChars="0"/>
                    <w:rPr>
                      <w:color w:val="000000"/>
                      <w:sz w:val="21"/>
                      <w:szCs w:val="21"/>
                      <w:highlight w:val="yellow"/>
                    </w:rPr>
                  </w:pPr>
                  <w:r>
                    <w:rPr>
                      <w:sz w:val="21"/>
                      <w:szCs w:val="21"/>
                    </w:rPr>
                    <w:t>≤0.02（湖、库0.01）</w:t>
                  </w:r>
                </w:p>
              </w:tc>
            </w:tr>
            <w:tr w14:paraId="1AA392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35C5499F">
                  <w:pPr>
                    <w:spacing w:line="240" w:lineRule="auto"/>
                    <w:ind w:firstLine="0" w:firstLineChars="0"/>
                    <w:jc w:val="center"/>
                    <w:rPr>
                      <w:color w:val="000000"/>
                      <w:sz w:val="21"/>
                      <w:szCs w:val="21"/>
                    </w:rPr>
                  </w:pPr>
                  <w:r>
                    <w:rPr>
                      <w:color w:val="000000"/>
                      <w:sz w:val="21"/>
                      <w:szCs w:val="21"/>
                    </w:rPr>
                    <w:t>7</w:t>
                  </w:r>
                </w:p>
              </w:tc>
              <w:tc>
                <w:tcPr>
                  <w:tcW w:w="1049" w:type="pct"/>
                  <w:tcBorders>
                    <w:top w:val="single" w:color="auto" w:sz="6" w:space="0"/>
                    <w:left w:val="single" w:color="auto" w:sz="6" w:space="0"/>
                    <w:bottom w:val="single" w:color="auto" w:sz="6" w:space="0"/>
                    <w:right w:val="single" w:color="auto" w:sz="6" w:space="0"/>
                  </w:tcBorders>
                  <w:vAlign w:val="center"/>
                </w:tcPr>
                <w:p w14:paraId="6CA61886">
                  <w:pPr>
                    <w:spacing w:line="240" w:lineRule="auto"/>
                    <w:ind w:firstLine="0" w:firstLineChars="0"/>
                    <w:jc w:val="center"/>
                    <w:rPr>
                      <w:color w:val="000000"/>
                      <w:sz w:val="21"/>
                      <w:szCs w:val="21"/>
                    </w:rPr>
                  </w:pPr>
                  <w:r>
                    <w:rPr>
                      <w:color w:val="000000"/>
                      <w:sz w:val="21"/>
                      <w:szCs w:val="21"/>
                    </w:rPr>
                    <w:t>总氮</w:t>
                  </w:r>
                </w:p>
              </w:tc>
              <w:tc>
                <w:tcPr>
                  <w:tcW w:w="791" w:type="pct"/>
                  <w:tcBorders>
                    <w:top w:val="single" w:color="auto" w:sz="6" w:space="0"/>
                    <w:left w:val="single" w:color="auto" w:sz="6" w:space="0"/>
                    <w:bottom w:val="single" w:color="auto" w:sz="6" w:space="0"/>
                    <w:right w:val="single" w:color="auto" w:sz="6" w:space="0"/>
                  </w:tcBorders>
                  <w:vAlign w:val="center"/>
                </w:tcPr>
                <w:p w14:paraId="3B07BCA0">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32DC07FD">
                  <w:pPr>
                    <w:spacing w:line="240" w:lineRule="auto"/>
                    <w:ind w:firstLine="0" w:firstLineChars="0"/>
                    <w:jc w:val="center"/>
                    <w:rPr>
                      <w:color w:val="000000"/>
                      <w:sz w:val="21"/>
                      <w:szCs w:val="21"/>
                    </w:rPr>
                  </w:pPr>
                  <w:r>
                    <w:rPr>
                      <w:sz w:val="21"/>
                      <w:szCs w:val="21"/>
                    </w:rPr>
                    <w:t>0.96</w:t>
                  </w:r>
                </w:p>
              </w:tc>
              <w:tc>
                <w:tcPr>
                  <w:tcW w:w="663" w:type="pct"/>
                  <w:tcBorders>
                    <w:top w:val="single" w:color="auto" w:sz="6" w:space="0"/>
                    <w:left w:val="single" w:color="auto" w:sz="6" w:space="0"/>
                    <w:bottom w:val="single" w:color="auto" w:sz="6" w:space="0"/>
                    <w:right w:val="single" w:color="auto" w:sz="6" w:space="0"/>
                  </w:tcBorders>
                  <w:vAlign w:val="center"/>
                </w:tcPr>
                <w:p w14:paraId="3E2B41C9">
                  <w:pPr>
                    <w:spacing w:line="240" w:lineRule="auto"/>
                    <w:ind w:firstLine="0" w:firstLineChars="0"/>
                    <w:jc w:val="center"/>
                    <w:rPr>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1C87A3CC">
                  <w:pPr>
                    <w:spacing w:line="240" w:lineRule="auto"/>
                    <w:ind w:firstLine="0" w:firstLineChars="0"/>
                    <w:jc w:val="center"/>
                    <w:rPr>
                      <w:color w:val="000000"/>
                      <w:sz w:val="21"/>
                      <w:szCs w:val="21"/>
                      <w:highlight w:val="yellow"/>
                    </w:rPr>
                  </w:pPr>
                  <w:r>
                    <w:rPr>
                      <w:sz w:val="21"/>
                      <w:szCs w:val="21"/>
                    </w:rPr>
                    <w:t>≤0.2</w:t>
                  </w:r>
                </w:p>
              </w:tc>
            </w:tr>
            <w:tr w14:paraId="36BC9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10399246">
                  <w:pPr>
                    <w:spacing w:line="240" w:lineRule="auto"/>
                    <w:ind w:firstLine="0" w:firstLineChars="0"/>
                    <w:jc w:val="center"/>
                    <w:rPr>
                      <w:color w:val="000000"/>
                      <w:sz w:val="21"/>
                      <w:szCs w:val="21"/>
                    </w:rPr>
                  </w:pPr>
                  <w:r>
                    <w:rPr>
                      <w:color w:val="000000"/>
                      <w:sz w:val="21"/>
                      <w:szCs w:val="21"/>
                    </w:rPr>
                    <w:t>8</w:t>
                  </w:r>
                </w:p>
              </w:tc>
              <w:tc>
                <w:tcPr>
                  <w:tcW w:w="1049" w:type="pct"/>
                  <w:tcBorders>
                    <w:top w:val="single" w:color="auto" w:sz="6" w:space="0"/>
                    <w:left w:val="single" w:color="auto" w:sz="6" w:space="0"/>
                    <w:bottom w:val="single" w:color="auto" w:sz="6" w:space="0"/>
                    <w:right w:val="single" w:color="auto" w:sz="6" w:space="0"/>
                  </w:tcBorders>
                  <w:vAlign w:val="center"/>
                </w:tcPr>
                <w:p w14:paraId="0BAD4E9D">
                  <w:pPr>
                    <w:spacing w:line="240" w:lineRule="auto"/>
                    <w:ind w:firstLine="0" w:firstLineChars="0"/>
                    <w:jc w:val="center"/>
                    <w:rPr>
                      <w:color w:val="000000"/>
                      <w:sz w:val="21"/>
                      <w:szCs w:val="21"/>
                    </w:rPr>
                  </w:pPr>
                  <w:r>
                    <w:rPr>
                      <w:color w:val="000000"/>
                      <w:sz w:val="21"/>
                      <w:szCs w:val="21"/>
                    </w:rPr>
                    <w:t>氨氮</w:t>
                  </w:r>
                </w:p>
              </w:tc>
              <w:tc>
                <w:tcPr>
                  <w:tcW w:w="791" w:type="pct"/>
                  <w:tcBorders>
                    <w:top w:val="single" w:color="auto" w:sz="6" w:space="0"/>
                    <w:left w:val="single" w:color="auto" w:sz="6" w:space="0"/>
                    <w:bottom w:val="single" w:color="auto" w:sz="6" w:space="0"/>
                    <w:right w:val="single" w:color="auto" w:sz="6" w:space="0"/>
                  </w:tcBorders>
                  <w:vAlign w:val="center"/>
                </w:tcPr>
                <w:p w14:paraId="12ADA5F2">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2AC3DE47">
                  <w:pPr>
                    <w:spacing w:line="240" w:lineRule="auto"/>
                    <w:ind w:firstLine="0" w:firstLineChars="0"/>
                    <w:jc w:val="center"/>
                    <w:rPr>
                      <w:color w:val="000000"/>
                      <w:sz w:val="21"/>
                      <w:szCs w:val="21"/>
                    </w:rPr>
                  </w:pPr>
                  <w:r>
                    <w:rPr>
                      <w:sz w:val="21"/>
                      <w:szCs w:val="21"/>
                    </w:rPr>
                    <w:t>0.088</w:t>
                  </w:r>
                </w:p>
              </w:tc>
              <w:tc>
                <w:tcPr>
                  <w:tcW w:w="663" w:type="pct"/>
                  <w:tcBorders>
                    <w:top w:val="single" w:color="auto" w:sz="6" w:space="0"/>
                    <w:left w:val="single" w:color="auto" w:sz="6" w:space="0"/>
                    <w:bottom w:val="single" w:color="auto" w:sz="6" w:space="0"/>
                    <w:right w:val="single" w:color="auto" w:sz="6" w:space="0"/>
                  </w:tcBorders>
                  <w:vAlign w:val="center"/>
                </w:tcPr>
                <w:p w14:paraId="37330776">
                  <w:pPr>
                    <w:spacing w:line="240" w:lineRule="auto"/>
                    <w:ind w:firstLine="0" w:firstLineChars="0"/>
                    <w:jc w:val="center"/>
                    <w:rPr>
                      <w:color w:val="000000"/>
                      <w:sz w:val="21"/>
                      <w:szCs w:val="21"/>
                    </w:rPr>
                  </w:pPr>
                  <w:r>
                    <w:rPr>
                      <w:rFonts w:eastAsia="等线"/>
                      <w:color w:val="000000"/>
                      <w:sz w:val="21"/>
                      <w:szCs w:val="21"/>
                    </w:rPr>
                    <w:t>0.59</w:t>
                  </w:r>
                </w:p>
              </w:tc>
              <w:tc>
                <w:tcPr>
                  <w:tcW w:w="1483" w:type="pct"/>
                  <w:tcBorders>
                    <w:top w:val="single" w:color="auto" w:sz="6" w:space="0"/>
                    <w:left w:val="single" w:color="auto" w:sz="6" w:space="0"/>
                    <w:bottom w:val="single" w:color="auto" w:sz="6" w:space="0"/>
                    <w:right w:val="single" w:color="auto" w:sz="12" w:space="0"/>
                  </w:tcBorders>
                  <w:vAlign w:val="center"/>
                </w:tcPr>
                <w:p w14:paraId="3BB20027">
                  <w:pPr>
                    <w:spacing w:line="240" w:lineRule="auto"/>
                    <w:ind w:firstLine="0" w:firstLineChars="0"/>
                    <w:jc w:val="center"/>
                    <w:rPr>
                      <w:color w:val="000000"/>
                      <w:sz w:val="21"/>
                      <w:szCs w:val="21"/>
                      <w:highlight w:val="yellow"/>
                    </w:rPr>
                  </w:pPr>
                  <w:r>
                    <w:rPr>
                      <w:sz w:val="21"/>
                      <w:szCs w:val="21"/>
                    </w:rPr>
                    <w:t>≤0.15</w:t>
                  </w:r>
                </w:p>
              </w:tc>
            </w:tr>
            <w:tr w14:paraId="31D37F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7C73B185">
                  <w:pPr>
                    <w:spacing w:line="240" w:lineRule="auto"/>
                    <w:ind w:firstLine="0" w:firstLineChars="0"/>
                    <w:jc w:val="center"/>
                    <w:rPr>
                      <w:color w:val="000000"/>
                      <w:sz w:val="21"/>
                      <w:szCs w:val="21"/>
                    </w:rPr>
                  </w:pPr>
                  <w:r>
                    <w:rPr>
                      <w:color w:val="000000"/>
                      <w:sz w:val="21"/>
                      <w:szCs w:val="21"/>
                    </w:rPr>
                    <w:t>9</w:t>
                  </w:r>
                </w:p>
              </w:tc>
              <w:tc>
                <w:tcPr>
                  <w:tcW w:w="1049" w:type="pct"/>
                  <w:tcBorders>
                    <w:top w:val="single" w:color="auto" w:sz="6" w:space="0"/>
                    <w:left w:val="single" w:color="auto" w:sz="6" w:space="0"/>
                    <w:bottom w:val="single" w:color="auto" w:sz="6" w:space="0"/>
                    <w:right w:val="single" w:color="auto" w:sz="6" w:space="0"/>
                  </w:tcBorders>
                  <w:vAlign w:val="center"/>
                </w:tcPr>
                <w:p w14:paraId="7D6E4136">
                  <w:pPr>
                    <w:spacing w:line="240" w:lineRule="auto"/>
                    <w:ind w:firstLine="0" w:firstLineChars="0"/>
                    <w:jc w:val="center"/>
                    <w:rPr>
                      <w:color w:val="000000"/>
                      <w:sz w:val="21"/>
                      <w:szCs w:val="21"/>
                    </w:rPr>
                  </w:pPr>
                  <w:r>
                    <w:rPr>
                      <w:color w:val="000000"/>
                      <w:sz w:val="21"/>
                      <w:szCs w:val="21"/>
                    </w:rPr>
                    <w:t>挥发酚</w:t>
                  </w:r>
                </w:p>
              </w:tc>
              <w:tc>
                <w:tcPr>
                  <w:tcW w:w="791" w:type="pct"/>
                  <w:tcBorders>
                    <w:top w:val="single" w:color="auto" w:sz="6" w:space="0"/>
                    <w:left w:val="single" w:color="auto" w:sz="6" w:space="0"/>
                    <w:bottom w:val="single" w:color="auto" w:sz="6" w:space="0"/>
                    <w:right w:val="single" w:color="auto" w:sz="6" w:space="0"/>
                  </w:tcBorders>
                  <w:vAlign w:val="center"/>
                </w:tcPr>
                <w:p w14:paraId="09C8A53D">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7177C8EF">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1B64665F">
                  <w:pPr>
                    <w:spacing w:line="240" w:lineRule="auto"/>
                    <w:ind w:firstLine="0" w:firstLineChars="0"/>
                    <w:jc w:val="center"/>
                    <w:rPr>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75B81390">
                  <w:pPr>
                    <w:spacing w:line="240" w:lineRule="auto"/>
                    <w:ind w:firstLine="0" w:firstLineChars="0"/>
                    <w:jc w:val="center"/>
                    <w:rPr>
                      <w:color w:val="000000"/>
                      <w:sz w:val="21"/>
                      <w:szCs w:val="21"/>
                      <w:highlight w:val="yellow"/>
                    </w:rPr>
                  </w:pPr>
                  <w:r>
                    <w:rPr>
                      <w:sz w:val="21"/>
                      <w:szCs w:val="21"/>
                    </w:rPr>
                    <w:t>≤0.002</w:t>
                  </w:r>
                </w:p>
              </w:tc>
            </w:tr>
            <w:tr w14:paraId="03AFF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19C8E22F">
                  <w:pPr>
                    <w:spacing w:line="240" w:lineRule="auto"/>
                    <w:ind w:firstLine="0" w:firstLineChars="0"/>
                    <w:jc w:val="center"/>
                    <w:rPr>
                      <w:color w:val="000000"/>
                      <w:sz w:val="21"/>
                      <w:szCs w:val="21"/>
                    </w:rPr>
                  </w:pPr>
                  <w:r>
                    <w:rPr>
                      <w:color w:val="000000"/>
                      <w:sz w:val="21"/>
                      <w:szCs w:val="21"/>
                    </w:rPr>
                    <w:t>10</w:t>
                  </w:r>
                </w:p>
              </w:tc>
              <w:tc>
                <w:tcPr>
                  <w:tcW w:w="1049" w:type="pct"/>
                  <w:tcBorders>
                    <w:top w:val="single" w:color="auto" w:sz="6" w:space="0"/>
                    <w:left w:val="single" w:color="auto" w:sz="6" w:space="0"/>
                    <w:bottom w:val="single" w:color="auto" w:sz="6" w:space="0"/>
                    <w:right w:val="single" w:color="auto" w:sz="6" w:space="0"/>
                  </w:tcBorders>
                  <w:vAlign w:val="center"/>
                </w:tcPr>
                <w:p w14:paraId="4A99D3AE">
                  <w:pPr>
                    <w:spacing w:line="240" w:lineRule="auto"/>
                    <w:ind w:firstLine="0" w:firstLineChars="0"/>
                    <w:jc w:val="center"/>
                    <w:rPr>
                      <w:color w:val="000000"/>
                      <w:sz w:val="21"/>
                      <w:szCs w:val="21"/>
                    </w:rPr>
                  </w:pPr>
                  <w:r>
                    <w:rPr>
                      <w:color w:val="000000"/>
                      <w:sz w:val="21"/>
                      <w:szCs w:val="21"/>
                    </w:rPr>
                    <w:t>氰化物</w:t>
                  </w:r>
                </w:p>
              </w:tc>
              <w:tc>
                <w:tcPr>
                  <w:tcW w:w="791" w:type="pct"/>
                  <w:tcBorders>
                    <w:top w:val="single" w:color="auto" w:sz="6" w:space="0"/>
                    <w:left w:val="single" w:color="auto" w:sz="6" w:space="0"/>
                    <w:bottom w:val="single" w:color="auto" w:sz="6" w:space="0"/>
                    <w:right w:val="single" w:color="auto" w:sz="6" w:space="0"/>
                  </w:tcBorders>
                  <w:vAlign w:val="center"/>
                </w:tcPr>
                <w:p w14:paraId="0A5A934E">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4FD1C9B0">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3E33412D">
                  <w:pPr>
                    <w:spacing w:line="240" w:lineRule="auto"/>
                    <w:ind w:firstLine="0" w:firstLineChars="0"/>
                    <w:jc w:val="center"/>
                    <w:rPr>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4F5825D3">
                  <w:pPr>
                    <w:spacing w:line="240" w:lineRule="auto"/>
                    <w:ind w:firstLine="0" w:firstLineChars="0"/>
                    <w:jc w:val="center"/>
                    <w:rPr>
                      <w:color w:val="000000"/>
                      <w:sz w:val="21"/>
                      <w:szCs w:val="21"/>
                      <w:highlight w:val="yellow"/>
                    </w:rPr>
                  </w:pPr>
                  <w:r>
                    <w:rPr>
                      <w:sz w:val="21"/>
                      <w:szCs w:val="21"/>
                    </w:rPr>
                    <w:t>≤0.005</w:t>
                  </w:r>
                </w:p>
              </w:tc>
            </w:tr>
            <w:tr w14:paraId="0CB0B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11C7F3FB">
                  <w:pPr>
                    <w:spacing w:line="240" w:lineRule="auto"/>
                    <w:ind w:firstLine="0" w:firstLineChars="0"/>
                    <w:jc w:val="center"/>
                    <w:rPr>
                      <w:color w:val="000000"/>
                      <w:sz w:val="21"/>
                      <w:szCs w:val="21"/>
                    </w:rPr>
                  </w:pPr>
                  <w:r>
                    <w:rPr>
                      <w:color w:val="000000"/>
                      <w:sz w:val="21"/>
                      <w:szCs w:val="21"/>
                    </w:rPr>
                    <w:t>11</w:t>
                  </w:r>
                </w:p>
              </w:tc>
              <w:tc>
                <w:tcPr>
                  <w:tcW w:w="1049" w:type="pct"/>
                  <w:tcBorders>
                    <w:top w:val="single" w:color="auto" w:sz="6" w:space="0"/>
                    <w:left w:val="single" w:color="auto" w:sz="6" w:space="0"/>
                    <w:bottom w:val="single" w:color="auto" w:sz="6" w:space="0"/>
                    <w:right w:val="single" w:color="auto" w:sz="6" w:space="0"/>
                  </w:tcBorders>
                  <w:vAlign w:val="center"/>
                </w:tcPr>
                <w:p w14:paraId="3EE78BF9">
                  <w:pPr>
                    <w:spacing w:line="240" w:lineRule="auto"/>
                    <w:ind w:firstLine="0" w:firstLineChars="0"/>
                    <w:jc w:val="center"/>
                    <w:rPr>
                      <w:color w:val="000000"/>
                      <w:sz w:val="21"/>
                      <w:szCs w:val="21"/>
                    </w:rPr>
                  </w:pPr>
                  <w:r>
                    <w:rPr>
                      <w:color w:val="000000"/>
                      <w:sz w:val="21"/>
                      <w:szCs w:val="21"/>
                    </w:rPr>
                    <w:t>六价铬</w:t>
                  </w:r>
                </w:p>
              </w:tc>
              <w:tc>
                <w:tcPr>
                  <w:tcW w:w="791" w:type="pct"/>
                  <w:tcBorders>
                    <w:top w:val="single" w:color="auto" w:sz="6" w:space="0"/>
                    <w:left w:val="single" w:color="auto" w:sz="6" w:space="0"/>
                    <w:bottom w:val="single" w:color="auto" w:sz="6" w:space="0"/>
                    <w:right w:val="single" w:color="auto" w:sz="6" w:space="0"/>
                  </w:tcBorders>
                  <w:vAlign w:val="center"/>
                </w:tcPr>
                <w:p w14:paraId="53F1943E">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75D0DE9E">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68F95A44">
                  <w:pPr>
                    <w:spacing w:line="240" w:lineRule="auto"/>
                    <w:ind w:firstLine="0" w:firstLineChars="0"/>
                    <w:jc w:val="center"/>
                    <w:rPr>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4108E11B">
                  <w:pPr>
                    <w:spacing w:line="240" w:lineRule="auto"/>
                    <w:ind w:firstLine="0" w:firstLineChars="0"/>
                    <w:jc w:val="center"/>
                    <w:rPr>
                      <w:color w:val="000000"/>
                      <w:sz w:val="21"/>
                      <w:szCs w:val="21"/>
                      <w:highlight w:val="yellow"/>
                    </w:rPr>
                  </w:pPr>
                  <w:r>
                    <w:rPr>
                      <w:color w:val="000000"/>
                      <w:sz w:val="21"/>
                      <w:szCs w:val="21"/>
                    </w:rPr>
                    <w:t>≤0.01</w:t>
                  </w:r>
                </w:p>
              </w:tc>
            </w:tr>
            <w:tr w14:paraId="060A8D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71D20FA7">
                  <w:pPr>
                    <w:spacing w:line="240" w:lineRule="auto"/>
                    <w:ind w:firstLine="0" w:firstLineChars="0"/>
                    <w:jc w:val="center"/>
                    <w:rPr>
                      <w:color w:val="000000"/>
                      <w:sz w:val="21"/>
                      <w:szCs w:val="21"/>
                    </w:rPr>
                  </w:pPr>
                  <w:r>
                    <w:rPr>
                      <w:color w:val="000000"/>
                      <w:sz w:val="21"/>
                      <w:szCs w:val="21"/>
                    </w:rPr>
                    <w:t>12</w:t>
                  </w:r>
                </w:p>
              </w:tc>
              <w:tc>
                <w:tcPr>
                  <w:tcW w:w="1049" w:type="pct"/>
                  <w:tcBorders>
                    <w:top w:val="single" w:color="auto" w:sz="6" w:space="0"/>
                    <w:left w:val="single" w:color="auto" w:sz="6" w:space="0"/>
                    <w:bottom w:val="single" w:color="auto" w:sz="6" w:space="0"/>
                    <w:right w:val="single" w:color="auto" w:sz="6" w:space="0"/>
                  </w:tcBorders>
                  <w:vAlign w:val="center"/>
                </w:tcPr>
                <w:p w14:paraId="22AF6544">
                  <w:pPr>
                    <w:spacing w:line="240" w:lineRule="auto"/>
                    <w:ind w:firstLine="0" w:firstLineChars="0"/>
                    <w:jc w:val="center"/>
                    <w:rPr>
                      <w:color w:val="000000"/>
                      <w:sz w:val="21"/>
                      <w:szCs w:val="21"/>
                    </w:rPr>
                  </w:pPr>
                  <w:r>
                    <w:rPr>
                      <w:color w:val="000000"/>
                      <w:sz w:val="21"/>
                      <w:szCs w:val="21"/>
                    </w:rPr>
                    <w:t>氟化物</w:t>
                  </w:r>
                </w:p>
              </w:tc>
              <w:tc>
                <w:tcPr>
                  <w:tcW w:w="791" w:type="pct"/>
                  <w:tcBorders>
                    <w:top w:val="single" w:color="auto" w:sz="6" w:space="0"/>
                    <w:left w:val="single" w:color="auto" w:sz="6" w:space="0"/>
                    <w:bottom w:val="single" w:color="auto" w:sz="6" w:space="0"/>
                    <w:right w:val="single" w:color="auto" w:sz="6" w:space="0"/>
                  </w:tcBorders>
                  <w:vAlign w:val="center"/>
                </w:tcPr>
                <w:p w14:paraId="3DCCB540">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71522007">
                  <w:pPr>
                    <w:spacing w:line="240" w:lineRule="auto"/>
                    <w:ind w:firstLine="0" w:firstLineChars="0"/>
                    <w:jc w:val="center"/>
                    <w:rPr>
                      <w:color w:val="000000"/>
                      <w:sz w:val="21"/>
                      <w:szCs w:val="21"/>
                    </w:rPr>
                  </w:pPr>
                  <w:r>
                    <w:rPr>
                      <w:sz w:val="21"/>
                      <w:szCs w:val="21"/>
                    </w:rPr>
                    <w:t>0.69</w:t>
                  </w:r>
                </w:p>
              </w:tc>
              <w:tc>
                <w:tcPr>
                  <w:tcW w:w="663" w:type="pct"/>
                  <w:tcBorders>
                    <w:top w:val="single" w:color="auto" w:sz="6" w:space="0"/>
                    <w:left w:val="single" w:color="auto" w:sz="6" w:space="0"/>
                    <w:bottom w:val="single" w:color="auto" w:sz="6" w:space="0"/>
                    <w:right w:val="single" w:color="auto" w:sz="6" w:space="0"/>
                  </w:tcBorders>
                  <w:vAlign w:val="center"/>
                </w:tcPr>
                <w:p w14:paraId="76A3AD31">
                  <w:pPr>
                    <w:spacing w:line="240" w:lineRule="auto"/>
                    <w:ind w:firstLine="0" w:firstLineChars="0"/>
                    <w:jc w:val="center"/>
                    <w:rPr>
                      <w:color w:val="000000"/>
                      <w:sz w:val="21"/>
                      <w:szCs w:val="21"/>
                    </w:rPr>
                  </w:pPr>
                  <w:r>
                    <w:rPr>
                      <w:rFonts w:eastAsia="等线"/>
                      <w:color w:val="000000"/>
                      <w:sz w:val="21"/>
                      <w:szCs w:val="21"/>
                    </w:rPr>
                    <w:t>0.69</w:t>
                  </w:r>
                </w:p>
              </w:tc>
              <w:tc>
                <w:tcPr>
                  <w:tcW w:w="1483" w:type="pct"/>
                  <w:tcBorders>
                    <w:top w:val="single" w:color="auto" w:sz="6" w:space="0"/>
                    <w:left w:val="single" w:color="auto" w:sz="6" w:space="0"/>
                    <w:bottom w:val="single" w:color="auto" w:sz="6" w:space="0"/>
                    <w:right w:val="single" w:color="auto" w:sz="12" w:space="0"/>
                  </w:tcBorders>
                  <w:vAlign w:val="center"/>
                </w:tcPr>
                <w:p w14:paraId="00382C5D">
                  <w:pPr>
                    <w:spacing w:line="240" w:lineRule="auto"/>
                    <w:ind w:firstLine="0" w:firstLineChars="0"/>
                    <w:jc w:val="center"/>
                    <w:rPr>
                      <w:color w:val="000000"/>
                      <w:sz w:val="21"/>
                      <w:szCs w:val="21"/>
                      <w:highlight w:val="yellow"/>
                    </w:rPr>
                  </w:pPr>
                  <w:r>
                    <w:rPr>
                      <w:sz w:val="21"/>
                      <w:szCs w:val="21"/>
                    </w:rPr>
                    <w:t>≤1.0</w:t>
                  </w:r>
                </w:p>
              </w:tc>
            </w:tr>
            <w:tr w14:paraId="29A8E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5DD4FE4F">
                  <w:pPr>
                    <w:spacing w:line="240" w:lineRule="auto"/>
                    <w:ind w:firstLine="0" w:firstLineChars="0"/>
                    <w:jc w:val="center"/>
                    <w:rPr>
                      <w:color w:val="000000"/>
                      <w:sz w:val="21"/>
                      <w:szCs w:val="21"/>
                    </w:rPr>
                  </w:pPr>
                  <w:r>
                    <w:rPr>
                      <w:color w:val="000000"/>
                      <w:sz w:val="21"/>
                      <w:szCs w:val="21"/>
                    </w:rPr>
                    <w:t>13</w:t>
                  </w:r>
                </w:p>
              </w:tc>
              <w:tc>
                <w:tcPr>
                  <w:tcW w:w="1049" w:type="pct"/>
                  <w:tcBorders>
                    <w:top w:val="single" w:color="auto" w:sz="6" w:space="0"/>
                    <w:left w:val="single" w:color="auto" w:sz="6" w:space="0"/>
                    <w:bottom w:val="single" w:color="auto" w:sz="6" w:space="0"/>
                    <w:right w:val="single" w:color="auto" w:sz="6" w:space="0"/>
                  </w:tcBorders>
                  <w:vAlign w:val="center"/>
                </w:tcPr>
                <w:p w14:paraId="4F2D044F">
                  <w:pPr>
                    <w:spacing w:line="240" w:lineRule="auto"/>
                    <w:ind w:firstLine="0" w:firstLineChars="0"/>
                    <w:jc w:val="center"/>
                    <w:rPr>
                      <w:color w:val="000000"/>
                      <w:sz w:val="21"/>
                      <w:szCs w:val="21"/>
                    </w:rPr>
                  </w:pPr>
                  <w:r>
                    <w:rPr>
                      <w:sz w:val="21"/>
                      <w:szCs w:val="21"/>
                    </w:rPr>
                    <w:t>阴离子表面活性剂</w:t>
                  </w:r>
                </w:p>
              </w:tc>
              <w:tc>
                <w:tcPr>
                  <w:tcW w:w="791" w:type="pct"/>
                  <w:tcBorders>
                    <w:top w:val="single" w:color="auto" w:sz="6" w:space="0"/>
                    <w:left w:val="single" w:color="auto" w:sz="6" w:space="0"/>
                    <w:bottom w:val="single" w:color="auto" w:sz="6" w:space="0"/>
                    <w:right w:val="single" w:color="auto" w:sz="6" w:space="0"/>
                  </w:tcBorders>
                  <w:vAlign w:val="center"/>
                </w:tcPr>
                <w:p w14:paraId="0D0B3C12">
                  <w:pPr>
                    <w:spacing w:line="240" w:lineRule="auto"/>
                    <w:ind w:firstLine="0" w:firstLineChars="0"/>
                    <w:jc w:val="center"/>
                    <w:rPr>
                      <w:color w:val="000000"/>
                      <w:sz w:val="21"/>
                      <w:szCs w:val="21"/>
                    </w:rPr>
                  </w:pPr>
                  <w:r>
                    <w:rPr>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030C2B33">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04E200E6">
                  <w:pPr>
                    <w:spacing w:line="240" w:lineRule="auto"/>
                    <w:ind w:firstLine="0" w:firstLineChars="0"/>
                    <w:jc w:val="center"/>
                    <w:rPr>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6D4921F7">
                  <w:pPr>
                    <w:spacing w:line="240" w:lineRule="auto"/>
                    <w:ind w:firstLine="0" w:firstLineChars="0"/>
                    <w:jc w:val="center"/>
                    <w:rPr>
                      <w:color w:val="000000"/>
                      <w:sz w:val="21"/>
                      <w:szCs w:val="21"/>
                      <w:highlight w:val="yellow"/>
                    </w:rPr>
                  </w:pPr>
                  <w:r>
                    <w:rPr>
                      <w:sz w:val="21"/>
                      <w:szCs w:val="21"/>
                    </w:rPr>
                    <w:t>≤0.2</w:t>
                  </w:r>
                </w:p>
              </w:tc>
            </w:tr>
            <w:tr w14:paraId="61ABF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502E4DD2">
                  <w:pPr>
                    <w:spacing w:line="240" w:lineRule="auto"/>
                    <w:ind w:firstLine="0" w:firstLineChars="0"/>
                    <w:jc w:val="center"/>
                    <w:rPr>
                      <w:color w:val="000000"/>
                      <w:sz w:val="21"/>
                      <w:szCs w:val="21"/>
                    </w:rPr>
                  </w:pPr>
                  <w:r>
                    <w:rPr>
                      <w:color w:val="000000"/>
                      <w:sz w:val="21"/>
                      <w:szCs w:val="21"/>
                    </w:rPr>
                    <w:t>14</w:t>
                  </w:r>
                </w:p>
              </w:tc>
              <w:tc>
                <w:tcPr>
                  <w:tcW w:w="1049" w:type="pct"/>
                  <w:tcBorders>
                    <w:top w:val="single" w:color="auto" w:sz="6" w:space="0"/>
                    <w:left w:val="single" w:color="auto" w:sz="6" w:space="0"/>
                    <w:bottom w:val="single" w:color="auto" w:sz="6" w:space="0"/>
                    <w:right w:val="single" w:color="auto" w:sz="6" w:space="0"/>
                  </w:tcBorders>
                  <w:vAlign w:val="center"/>
                </w:tcPr>
                <w:p w14:paraId="1B6C4536">
                  <w:pPr>
                    <w:spacing w:line="240" w:lineRule="auto"/>
                    <w:ind w:firstLine="0" w:firstLineChars="0"/>
                    <w:jc w:val="center"/>
                    <w:rPr>
                      <w:color w:val="000000"/>
                      <w:sz w:val="21"/>
                      <w:szCs w:val="21"/>
                    </w:rPr>
                  </w:pPr>
                  <w:r>
                    <w:rPr>
                      <w:color w:val="000000"/>
                      <w:sz w:val="21"/>
                      <w:szCs w:val="21"/>
                    </w:rPr>
                    <w:t>石油类</w:t>
                  </w:r>
                </w:p>
              </w:tc>
              <w:tc>
                <w:tcPr>
                  <w:tcW w:w="791" w:type="pct"/>
                  <w:tcBorders>
                    <w:top w:val="single" w:color="auto" w:sz="6" w:space="0"/>
                    <w:left w:val="single" w:color="auto" w:sz="6" w:space="0"/>
                    <w:bottom w:val="single" w:color="auto" w:sz="6" w:space="0"/>
                    <w:right w:val="single" w:color="auto" w:sz="6" w:space="0"/>
                  </w:tcBorders>
                  <w:vAlign w:val="center"/>
                </w:tcPr>
                <w:p w14:paraId="23A7ECE1">
                  <w:pPr>
                    <w:spacing w:line="240" w:lineRule="auto"/>
                    <w:ind w:firstLine="0" w:firstLineChars="0"/>
                    <w:jc w:val="center"/>
                    <w:rPr>
                      <w:color w:val="000000"/>
                      <w:sz w:val="21"/>
                      <w:szCs w:val="21"/>
                    </w:rPr>
                  </w:pPr>
                  <w:r>
                    <w:rPr>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7C37396B">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6DA2BB39">
                  <w:pPr>
                    <w:spacing w:line="240" w:lineRule="auto"/>
                    <w:ind w:firstLine="0" w:firstLineChars="0"/>
                    <w:jc w:val="center"/>
                    <w:rPr>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16F57591">
                  <w:pPr>
                    <w:spacing w:line="240" w:lineRule="auto"/>
                    <w:ind w:firstLine="0" w:firstLineChars="0"/>
                    <w:jc w:val="center"/>
                    <w:rPr>
                      <w:color w:val="000000"/>
                      <w:sz w:val="21"/>
                      <w:szCs w:val="21"/>
                      <w:highlight w:val="yellow"/>
                    </w:rPr>
                  </w:pPr>
                  <w:r>
                    <w:rPr>
                      <w:sz w:val="21"/>
                      <w:szCs w:val="21"/>
                    </w:rPr>
                    <w:t>≤0.05</w:t>
                  </w:r>
                </w:p>
              </w:tc>
            </w:tr>
            <w:tr w14:paraId="5C4DA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91" w:type="pct"/>
                  <w:tcBorders>
                    <w:top w:val="single" w:color="auto" w:sz="6" w:space="0"/>
                    <w:left w:val="single" w:color="auto" w:sz="12" w:space="0"/>
                    <w:bottom w:val="single" w:color="auto" w:sz="6" w:space="0"/>
                    <w:right w:val="single" w:color="auto" w:sz="6" w:space="0"/>
                  </w:tcBorders>
                  <w:vAlign w:val="center"/>
                </w:tcPr>
                <w:p w14:paraId="1D782C08">
                  <w:pPr>
                    <w:spacing w:line="240" w:lineRule="auto"/>
                    <w:ind w:firstLine="0" w:firstLineChars="0"/>
                    <w:jc w:val="center"/>
                    <w:rPr>
                      <w:color w:val="000000"/>
                      <w:sz w:val="21"/>
                      <w:szCs w:val="21"/>
                    </w:rPr>
                  </w:pPr>
                  <w:r>
                    <w:rPr>
                      <w:color w:val="000000"/>
                      <w:sz w:val="21"/>
                      <w:szCs w:val="21"/>
                    </w:rPr>
                    <w:t>15</w:t>
                  </w:r>
                </w:p>
              </w:tc>
              <w:tc>
                <w:tcPr>
                  <w:tcW w:w="1049" w:type="pct"/>
                  <w:tcBorders>
                    <w:top w:val="single" w:color="auto" w:sz="6" w:space="0"/>
                    <w:left w:val="single" w:color="auto" w:sz="6" w:space="0"/>
                    <w:bottom w:val="single" w:color="auto" w:sz="6" w:space="0"/>
                    <w:right w:val="single" w:color="auto" w:sz="6" w:space="0"/>
                  </w:tcBorders>
                  <w:vAlign w:val="center"/>
                </w:tcPr>
                <w:p w14:paraId="263DE348">
                  <w:pPr>
                    <w:spacing w:line="240" w:lineRule="auto"/>
                    <w:ind w:firstLine="0" w:firstLineChars="0"/>
                    <w:jc w:val="center"/>
                    <w:rPr>
                      <w:color w:val="000000"/>
                      <w:sz w:val="21"/>
                      <w:szCs w:val="21"/>
                    </w:rPr>
                  </w:pPr>
                  <w:r>
                    <w:rPr>
                      <w:color w:val="000000"/>
                      <w:sz w:val="21"/>
                      <w:szCs w:val="21"/>
                    </w:rPr>
                    <w:t>硫化物</w:t>
                  </w:r>
                </w:p>
              </w:tc>
              <w:tc>
                <w:tcPr>
                  <w:tcW w:w="791" w:type="pct"/>
                  <w:tcBorders>
                    <w:top w:val="single" w:color="auto" w:sz="6" w:space="0"/>
                    <w:left w:val="single" w:color="auto" w:sz="6" w:space="0"/>
                    <w:bottom w:val="single" w:color="auto" w:sz="6" w:space="0"/>
                    <w:right w:val="single" w:color="auto" w:sz="6" w:space="0"/>
                  </w:tcBorders>
                  <w:vAlign w:val="center"/>
                </w:tcPr>
                <w:p w14:paraId="2F4519B9">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08F89C83">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4498F9F3">
                  <w:pPr>
                    <w:spacing w:line="240" w:lineRule="auto"/>
                    <w:ind w:firstLine="0" w:firstLineChars="0"/>
                    <w:jc w:val="center"/>
                    <w:rPr>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3BB9A722">
                  <w:pPr>
                    <w:spacing w:line="240" w:lineRule="auto"/>
                    <w:ind w:firstLine="0" w:firstLineChars="0"/>
                    <w:jc w:val="center"/>
                    <w:rPr>
                      <w:color w:val="000000"/>
                      <w:sz w:val="21"/>
                      <w:szCs w:val="21"/>
                      <w:highlight w:val="yellow"/>
                    </w:rPr>
                  </w:pPr>
                  <w:r>
                    <w:rPr>
                      <w:sz w:val="21"/>
                      <w:szCs w:val="21"/>
                    </w:rPr>
                    <w:t>≤0.05</w:t>
                  </w:r>
                </w:p>
              </w:tc>
            </w:tr>
            <w:tr w14:paraId="5BAC61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91" w:type="pct"/>
                  <w:tcBorders>
                    <w:top w:val="single" w:color="auto" w:sz="6" w:space="0"/>
                    <w:left w:val="single" w:color="auto" w:sz="12" w:space="0"/>
                    <w:bottom w:val="single" w:color="auto" w:sz="6" w:space="0"/>
                    <w:right w:val="single" w:color="auto" w:sz="6" w:space="0"/>
                  </w:tcBorders>
                  <w:vAlign w:val="center"/>
                </w:tcPr>
                <w:p w14:paraId="29B0C5AC">
                  <w:pPr>
                    <w:spacing w:line="240" w:lineRule="auto"/>
                    <w:ind w:firstLine="0" w:firstLineChars="0"/>
                    <w:jc w:val="center"/>
                    <w:rPr>
                      <w:color w:val="000000"/>
                      <w:sz w:val="21"/>
                      <w:szCs w:val="21"/>
                    </w:rPr>
                  </w:pPr>
                  <w:r>
                    <w:rPr>
                      <w:color w:val="000000"/>
                      <w:sz w:val="21"/>
                      <w:szCs w:val="21"/>
                    </w:rPr>
                    <w:t>16</w:t>
                  </w:r>
                </w:p>
              </w:tc>
              <w:tc>
                <w:tcPr>
                  <w:tcW w:w="1049" w:type="pct"/>
                  <w:tcBorders>
                    <w:top w:val="single" w:color="auto" w:sz="6" w:space="0"/>
                    <w:left w:val="single" w:color="auto" w:sz="6" w:space="0"/>
                    <w:bottom w:val="single" w:color="auto" w:sz="6" w:space="0"/>
                    <w:right w:val="single" w:color="auto" w:sz="6" w:space="0"/>
                  </w:tcBorders>
                  <w:vAlign w:val="center"/>
                </w:tcPr>
                <w:p w14:paraId="7D9C1885">
                  <w:pPr>
                    <w:spacing w:line="240" w:lineRule="auto"/>
                    <w:ind w:firstLine="0" w:firstLineChars="0"/>
                    <w:jc w:val="center"/>
                    <w:rPr>
                      <w:color w:val="000000"/>
                      <w:sz w:val="21"/>
                      <w:szCs w:val="21"/>
                    </w:rPr>
                  </w:pPr>
                  <w:r>
                    <w:rPr>
                      <w:color w:val="000000"/>
                      <w:sz w:val="21"/>
                      <w:szCs w:val="21"/>
                    </w:rPr>
                    <w:t>汞</w:t>
                  </w:r>
                </w:p>
              </w:tc>
              <w:tc>
                <w:tcPr>
                  <w:tcW w:w="791" w:type="pct"/>
                  <w:tcBorders>
                    <w:top w:val="single" w:color="auto" w:sz="6" w:space="0"/>
                    <w:left w:val="single" w:color="auto" w:sz="6" w:space="0"/>
                    <w:bottom w:val="single" w:color="auto" w:sz="6" w:space="0"/>
                    <w:right w:val="single" w:color="auto" w:sz="6" w:space="0"/>
                  </w:tcBorders>
                  <w:vAlign w:val="center"/>
                </w:tcPr>
                <w:p w14:paraId="686599A1">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1CC3A44F">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188336FB">
                  <w:pPr>
                    <w:spacing w:line="240" w:lineRule="auto"/>
                    <w:ind w:firstLine="0" w:firstLineChars="0"/>
                    <w:jc w:val="center"/>
                    <w:rPr>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7CE0EB36">
                  <w:pPr>
                    <w:spacing w:line="240" w:lineRule="auto"/>
                    <w:ind w:firstLine="0" w:firstLineChars="0"/>
                    <w:jc w:val="center"/>
                    <w:rPr>
                      <w:color w:val="000000"/>
                      <w:sz w:val="21"/>
                      <w:szCs w:val="21"/>
                      <w:highlight w:val="yellow"/>
                    </w:rPr>
                  </w:pPr>
                  <w:r>
                    <w:rPr>
                      <w:sz w:val="21"/>
                      <w:szCs w:val="21"/>
                    </w:rPr>
                    <w:t>≤0.00005</w:t>
                  </w:r>
                </w:p>
              </w:tc>
            </w:tr>
            <w:tr w14:paraId="5D30D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91" w:type="pct"/>
                  <w:tcBorders>
                    <w:top w:val="single" w:color="auto" w:sz="6" w:space="0"/>
                    <w:left w:val="single" w:color="auto" w:sz="12" w:space="0"/>
                    <w:bottom w:val="single" w:color="auto" w:sz="6" w:space="0"/>
                    <w:right w:val="single" w:color="auto" w:sz="6" w:space="0"/>
                  </w:tcBorders>
                  <w:vAlign w:val="center"/>
                </w:tcPr>
                <w:p w14:paraId="7F12AD97">
                  <w:pPr>
                    <w:spacing w:line="240" w:lineRule="auto"/>
                    <w:ind w:firstLine="0" w:firstLineChars="0"/>
                    <w:jc w:val="center"/>
                    <w:rPr>
                      <w:color w:val="000000"/>
                      <w:sz w:val="21"/>
                      <w:szCs w:val="21"/>
                    </w:rPr>
                  </w:pPr>
                  <w:r>
                    <w:rPr>
                      <w:color w:val="000000"/>
                      <w:sz w:val="21"/>
                      <w:szCs w:val="21"/>
                    </w:rPr>
                    <w:t>17</w:t>
                  </w:r>
                </w:p>
              </w:tc>
              <w:tc>
                <w:tcPr>
                  <w:tcW w:w="1049" w:type="pct"/>
                  <w:tcBorders>
                    <w:top w:val="single" w:color="auto" w:sz="6" w:space="0"/>
                    <w:left w:val="single" w:color="auto" w:sz="6" w:space="0"/>
                    <w:bottom w:val="single" w:color="auto" w:sz="6" w:space="0"/>
                    <w:right w:val="single" w:color="auto" w:sz="6" w:space="0"/>
                  </w:tcBorders>
                  <w:vAlign w:val="center"/>
                </w:tcPr>
                <w:p w14:paraId="0A9A8394">
                  <w:pPr>
                    <w:spacing w:line="240" w:lineRule="auto"/>
                    <w:ind w:firstLine="0" w:firstLineChars="0"/>
                    <w:jc w:val="center"/>
                    <w:rPr>
                      <w:color w:val="000000"/>
                      <w:sz w:val="21"/>
                      <w:szCs w:val="21"/>
                    </w:rPr>
                  </w:pPr>
                  <w:r>
                    <w:rPr>
                      <w:color w:val="000000"/>
                      <w:sz w:val="21"/>
                      <w:szCs w:val="21"/>
                    </w:rPr>
                    <w:t>砷</w:t>
                  </w:r>
                </w:p>
              </w:tc>
              <w:tc>
                <w:tcPr>
                  <w:tcW w:w="791" w:type="pct"/>
                  <w:tcBorders>
                    <w:top w:val="single" w:color="auto" w:sz="6" w:space="0"/>
                    <w:left w:val="single" w:color="auto" w:sz="6" w:space="0"/>
                    <w:bottom w:val="single" w:color="auto" w:sz="6" w:space="0"/>
                    <w:right w:val="single" w:color="auto" w:sz="6" w:space="0"/>
                  </w:tcBorders>
                  <w:vAlign w:val="center"/>
                </w:tcPr>
                <w:p w14:paraId="64B672D8">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4660BD82">
                  <w:pPr>
                    <w:spacing w:line="240" w:lineRule="auto"/>
                    <w:ind w:firstLine="0" w:firstLineChars="0"/>
                    <w:jc w:val="center"/>
                    <w:rPr>
                      <w:color w:val="000000"/>
                      <w:sz w:val="21"/>
                      <w:szCs w:val="21"/>
                    </w:rPr>
                  </w:pPr>
                  <w:r>
                    <w:rPr>
                      <w:color w:val="000000"/>
                      <w:sz w:val="21"/>
                      <w:szCs w:val="21"/>
                    </w:rPr>
                    <w:t>0.0011</w:t>
                  </w:r>
                </w:p>
              </w:tc>
              <w:tc>
                <w:tcPr>
                  <w:tcW w:w="663" w:type="pct"/>
                  <w:tcBorders>
                    <w:top w:val="single" w:color="auto" w:sz="6" w:space="0"/>
                    <w:left w:val="single" w:color="auto" w:sz="6" w:space="0"/>
                    <w:bottom w:val="single" w:color="auto" w:sz="6" w:space="0"/>
                    <w:right w:val="single" w:color="auto" w:sz="6" w:space="0"/>
                  </w:tcBorders>
                  <w:vAlign w:val="center"/>
                </w:tcPr>
                <w:p w14:paraId="0852F36E">
                  <w:pPr>
                    <w:spacing w:line="240" w:lineRule="auto"/>
                    <w:ind w:firstLine="0" w:firstLineChars="0"/>
                    <w:jc w:val="center"/>
                    <w:rPr>
                      <w:rFonts w:eastAsia="等线"/>
                      <w:color w:val="000000"/>
                      <w:sz w:val="21"/>
                      <w:szCs w:val="21"/>
                    </w:rPr>
                  </w:pPr>
                  <w:r>
                    <w:rPr>
                      <w:rFonts w:eastAsia="等线"/>
                      <w:color w:val="000000"/>
                      <w:sz w:val="21"/>
                      <w:szCs w:val="21"/>
                    </w:rPr>
                    <w:t>0.022</w:t>
                  </w:r>
                </w:p>
              </w:tc>
              <w:tc>
                <w:tcPr>
                  <w:tcW w:w="1483" w:type="pct"/>
                  <w:tcBorders>
                    <w:top w:val="single" w:color="auto" w:sz="6" w:space="0"/>
                    <w:left w:val="single" w:color="auto" w:sz="6" w:space="0"/>
                    <w:bottom w:val="single" w:color="auto" w:sz="6" w:space="0"/>
                    <w:right w:val="single" w:color="auto" w:sz="12" w:space="0"/>
                  </w:tcBorders>
                  <w:vAlign w:val="center"/>
                </w:tcPr>
                <w:p w14:paraId="71517636">
                  <w:pPr>
                    <w:spacing w:line="240" w:lineRule="auto"/>
                    <w:ind w:firstLine="0" w:firstLineChars="0"/>
                    <w:jc w:val="center"/>
                    <w:rPr>
                      <w:sz w:val="21"/>
                      <w:szCs w:val="21"/>
                      <w:highlight w:val="yellow"/>
                    </w:rPr>
                  </w:pPr>
                  <w:r>
                    <w:rPr>
                      <w:sz w:val="21"/>
                      <w:szCs w:val="21"/>
                    </w:rPr>
                    <w:t>≤0.05</w:t>
                  </w:r>
                </w:p>
              </w:tc>
            </w:tr>
            <w:tr w14:paraId="5D22CF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91" w:type="pct"/>
                  <w:tcBorders>
                    <w:top w:val="single" w:color="auto" w:sz="6" w:space="0"/>
                    <w:left w:val="single" w:color="auto" w:sz="12" w:space="0"/>
                    <w:bottom w:val="single" w:color="auto" w:sz="6" w:space="0"/>
                    <w:right w:val="single" w:color="auto" w:sz="6" w:space="0"/>
                  </w:tcBorders>
                  <w:vAlign w:val="center"/>
                </w:tcPr>
                <w:p w14:paraId="35F7FD37">
                  <w:pPr>
                    <w:spacing w:line="240" w:lineRule="auto"/>
                    <w:ind w:firstLine="0" w:firstLineChars="0"/>
                    <w:jc w:val="center"/>
                    <w:rPr>
                      <w:color w:val="000000"/>
                      <w:sz w:val="21"/>
                      <w:szCs w:val="21"/>
                    </w:rPr>
                  </w:pPr>
                  <w:r>
                    <w:rPr>
                      <w:color w:val="000000"/>
                      <w:sz w:val="21"/>
                      <w:szCs w:val="21"/>
                    </w:rPr>
                    <w:t>18</w:t>
                  </w:r>
                </w:p>
              </w:tc>
              <w:tc>
                <w:tcPr>
                  <w:tcW w:w="1049" w:type="pct"/>
                  <w:tcBorders>
                    <w:top w:val="single" w:color="auto" w:sz="6" w:space="0"/>
                    <w:left w:val="single" w:color="auto" w:sz="6" w:space="0"/>
                    <w:bottom w:val="single" w:color="auto" w:sz="6" w:space="0"/>
                    <w:right w:val="single" w:color="auto" w:sz="6" w:space="0"/>
                  </w:tcBorders>
                  <w:vAlign w:val="center"/>
                </w:tcPr>
                <w:p w14:paraId="05B9FB0E">
                  <w:pPr>
                    <w:spacing w:line="240" w:lineRule="auto"/>
                    <w:ind w:firstLine="0" w:firstLineChars="0"/>
                    <w:jc w:val="center"/>
                    <w:rPr>
                      <w:color w:val="000000"/>
                      <w:sz w:val="21"/>
                      <w:szCs w:val="21"/>
                    </w:rPr>
                  </w:pPr>
                  <w:r>
                    <w:rPr>
                      <w:color w:val="000000"/>
                      <w:sz w:val="21"/>
                      <w:szCs w:val="21"/>
                    </w:rPr>
                    <w:t>硒</w:t>
                  </w:r>
                </w:p>
              </w:tc>
              <w:tc>
                <w:tcPr>
                  <w:tcW w:w="791" w:type="pct"/>
                  <w:tcBorders>
                    <w:top w:val="single" w:color="auto" w:sz="6" w:space="0"/>
                    <w:left w:val="single" w:color="auto" w:sz="6" w:space="0"/>
                    <w:bottom w:val="single" w:color="auto" w:sz="6" w:space="0"/>
                    <w:right w:val="single" w:color="auto" w:sz="6" w:space="0"/>
                  </w:tcBorders>
                  <w:vAlign w:val="center"/>
                </w:tcPr>
                <w:p w14:paraId="4AE0F3EB">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32FA622D">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4A953017">
                  <w:pPr>
                    <w:spacing w:line="240" w:lineRule="auto"/>
                    <w:ind w:firstLine="0" w:firstLineChars="0"/>
                    <w:jc w:val="center"/>
                    <w:rPr>
                      <w:rFonts w:eastAsia="等线"/>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5862B0BB">
                  <w:pPr>
                    <w:spacing w:line="240" w:lineRule="auto"/>
                    <w:ind w:firstLine="0" w:firstLineChars="0"/>
                    <w:jc w:val="center"/>
                    <w:rPr>
                      <w:sz w:val="21"/>
                      <w:szCs w:val="21"/>
                      <w:highlight w:val="yellow"/>
                    </w:rPr>
                  </w:pPr>
                  <w:r>
                    <w:rPr>
                      <w:sz w:val="21"/>
                      <w:szCs w:val="21"/>
                    </w:rPr>
                    <w:t>≤0.01</w:t>
                  </w:r>
                </w:p>
              </w:tc>
            </w:tr>
            <w:tr w14:paraId="3EC9F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91" w:type="pct"/>
                  <w:tcBorders>
                    <w:top w:val="single" w:color="auto" w:sz="6" w:space="0"/>
                    <w:left w:val="single" w:color="auto" w:sz="12" w:space="0"/>
                    <w:bottom w:val="single" w:color="auto" w:sz="6" w:space="0"/>
                    <w:right w:val="single" w:color="auto" w:sz="6" w:space="0"/>
                  </w:tcBorders>
                  <w:vAlign w:val="center"/>
                </w:tcPr>
                <w:p w14:paraId="1B83F0DD">
                  <w:pPr>
                    <w:spacing w:line="240" w:lineRule="auto"/>
                    <w:ind w:firstLine="0" w:firstLineChars="0"/>
                    <w:jc w:val="center"/>
                    <w:rPr>
                      <w:color w:val="000000"/>
                      <w:sz w:val="21"/>
                      <w:szCs w:val="21"/>
                    </w:rPr>
                  </w:pPr>
                  <w:r>
                    <w:rPr>
                      <w:color w:val="000000"/>
                      <w:sz w:val="21"/>
                      <w:szCs w:val="21"/>
                    </w:rPr>
                    <w:t>19</w:t>
                  </w:r>
                </w:p>
              </w:tc>
              <w:tc>
                <w:tcPr>
                  <w:tcW w:w="1049" w:type="pct"/>
                  <w:tcBorders>
                    <w:top w:val="single" w:color="auto" w:sz="6" w:space="0"/>
                    <w:left w:val="single" w:color="auto" w:sz="6" w:space="0"/>
                    <w:bottom w:val="single" w:color="auto" w:sz="6" w:space="0"/>
                    <w:right w:val="single" w:color="auto" w:sz="6" w:space="0"/>
                  </w:tcBorders>
                  <w:vAlign w:val="center"/>
                </w:tcPr>
                <w:p w14:paraId="2FBC098E">
                  <w:pPr>
                    <w:spacing w:line="240" w:lineRule="auto"/>
                    <w:ind w:firstLine="0" w:firstLineChars="0"/>
                    <w:jc w:val="center"/>
                    <w:rPr>
                      <w:color w:val="000000"/>
                      <w:sz w:val="21"/>
                      <w:szCs w:val="21"/>
                    </w:rPr>
                  </w:pPr>
                  <w:r>
                    <w:rPr>
                      <w:color w:val="000000"/>
                      <w:sz w:val="21"/>
                      <w:szCs w:val="21"/>
                    </w:rPr>
                    <w:t>铜</w:t>
                  </w:r>
                </w:p>
              </w:tc>
              <w:tc>
                <w:tcPr>
                  <w:tcW w:w="791" w:type="pct"/>
                  <w:tcBorders>
                    <w:top w:val="single" w:color="auto" w:sz="6" w:space="0"/>
                    <w:left w:val="single" w:color="auto" w:sz="6" w:space="0"/>
                    <w:bottom w:val="single" w:color="auto" w:sz="6" w:space="0"/>
                    <w:right w:val="single" w:color="auto" w:sz="6" w:space="0"/>
                  </w:tcBorders>
                  <w:vAlign w:val="center"/>
                </w:tcPr>
                <w:p w14:paraId="5BC75A0F">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09D6EA9D">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14F33180">
                  <w:pPr>
                    <w:spacing w:line="240" w:lineRule="auto"/>
                    <w:ind w:firstLine="0" w:firstLineChars="0"/>
                    <w:jc w:val="center"/>
                    <w:rPr>
                      <w:rFonts w:eastAsia="等线"/>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50BEB246">
                  <w:pPr>
                    <w:spacing w:line="240" w:lineRule="auto"/>
                    <w:ind w:firstLine="0" w:firstLineChars="0"/>
                    <w:jc w:val="center"/>
                    <w:rPr>
                      <w:sz w:val="21"/>
                      <w:szCs w:val="21"/>
                      <w:highlight w:val="yellow"/>
                    </w:rPr>
                  </w:pPr>
                  <w:r>
                    <w:rPr>
                      <w:sz w:val="21"/>
                      <w:szCs w:val="21"/>
                    </w:rPr>
                    <w:t>≤0.01</w:t>
                  </w:r>
                </w:p>
              </w:tc>
            </w:tr>
            <w:tr w14:paraId="647E1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91" w:type="pct"/>
                  <w:tcBorders>
                    <w:top w:val="single" w:color="auto" w:sz="6" w:space="0"/>
                    <w:left w:val="single" w:color="auto" w:sz="12" w:space="0"/>
                    <w:bottom w:val="single" w:color="auto" w:sz="6" w:space="0"/>
                    <w:right w:val="single" w:color="auto" w:sz="6" w:space="0"/>
                  </w:tcBorders>
                  <w:vAlign w:val="center"/>
                </w:tcPr>
                <w:p w14:paraId="655AB45A">
                  <w:pPr>
                    <w:spacing w:line="240" w:lineRule="auto"/>
                    <w:ind w:firstLine="0" w:firstLineChars="0"/>
                    <w:jc w:val="center"/>
                    <w:rPr>
                      <w:color w:val="000000"/>
                      <w:sz w:val="21"/>
                      <w:szCs w:val="21"/>
                    </w:rPr>
                  </w:pPr>
                  <w:r>
                    <w:rPr>
                      <w:color w:val="000000"/>
                      <w:sz w:val="21"/>
                      <w:szCs w:val="21"/>
                    </w:rPr>
                    <w:t>20</w:t>
                  </w:r>
                </w:p>
              </w:tc>
              <w:tc>
                <w:tcPr>
                  <w:tcW w:w="1049" w:type="pct"/>
                  <w:tcBorders>
                    <w:top w:val="single" w:color="auto" w:sz="6" w:space="0"/>
                    <w:left w:val="single" w:color="auto" w:sz="6" w:space="0"/>
                    <w:bottom w:val="single" w:color="auto" w:sz="6" w:space="0"/>
                    <w:right w:val="single" w:color="auto" w:sz="6" w:space="0"/>
                  </w:tcBorders>
                  <w:vAlign w:val="center"/>
                </w:tcPr>
                <w:p w14:paraId="63C5BF67">
                  <w:pPr>
                    <w:spacing w:line="240" w:lineRule="auto"/>
                    <w:ind w:firstLine="0" w:firstLineChars="0"/>
                    <w:jc w:val="center"/>
                    <w:rPr>
                      <w:color w:val="000000"/>
                      <w:sz w:val="21"/>
                      <w:szCs w:val="21"/>
                    </w:rPr>
                  </w:pPr>
                  <w:r>
                    <w:rPr>
                      <w:color w:val="000000"/>
                      <w:sz w:val="21"/>
                      <w:szCs w:val="21"/>
                    </w:rPr>
                    <w:t>锌</w:t>
                  </w:r>
                </w:p>
              </w:tc>
              <w:tc>
                <w:tcPr>
                  <w:tcW w:w="791" w:type="pct"/>
                  <w:tcBorders>
                    <w:top w:val="single" w:color="auto" w:sz="6" w:space="0"/>
                    <w:left w:val="single" w:color="auto" w:sz="6" w:space="0"/>
                    <w:bottom w:val="single" w:color="auto" w:sz="6" w:space="0"/>
                    <w:right w:val="single" w:color="auto" w:sz="6" w:space="0"/>
                  </w:tcBorders>
                  <w:vAlign w:val="center"/>
                </w:tcPr>
                <w:p w14:paraId="344CC309">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7FE30A54">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44104575">
                  <w:pPr>
                    <w:spacing w:line="240" w:lineRule="auto"/>
                    <w:ind w:firstLine="0" w:firstLineChars="0"/>
                    <w:jc w:val="center"/>
                    <w:rPr>
                      <w:rFonts w:eastAsia="等线"/>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3F45669B">
                  <w:pPr>
                    <w:spacing w:line="240" w:lineRule="auto"/>
                    <w:ind w:firstLine="0" w:firstLineChars="0"/>
                    <w:jc w:val="center"/>
                    <w:rPr>
                      <w:sz w:val="21"/>
                      <w:szCs w:val="21"/>
                      <w:highlight w:val="yellow"/>
                    </w:rPr>
                  </w:pPr>
                  <w:r>
                    <w:rPr>
                      <w:sz w:val="21"/>
                      <w:szCs w:val="21"/>
                    </w:rPr>
                    <w:t>≤0.05</w:t>
                  </w:r>
                </w:p>
              </w:tc>
            </w:tr>
            <w:tr w14:paraId="65F1F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91" w:type="pct"/>
                  <w:tcBorders>
                    <w:top w:val="single" w:color="auto" w:sz="6" w:space="0"/>
                    <w:left w:val="single" w:color="auto" w:sz="12" w:space="0"/>
                    <w:bottom w:val="single" w:color="auto" w:sz="6" w:space="0"/>
                    <w:right w:val="single" w:color="auto" w:sz="6" w:space="0"/>
                  </w:tcBorders>
                  <w:vAlign w:val="center"/>
                </w:tcPr>
                <w:p w14:paraId="5569C38E">
                  <w:pPr>
                    <w:spacing w:line="240" w:lineRule="auto"/>
                    <w:ind w:firstLine="0" w:firstLineChars="0"/>
                    <w:jc w:val="center"/>
                    <w:rPr>
                      <w:color w:val="000000"/>
                      <w:sz w:val="21"/>
                      <w:szCs w:val="21"/>
                    </w:rPr>
                  </w:pPr>
                  <w:r>
                    <w:rPr>
                      <w:color w:val="000000"/>
                      <w:sz w:val="21"/>
                      <w:szCs w:val="21"/>
                    </w:rPr>
                    <w:t>21</w:t>
                  </w:r>
                </w:p>
              </w:tc>
              <w:tc>
                <w:tcPr>
                  <w:tcW w:w="1049" w:type="pct"/>
                  <w:tcBorders>
                    <w:top w:val="single" w:color="auto" w:sz="6" w:space="0"/>
                    <w:left w:val="single" w:color="auto" w:sz="6" w:space="0"/>
                    <w:bottom w:val="single" w:color="auto" w:sz="6" w:space="0"/>
                    <w:right w:val="single" w:color="auto" w:sz="6" w:space="0"/>
                  </w:tcBorders>
                  <w:vAlign w:val="center"/>
                </w:tcPr>
                <w:p w14:paraId="557FF9D9">
                  <w:pPr>
                    <w:spacing w:line="240" w:lineRule="auto"/>
                    <w:ind w:firstLine="0" w:firstLineChars="0"/>
                    <w:jc w:val="center"/>
                    <w:rPr>
                      <w:color w:val="000000"/>
                      <w:sz w:val="21"/>
                      <w:szCs w:val="21"/>
                    </w:rPr>
                  </w:pPr>
                  <w:r>
                    <w:rPr>
                      <w:color w:val="000000"/>
                      <w:sz w:val="21"/>
                      <w:szCs w:val="21"/>
                    </w:rPr>
                    <w:t>铅</w:t>
                  </w:r>
                </w:p>
              </w:tc>
              <w:tc>
                <w:tcPr>
                  <w:tcW w:w="791" w:type="pct"/>
                  <w:tcBorders>
                    <w:top w:val="single" w:color="auto" w:sz="6" w:space="0"/>
                    <w:left w:val="single" w:color="auto" w:sz="6" w:space="0"/>
                    <w:bottom w:val="single" w:color="auto" w:sz="6" w:space="0"/>
                    <w:right w:val="single" w:color="auto" w:sz="6" w:space="0"/>
                  </w:tcBorders>
                  <w:vAlign w:val="center"/>
                </w:tcPr>
                <w:p w14:paraId="29A0DCD0">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1B43EF62">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18433196">
                  <w:pPr>
                    <w:spacing w:line="240" w:lineRule="auto"/>
                    <w:ind w:firstLine="0" w:firstLineChars="0"/>
                    <w:jc w:val="center"/>
                    <w:rPr>
                      <w:rFonts w:eastAsia="等线"/>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64D1F6B2">
                  <w:pPr>
                    <w:spacing w:line="240" w:lineRule="auto"/>
                    <w:ind w:firstLine="0" w:firstLineChars="0"/>
                    <w:jc w:val="center"/>
                    <w:rPr>
                      <w:sz w:val="21"/>
                      <w:szCs w:val="21"/>
                      <w:highlight w:val="yellow"/>
                    </w:rPr>
                  </w:pPr>
                  <w:r>
                    <w:rPr>
                      <w:sz w:val="21"/>
                      <w:szCs w:val="21"/>
                    </w:rPr>
                    <w:t>≤0.01</w:t>
                  </w:r>
                </w:p>
              </w:tc>
            </w:tr>
            <w:tr w14:paraId="5D63AF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91" w:type="pct"/>
                  <w:tcBorders>
                    <w:top w:val="single" w:color="auto" w:sz="6" w:space="0"/>
                    <w:left w:val="single" w:color="auto" w:sz="12" w:space="0"/>
                    <w:bottom w:val="single" w:color="auto" w:sz="6" w:space="0"/>
                    <w:right w:val="single" w:color="auto" w:sz="6" w:space="0"/>
                  </w:tcBorders>
                  <w:vAlign w:val="center"/>
                </w:tcPr>
                <w:p w14:paraId="0E561DD4">
                  <w:pPr>
                    <w:spacing w:line="240" w:lineRule="auto"/>
                    <w:ind w:firstLine="0" w:firstLineChars="0"/>
                    <w:jc w:val="center"/>
                    <w:rPr>
                      <w:color w:val="000000"/>
                      <w:sz w:val="21"/>
                      <w:szCs w:val="21"/>
                    </w:rPr>
                  </w:pPr>
                  <w:r>
                    <w:rPr>
                      <w:color w:val="000000"/>
                      <w:sz w:val="21"/>
                      <w:szCs w:val="21"/>
                    </w:rPr>
                    <w:t>22</w:t>
                  </w:r>
                </w:p>
              </w:tc>
              <w:tc>
                <w:tcPr>
                  <w:tcW w:w="1049" w:type="pct"/>
                  <w:tcBorders>
                    <w:top w:val="single" w:color="auto" w:sz="6" w:space="0"/>
                    <w:left w:val="single" w:color="auto" w:sz="6" w:space="0"/>
                    <w:bottom w:val="single" w:color="auto" w:sz="6" w:space="0"/>
                    <w:right w:val="single" w:color="auto" w:sz="6" w:space="0"/>
                  </w:tcBorders>
                  <w:vAlign w:val="center"/>
                </w:tcPr>
                <w:p w14:paraId="18C306E4">
                  <w:pPr>
                    <w:spacing w:line="240" w:lineRule="auto"/>
                    <w:ind w:firstLine="0" w:firstLineChars="0"/>
                    <w:jc w:val="center"/>
                    <w:rPr>
                      <w:color w:val="000000"/>
                      <w:sz w:val="21"/>
                      <w:szCs w:val="21"/>
                    </w:rPr>
                  </w:pPr>
                  <w:r>
                    <w:rPr>
                      <w:sz w:val="21"/>
                      <w:szCs w:val="21"/>
                    </w:rPr>
                    <w:t>镉</w:t>
                  </w:r>
                </w:p>
              </w:tc>
              <w:tc>
                <w:tcPr>
                  <w:tcW w:w="791" w:type="pct"/>
                  <w:tcBorders>
                    <w:top w:val="single" w:color="auto" w:sz="6" w:space="0"/>
                    <w:left w:val="single" w:color="auto" w:sz="6" w:space="0"/>
                    <w:bottom w:val="single" w:color="auto" w:sz="6" w:space="0"/>
                    <w:right w:val="single" w:color="auto" w:sz="6" w:space="0"/>
                  </w:tcBorders>
                  <w:vAlign w:val="center"/>
                </w:tcPr>
                <w:p w14:paraId="0CEC0723">
                  <w:pPr>
                    <w:spacing w:line="240" w:lineRule="auto"/>
                    <w:ind w:firstLine="0" w:firstLineChars="0"/>
                    <w:jc w:val="center"/>
                    <w:rPr>
                      <w:color w:val="000000"/>
                      <w:sz w:val="21"/>
                      <w:szCs w:val="21"/>
                    </w:rPr>
                  </w:pPr>
                  <w:r>
                    <w:rPr>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55DA86EE">
                  <w:pPr>
                    <w:spacing w:line="240" w:lineRule="auto"/>
                    <w:ind w:firstLine="0" w:firstLineChars="0"/>
                    <w:jc w:val="center"/>
                    <w:rPr>
                      <w:color w:val="000000"/>
                      <w:sz w:val="21"/>
                      <w:szCs w:val="21"/>
                    </w:rPr>
                  </w:pPr>
                  <w:r>
                    <w:rPr>
                      <w:sz w:val="21"/>
                      <w:szCs w:val="21"/>
                    </w:rPr>
                    <w:t>ND</w:t>
                  </w:r>
                </w:p>
              </w:tc>
              <w:tc>
                <w:tcPr>
                  <w:tcW w:w="663" w:type="pct"/>
                  <w:tcBorders>
                    <w:top w:val="single" w:color="auto" w:sz="6" w:space="0"/>
                    <w:left w:val="single" w:color="auto" w:sz="6" w:space="0"/>
                    <w:bottom w:val="single" w:color="auto" w:sz="6" w:space="0"/>
                    <w:right w:val="single" w:color="auto" w:sz="6" w:space="0"/>
                  </w:tcBorders>
                  <w:vAlign w:val="center"/>
                </w:tcPr>
                <w:p w14:paraId="3B7741A9">
                  <w:pPr>
                    <w:spacing w:line="240" w:lineRule="auto"/>
                    <w:ind w:firstLine="0" w:firstLineChars="0"/>
                    <w:jc w:val="center"/>
                    <w:rPr>
                      <w:rFonts w:eastAsia="等线"/>
                      <w:color w:val="000000"/>
                      <w:sz w:val="21"/>
                      <w:szCs w:val="21"/>
                    </w:rPr>
                  </w:pPr>
                  <w:r>
                    <w:rPr>
                      <w:rFonts w:eastAsia="等线"/>
                      <w:color w:val="000000"/>
                      <w:sz w:val="21"/>
                      <w:szCs w:val="21"/>
                    </w:rPr>
                    <w:t>/</w:t>
                  </w:r>
                </w:p>
              </w:tc>
              <w:tc>
                <w:tcPr>
                  <w:tcW w:w="1483" w:type="pct"/>
                  <w:tcBorders>
                    <w:top w:val="single" w:color="auto" w:sz="6" w:space="0"/>
                    <w:left w:val="single" w:color="auto" w:sz="6" w:space="0"/>
                    <w:bottom w:val="single" w:color="auto" w:sz="6" w:space="0"/>
                    <w:right w:val="single" w:color="auto" w:sz="12" w:space="0"/>
                  </w:tcBorders>
                  <w:vAlign w:val="center"/>
                </w:tcPr>
                <w:p w14:paraId="691ECB21">
                  <w:pPr>
                    <w:spacing w:line="240" w:lineRule="auto"/>
                    <w:ind w:firstLine="0" w:firstLineChars="0"/>
                    <w:jc w:val="center"/>
                    <w:rPr>
                      <w:sz w:val="21"/>
                      <w:szCs w:val="21"/>
                      <w:highlight w:val="yellow"/>
                    </w:rPr>
                  </w:pPr>
                  <w:r>
                    <w:rPr>
                      <w:sz w:val="21"/>
                      <w:szCs w:val="21"/>
                    </w:rPr>
                    <w:t>≤0.001</w:t>
                  </w:r>
                </w:p>
              </w:tc>
            </w:tr>
            <w:tr w14:paraId="3C4159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91" w:type="pct"/>
                  <w:tcBorders>
                    <w:top w:val="single" w:color="auto" w:sz="6" w:space="0"/>
                    <w:left w:val="single" w:color="auto" w:sz="12" w:space="0"/>
                    <w:bottom w:val="single" w:color="auto" w:sz="6" w:space="0"/>
                    <w:right w:val="single" w:color="auto" w:sz="6" w:space="0"/>
                  </w:tcBorders>
                  <w:vAlign w:val="center"/>
                </w:tcPr>
                <w:p w14:paraId="546098AC">
                  <w:pPr>
                    <w:spacing w:line="240" w:lineRule="auto"/>
                    <w:ind w:firstLine="0" w:firstLineChars="0"/>
                    <w:jc w:val="center"/>
                    <w:rPr>
                      <w:color w:val="000000"/>
                      <w:sz w:val="21"/>
                      <w:szCs w:val="21"/>
                    </w:rPr>
                  </w:pPr>
                  <w:r>
                    <w:rPr>
                      <w:color w:val="000000"/>
                      <w:sz w:val="21"/>
                      <w:szCs w:val="21"/>
                    </w:rPr>
                    <w:t>23</w:t>
                  </w:r>
                </w:p>
              </w:tc>
              <w:tc>
                <w:tcPr>
                  <w:tcW w:w="1049" w:type="pct"/>
                  <w:tcBorders>
                    <w:top w:val="single" w:color="auto" w:sz="6" w:space="0"/>
                    <w:left w:val="single" w:color="auto" w:sz="6" w:space="0"/>
                    <w:bottom w:val="single" w:color="auto" w:sz="6" w:space="0"/>
                    <w:right w:val="single" w:color="auto" w:sz="6" w:space="0"/>
                  </w:tcBorders>
                  <w:vAlign w:val="center"/>
                </w:tcPr>
                <w:p w14:paraId="18CDD135">
                  <w:pPr>
                    <w:spacing w:line="240" w:lineRule="auto"/>
                    <w:ind w:firstLine="0" w:firstLineChars="0"/>
                    <w:jc w:val="center"/>
                    <w:rPr>
                      <w:color w:val="000000"/>
                      <w:sz w:val="21"/>
                      <w:szCs w:val="21"/>
                    </w:rPr>
                  </w:pPr>
                  <w:r>
                    <w:rPr>
                      <w:color w:val="000000"/>
                      <w:sz w:val="21"/>
                      <w:szCs w:val="21"/>
                    </w:rPr>
                    <w:t>溶解氧</w:t>
                  </w:r>
                </w:p>
              </w:tc>
              <w:tc>
                <w:tcPr>
                  <w:tcW w:w="791" w:type="pct"/>
                  <w:tcBorders>
                    <w:top w:val="single" w:color="auto" w:sz="6" w:space="0"/>
                    <w:left w:val="single" w:color="auto" w:sz="6" w:space="0"/>
                    <w:bottom w:val="single" w:color="auto" w:sz="6" w:space="0"/>
                    <w:right w:val="single" w:color="auto" w:sz="6" w:space="0"/>
                  </w:tcBorders>
                  <w:vAlign w:val="center"/>
                </w:tcPr>
                <w:p w14:paraId="2ADFA61D">
                  <w:pPr>
                    <w:spacing w:line="240" w:lineRule="auto"/>
                    <w:ind w:firstLine="0" w:firstLineChars="0"/>
                    <w:jc w:val="center"/>
                    <w:rPr>
                      <w:color w:val="000000"/>
                      <w:sz w:val="21"/>
                      <w:szCs w:val="21"/>
                    </w:rPr>
                  </w:pPr>
                  <w:r>
                    <w:rPr>
                      <w:color w:val="000000"/>
                      <w:sz w:val="21"/>
                      <w:szCs w:val="21"/>
                    </w:rPr>
                    <w:t>mg/L</w:t>
                  </w:r>
                </w:p>
              </w:tc>
              <w:tc>
                <w:tcPr>
                  <w:tcW w:w="623" w:type="pct"/>
                  <w:tcBorders>
                    <w:top w:val="single" w:color="auto" w:sz="6" w:space="0"/>
                    <w:left w:val="single" w:color="auto" w:sz="6" w:space="0"/>
                    <w:bottom w:val="single" w:color="auto" w:sz="6" w:space="0"/>
                    <w:right w:val="single" w:color="auto" w:sz="6" w:space="0"/>
                  </w:tcBorders>
                  <w:vAlign w:val="center"/>
                </w:tcPr>
                <w:p w14:paraId="60F4616D">
                  <w:pPr>
                    <w:spacing w:line="240" w:lineRule="auto"/>
                    <w:ind w:firstLine="0" w:firstLineChars="0"/>
                    <w:jc w:val="center"/>
                    <w:rPr>
                      <w:color w:val="000000"/>
                      <w:sz w:val="21"/>
                      <w:szCs w:val="21"/>
                    </w:rPr>
                  </w:pPr>
                  <w:r>
                    <w:rPr>
                      <w:sz w:val="21"/>
                      <w:szCs w:val="21"/>
                    </w:rPr>
                    <w:t>7.10</w:t>
                  </w:r>
                </w:p>
              </w:tc>
              <w:tc>
                <w:tcPr>
                  <w:tcW w:w="663" w:type="pct"/>
                  <w:tcBorders>
                    <w:top w:val="single" w:color="auto" w:sz="6" w:space="0"/>
                    <w:left w:val="single" w:color="auto" w:sz="6" w:space="0"/>
                    <w:bottom w:val="single" w:color="auto" w:sz="6" w:space="0"/>
                    <w:right w:val="single" w:color="auto" w:sz="6" w:space="0"/>
                  </w:tcBorders>
                  <w:vAlign w:val="center"/>
                </w:tcPr>
                <w:p w14:paraId="1A4A89F6">
                  <w:pPr>
                    <w:spacing w:line="240" w:lineRule="auto"/>
                    <w:ind w:firstLine="0" w:firstLineChars="0"/>
                    <w:jc w:val="center"/>
                    <w:rPr>
                      <w:rFonts w:eastAsia="等线"/>
                      <w:color w:val="000000"/>
                      <w:sz w:val="21"/>
                      <w:szCs w:val="21"/>
                    </w:rPr>
                  </w:pPr>
                  <w:r>
                    <w:rPr>
                      <w:rFonts w:eastAsia="等线"/>
                      <w:color w:val="000000"/>
                      <w:sz w:val="21"/>
                      <w:szCs w:val="21"/>
                    </w:rPr>
                    <w:t>1.25</w:t>
                  </w:r>
                </w:p>
              </w:tc>
              <w:tc>
                <w:tcPr>
                  <w:tcW w:w="1483" w:type="pct"/>
                  <w:tcBorders>
                    <w:top w:val="single" w:color="auto" w:sz="6" w:space="0"/>
                    <w:left w:val="single" w:color="auto" w:sz="6" w:space="0"/>
                    <w:bottom w:val="single" w:color="auto" w:sz="6" w:space="0"/>
                    <w:right w:val="single" w:color="auto" w:sz="12" w:space="0"/>
                  </w:tcBorders>
                  <w:vAlign w:val="center"/>
                </w:tcPr>
                <w:p w14:paraId="389B6368">
                  <w:pPr>
                    <w:spacing w:line="240" w:lineRule="auto"/>
                    <w:ind w:firstLine="0" w:firstLineChars="0"/>
                    <w:rPr>
                      <w:sz w:val="21"/>
                      <w:szCs w:val="21"/>
                      <w:highlight w:val="yellow"/>
                    </w:rPr>
                  </w:pPr>
                  <w:r>
                    <w:rPr>
                      <w:color w:val="000000"/>
                      <w:sz w:val="21"/>
                      <w:szCs w:val="21"/>
                    </w:rPr>
                    <w:t>饱和度90%（或≥7.5）</w:t>
                  </w:r>
                </w:p>
              </w:tc>
            </w:tr>
          </w:tbl>
          <w:p w14:paraId="59B46D30">
            <w:pPr>
              <w:rPr>
                <w:color w:val="000000"/>
                <w:szCs w:val="22"/>
              </w:rPr>
            </w:pPr>
            <w:r>
              <w:rPr>
                <w:color w:val="000000"/>
                <w:szCs w:val="22"/>
              </w:rPr>
              <w:t>根据监测资料统计结果，芒奇提河监测点位各水质监测指标中，除溶解氧外，其他指标均符合《地表水环境质量标准》（GB3838-2002）Ⅰ类标准。其中总氮监测值为0.96mg/L，按《地表水环境质量评价办法（试行）》规定不参与河流水质评价，仅留作背景参考。溶解氧监测值为7.10mg/L，低于Ⅰ类标准限值（≥7.5mg/L），可能与水温偏高、上游来水水质及有机物污染等因素有关。</w:t>
            </w:r>
          </w:p>
          <w:p w14:paraId="02435D86">
            <w:r>
              <w:rPr>
                <w:rFonts w:hint="eastAsia"/>
              </w:rPr>
              <w:t>本项目不向周边地表水体排放废水，合理规划勘探线路和作业区域，避免穿越季节性河流及冲沟，对水体环境影响较小。</w:t>
            </w:r>
          </w:p>
          <w:p w14:paraId="6D6791D4">
            <w:pPr>
              <w:ind w:firstLine="0" w:firstLineChars="0"/>
              <w:rPr>
                <w:b/>
                <w:bCs/>
                <w:kern w:val="0"/>
              </w:rPr>
            </w:pPr>
            <w:r>
              <w:rPr>
                <w:rFonts w:hint="eastAsia"/>
                <w:b/>
                <w:bCs/>
                <w:kern w:val="0"/>
              </w:rPr>
              <w:t>3</w:t>
            </w:r>
            <w:r>
              <w:rPr>
                <w:b/>
                <w:bCs/>
                <w:kern w:val="0"/>
              </w:rPr>
              <w:t>.6</w:t>
            </w:r>
            <w:r>
              <w:rPr>
                <w:rFonts w:hint="eastAsia"/>
                <w:b/>
                <w:bCs/>
                <w:kern w:val="0"/>
              </w:rPr>
              <w:t>地下水环境质量现状</w:t>
            </w:r>
          </w:p>
          <w:p w14:paraId="39525C0B">
            <w:pPr>
              <w:rPr>
                <w:kern w:val="0"/>
              </w:rPr>
            </w:pPr>
            <w:r>
              <w:t>本项目为陆地矿产资源地质勘查项目，根据《环境影响评价技术导则地下水环境》（HJ610-2016），属于附录A中：24.矿产资源地质勘查（包括勘探活动），地下水环境影响评价项目类别为Ⅳ类。因此，本项目不开展地下水环境质量现状调查评价</w:t>
            </w:r>
            <w:r>
              <w:rPr>
                <w:rFonts w:hint="eastAsia"/>
                <w:kern w:val="0"/>
              </w:rPr>
              <w:t>。</w:t>
            </w:r>
          </w:p>
          <w:p w14:paraId="27A1DD4D">
            <w:pPr>
              <w:ind w:firstLine="0" w:firstLineChars="0"/>
              <w:rPr>
                <w:b/>
                <w:bCs/>
                <w:kern w:val="0"/>
              </w:rPr>
            </w:pPr>
            <w:r>
              <w:rPr>
                <w:b/>
                <w:bCs/>
                <w:kern w:val="0"/>
              </w:rPr>
              <w:t>3.7</w:t>
            </w:r>
            <w:r>
              <w:rPr>
                <w:rFonts w:hint="eastAsia"/>
                <w:b/>
                <w:bCs/>
                <w:kern w:val="0"/>
              </w:rPr>
              <w:t>土壤环境质量现状</w:t>
            </w:r>
          </w:p>
          <w:p w14:paraId="07B39B82">
            <w:pPr>
              <w:rPr>
                <w:kern w:val="0"/>
              </w:rPr>
            </w:pPr>
            <w:r>
              <w:t>根据《环境影响评价技术导则</w:t>
            </w:r>
            <w:r>
              <w:rPr>
                <w:rFonts w:hint="eastAsia"/>
              </w:rPr>
              <w:t xml:space="preserve"> </w:t>
            </w:r>
            <w:r>
              <w:t>土壤环境》（HJ964-2018），本项目为地质勘探类项目，属于“其他行业－全部”，为Ⅳ类项目，可不开展土壤现状调查</w:t>
            </w:r>
            <w:r>
              <w:rPr>
                <w:kern w:val="0"/>
              </w:rPr>
              <w:t>。</w:t>
            </w:r>
          </w:p>
          <w:p w14:paraId="1061771D">
            <w:pPr>
              <w:pStyle w:val="28"/>
              <w:ind w:firstLine="0" w:firstLineChars="0"/>
              <w:jc w:val="both"/>
              <w:rPr>
                <w:rFonts w:ascii="Times New Roman"/>
                <w:b/>
                <w:bCs/>
              </w:rPr>
            </w:pPr>
            <w:r>
              <w:rPr>
                <w:rFonts w:ascii="Times New Roman"/>
                <w:b/>
                <w:bCs/>
              </w:rPr>
              <w:t>3.8生态</w:t>
            </w:r>
          </w:p>
          <w:p w14:paraId="06233F72">
            <w:pPr>
              <w:pStyle w:val="28"/>
              <w:ind w:firstLine="480"/>
              <w:jc w:val="both"/>
              <w:rPr>
                <w:rFonts w:ascii="Times New Roman"/>
              </w:rPr>
            </w:pPr>
            <w:r>
              <w:rPr>
                <w:rFonts w:ascii="Times New Roman"/>
              </w:rPr>
              <w:t>根据《环境影响评价技术导则 生态影响》（HJ19-2022）的生态评价等级判定条件，判定过程，见表3-</w:t>
            </w:r>
            <w:r>
              <w:rPr>
                <w:rFonts w:hint="eastAsia" w:ascii="Times New Roman"/>
              </w:rPr>
              <w:t>5</w:t>
            </w:r>
            <w:r>
              <w:rPr>
                <w:rFonts w:ascii="Times New Roman"/>
              </w:rPr>
              <w:t>。</w:t>
            </w:r>
          </w:p>
          <w:p w14:paraId="1145BCD4">
            <w:pPr>
              <w:pStyle w:val="22"/>
              <w:spacing w:after="0" w:line="240" w:lineRule="auto"/>
              <w:ind w:firstLine="0" w:firstLineChars="0"/>
              <w:jc w:val="center"/>
              <w:rPr>
                <w:b/>
                <w:bCs/>
                <w:szCs w:val="21"/>
              </w:rPr>
            </w:pPr>
            <w:r>
              <w:rPr>
                <w:b/>
                <w:bCs/>
                <w:szCs w:val="21"/>
              </w:rPr>
              <w:t>表3-</w:t>
            </w:r>
            <w:r>
              <w:rPr>
                <w:rFonts w:hint="eastAsia"/>
                <w:b/>
                <w:bCs/>
                <w:szCs w:val="21"/>
              </w:rPr>
              <w:t>5</w:t>
            </w:r>
            <w:r>
              <w:rPr>
                <w:b/>
                <w:bCs/>
                <w:szCs w:val="21"/>
              </w:rPr>
              <w:t xml:space="preserve"> </w:t>
            </w:r>
            <w:r>
              <w:rPr>
                <w:rFonts w:hint="eastAsia"/>
                <w:b/>
                <w:bCs/>
                <w:szCs w:val="21"/>
              </w:rPr>
              <w:t xml:space="preserve"> </w:t>
            </w:r>
            <w:r>
              <w:rPr>
                <w:b/>
                <w:bCs/>
                <w:szCs w:val="21"/>
              </w:rPr>
              <w:t>生态评价等级判定过程</w:t>
            </w:r>
          </w:p>
          <w:tbl>
            <w:tblPr>
              <w:tblStyle w:val="24"/>
              <w:tblW w:w="4996"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756"/>
              <w:gridCol w:w="3830"/>
              <w:gridCol w:w="2054"/>
              <w:gridCol w:w="1174"/>
            </w:tblGrid>
            <w:tr w14:paraId="285697F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42" w:hRule="atLeast"/>
                <w:jc w:val="center"/>
              </w:trPr>
              <w:tc>
                <w:tcPr>
                  <w:tcW w:w="484" w:type="pct"/>
                  <w:tcBorders>
                    <w:tl2br w:val="nil"/>
                    <w:tr2bl w:val="nil"/>
                  </w:tcBorders>
                  <w:vAlign w:val="center"/>
                </w:tcPr>
                <w:p w14:paraId="3B69BE46">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序号</w:t>
                  </w:r>
                </w:p>
              </w:tc>
              <w:tc>
                <w:tcPr>
                  <w:tcW w:w="2451" w:type="pct"/>
                  <w:tcBorders>
                    <w:tl2br w:val="nil"/>
                    <w:tr2bl w:val="nil"/>
                  </w:tcBorders>
                  <w:vAlign w:val="center"/>
                </w:tcPr>
                <w:p w14:paraId="62B5522D">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生态评价等级判定要求</w:t>
                  </w:r>
                </w:p>
              </w:tc>
              <w:tc>
                <w:tcPr>
                  <w:tcW w:w="1314" w:type="pct"/>
                  <w:tcBorders>
                    <w:tl2br w:val="nil"/>
                    <w:tr2bl w:val="nil"/>
                  </w:tcBorders>
                  <w:vAlign w:val="center"/>
                </w:tcPr>
                <w:p w14:paraId="611E84E0">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本工程情况</w:t>
                  </w:r>
                </w:p>
              </w:tc>
              <w:tc>
                <w:tcPr>
                  <w:tcW w:w="751" w:type="pct"/>
                  <w:tcBorders>
                    <w:tl2br w:val="nil"/>
                    <w:tr2bl w:val="nil"/>
                  </w:tcBorders>
                  <w:vAlign w:val="center"/>
                </w:tcPr>
                <w:p w14:paraId="6ADC813B">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生态影响评价等级</w:t>
                  </w:r>
                </w:p>
              </w:tc>
            </w:tr>
            <w:tr w14:paraId="3B17AAB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484" w:type="pct"/>
                  <w:tcBorders>
                    <w:tl2br w:val="nil"/>
                    <w:tr2bl w:val="nil"/>
                  </w:tcBorders>
                  <w:vAlign w:val="center"/>
                </w:tcPr>
                <w:p w14:paraId="1D0FB46C">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a</w:t>
                  </w:r>
                </w:p>
              </w:tc>
              <w:tc>
                <w:tcPr>
                  <w:tcW w:w="2451" w:type="pct"/>
                  <w:tcBorders>
                    <w:tl2br w:val="nil"/>
                    <w:tr2bl w:val="nil"/>
                  </w:tcBorders>
                  <w:vAlign w:val="center"/>
                </w:tcPr>
                <w:p w14:paraId="7E894BBA">
                  <w:pPr>
                    <w:pStyle w:val="15"/>
                    <w:spacing w:line="240" w:lineRule="auto"/>
                    <w:ind w:firstLine="0" w:firstLineChars="0"/>
                    <w:rPr>
                      <w:rFonts w:ascii="Times New Roman" w:hAnsi="Times New Roman" w:eastAsiaTheme="minorEastAsia"/>
                      <w:sz w:val="21"/>
                      <w:szCs w:val="21"/>
                    </w:rPr>
                  </w:pPr>
                  <w:r>
                    <w:rPr>
                      <w:rFonts w:ascii="Times New Roman" w:hAnsi="Times New Roman" w:eastAsiaTheme="minorEastAsia"/>
                      <w:sz w:val="21"/>
                      <w:szCs w:val="21"/>
                    </w:rPr>
                    <w:t>涉及国家公园、自然保护区、世界自然遗产、重要生境时，评价等级为一级；</w:t>
                  </w:r>
                </w:p>
              </w:tc>
              <w:tc>
                <w:tcPr>
                  <w:tcW w:w="1314" w:type="pct"/>
                  <w:tcBorders>
                    <w:tl2br w:val="nil"/>
                    <w:tr2bl w:val="nil"/>
                  </w:tcBorders>
                  <w:vAlign w:val="center"/>
                </w:tcPr>
                <w:p w14:paraId="742B1D1F">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不涉及</w:t>
                  </w:r>
                </w:p>
              </w:tc>
              <w:tc>
                <w:tcPr>
                  <w:tcW w:w="751" w:type="pct"/>
                  <w:tcBorders>
                    <w:tl2br w:val="nil"/>
                    <w:tr2bl w:val="nil"/>
                  </w:tcBorders>
                  <w:vAlign w:val="center"/>
                </w:tcPr>
                <w:p w14:paraId="35092686">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w:t>
                  </w:r>
                </w:p>
              </w:tc>
            </w:tr>
            <w:tr w14:paraId="1920B42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64" w:hRule="atLeast"/>
                <w:jc w:val="center"/>
              </w:trPr>
              <w:tc>
                <w:tcPr>
                  <w:tcW w:w="484" w:type="pct"/>
                  <w:tcBorders>
                    <w:tl2br w:val="nil"/>
                    <w:tr2bl w:val="nil"/>
                  </w:tcBorders>
                  <w:vAlign w:val="center"/>
                </w:tcPr>
                <w:p w14:paraId="15FBEAC5">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b</w:t>
                  </w:r>
                </w:p>
              </w:tc>
              <w:tc>
                <w:tcPr>
                  <w:tcW w:w="2451" w:type="pct"/>
                  <w:tcBorders>
                    <w:tl2br w:val="nil"/>
                    <w:tr2bl w:val="nil"/>
                  </w:tcBorders>
                  <w:vAlign w:val="center"/>
                </w:tcPr>
                <w:p w14:paraId="7C6A5052">
                  <w:pPr>
                    <w:pStyle w:val="15"/>
                    <w:spacing w:line="240" w:lineRule="auto"/>
                    <w:ind w:firstLine="0" w:firstLineChars="0"/>
                    <w:rPr>
                      <w:rFonts w:ascii="Times New Roman" w:hAnsi="Times New Roman" w:eastAsiaTheme="minorEastAsia"/>
                      <w:sz w:val="21"/>
                      <w:szCs w:val="21"/>
                    </w:rPr>
                  </w:pPr>
                  <w:r>
                    <w:rPr>
                      <w:rFonts w:ascii="Times New Roman" w:hAnsi="Times New Roman" w:eastAsiaTheme="minorEastAsia"/>
                      <w:sz w:val="21"/>
                      <w:szCs w:val="21"/>
                    </w:rPr>
                    <w:t>涉及自然公园时，评价等级为二级；</w:t>
                  </w:r>
                </w:p>
              </w:tc>
              <w:tc>
                <w:tcPr>
                  <w:tcW w:w="1314" w:type="pct"/>
                  <w:tcBorders>
                    <w:tl2br w:val="nil"/>
                    <w:tr2bl w:val="nil"/>
                  </w:tcBorders>
                  <w:vAlign w:val="center"/>
                </w:tcPr>
                <w:p w14:paraId="159841F1">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不涉及</w:t>
                  </w:r>
                </w:p>
              </w:tc>
              <w:tc>
                <w:tcPr>
                  <w:tcW w:w="751" w:type="pct"/>
                  <w:tcBorders>
                    <w:tl2br w:val="nil"/>
                    <w:tr2bl w:val="nil"/>
                  </w:tcBorders>
                  <w:vAlign w:val="center"/>
                </w:tcPr>
                <w:p w14:paraId="0D26809D">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w:t>
                  </w:r>
                </w:p>
              </w:tc>
            </w:tr>
            <w:tr w14:paraId="27B69D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64" w:hRule="atLeast"/>
                <w:jc w:val="center"/>
              </w:trPr>
              <w:tc>
                <w:tcPr>
                  <w:tcW w:w="484" w:type="pct"/>
                  <w:tcBorders>
                    <w:tl2br w:val="nil"/>
                    <w:tr2bl w:val="nil"/>
                  </w:tcBorders>
                  <w:vAlign w:val="center"/>
                </w:tcPr>
                <w:p w14:paraId="16ABB042">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c</w:t>
                  </w:r>
                </w:p>
              </w:tc>
              <w:tc>
                <w:tcPr>
                  <w:tcW w:w="2451" w:type="pct"/>
                  <w:tcBorders>
                    <w:tl2br w:val="nil"/>
                    <w:tr2bl w:val="nil"/>
                  </w:tcBorders>
                  <w:vAlign w:val="center"/>
                </w:tcPr>
                <w:p w14:paraId="53958C06">
                  <w:pPr>
                    <w:pStyle w:val="15"/>
                    <w:spacing w:line="240" w:lineRule="auto"/>
                    <w:ind w:firstLine="0" w:firstLineChars="0"/>
                    <w:rPr>
                      <w:rFonts w:ascii="Times New Roman" w:hAnsi="Times New Roman" w:eastAsiaTheme="minorEastAsia"/>
                      <w:sz w:val="21"/>
                      <w:szCs w:val="21"/>
                    </w:rPr>
                  </w:pPr>
                  <w:r>
                    <w:rPr>
                      <w:rFonts w:ascii="Times New Roman" w:hAnsi="Times New Roman" w:eastAsiaTheme="minorEastAsia"/>
                      <w:sz w:val="21"/>
                      <w:szCs w:val="21"/>
                    </w:rPr>
                    <w:t>涉及生态保护红线时，评价等级不低于二级；</w:t>
                  </w:r>
                </w:p>
              </w:tc>
              <w:tc>
                <w:tcPr>
                  <w:tcW w:w="1314" w:type="pct"/>
                  <w:tcBorders>
                    <w:tl2br w:val="nil"/>
                    <w:tr2bl w:val="nil"/>
                  </w:tcBorders>
                  <w:vAlign w:val="center"/>
                </w:tcPr>
                <w:p w14:paraId="2B2996ED">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不涉及</w:t>
                  </w:r>
                </w:p>
              </w:tc>
              <w:tc>
                <w:tcPr>
                  <w:tcW w:w="751" w:type="pct"/>
                  <w:tcBorders>
                    <w:tl2br w:val="nil"/>
                    <w:tr2bl w:val="nil"/>
                  </w:tcBorders>
                  <w:vAlign w:val="center"/>
                </w:tcPr>
                <w:p w14:paraId="758FC648">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w:t>
                  </w:r>
                </w:p>
              </w:tc>
            </w:tr>
            <w:tr w14:paraId="21766D6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7" w:hRule="atLeast"/>
                <w:jc w:val="center"/>
              </w:trPr>
              <w:tc>
                <w:tcPr>
                  <w:tcW w:w="484" w:type="pct"/>
                  <w:tcBorders>
                    <w:tl2br w:val="nil"/>
                    <w:tr2bl w:val="nil"/>
                  </w:tcBorders>
                  <w:vAlign w:val="center"/>
                </w:tcPr>
                <w:p w14:paraId="23BAE1FD">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d</w:t>
                  </w:r>
                </w:p>
              </w:tc>
              <w:tc>
                <w:tcPr>
                  <w:tcW w:w="2451" w:type="pct"/>
                  <w:tcBorders>
                    <w:tl2br w:val="nil"/>
                    <w:tr2bl w:val="nil"/>
                  </w:tcBorders>
                  <w:vAlign w:val="center"/>
                </w:tcPr>
                <w:p w14:paraId="537C5C8F">
                  <w:pPr>
                    <w:pStyle w:val="15"/>
                    <w:spacing w:line="240" w:lineRule="auto"/>
                    <w:ind w:firstLine="0" w:firstLineChars="0"/>
                    <w:rPr>
                      <w:rFonts w:ascii="Times New Roman" w:hAnsi="Times New Roman" w:eastAsiaTheme="minorEastAsia"/>
                      <w:sz w:val="21"/>
                      <w:szCs w:val="21"/>
                    </w:rPr>
                  </w:pPr>
                  <w:r>
                    <w:rPr>
                      <w:rFonts w:ascii="Times New Roman" w:hAnsi="Times New Roman" w:eastAsiaTheme="minorEastAsia"/>
                      <w:sz w:val="21"/>
                      <w:szCs w:val="21"/>
                    </w:rPr>
                    <w:t>根据HJ2.3判断属于水文要素影响型且地表水评价等级不低于二级的建设项目，生态影响评价等级不低于二级；</w:t>
                  </w:r>
                </w:p>
              </w:tc>
              <w:tc>
                <w:tcPr>
                  <w:tcW w:w="1314" w:type="pct"/>
                  <w:tcBorders>
                    <w:tl2br w:val="nil"/>
                    <w:tr2bl w:val="nil"/>
                  </w:tcBorders>
                  <w:vAlign w:val="center"/>
                </w:tcPr>
                <w:p w14:paraId="64F7B5E2">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不涉及</w:t>
                  </w:r>
                </w:p>
              </w:tc>
              <w:tc>
                <w:tcPr>
                  <w:tcW w:w="751" w:type="pct"/>
                  <w:tcBorders>
                    <w:tl2br w:val="nil"/>
                    <w:tr2bl w:val="nil"/>
                  </w:tcBorders>
                  <w:vAlign w:val="center"/>
                </w:tcPr>
                <w:p w14:paraId="0E099A70">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w:t>
                  </w:r>
                </w:p>
              </w:tc>
            </w:tr>
            <w:tr w14:paraId="07742C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04" w:hRule="atLeast"/>
                <w:jc w:val="center"/>
              </w:trPr>
              <w:tc>
                <w:tcPr>
                  <w:tcW w:w="484" w:type="pct"/>
                  <w:tcBorders>
                    <w:tl2br w:val="nil"/>
                    <w:tr2bl w:val="nil"/>
                  </w:tcBorders>
                  <w:vAlign w:val="center"/>
                </w:tcPr>
                <w:p w14:paraId="57505439">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e</w:t>
                  </w:r>
                </w:p>
              </w:tc>
              <w:tc>
                <w:tcPr>
                  <w:tcW w:w="2451" w:type="pct"/>
                  <w:tcBorders>
                    <w:tl2br w:val="nil"/>
                    <w:tr2bl w:val="nil"/>
                  </w:tcBorders>
                  <w:vAlign w:val="center"/>
                </w:tcPr>
                <w:p w14:paraId="3FBBEAF2">
                  <w:pPr>
                    <w:pStyle w:val="15"/>
                    <w:spacing w:line="240" w:lineRule="auto"/>
                    <w:ind w:firstLine="0" w:firstLineChars="0"/>
                    <w:rPr>
                      <w:rFonts w:ascii="Times New Roman" w:hAnsi="Times New Roman" w:eastAsiaTheme="minorEastAsia"/>
                      <w:sz w:val="21"/>
                      <w:szCs w:val="21"/>
                    </w:rPr>
                  </w:pPr>
                  <w:r>
                    <w:rPr>
                      <w:rFonts w:ascii="Times New Roman" w:hAnsi="Times New Roman" w:eastAsiaTheme="minorEastAsia"/>
                      <w:sz w:val="21"/>
                      <w:szCs w:val="21"/>
                    </w:rPr>
                    <w:t>根据HJ610、HJ964判断地下水水位或土壤影响范围内分布有天然林、公益林、湿地等生态保护目标的建设项目，生态影响评价等级不低于二级；</w:t>
                  </w:r>
                </w:p>
              </w:tc>
              <w:tc>
                <w:tcPr>
                  <w:tcW w:w="1314" w:type="pct"/>
                  <w:tcBorders>
                    <w:tl2br w:val="nil"/>
                    <w:tr2bl w:val="nil"/>
                  </w:tcBorders>
                  <w:vAlign w:val="center"/>
                </w:tcPr>
                <w:p w14:paraId="27311065">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不涉及</w:t>
                  </w:r>
                </w:p>
              </w:tc>
              <w:tc>
                <w:tcPr>
                  <w:tcW w:w="751" w:type="pct"/>
                  <w:tcBorders>
                    <w:tl2br w:val="nil"/>
                    <w:tr2bl w:val="nil"/>
                  </w:tcBorders>
                  <w:vAlign w:val="center"/>
                </w:tcPr>
                <w:p w14:paraId="204EBB4D">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w:t>
                  </w:r>
                </w:p>
              </w:tc>
            </w:tr>
            <w:tr w14:paraId="67B6DE0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73" w:hRule="atLeast"/>
                <w:jc w:val="center"/>
              </w:trPr>
              <w:tc>
                <w:tcPr>
                  <w:tcW w:w="484" w:type="pct"/>
                  <w:tcBorders>
                    <w:tl2br w:val="nil"/>
                    <w:tr2bl w:val="nil"/>
                  </w:tcBorders>
                  <w:vAlign w:val="center"/>
                </w:tcPr>
                <w:p w14:paraId="0EE868CE">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f</w:t>
                  </w:r>
                </w:p>
              </w:tc>
              <w:tc>
                <w:tcPr>
                  <w:tcW w:w="2451" w:type="pct"/>
                  <w:tcBorders>
                    <w:tl2br w:val="nil"/>
                    <w:tr2bl w:val="nil"/>
                  </w:tcBorders>
                  <w:vAlign w:val="center"/>
                </w:tcPr>
                <w:p w14:paraId="05096BA0">
                  <w:pPr>
                    <w:pStyle w:val="15"/>
                    <w:spacing w:line="240" w:lineRule="auto"/>
                    <w:ind w:firstLine="0" w:firstLineChars="0"/>
                    <w:rPr>
                      <w:rFonts w:ascii="Times New Roman" w:hAnsi="Times New Roman" w:eastAsiaTheme="minorEastAsia"/>
                      <w:sz w:val="21"/>
                      <w:szCs w:val="21"/>
                    </w:rPr>
                  </w:pPr>
                  <w:r>
                    <w:rPr>
                      <w:rFonts w:ascii="Times New Roman" w:hAnsi="Times New Roman" w:eastAsiaTheme="minorEastAsia"/>
                      <w:sz w:val="21"/>
                      <w:szCs w:val="21"/>
                    </w:rPr>
                    <w:t>当工程占地规模大于20km</w:t>
                  </w:r>
                  <w:r>
                    <w:rPr>
                      <w:rFonts w:ascii="Times New Roman" w:hAnsi="Times New Roman" w:eastAsiaTheme="minorEastAsia"/>
                      <w:sz w:val="21"/>
                      <w:szCs w:val="21"/>
                      <w:vertAlign w:val="superscript"/>
                    </w:rPr>
                    <w:t>2</w:t>
                  </w:r>
                  <w:r>
                    <w:rPr>
                      <w:rFonts w:ascii="Times New Roman" w:hAnsi="Times New Roman" w:eastAsiaTheme="minorEastAsia"/>
                      <w:sz w:val="21"/>
                      <w:szCs w:val="21"/>
                    </w:rPr>
                    <w:t>时（包括永久和临时占用陆域和水域），评价等级不低于二级；改扩建项目的占地范围以新增占地（包括陆域和水域）确定；</w:t>
                  </w:r>
                </w:p>
              </w:tc>
              <w:tc>
                <w:tcPr>
                  <w:tcW w:w="1314" w:type="pct"/>
                  <w:tcBorders>
                    <w:tl2br w:val="nil"/>
                    <w:tr2bl w:val="nil"/>
                  </w:tcBorders>
                  <w:vAlign w:val="center"/>
                </w:tcPr>
                <w:p w14:paraId="557282DC">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工程临时占地9.8337hm²（0.098337km²），远小于20km²</w:t>
                  </w:r>
                </w:p>
              </w:tc>
              <w:tc>
                <w:tcPr>
                  <w:tcW w:w="751" w:type="pct"/>
                  <w:tcBorders>
                    <w:tl2br w:val="nil"/>
                    <w:tr2bl w:val="nil"/>
                  </w:tcBorders>
                  <w:vAlign w:val="center"/>
                </w:tcPr>
                <w:p w14:paraId="2513126E">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w:t>
                  </w:r>
                </w:p>
              </w:tc>
            </w:tr>
            <w:tr w14:paraId="7D0CB5D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3" w:hRule="atLeast"/>
                <w:jc w:val="center"/>
              </w:trPr>
              <w:tc>
                <w:tcPr>
                  <w:tcW w:w="484" w:type="pct"/>
                  <w:tcBorders>
                    <w:tl2br w:val="nil"/>
                    <w:tr2bl w:val="nil"/>
                  </w:tcBorders>
                  <w:vAlign w:val="center"/>
                </w:tcPr>
                <w:p w14:paraId="6D6F903F">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g</w:t>
                  </w:r>
                </w:p>
              </w:tc>
              <w:tc>
                <w:tcPr>
                  <w:tcW w:w="2451" w:type="pct"/>
                  <w:tcBorders>
                    <w:tl2br w:val="nil"/>
                    <w:tr2bl w:val="nil"/>
                  </w:tcBorders>
                  <w:vAlign w:val="center"/>
                </w:tcPr>
                <w:p w14:paraId="6BFDB074">
                  <w:pPr>
                    <w:pStyle w:val="15"/>
                    <w:spacing w:line="240" w:lineRule="auto"/>
                    <w:ind w:firstLine="0" w:firstLineChars="0"/>
                    <w:rPr>
                      <w:rFonts w:ascii="Times New Roman" w:hAnsi="Times New Roman" w:eastAsiaTheme="minorEastAsia"/>
                      <w:sz w:val="21"/>
                      <w:szCs w:val="21"/>
                    </w:rPr>
                  </w:pPr>
                  <w:r>
                    <w:rPr>
                      <w:rFonts w:ascii="Times New Roman" w:hAnsi="Times New Roman" w:eastAsiaTheme="minorEastAsia"/>
                      <w:sz w:val="21"/>
                      <w:szCs w:val="21"/>
                    </w:rPr>
                    <w:t>除本条a）、b）、c）、d）、e）、f）以外的情况，评价等级为三级；</w:t>
                  </w:r>
                </w:p>
              </w:tc>
              <w:tc>
                <w:tcPr>
                  <w:tcW w:w="1314" w:type="pct"/>
                  <w:tcBorders>
                    <w:tl2br w:val="nil"/>
                    <w:tr2bl w:val="nil"/>
                  </w:tcBorders>
                  <w:vAlign w:val="center"/>
                </w:tcPr>
                <w:p w14:paraId="7E673DCF">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符合</w:t>
                  </w:r>
                </w:p>
              </w:tc>
              <w:tc>
                <w:tcPr>
                  <w:tcW w:w="751" w:type="pct"/>
                  <w:tcBorders>
                    <w:tl2br w:val="nil"/>
                    <w:tr2bl w:val="nil"/>
                  </w:tcBorders>
                  <w:vAlign w:val="center"/>
                </w:tcPr>
                <w:p w14:paraId="59BB2F26">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三级</w:t>
                  </w:r>
                </w:p>
              </w:tc>
            </w:tr>
            <w:tr w14:paraId="39D04E8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7" w:hRule="atLeast"/>
                <w:jc w:val="center"/>
              </w:trPr>
              <w:tc>
                <w:tcPr>
                  <w:tcW w:w="484" w:type="pct"/>
                  <w:tcBorders>
                    <w:tl2br w:val="nil"/>
                    <w:tr2bl w:val="nil"/>
                  </w:tcBorders>
                  <w:vAlign w:val="center"/>
                </w:tcPr>
                <w:p w14:paraId="6BAA0985">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h</w:t>
                  </w:r>
                </w:p>
              </w:tc>
              <w:tc>
                <w:tcPr>
                  <w:tcW w:w="2451" w:type="pct"/>
                  <w:tcBorders>
                    <w:tl2br w:val="nil"/>
                    <w:tr2bl w:val="nil"/>
                  </w:tcBorders>
                  <w:vAlign w:val="center"/>
                </w:tcPr>
                <w:p w14:paraId="753C2787">
                  <w:pPr>
                    <w:pStyle w:val="15"/>
                    <w:spacing w:line="240" w:lineRule="auto"/>
                    <w:ind w:firstLine="0" w:firstLineChars="0"/>
                    <w:rPr>
                      <w:rFonts w:ascii="Times New Roman" w:hAnsi="Times New Roman" w:eastAsiaTheme="minorEastAsia"/>
                      <w:sz w:val="21"/>
                      <w:szCs w:val="21"/>
                    </w:rPr>
                  </w:pPr>
                  <w:r>
                    <w:rPr>
                      <w:rFonts w:ascii="Times New Roman" w:hAnsi="Times New Roman" w:eastAsiaTheme="minorEastAsia"/>
                      <w:sz w:val="21"/>
                      <w:szCs w:val="21"/>
                    </w:rPr>
                    <w:t>当评价等级判定同时符合，上述多种情况时，应采用其中最高的评价等级。</w:t>
                  </w:r>
                </w:p>
              </w:tc>
              <w:tc>
                <w:tcPr>
                  <w:tcW w:w="1314" w:type="pct"/>
                  <w:tcBorders>
                    <w:tl2br w:val="nil"/>
                    <w:tr2bl w:val="nil"/>
                  </w:tcBorders>
                  <w:vAlign w:val="center"/>
                </w:tcPr>
                <w:p w14:paraId="1FC55BC2">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只符合g</w:t>
                  </w:r>
                </w:p>
              </w:tc>
              <w:tc>
                <w:tcPr>
                  <w:tcW w:w="751" w:type="pct"/>
                  <w:tcBorders>
                    <w:tl2br w:val="nil"/>
                    <w:tr2bl w:val="nil"/>
                  </w:tcBorders>
                  <w:vAlign w:val="center"/>
                </w:tcPr>
                <w:p w14:paraId="715DE2BD">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三级</w:t>
                  </w:r>
                </w:p>
              </w:tc>
            </w:tr>
          </w:tbl>
          <w:p w14:paraId="0761007D">
            <w:pPr>
              <w:rPr>
                <w:rFonts w:hint="eastAsia"/>
                <w:b/>
                <w:kern w:val="0"/>
              </w:rPr>
            </w:pPr>
            <w:r>
              <w:rPr>
                <w:rFonts w:hint="eastAsia"/>
              </w:rPr>
              <w:t>依据上表判定结果，考虑到项目位于自治区级水土流失重点预防区，评价等级应上调一级，因此将生态环境影响评价等级确定为二级。</w:t>
            </w:r>
          </w:p>
        </w:tc>
      </w:tr>
      <w:tr w14:paraId="11F2D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1" w:type="pct"/>
            <w:tcMar>
              <w:left w:w="28" w:type="dxa"/>
              <w:right w:w="28" w:type="dxa"/>
            </w:tcMar>
            <w:vAlign w:val="center"/>
          </w:tcPr>
          <w:p w14:paraId="0744F595">
            <w:pPr>
              <w:pStyle w:val="32"/>
            </w:pPr>
            <w:r>
              <w:rPr>
                <w:sz w:val="24"/>
                <w:szCs w:val="28"/>
              </w:rPr>
              <w:t>与项目有关的原有</w:t>
            </w:r>
            <w:r>
              <w:rPr>
                <w:rFonts w:hint="eastAsia"/>
                <w:sz w:val="24"/>
                <w:szCs w:val="28"/>
              </w:rPr>
              <w:t>环境</w:t>
            </w:r>
            <w:r>
              <w:rPr>
                <w:sz w:val="24"/>
                <w:szCs w:val="28"/>
              </w:rPr>
              <w:t>污染</w:t>
            </w:r>
            <w:r>
              <w:rPr>
                <w:rFonts w:hint="eastAsia"/>
                <w:sz w:val="24"/>
                <w:szCs w:val="28"/>
              </w:rPr>
              <w:t>和生态破坏</w:t>
            </w:r>
            <w:r>
              <w:rPr>
                <w:sz w:val="24"/>
                <w:szCs w:val="28"/>
              </w:rPr>
              <w:t>问题</w:t>
            </w:r>
          </w:p>
        </w:tc>
        <w:tc>
          <w:tcPr>
            <w:tcW w:w="4749" w:type="pct"/>
            <w:vAlign w:val="center"/>
          </w:tcPr>
          <w:p w14:paraId="7B8E0215">
            <w:pPr>
              <w:ind w:firstLine="0" w:firstLineChars="0"/>
              <w:jc w:val="center"/>
              <w:rPr>
                <w:rFonts w:ascii="宋体" w:hAnsi="宋体" w:cs="宋体"/>
                <w:kern w:val="0"/>
                <w:szCs w:val="21"/>
              </w:rPr>
            </w:pPr>
            <w:r>
              <w:rPr>
                <w:rFonts w:hint="eastAsia"/>
              </w:rPr>
              <w:t>项目区位于和静县察汗乌苏北方向约</w:t>
            </w:r>
            <w:r>
              <w:t>359.4</w:t>
            </w:r>
            <w:r>
              <w:rPr>
                <w:rFonts w:hint="eastAsia"/>
              </w:rPr>
              <w:t>°直距约</w:t>
            </w:r>
            <w:r>
              <w:t>6.422</w:t>
            </w:r>
            <w:r>
              <w:rPr>
                <w:rFonts w:hint="eastAsia"/>
              </w:rPr>
              <w:t>千米处，行政区划隶属新疆和静县管辖</w:t>
            </w:r>
            <w:r>
              <w:rPr>
                <w:rFonts w:hint="eastAsia"/>
                <w:color w:val="000000"/>
                <w:kern w:val="0"/>
              </w:rPr>
              <w:t>，</w:t>
            </w:r>
            <w:r>
              <w:rPr>
                <w:rFonts w:hint="eastAsia" w:ascii="宋体" w:hAnsi="宋体"/>
                <w:color w:val="000000"/>
              </w:rPr>
              <w:t>属于</w:t>
            </w:r>
            <w:r>
              <w:rPr>
                <w:rFonts w:ascii="宋体" w:hAnsi="宋体"/>
                <w:color w:val="000000"/>
              </w:rPr>
              <w:t>新建</w:t>
            </w:r>
            <w:r>
              <w:rPr>
                <w:rFonts w:hint="eastAsia" w:ascii="宋体" w:hAnsi="宋体"/>
                <w:color w:val="000000"/>
              </w:rPr>
              <w:t>项目</w:t>
            </w:r>
            <w:r>
              <w:rPr>
                <w:rFonts w:ascii="宋体" w:hAnsi="宋体"/>
                <w:color w:val="000000"/>
              </w:rPr>
              <w:t>，无原有污染情况</w:t>
            </w:r>
            <w:r>
              <w:rPr>
                <w:rFonts w:hint="eastAsia" w:ascii="宋体" w:hAnsi="宋体"/>
                <w:color w:val="000000"/>
              </w:rPr>
              <w:t>。</w:t>
            </w:r>
          </w:p>
        </w:tc>
      </w:tr>
      <w:tr w14:paraId="27204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251" w:type="pct"/>
            <w:vAlign w:val="center"/>
          </w:tcPr>
          <w:p w14:paraId="2D6AC129">
            <w:pPr>
              <w:pStyle w:val="32"/>
            </w:pPr>
            <w:r>
              <w:rPr>
                <w:rFonts w:hint="eastAsia"/>
                <w:sz w:val="24"/>
                <w:szCs w:val="28"/>
              </w:rPr>
              <w:t>生态环境保护目标</w:t>
            </w:r>
          </w:p>
        </w:tc>
        <w:tc>
          <w:tcPr>
            <w:tcW w:w="4749" w:type="pct"/>
            <w:vAlign w:val="center"/>
          </w:tcPr>
          <w:p w14:paraId="73811CDB">
            <w:pPr>
              <w:pStyle w:val="19"/>
            </w:pPr>
            <w:bookmarkStart w:id="9" w:name="_Hlk124255559"/>
            <w:r>
              <w:rPr>
                <w:rFonts w:hint="eastAsia"/>
              </w:rPr>
              <w:t>1.大气环境</w:t>
            </w:r>
          </w:p>
          <w:p w14:paraId="3B3CEB08">
            <w:r>
              <w:t>本项目场界外500m范围内无自然保护区、风景名胜区、居住区、文化区和农村地区中人群较集中的区域等大气环境保护目标；</w:t>
            </w:r>
          </w:p>
          <w:p w14:paraId="2B1153EB">
            <w:pPr>
              <w:pStyle w:val="19"/>
            </w:pPr>
            <w:r>
              <w:rPr>
                <w:rFonts w:hint="eastAsia"/>
              </w:rPr>
              <w:t>2</w:t>
            </w:r>
            <w:r>
              <w:t>.</w:t>
            </w:r>
            <w:r>
              <w:rPr>
                <w:rFonts w:hint="eastAsia"/>
              </w:rPr>
              <w:t>声环境</w:t>
            </w:r>
          </w:p>
          <w:p w14:paraId="52CD392F">
            <w:r>
              <w:t>根据《环境影响评价技术导则声环境》（</w:t>
            </w:r>
            <w:r>
              <w:rPr>
                <w:rFonts w:hint="eastAsia"/>
              </w:rPr>
              <w:t>HJ2.4-2021</w:t>
            </w:r>
            <w:r>
              <w:t>），声环境敏感目标指医院、学校、机关、科研单位、住宅、自然保护区等对噪声敏感的建筑物或区域。本项目场界外50m范围内无声环境敏感保护目标；</w:t>
            </w:r>
          </w:p>
          <w:p w14:paraId="26179F9C">
            <w:pPr>
              <w:pStyle w:val="19"/>
            </w:pPr>
            <w:r>
              <w:rPr>
                <w:rFonts w:hint="eastAsia"/>
              </w:rPr>
              <w:t>3</w:t>
            </w:r>
            <w:r>
              <w:t>.</w:t>
            </w:r>
            <w:r>
              <w:rPr>
                <w:rFonts w:hint="eastAsia"/>
              </w:rPr>
              <w:t>生态环境</w:t>
            </w:r>
          </w:p>
          <w:p w14:paraId="7352EDD9">
            <w:r>
              <w:rPr>
                <w:rFonts w:hint="eastAsia"/>
              </w:rPr>
              <w:t>根据现场踏勘，项目区位于和静县察汗乌苏北方向约359.4°直距约6.422千米处，行政区划属和静县管辖。探矿权范围内不涉及自然保护区、风景名胜区、饮用水水源保护区等区域，且无珍稀濒危野生动植物分布</w:t>
            </w:r>
            <w:r>
              <w:t>。</w:t>
            </w:r>
          </w:p>
          <w:bookmarkEnd w:id="9"/>
          <w:p w14:paraId="5367DCA8">
            <w:pPr>
              <w:spacing w:line="240" w:lineRule="auto"/>
              <w:ind w:firstLine="422"/>
              <w:jc w:val="center"/>
              <w:rPr>
                <w:b/>
                <w:bCs/>
              </w:rPr>
            </w:pPr>
            <w:r>
              <w:rPr>
                <w:b/>
                <w:bCs/>
                <w:sz w:val="21"/>
                <w:szCs w:val="21"/>
              </w:rPr>
              <w:t>表3-</w:t>
            </w:r>
            <w:r>
              <w:rPr>
                <w:rFonts w:hint="eastAsia"/>
                <w:b/>
                <w:bCs/>
                <w:sz w:val="21"/>
                <w:szCs w:val="21"/>
              </w:rPr>
              <w:t>6</w:t>
            </w:r>
            <w:r>
              <w:rPr>
                <w:b/>
                <w:bCs/>
                <w:sz w:val="21"/>
                <w:szCs w:val="21"/>
              </w:rPr>
              <w:t xml:space="preserve">  </w:t>
            </w:r>
            <w:bookmarkStart w:id="10" w:name="_Hlk236146149"/>
            <w:r>
              <w:rPr>
                <w:b/>
                <w:bCs/>
                <w:sz w:val="21"/>
                <w:szCs w:val="21"/>
              </w:rPr>
              <w:t>环境保护目标一览表</w:t>
            </w:r>
            <w:bookmarkEnd w:id="10"/>
          </w:p>
          <w:tbl>
            <w:tblPr>
              <w:tblStyle w:val="2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1566"/>
              <w:gridCol w:w="1755"/>
              <w:gridCol w:w="3313"/>
            </w:tblGrid>
            <w:tr w14:paraId="29147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759" w:type="pct"/>
                  <w:vAlign w:val="center"/>
                </w:tcPr>
                <w:p w14:paraId="5288ECA7">
                  <w:pPr>
                    <w:pStyle w:val="59"/>
                    <w:rPr>
                      <w:rFonts w:cs="Times New Roman"/>
                    </w:rPr>
                  </w:pPr>
                  <w:r>
                    <w:rPr>
                      <w:rFonts w:cs="Times New Roman"/>
                    </w:rPr>
                    <w:t>环境要素</w:t>
                  </w:r>
                </w:p>
              </w:tc>
              <w:tc>
                <w:tcPr>
                  <w:tcW w:w="1001" w:type="pct"/>
                  <w:vAlign w:val="center"/>
                </w:tcPr>
                <w:p w14:paraId="69EB916A">
                  <w:pPr>
                    <w:pStyle w:val="59"/>
                    <w:rPr>
                      <w:rFonts w:cs="Times New Roman"/>
                    </w:rPr>
                  </w:pPr>
                  <w:r>
                    <w:rPr>
                      <w:rFonts w:cs="Times New Roman"/>
                    </w:rPr>
                    <w:t>主要保护目标</w:t>
                  </w:r>
                </w:p>
              </w:tc>
              <w:tc>
                <w:tcPr>
                  <w:tcW w:w="1122" w:type="pct"/>
                  <w:vAlign w:val="center"/>
                </w:tcPr>
                <w:p w14:paraId="0D368C0B">
                  <w:pPr>
                    <w:pStyle w:val="59"/>
                    <w:rPr>
                      <w:rFonts w:cs="Times New Roman"/>
                    </w:rPr>
                  </w:pPr>
                  <w:r>
                    <w:rPr>
                      <w:rFonts w:cs="Times New Roman"/>
                    </w:rPr>
                    <w:t>距离</w:t>
                  </w:r>
                </w:p>
              </w:tc>
              <w:tc>
                <w:tcPr>
                  <w:tcW w:w="2118" w:type="pct"/>
                  <w:vAlign w:val="center"/>
                </w:tcPr>
                <w:p w14:paraId="00A73121">
                  <w:pPr>
                    <w:pStyle w:val="59"/>
                    <w:rPr>
                      <w:rFonts w:cs="Times New Roman"/>
                    </w:rPr>
                  </w:pPr>
                  <w:r>
                    <w:rPr>
                      <w:rFonts w:cs="Times New Roman"/>
                    </w:rPr>
                    <w:t>环境保护要求</w:t>
                  </w:r>
                </w:p>
              </w:tc>
            </w:tr>
            <w:tr w14:paraId="23096F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14:paraId="11EAE039">
                  <w:pPr>
                    <w:pStyle w:val="59"/>
                    <w:rPr>
                      <w:rFonts w:cs="Times New Roman"/>
                    </w:rPr>
                  </w:pPr>
                  <w:r>
                    <w:rPr>
                      <w:rFonts w:cs="Times New Roman"/>
                    </w:rPr>
                    <w:t>地表水</w:t>
                  </w:r>
                </w:p>
              </w:tc>
              <w:tc>
                <w:tcPr>
                  <w:tcW w:w="1001" w:type="pct"/>
                  <w:vAlign w:val="center"/>
                </w:tcPr>
                <w:p w14:paraId="7AA8AEB4">
                  <w:pPr>
                    <w:pStyle w:val="59"/>
                    <w:rPr>
                      <w:rFonts w:cs="Times New Roman"/>
                    </w:rPr>
                  </w:pPr>
                  <w:r>
                    <w:rPr>
                      <w:rFonts w:cs="Times New Roman"/>
                      <w:color w:val="000000"/>
                    </w:rPr>
                    <w:t>芒奇提河</w:t>
                  </w:r>
                </w:p>
              </w:tc>
              <w:tc>
                <w:tcPr>
                  <w:tcW w:w="1122" w:type="pct"/>
                  <w:vAlign w:val="center"/>
                </w:tcPr>
                <w:p w14:paraId="3443163B">
                  <w:pPr>
                    <w:pStyle w:val="59"/>
                    <w:rPr>
                      <w:rFonts w:cs="Times New Roman"/>
                    </w:rPr>
                  </w:pPr>
                  <w:r>
                    <w:rPr>
                      <w:rFonts w:hint="eastAsia" w:cs="Times New Roman"/>
                      <w:color w:val="000000"/>
                    </w:rPr>
                    <w:t>勘查区范围内</w:t>
                  </w:r>
                </w:p>
              </w:tc>
              <w:tc>
                <w:tcPr>
                  <w:tcW w:w="2118" w:type="pct"/>
                  <w:vAlign w:val="center"/>
                </w:tcPr>
                <w:p w14:paraId="0CB8A7C9">
                  <w:pPr>
                    <w:pStyle w:val="59"/>
                    <w:rPr>
                      <w:rFonts w:cs="Times New Roman"/>
                    </w:rPr>
                  </w:pPr>
                  <w:r>
                    <w:rPr>
                      <w:rFonts w:cs="Times New Roman"/>
                    </w:rPr>
                    <w:t>《地表水环境质量标准》（GB3838-2002）Ⅰ类标准</w:t>
                  </w:r>
                </w:p>
              </w:tc>
            </w:tr>
            <w:tr w14:paraId="3B87F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14:paraId="3BF57BC5">
                  <w:pPr>
                    <w:pStyle w:val="59"/>
                    <w:rPr>
                      <w:rFonts w:cs="Times New Roman"/>
                    </w:rPr>
                  </w:pPr>
                  <w:r>
                    <w:rPr>
                      <w:rFonts w:cs="Times New Roman"/>
                      <w:color w:val="0F1115"/>
                      <w:shd w:val="clear" w:color="auto" w:fill="FFFFFF"/>
                    </w:rPr>
                    <w:t>生态环境</w:t>
                  </w:r>
                </w:p>
              </w:tc>
              <w:tc>
                <w:tcPr>
                  <w:tcW w:w="1001" w:type="pct"/>
                  <w:vAlign w:val="center"/>
                </w:tcPr>
                <w:p w14:paraId="539A03B1">
                  <w:pPr>
                    <w:pStyle w:val="59"/>
                    <w:rPr>
                      <w:rFonts w:cs="Times New Roman"/>
                      <w:color w:val="000000"/>
                    </w:rPr>
                  </w:pPr>
                  <w:r>
                    <w:rPr>
                      <w:rFonts w:cs="Times New Roman"/>
                      <w:color w:val="0F1115"/>
                      <w:shd w:val="clear" w:color="auto" w:fill="FFFFFF"/>
                    </w:rPr>
                    <w:t>周边土壤、植被</w:t>
                  </w:r>
                </w:p>
              </w:tc>
              <w:tc>
                <w:tcPr>
                  <w:tcW w:w="1122" w:type="pct"/>
                  <w:vAlign w:val="center"/>
                </w:tcPr>
                <w:p w14:paraId="568C6FF2">
                  <w:pPr>
                    <w:pStyle w:val="59"/>
                    <w:rPr>
                      <w:rFonts w:cs="Times New Roman"/>
                      <w:color w:val="000000"/>
                    </w:rPr>
                  </w:pPr>
                  <w:r>
                    <w:rPr>
                      <w:rFonts w:cs="Times New Roman"/>
                      <w:color w:val="0F1115"/>
                      <w:shd w:val="clear" w:color="auto" w:fill="FFFFFF"/>
                    </w:rPr>
                    <w:t>勘查区及周边200m范围</w:t>
                  </w:r>
                </w:p>
              </w:tc>
              <w:tc>
                <w:tcPr>
                  <w:tcW w:w="2118" w:type="pct"/>
                  <w:vAlign w:val="center"/>
                </w:tcPr>
                <w:p w14:paraId="64AF7E2A">
                  <w:pPr>
                    <w:pStyle w:val="59"/>
                    <w:rPr>
                      <w:rFonts w:cs="Times New Roman"/>
                    </w:rPr>
                  </w:pPr>
                  <w:r>
                    <w:rPr>
                      <w:rFonts w:cs="Times New Roman"/>
                      <w:color w:val="0F1115"/>
                      <w:shd w:val="clear" w:color="auto" w:fill="FFFFFF"/>
                    </w:rPr>
                    <w:t>控制施工扰动范围，保护原有生态功能，防治水土流失</w:t>
                  </w:r>
                </w:p>
              </w:tc>
            </w:tr>
          </w:tbl>
          <w:p w14:paraId="6A0D9BD6">
            <w:pPr>
              <w:rPr>
                <w:bCs/>
              </w:rPr>
            </w:pPr>
          </w:p>
        </w:tc>
      </w:tr>
      <w:tr w14:paraId="55915A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251" w:type="pct"/>
            <w:vAlign w:val="center"/>
          </w:tcPr>
          <w:p w14:paraId="1D039A51">
            <w:pPr>
              <w:pStyle w:val="32"/>
            </w:pPr>
            <w:r>
              <w:rPr>
                <w:rFonts w:hint="eastAsia"/>
                <w:sz w:val="24"/>
                <w:szCs w:val="28"/>
              </w:rPr>
              <w:t>评价标准</w:t>
            </w:r>
          </w:p>
        </w:tc>
        <w:tc>
          <w:tcPr>
            <w:tcW w:w="4749" w:type="pct"/>
            <w:vAlign w:val="center"/>
          </w:tcPr>
          <w:p w14:paraId="2E43DBEF">
            <w:pPr>
              <w:pStyle w:val="19"/>
            </w:pPr>
            <w:r>
              <w:rPr>
                <w:rFonts w:hint="eastAsia"/>
              </w:rPr>
              <w:t>3</w:t>
            </w:r>
            <w:r>
              <w:t>.9</w:t>
            </w:r>
            <w:r>
              <w:rPr>
                <w:rFonts w:hint="eastAsia"/>
              </w:rPr>
              <w:t>环境质量标准</w:t>
            </w:r>
          </w:p>
          <w:p w14:paraId="7C5936BD">
            <w:pPr>
              <w:pStyle w:val="19"/>
              <w:spacing w:before="0" w:after="0"/>
            </w:pPr>
            <w:r>
              <w:t>3.9.1环境空气</w:t>
            </w:r>
          </w:p>
          <w:p w14:paraId="0595E57A">
            <w:r>
              <w:t>环境空气质量执行</w:t>
            </w:r>
            <w:r>
              <w:rPr>
                <w:rFonts w:hint="eastAsia"/>
              </w:rPr>
              <w:t>《环境空气质量标准》（GB3095-2026）中二级标准过渡阶段浓度限值</w:t>
            </w:r>
            <w:r>
              <w:rPr>
                <w:bCs/>
              </w:rPr>
              <w:t>。</w:t>
            </w:r>
          </w:p>
          <w:p w14:paraId="35DEFB70">
            <w:pPr>
              <w:pStyle w:val="19"/>
              <w:spacing w:before="0" w:after="0" w:line="360" w:lineRule="auto"/>
              <w:rPr>
                <w:szCs w:val="24"/>
              </w:rPr>
            </w:pPr>
            <w:r>
              <w:t>3.9.2</w:t>
            </w:r>
            <w:r>
              <w:rPr>
                <w:szCs w:val="24"/>
              </w:rPr>
              <w:t>声环境</w:t>
            </w:r>
          </w:p>
          <w:p w14:paraId="7778D3E1">
            <w:pPr>
              <w:pStyle w:val="19"/>
              <w:spacing w:before="0" w:after="0" w:line="360" w:lineRule="auto"/>
              <w:ind w:firstLine="480" w:firstLineChars="200"/>
              <w:rPr>
                <w:b w:val="0"/>
                <w:bCs w:val="0"/>
                <w:szCs w:val="24"/>
              </w:rPr>
            </w:pPr>
            <w:r>
              <w:rPr>
                <w:b w:val="0"/>
                <w:bCs w:val="0"/>
                <w:szCs w:val="24"/>
              </w:rPr>
              <w:t>声环境质量执行《声环境质量标准》（GB3096-2008）2类标准，即昼间≤60dB</w:t>
            </w:r>
            <w:r>
              <w:rPr>
                <w:rFonts w:hint="eastAsia"/>
                <w:b w:val="0"/>
                <w:bCs w:val="0"/>
                <w:szCs w:val="24"/>
              </w:rPr>
              <w:t>（</w:t>
            </w:r>
            <w:r>
              <w:rPr>
                <w:b w:val="0"/>
                <w:bCs w:val="0"/>
                <w:szCs w:val="24"/>
              </w:rPr>
              <w:t>A</w:t>
            </w:r>
            <w:r>
              <w:rPr>
                <w:rFonts w:hint="eastAsia"/>
                <w:b w:val="0"/>
                <w:bCs w:val="0"/>
                <w:szCs w:val="24"/>
              </w:rPr>
              <w:t>）</w:t>
            </w:r>
            <w:r>
              <w:rPr>
                <w:b w:val="0"/>
                <w:bCs w:val="0"/>
                <w:szCs w:val="24"/>
              </w:rPr>
              <w:t>，夜间≤50dB</w:t>
            </w:r>
            <w:r>
              <w:rPr>
                <w:rFonts w:hint="eastAsia"/>
                <w:b w:val="0"/>
                <w:bCs w:val="0"/>
                <w:szCs w:val="24"/>
              </w:rPr>
              <w:t>（</w:t>
            </w:r>
            <w:r>
              <w:rPr>
                <w:b w:val="0"/>
                <w:bCs w:val="0"/>
                <w:szCs w:val="24"/>
              </w:rPr>
              <w:t>A</w:t>
            </w:r>
            <w:r>
              <w:rPr>
                <w:rFonts w:hint="eastAsia"/>
                <w:b w:val="0"/>
                <w:bCs w:val="0"/>
                <w:szCs w:val="24"/>
              </w:rPr>
              <w:t>）</w:t>
            </w:r>
            <w:r>
              <w:rPr>
                <w:b w:val="0"/>
                <w:bCs w:val="0"/>
                <w:szCs w:val="24"/>
              </w:rPr>
              <w:t>。</w:t>
            </w:r>
          </w:p>
          <w:p w14:paraId="716562FC">
            <w:pPr>
              <w:pStyle w:val="19"/>
            </w:pPr>
            <w:r>
              <w:t>3.10</w:t>
            </w:r>
            <w:r>
              <w:rPr>
                <w:rFonts w:hint="eastAsia"/>
              </w:rPr>
              <w:t>污染物排放标准</w:t>
            </w:r>
          </w:p>
          <w:p w14:paraId="704A8C56">
            <w:pPr>
              <w:pStyle w:val="19"/>
            </w:pPr>
            <w:r>
              <w:t>3.10.1废气</w:t>
            </w:r>
          </w:p>
          <w:p w14:paraId="03303B24">
            <w:r>
              <w:rPr>
                <w:rFonts w:hint="eastAsia"/>
              </w:rPr>
              <w:t>项目勘探期扬尘</w:t>
            </w:r>
            <w:r>
              <w:t>执行《大气污染物综合排放标准》（GB16297-</w:t>
            </w:r>
            <w:r>
              <w:rPr>
                <w:rFonts w:hint="eastAsia"/>
              </w:rPr>
              <w:t>19</w:t>
            </w:r>
            <w:r>
              <w:t>96）</w:t>
            </w:r>
            <w:r>
              <w:rPr>
                <w:rFonts w:hint="eastAsia"/>
              </w:rPr>
              <w:t>中无组织排放监控浓度限值</w:t>
            </w:r>
            <w:r>
              <w:t>。</w:t>
            </w:r>
            <w:r>
              <w:rPr>
                <w:rFonts w:hint="eastAsia"/>
              </w:rPr>
              <w:t>柴油发电机废气排放执行《非道路移动机械用柴油机排气污染物排放限值及测量方法（中国第三、四阶段）》（GB20891-2014）修改单中第四阶段的排放限值要求及《非道路柴油移动机械污染物排放控制技术要求》（HJ1014-2020）的相关限值要求</w:t>
            </w:r>
            <w:r>
              <w:t>。</w:t>
            </w:r>
          </w:p>
          <w:p w14:paraId="6C599304">
            <w:pPr>
              <w:pStyle w:val="61"/>
            </w:pPr>
            <w:r>
              <w:t xml:space="preserve">表3-7  </w:t>
            </w:r>
            <w:r>
              <w:rPr>
                <w:rFonts w:hint="eastAsia"/>
              </w:rPr>
              <w:t>施工期无组织废气排放标准（mg/m³）</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037"/>
              <w:gridCol w:w="1334"/>
              <w:gridCol w:w="4101"/>
            </w:tblGrid>
            <w:tr w14:paraId="15C3C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62" w:type="pct"/>
                  <w:vAlign w:val="center"/>
                </w:tcPr>
                <w:p w14:paraId="4369F079">
                  <w:pPr>
                    <w:pStyle w:val="63"/>
                  </w:pPr>
                  <w:r>
                    <w:rPr>
                      <w:rFonts w:hint="eastAsia"/>
                    </w:rPr>
                    <w:t>产污环节</w:t>
                  </w:r>
                </w:p>
              </w:tc>
              <w:tc>
                <w:tcPr>
                  <w:tcW w:w="663" w:type="pct"/>
                  <w:vAlign w:val="center"/>
                </w:tcPr>
                <w:p w14:paraId="523B31A4">
                  <w:pPr>
                    <w:pStyle w:val="63"/>
                  </w:pPr>
                  <w:r>
                    <w:t>污染物</w:t>
                  </w:r>
                </w:p>
              </w:tc>
              <w:tc>
                <w:tcPr>
                  <w:tcW w:w="853" w:type="pct"/>
                  <w:vAlign w:val="center"/>
                </w:tcPr>
                <w:p w14:paraId="43EC38B2">
                  <w:pPr>
                    <w:pStyle w:val="63"/>
                  </w:pPr>
                  <w:r>
                    <w:rPr>
                      <w:rFonts w:hint="eastAsia"/>
                    </w:rPr>
                    <w:t>排放限值</w:t>
                  </w:r>
                </w:p>
              </w:tc>
              <w:tc>
                <w:tcPr>
                  <w:tcW w:w="2623" w:type="pct"/>
                  <w:vAlign w:val="center"/>
                </w:tcPr>
                <w:p w14:paraId="55F0E666">
                  <w:pPr>
                    <w:pStyle w:val="63"/>
                  </w:pPr>
                  <w:r>
                    <w:t>执行标准</w:t>
                  </w:r>
                </w:p>
              </w:tc>
            </w:tr>
            <w:tr w14:paraId="08400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62" w:type="pct"/>
                  <w:vAlign w:val="center"/>
                </w:tcPr>
                <w:p w14:paraId="121DB392">
                  <w:pPr>
                    <w:pStyle w:val="63"/>
                  </w:pPr>
                  <w:r>
                    <w:rPr>
                      <w:rFonts w:hint="eastAsia"/>
                    </w:rPr>
                    <w:t>施工扬尘</w:t>
                  </w:r>
                </w:p>
              </w:tc>
              <w:tc>
                <w:tcPr>
                  <w:tcW w:w="663" w:type="pct"/>
                  <w:vAlign w:val="center"/>
                </w:tcPr>
                <w:p w14:paraId="187E9B38">
                  <w:pPr>
                    <w:pStyle w:val="63"/>
                  </w:pPr>
                  <w:r>
                    <w:t>颗粒物</w:t>
                  </w:r>
                </w:p>
              </w:tc>
              <w:tc>
                <w:tcPr>
                  <w:tcW w:w="853" w:type="pct"/>
                  <w:vAlign w:val="center"/>
                </w:tcPr>
                <w:p w14:paraId="4C156924">
                  <w:pPr>
                    <w:pStyle w:val="63"/>
                  </w:pPr>
                  <w:r>
                    <w:t>1.0</w:t>
                  </w:r>
                </w:p>
              </w:tc>
              <w:tc>
                <w:tcPr>
                  <w:tcW w:w="2623" w:type="pct"/>
                  <w:vAlign w:val="center"/>
                </w:tcPr>
                <w:p w14:paraId="0AC0245F">
                  <w:pPr>
                    <w:pStyle w:val="63"/>
                  </w:pPr>
                  <w:r>
                    <w:t>《大气污染物综合排放标准》（GB16297-1996）中表2的无组织排放监控浓度限值</w:t>
                  </w:r>
                </w:p>
              </w:tc>
            </w:tr>
          </w:tbl>
          <w:p w14:paraId="53BB253C">
            <w:pPr>
              <w:pStyle w:val="61"/>
            </w:pPr>
            <w:r>
              <w:t xml:space="preserve">表3-8  </w:t>
            </w:r>
            <w:r>
              <w:rPr>
                <w:rFonts w:hint="eastAsia"/>
              </w:rPr>
              <w:t>柴油发电机废气执行标准</w:t>
            </w:r>
          </w:p>
          <w:tbl>
            <w:tblPr>
              <w:tblStyle w:val="2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1077"/>
              <w:gridCol w:w="933"/>
              <w:gridCol w:w="897"/>
              <w:gridCol w:w="3286"/>
            </w:tblGrid>
            <w:tr w14:paraId="20174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39" w:type="pct"/>
                  <w:vAlign w:val="center"/>
                </w:tcPr>
                <w:p w14:paraId="3F9C329B">
                  <w:pPr>
                    <w:pStyle w:val="63"/>
                  </w:pPr>
                  <w:r>
                    <w:rPr>
                      <w:rFonts w:hint="eastAsia"/>
                    </w:rPr>
                    <w:t>柴油发电机额定净功率</w:t>
                  </w:r>
                </w:p>
              </w:tc>
              <w:tc>
                <w:tcPr>
                  <w:tcW w:w="689" w:type="pct"/>
                  <w:vAlign w:val="center"/>
                </w:tcPr>
                <w:p w14:paraId="664E32D5">
                  <w:pPr>
                    <w:pStyle w:val="63"/>
                  </w:pPr>
                  <w:r>
                    <w:t>污染物</w:t>
                  </w:r>
                </w:p>
              </w:tc>
              <w:tc>
                <w:tcPr>
                  <w:tcW w:w="597" w:type="pct"/>
                  <w:vAlign w:val="center"/>
                </w:tcPr>
                <w:p w14:paraId="6100FD01">
                  <w:pPr>
                    <w:pStyle w:val="63"/>
                  </w:pPr>
                  <w:r>
                    <w:t>限值</w:t>
                  </w:r>
                </w:p>
              </w:tc>
              <w:tc>
                <w:tcPr>
                  <w:tcW w:w="574" w:type="pct"/>
                  <w:vAlign w:val="center"/>
                </w:tcPr>
                <w:p w14:paraId="7DF6F137">
                  <w:pPr>
                    <w:pStyle w:val="63"/>
                  </w:pPr>
                  <w:r>
                    <w:t>单位</w:t>
                  </w:r>
                </w:p>
              </w:tc>
              <w:tc>
                <w:tcPr>
                  <w:tcW w:w="2101" w:type="pct"/>
                  <w:vAlign w:val="center"/>
                </w:tcPr>
                <w:p w14:paraId="0590D3BA">
                  <w:pPr>
                    <w:pStyle w:val="63"/>
                  </w:pPr>
                  <w:r>
                    <w:t>执行标准</w:t>
                  </w:r>
                </w:p>
              </w:tc>
            </w:tr>
            <w:tr w14:paraId="2BC1FB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39" w:type="pct"/>
                  <w:vMerge w:val="restart"/>
                  <w:vAlign w:val="center"/>
                </w:tcPr>
                <w:p w14:paraId="1AE5D296">
                  <w:pPr>
                    <w:pStyle w:val="63"/>
                  </w:pPr>
                  <w:r>
                    <w:t>130≤Pmax≤560</w:t>
                  </w:r>
                </w:p>
              </w:tc>
              <w:tc>
                <w:tcPr>
                  <w:tcW w:w="689" w:type="pct"/>
                  <w:vAlign w:val="center"/>
                </w:tcPr>
                <w:p w14:paraId="7DCC7784">
                  <w:pPr>
                    <w:pStyle w:val="63"/>
                  </w:pPr>
                  <w:r>
                    <w:t>CO</w:t>
                  </w:r>
                </w:p>
              </w:tc>
              <w:tc>
                <w:tcPr>
                  <w:tcW w:w="597" w:type="pct"/>
                  <w:vAlign w:val="center"/>
                </w:tcPr>
                <w:p w14:paraId="2811F78B">
                  <w:pPr>
                    <w:pStyle w:val="63"/>
                  </w:pPr>
                  <w:r>
                    <w:t>3.5</w:t>
                  </w:r>
                </w:p>
              </w:tc>
              <w:tc>
                <w:tcPr>
                  <w:tcW w:w="574" w:type="pct"/>
                  <w:vMerge w:val="restart"/>
                  <w:vAlign w:val="center"/>
                </w:tcPr>
                <w:p w14:paraId="54525B3F">
                  <w:pPr>
                    <w:pStyle w:val="63"/>
                  </w:pPr>
                  <w:r>
                    <w:t>g/kW·h</w:t>
                  </w:r>
                </w:p>
              </w:tc>
              <w:tc>
                <w:tcPr>
                  <w:tcW w:w="2101" w:type="pct"/>
                  <w:vMerge w:val="restart"/>
                  <w:vAlign w:val="center"/>
                </w:tcPr>
                <w:p w14:paraId="76837239">
                  <w:pPr>
                    <w:pStyle w:val="63"/>
                    <w:jc w:val="both"/>
                  </w:pPr>
                  <w:r>
                    <w:t>《非道路移动机械用柴油机排气污染物排放限值及测量方法（中国第三、四阶段）》（GB20891-2014）修改单以及《非道路柴油移动机械污染物排放控制技术要求》（HJ1014-2020）</w:t>
                  </w:r>
                </w:p>
              </w:tc>
            </w:tr>
            <w:tr w14:paraId="6BD314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39" w:type="pct"/>
                  <w:vMerge w:val="continue"/>
                  <w:vAlign w:val="center"/>
                </w:tcPr>
                <w:p w14:paraId="4BEB943C">
                  <w:pPr>
                    <w:pStyle w:val="63"/>
                  </w:pPr>
                </w:p>
              </w:tc>
              <w:tc>
                <w:tcPr>
                  <w:tcW w:w="689" w:type="pct"/>
                  <w:vAlign w:val="center"/>
                </w:tcPr>
                <w:p w14:paraId="27A29E69">
                  <w:pPr>
                    <w:pStyle w:val="63"/>
                  </w:pPr>
                  <w:r>
                    <w:t>HC</w:t>
                  </w:r>
                </w:p>
              </w:tc>
              <w:tc>
                <w:tcPr>
                  <w:tcW w:w="597" w:type="pct"/>
                  <w:vAlign w:val="center"/>
                </w:tcPr>
                <w:p w14:paraId="24A3E91B">
                  <w:pPr>
                    <w:pStyle w:val="63"/>
                  </w:pPr>
                  <w:r>
                    <w:t>0.19</w:t>
                  </w:r>
                </w:p>
              </w:tc>
              <w:tc>
                <w:tcPr>
                  <w:tcW w:w="574" w:type="pct"/>
                  <w:vMerge w:val="continue"/>
                  <w:vAlign w:val="center"/>
                </w:tcPr>
                <w:p w14:paraId="3F3264CF">
                  <w:pPr>
                    <w:pStyle w:val="63"/>
                  </w:pPr>
                </w:p>
              </w:tc>
              <w:tc>
                <w:tcPr>
                  <w:tcW w:w="2101" w:type="pct"/>
                  <w:vMerge w:val="continue"/>
                  <w:vAlign w:val="center"/>
                </w:tcPr>
                <w:p w14:paraId="0B52354A">
                  <w:pPr>
                    <w:pStyle w:val="63"/>
                  </w:pPr>
                </w:p>
              </w:tc>
            </w:tr>
            <w:tr w14:paraId="16E58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39" w:type="pct"/>
                  <w:vMerge w:val="continue"/>
                  <w:vAlign w:val="center"/>
                </w:tcPr>
                <w:p w14:paraId="1BC36A73">
                  <w:pPr>
                    <w:pStyle w:val="63"/>
                  </w:pPr>
                </w:p>
              </w:tc>
              <w:tc>
                <w:tcPr>
                  <w:tcW w:w="689" w:type="pct"/>
                  <w:vAlign w:val="center"/>
                </w:tcPr>
                <w:p w14:paraId="32D770F4">
                  <w:pPr>
                    <w:pStyle w:val="63"/>
                  </w:pPr>
                  <w:r>
                    <w:t>NO</w:t>
                  </w:r>
                  <w:r>
                    <w:rPr>
                      <w:vertAlign w:val="subscript"/>
                    </w:rPr>
                    <w:t>X</w:t>
                  </w:r>
                </w:p>
              </w:tc>
              <w:tc>
                <w:tcPr>
                  <w:tcW w:w="597" w:type="pct"/>
                  <w:vAlign w:val="center"/>
                </w:tcPr>
                <w:p w14:paraId="0E151CCE">
                  <w:pPr>
                    <w:pStyle w:val="63"/>
                  </w:pPr>
                  <w:r>
                    <w:t>2.0</w:t>
                  </w:r>
                </w:p>
              </w:tc>
              <w:tc>
                <w:tcPr>
                  <w:tcW w:w="574" w:type="pct"/>
                  <w:vMerge w:val="continue"/>
                  <w:vAlign w:val="center"/>
                </w:tcPr>
                <w:p w14:paraId="5AFECE58">
                  <w:pPr>
                    <w:pStyle w:val="63"/>
                  </w:pPr>
                </w:p>
              </w:tc>
              <w:tc>
                <w:tcPr>
                  <w:tcW w:w="2101" w:type="pct"/>
                  <w:vMerge w:val="continue"/>
                  <w:vAlign w:val="center"/>
                </w:tcPr>
                <w:p w14:paraId="7C3EF90E">
                  <w:pPr>
                    <w:pStyle w:val="63"/>
                  </w:pPr>
                </w:p>
              </w:tc>
            </w:tr>
            <w:tr w14:paraId="1F4AF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9" w:type="pct"/>
                  <w:vMerge w:val="continue"/>
                  <w:vAlign w:val="center"/>
                </w:tcPr>
                <w:p w14:paraId="7F907EA0">
                  <w:pPr>
                    <w:pStyle w:val="63"/>
                  </w:pPr>
                </w:p>
              </w:tc>
              <w:tc>
                <w:tcPr>
                  <w:tcW w:w="689" w:type="pct"/>
                  <w:vAlign w:val="center"/>
                </w:tcPr>
                <w:p w14:paraId="6556C6D8">
                  <w:pPr>
                    <w:pStyle w:val="63"/>
                  </w:pPr>
                  <w:r>
                    <w:t>HC+NO</w:t>
                  </w:r>
                  <w:r>
                    <w:rPr>
                      <w:vertAlign w:val="subscript"/>
                    </w:rPr>
                    <w:t>X</w:t>
                  </w:r>
                </w:p>
              </w:tc>
              <w:tc>
                <w:tcPr>
                  <w:tcW w:w="597" w:type="pct"/>
                  <w:vAlign w:val="center"/>
                </w:tcPr>
                <w:p w14:paraId="4D173D16">
                  <w:pPr>
                    <w:pStyle w:val="63"/>
                  </w:pPr>
                  <w:r>
                    <w:t>--</w:t>
                  </w:r>
                </w:p>
              </w:tc>
              <w:tc>
                <w:tcPr>
                  <w:tcW w:w="574" w:type="pct"/>
                  <w:vMerge w:val="continue"/>
                  <w:vAlign w:val="center"/>
                </w:tcPr>
                <w:p w14:paraId="0F8F4F0F">
                  <w:pPr>
                    <w:pStyle w:val="63"/>
                  </w:pPr>
                </w:p>
              </w:tc>
              <w:tc>
                <w:tcPr>
                  <w:tcW w:w="2101" w:type="pct"/>
                  <w:vMerge w:val="continue"/>
                  <w:vAlign w:val="center"/>
                </w:tcPr>
                <w:p w14:paraId="07D8B2AB">
                  <w:pPr>
                    <w:pStyle w:val="63"/>
                  </w:pPr>
                </w:p>
              </w:tc>
            </w:tr>
            <w:tr w14:paraId="1DD2C1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9" w:type="pct"/>
                  <w:vMerge w:val="continue"/>
                  <w:vAlign w:val="center"/>
                </w:tcPr>
                <w:p w14:paraId="19041E5F">
                  <w:pPr>
                    <w:pStyle w:val="63"/>
                  </w:pPr>
                </w:p>
              </w:tc>
              <w:tc>
                <w:tcPr>
                  <w:tcW w:w="689" w:type="pct"/>
                  <w:vAlign w:val="center"/>
                </w:tcPr>
                <w:p w14:paraId="4E0DE3B3">
                  <w:pPr>
                    <w:pStyle w:val="63"/>
                  </w:pPr>
                  <w:r>
                    <w:t>PM</w:t>
                  </w:r>
                </w:p>
              </w:tc>
              <w:tc>
                <w:tcPr>
                  <w:tcW w:w="597" w:type="pct"/>
                  <w:vAlign w:val="center"/>
                </w:tcPr>
                <w:p w14:paraId="05E524EB">
                  <w:pPr>
                    <w:pStyle w:val="63"/>
                  </w:pPr>
                  <w:r>
                    <w:t>0.025</w:t>
                  </w:r>
                </w:p>
              </w:tc>
              <w:tc>
                <w:tcPr>
                  <w:tcW w:w="574" w:type="pct"/>
                  <w:vMerge w:val="continue"/>
                  <w:vAlign w:val="center"/>
                </w:tcPr>
                <w:p w14:paraId="42C60B83">
                  <w:pPr>
                    <w:pStyle w:val="63"/>
                  </w:pPr>
                </w:p>
              </w:tc>
              <w:tc>
                <w:tcPr>
                  <w:tcW w:w="2101" w:type="pct"/>
                  <w:vMerge w:val="continue"/>
                  <w:vAlign w:val="center"/>
                </w:tcPr>
                <w:p w14:paraId="42B466A6">
                  <w:pPr>
                    <w:pStyle w:val="63"/>
                  </w:pPr>
                </w:p>
              </w:tc>
            </w:tr>
          </w:tbl>
          <w:p w14:paraId="3960B01B">
            <w:r>
              <w:rPr>
                <w:rFonts w:hint="eastAsia"/>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14:paraId="4D50DA38">
            <w:pPr>
              <w:pStyle w:val="14"/>
              <w:ind w:left="198" w:hanging="198" w:hangingChars="82"/>
              <w:rPr>
                <w:b/>
                <w:bCs/>
              </w:rPr>
            </w:pPr>
            <w:r>
              <w:rPr>
                <w:b/>
                <w:bCs/>
              </w:rPr>
              <w:t>3.10.2</w:t>
            </w:r>
            <w:r>
              <w:rPr>
                <w:rFonts w:hint="eastAsia"/>
                <w:b/>
                <w:bCs/>
              </w:rPr>
              <w:t>废水排放标准</w:t>
            </w:r>
          </w:p>
          <w:p w14:paraId="31D06B17">
            <w:pPr>
              <w:pStyle w:val="14"/>
              <w:ind w:left="0" w:firstLine="480" w:firstLineChars="200"/>
              <w:rPr>
                <w:color w:val="000000"/>
              </w:rPr>
            </w:pPr>
            <w:r>
              <w:t>生活污水排入一体化污水处理</w:t>
            </w:r>
            <w:r>
              <w:rPr>
                <w:rFonts w:hint="eastAsia"/>
              </w:rPr>
              <w:t>设备</w:t>
            </w:r>
            <w:r>
              <w:t>后，其出水标准</w:t>
            </w:r>
            <w:r>
              <w:rPr>
                <w:rFonts w:hint="eastAsia"/>
              </w:rPr>
              <w:t>执行</w:t>
            </w:r>
            <w:r>
              <w:t>《农村生活污水处理排放标准》（DB65 4275-2019）表2中C级标准</w:t>
            </w:r>
            <w:r>
              <w:rPr>
                <w:rFonts w:hint="eastAsia"/>
                <w:color w:val="000000"/>
              </w:rPr>
              <w:t>。</w:t>
            </w:r>
          </w:p>
          <w:p w14:paraId="23A9158B">
            <w:pPr>
              <w:pStyle w:val="61"/>
              <w:ind w:firstLine="480"/>
            </w:pPr>
            <w:r>
              <w:rPr>
                <w:rFonts w:hint="eastAsia"/>
              </w:rPr>
              <w:t>表3-</w:t>
            </w:r>
            <w:r>
              <w:t>9</w:t>
            </w:r>
            <w:r>
              <w:rPr>
                <w:rFonts w:hint="eastAsia"/>
              </w:rPr>
              <w:t xml:space="preserve">  生活污水污染物排放限值</w:t>
            </w:r>
          </w:p>
          <w:tbl>
            <w:tblPr>
              <w:tblStyle w:val="2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2497"/>
              <w:gridCol w:w="1744"/>
              <w:gridCol w:w="1348"/>
              <w:gridCol w:w="1421"/>
            </w:tblGrid>
            <w:tr w14:paraId="5F473D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vAlign w:val="center"/>
                </w:tcPr>
                <w:p w14:paraId="28AC3436">
                  <w:pPr>
                    <w:pStyle w:val="63"/>
                  </w:pPr>
                  <w:r>
                    <w:rPr>
                      <w:rFonts w:hint="eastAsia"/>
                    </w:rPr>
                    <w:t>序号</w:t>
                  </w:r>
                </w:p>
              </w:tc>
              <w:tc>
                <w:tcPr>
                  <w:tcW w:w="1597" w:type="pct"/>
                  <w:vAlign w:val="center"/>
                </w:tcPr>
                <w:p w14:paraId="715BD6BA">
                  <w:pPr>
                    <w:pStyle w:val="63"/>
                  </w:pPr>
                  <w:r>
                    <w:t>污染物</w:t>
                  </w:r>
                </w:p>
              </w:tc>
              <w:tc>
                <w:tcPr>
                  <w:tcW w:w="1115" w:type="pct"/>
                  <w:vAlign w:val="center"/>
                </w:tcPr>
                <w:p w14:paraId="6B4998FA">
                  <w:pPr>
                    <w:pStyle w:val="63"/>
                  </w:pPr>
                  <w:r>
                    <w:rPr>
                      <w:rFonts w:hint="eastAsia"/>
                    </w:rPr>
                    <w:t>A级</w:t>
                  </w:r>
                </w:p>
              </w:tc>
              <w:tc>
                <w:tcPr>
                  <w:tcW w:w="862" w:type="pct"/>
                  <w:vAlign w:val="center"/>
                </w:tcPr>
                <w:p w14:paraId="017E8EF5">
                  <w:pPr>
                    <w:pStyle w:val="63"/>
                  </w:pPr>
                  <w:r>
                    <w:rPr>
                      <w:rFonts w:hint="eastAsia"/>
                    </w:rPr>
                    <w:t>B级</w:t>
                  </w:r>
                </w:p>
              </w:tc>
              <w:tc>
                <w:tcPr>
                  <w:tcW w:w="908" w:type="pct"/>
                  <w:vAlign w:val="center"/>
                </w:tcPr>
                <w:p w14:paraId="6F3F0246">
                  <w:pPr>
                    <w:pStyle w:val="63"/>
                  </w:pPr>
                  <w:r>
                    <w:rPr>
                      <w:rFonts w:hint="eastAsia"/>
                    </w:rPr>
                    <w:t>C级</w:t>
                  </w:r>
                </w:p>
              </w:tc>
            </w:tr>
            <w:tr w14:paraId="73223F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Align w:val="center"/>
                </w:tcPr>
                <w:p w14:paraId="4B05B55D">
                  <w:pPr>
                    <w:pStyle w:val="63"/>
                  </w:pPr>
                  <w:r>
                    <w:rPr>
                      <w:rFonts w:hint="eastAsia"/>
                    </w:rPr>
                    <w:t>1</w:t>
                  </w:r>
                </w:p>
              </w:tc>
              <w:tc>
                <w:tcPr>
                  <w:tcW w:w="1597" w:type="pct"/>
                  <w:vAlign w:val="center"/>
                </w:tcPr>
                <w:p w14:paraId="350B86F4">
                  <w:pPr>
                    <w:pStyle w:val="63"/>
                  </w:pPr>
                  <w:r>
                    <w:rPr>
                      <w:rFonts w:hint="eastAsia"/>
                    </w:rPr>
                    <w:t>pH值</w:t>
                  </w:r>
                </w:p>
              </w:tc>
              <w:tc>
                <w:tcPr>
                  <w:tcW w:w="2886" w:type="pct"/>
                  <w:gridSpan w:val="3"/>
                  <w:vAlign w:val="center"/>
                </w:tcPr>
                <w:p w14:paraId="16451423">
                  <w:pPr>
                    <w:pStyle w:val="63"/>
                  </w:pPr>
                  <w:r>
                    <w:rPr>
                      <w:rFonts w:hint="eastAsia"/>
                    </w:rPr>
                    <w:t>6-9</w:t>
                  </w:r>
                </w:p>
              </w:tc>
            </w:tr>
            <w:tr w14:paraId="524C8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Align w:val="center"/>
                </w:tcPr>
                <w:p w14:paraId="03F896CB">
                  <w:pPr>
                    <w:pStyle w:val="63"/>
                  </w:pPr>
                  <w:r>
                    <w:rPr>
                      <w:rFonts w:hint="eastAsia"/>
                    </w:rPr>
                    <w:t>2</w:t>
                  </w:r>
                </w:p>
              </w:tc>
              <w:tc>
                <w:tcPr>
                  <w:tcW w:w="1597" w:type="pct"/>
                  <w:vAlign w:val="center"/>
                </w:tcPr>
                <w:p w14:paraId="72BDA250">
                  <w:pPr>
                    <w:pStyle w:val="63"/>
                  </w:pPr>
                  <w:r>
                    <w:rPr>
                      <w:rFonts w:hint="eastAsia"/>
                    </w:rPr>
                    <w:t>化学需氧量，mg/L</w:t>
                  </w:r>
                </w:p>
              </w:tc>
              <w:tc>
                <w:tcPr>
                  <w:tcW w:w="1115" w:type="pct"/>
                  <w:vAlign w:val="center"/>
                </w:tcPr>
                <w:p w14:paraId="7008DC95">
                  <w:pPr>
                    <w:pStyle w:val="63"/>
                  </w:pPr>
                  <w:r>
                    <w:rPr>
                      <w:rFonts w:hint="eastAsia"/>
                    </w:rPr>
                    <w:t>60</w:t>
                  </w:r>
                </w:p>
              </w:tc>
              <w:tc>
                <w:tcPr>
                  <w:tcW w:w="862" w:type="pct"/>
                  <w:vAlign w:val="center"/>
                </w:tcPr>
                <w:p w14:paraId="1F033458">
                  <w:pPr>
                    <w:pStyle w:val="63"/>
                  </w:pPr>
                  <w:r>
                    <w:rPr>
                      <w:rFonts w:hint="eastAsia"/>
                    </w:rPr>
                    <w:t>180</w:t>
                  </w:r>
                </w:p>
              </w:tc>
              <w:tc>
                <w:tcPr>
                  <w:tcW w:w="908" w:type="pct"/>
                  <w:vAlign w:val="center"/>
                </w:tcPr>
                <w:p w14:paraId="58FBE351">
                  <w:pPr>
                    <w:pStyle w:val="63"/>
                  </w:pPr>
                  <w:r>
                    <w:rPr>
                      <w:rFonts w:hint="eastAsia"/>
                    </w:rPr>
                    <w:t>200</w:t>
                  </w:r>
                </w:p>
              </w:tc>
            </w:tr>
            <w:tr w14:paraId="66EAF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Align w:val="center"/>
                </w:tcPr>
                <w:p w14:paraId="5C232EB5">
                  <w:pPr>
                    <w:pStyle w:val="63"/>
                  </w:pPr>
                  <w:r>
                    <w:rPr>
                      <w:rFonts w:hint="eastAsia"/>
                    </w:rPr>
                    <w:t>3</w:t>
                  </w:r>
                </w:p>
              </w:tc>
              <w:tc>
                <w:tcPr>
                  <w:tcW w:w="1597" w:type="pct"/>
                  <w:vAlign w:val="center"/>
                </w:tcPr>
                <w:p w14:paraId="4CC3BC41">
                  <w:pPr>
                    <w:pStyle w:val="63"/>
                  </w:pPr>
                  <w:r>
                    <w:rPr>
                      <w:rFonts w:hint="eastAsia"/>
                    </w:rPr>
                    <w:t>悬浮物，mg/L</w:t>
                  </w:r>
                </w:p>
              </w:tc>
              <w:tc>
                <w:tcPr>
                  <w:tcW w:w="1115" w:type="pct"/>
                  <w:vAlign w:val="center"/>
                </w:tcPr>
                <w:p w14:paraId="0C19F60A">
                  <w:pPr>
                    <w:pStyle w:val="63"/>
                  </w:pPr>
                  <w:r>
                    <w:rPr>
                      <w:rFonts w:hint="eastAsia"/>
                    </w:rPr>
                    <w:t>30</w:t>
                  </w:r>
                </w:p>
              </w:tc>
              <w:tc>
                <w:tcPr>
                  <w:tcW w:w="862" w:type="pct"/>
                  <w:vAlign w:val="center"/>
                </w:tcPr>
                <w:p w14:paraId="5B008ABD">
                  <w:pPr>
                    <w:pStyle w:val="63"/>
                  </w:pPr>
                  <w:r>
                    <w:rPr>
                      <w:rFonts w:hint="eastAsia"/>
                    </w:rPr>
                    <w:t>90</w:t>
                  </w:r>
                </w:p>
              </w:tc>
              <w:tc>
                <w:tcPr>
                  <w:tcW w:w="908" w:type="pct"/>
                  <w:vAlign w:val="center"/>
                </w:tcPr>
                <w:p w14:paraId="3ED75BD6">
                  <w:pPr>
                    <w:pStyle w:val="63"/>
                  </w:pPr>
                  <w:r>
                    <w:rPr>
                      <w:rFonts w:hint="eastAsia"/>
                    </w:rPr>
                    <w:t>100</w:t>
                  </w:r>
                </w:p>
              </w:tc>
            </w:tr>
            <w:tr w14:paraId="1B8F4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Align w:val="center"/>
                </w:tcPr>
                <w:p w14:paraId="604B4FE9">
                  <w:pPr>
                    <w:pStyle w:val="63"/>
                  </w:pPr>
                  <w:r>
                    <w:rPr>
                      <w:rFonts w:hint="eastAsia"/>
                    </w:rPr>
                    <w:t>4</w:t>
                  </w:r>
                </w:p>
              </w:tc>
              <w:tc>
                <w:tcPr>
                  <w:tcW w:w="1597" w:type="pct"/>
                  <w:vAlign w:val="center"/>
                </w:tcPr>
                <w:p w14:paraId="44458831">
                  <w:pPr>
                    <w:pStyle w:val="63"/>
                  </w:pPr>
                  <w:r>
                    <w:rPr>
                      <w:rFonts w:hint="eastAsia"/>
                    </w:rPr>
                    <w:t>粪大肠菌群，MPN/L</w:t>
                  </w:r>
                </w:p>
              </w:tc>
              <w:tc>
                <w:tcPr>
                  <w:tcW w:w="1115" w:type="pct"/>
                  <w:vAlign w:val="center"/>
                </w:tcPr>
                <w:p w14:paraId="3A86A4E1">
                  <w:pPr>
                    <w:pStyle w:val="63"/>
                  </w:pPr>
                  <w:r>
                    <w:rPr>
                      <w:rFonts w:hint="eastAsia"/>
                    </w:rPr>
                    <w:t>10000</w:t>
                  </w:r>
                </w:p>
              </w:tc>
              <w:tc>
                <w:tcPr>
                  <w:tcW w:w="1770" w:type="pct"/>
                  <w:gridSpan w:val="2"/>
                  <w:vAlign w:val="center"/>
                </w:tcPr>
                <w:p w14:paraId="5A7026DA">
                  <w:pPr>
                    <w:pStyle w:val="63"/>
                  </w:pPr>
                  <w:r>
                    <w:rPr>
                      <w:rFonts w:hint="eastAsia"/>
                    </w:rPr>
                    <w:t>40000</w:t>
                  </w:r>
                </w:p>
              </w:tc>
            </w:tr>
            <w:tr w14:paraId="6029E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Align w:val="center"/>
                </w:tcPr>
                <w:p w14:paraId="63B95A37">
                  <w:pPr>
                    <w:pStyle w:val="63"/>
                  </w:pPr>
                  <w:r>
                    <w:rPr>
                      <w:rFonts w:hint="eastAsia"/>
                    </w:rPr>
                    <w:t>5</w:t>
                  </w:r>
                </w:p>
              </w:tc>
              <w:tc>
                <w:tcPr>
                  <w:tcW w:w="1597" w:type="pct"/>
                  <w:vAlign w:val="center"/>
                </w:tcPr>
                <w:p w14:paraId="58C6EAF0">
                  <w:pPr>
                    <w:pStyle w:val="63"/>
                  </w:pPr>
                  <w:r>
                    <w:rPr>
                      <w:rFonts w:hint="eastAsia"/>
                    </w:rPr>
                    <w:t>蛔虫卵个数，个/L</w:t>
                  </w:r>
                </w:p>
              </w:tc>
              <w:tc>
                <w:tcPr>
                  <w:tcW w:w="2886" w:type="pct"/>
                  <w:gridSpan w:val="3"/>
                  <w:vAlign w:val="center"/>
                </w:tcPr>
                <w:p w14:paraId="622FD5CC">
                  <w:pPr>
                    <w:pStyle w:val="63"/>
                  </w:pPr>
                  <w:r>
                    <w:rPr>
                      <w:rFonts w:hint="eastAsia"/>
                    </w:rPr>
                    <w:t>2</w:t>
                  </w:r>
                </w:p>
              </w:tc>
            </w:tr>
          </w:tbl>
          <w:p w14:paraId="4193B653">
            <w:pPr>
              <w:pStyle w:val="19"/>
            </w:pPr>
            <w:r>
              <w:t>3.10.3</w:t>
            </w:r>
            <w:r>
              <w:rPr>
                <w:rFonts w:hint="eastAsia"/>
              </w:rPr>
              <w:t>噪声排放标准</w:t>
            </w:r>
          </w:p>
          <w:p w14:paraId="5AC66A3D">
            <w:pPr>
              <w:rPr>
                <w:b/>
              </w:rPr>
            </w:pPr>
            <w:r>
              <w:rPr>
                <w:rFonts w:hint="eastAsia"/>
              </w:rPr>
              <w:t>施工期噪声执行《建筑施工噪声排放标准》（GB12523-2025）中的相关标准。</w:t>
            </w:r>
          </w:p>
          <w:p w14:paraId="08E68912">
            <w:pPr>
              <w:pStyle w:val="34"/>
              <w:spacing w:before="156"/>
              <w:rPr>
                <w:rFonts w:ascii="Times New Roman" w:hAnsi="Times New Roman" w:cs="宋体"/>
                <w:snapToGrid/>
                <w:color w:val="auto"/>
                <w:spacing w:val="0"/>
                <w:kern w:val="2"/>
                <w:szCs w:val="21"/>
              </w:rPr>
            </w:pPr>
            <w:r>
              <w:rPr>
                <w:rFonts w:hint="eastAsia" w:ascii="Times New Roman" w:hAnsi="Times New Roman" w:cs="宋体"/>
                <w:snapToGrid/>
                <w:color w:val="auto"/>
                <w:spacing w:val="0"/>
                <w:kern w:val="2"/>
                <w:szCs w:val="21"/>
              </w:rPr>
              <w:t>表</w:t>
            </w:r>
            <w:r>
              <w:rPr>
                <w:rFonts w:ascii="Times New Roman" w:hAnsi="Times New Roman" w:cs="宋体"/>
                <w:snapToGrid/>
                <w:color w:val="auto"/>
                <w:spacing w:val="0"/>
                <w:kern w:val="2"/>
                <w:szCs w:val="21"/>
              </w:rPr>
              <w:t xml:space="preserve">3-10  </w:t>
            </w:r>
            <w:r>
              <w:rPr>
                <w:rFonts w:hint="eastAsia" w:ascii="Times New Roman" w:hAnsi="Times New Roman" w:cs="宋体"/>
                <w:snapToGrid/>
                <w:color w:val="auto"/>
                <w:spacing w:val="0"/>
                <w:kern w:val="2"/>
                <w:szCs w:val="21"/>
              </w:rPr>
              <w:t xml:space="preserve">建筑施工噪声排放限值 </w:t>
            </w:r>
            <w:r>
              <w:rPr>
                <w:rFonts w:ascii="Times New Roman" w:hAnsi="Times New Roman" w:cs="宋体"/>
                <w:snapToGrid/>
                <w:color w:val="auto"/>
                <w:spacing w:val="0"/>
                <w:kern w:val="2"/>
                <w:szCs w:val="21"/>
              </w:rPr>
              <w:t xml:space="preserve"> 单位：dB（A）</w:t>
            </w:r>
          </w:p>
          <w:tbl>
            <w:tblPr>
              <w:tblStyle w:val="23"/>
              <w:tblW w:w="500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28" w:type="dxa"/>
                <w:bottom w:w="0" w:type="dxa"/>
                <w:right w:w="28" w:type="dxa"/>
              </w:tblCellMar>
            </w:tblPr>
            <w:tblGrid>
              <w:gridCol w:w="4059"/>
              <w:gridCol w:w="3761"/>
            </w:tblGrid>
            <w:tr w14:paraId="25BFA42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227" w:hRule="atLeast"/>
                <w:jc w:val="center"/>
              </w:trPr>
              <w:tc>
                <w:tcPr>
                  <w:tcW w:w="2595" w:type="pct"/>
                  <w:vAlign w:val="center"/>
                </w:tcPr>
                <w:p w14:paraId="0F252207">
                  <w:pPr>
                    <w:pStyle w:val="32"/>
                  </w:pPr>
                  <w:r>
                    <w:t>昼间</w:t>
                  </w:r>
                </w:p>
              </w:tc>
              <w:tc>
                <w:tcPr>
                  <w:tcW w:w="2405" w:type="pct"/>
                  <w:vAlign w:val="center"/>
                </w:tcPr>
                <w:p w14:paraId="1E9719A5">
                  <w:pPr>
                    <w:pStyle w:val="32"/>
                  </w:pPr>
                  <w:r>
                    <w:t>夜间</w:t>
                  </w:r>
                </w:p>
              </w:tc>
            </w:tr>
            <w:tr w14:paraId="7F245A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55" w:hRule="atLeast"/>
                <w:jc w:val="center"/>
              </w:trPr>
              <w:tc>
                <w:tcPr>
                  <w:tcW w:w="2595" w:type="pct"/>
                  <w:vAlign w:val="center"/>
                </w:tcPr>
                <w:p w14:paraId="44089A59">
                  <w:pPr>
                    <w:pStyle w:val="32"/>
                  </w:pPr>
                  <w:r>
                    <w:t>70</w:t>
                  </w:r>
                </w:p>
              </w:tc>
              <w:tc>
                <w:tcPr>
                  <w:tcW w:w="2405" w:type="pct"/>
                  <w:vAlign w:val="center"/>
                </w:tcPr>
                <w:p w14:paraId="191614B0">
                  <w:pPr>
                    <w:pStyle w:val="32"/>
                  </w:pPr>
                  <w:r>
                    <w:t>55</w:t>
                  </w:r>
                </w:p>
              </w:tc>
            </w:tr>
          </w:tbl>
          <w:p w14:paraId="30C1691A">
            <w:pPr>
              <w:pStyle w:val="19"/>
            </w:pPr>
            <w:r>
              <w:t>3.10.4</w:t>
            </w:r>
            <w:r>
              <w:rPr>
                <w:rFonts w:hint="eastAsia"/>
              </w:rPr>
              <w:t>固体废物</w:t>
            </w:r>
          </w:p>
          <w:p w14:paraId="06E9E20A">
            <w:r>
              <w:rPr>
                <w:rFonts w:hint="eastAsia"/>
              </w:rPr>
              <w:t>一般固体废物执行《一般工业固体废物贮存和填埋污染控制标准》（GB18599-2020）中相关标准。危险废物执行《危险废物贮存污染控制标准》（GB18597-2023）中有关规定。</w:t>
            </w:r>
          </w:p>
        </w:tc>
      </w:tr>
      <w:tr w14:paraId="1EE7D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251" w:type="pct"/>
            <w:vAlign w:val="center"/>
          </w:tcPr>
          <w:p w14:paraId="44394678">
            <w:pPr>
              <w:pStyle w:val="32"/>
            </w:pPr>
            <w:r>
              <w:rPr>
                <w:rFonts w:hint="eastAsia"/>
                <w:sz w:val="24"/>
                <w:szCs w:val="28"/>
              </w:rPr>
              <w:t>其他</w:t>
            </w:r>
          </w:p>
        </w:tc>
        <w:tc>
          <w:tcPr>
            <w:tcW w:w="4749" w:type="pct"/>
            <w:vAlign w:val="center"/>
          </w:tcPr>
          <w:p w14:paraId="645152F1">
            <w:pPr>
              <w:ind w:firstLine="0" w:firstLineChars="0"/>
              <w:jc w:val="center"/>
            </w:pPr>
            <w:r>
              <w:rPr>
                <w:rFonts w:hint="eastAsia"/>
              </w:rPr>
              <w:t>无</w:t>
            </w:r>
          </w:p>
        </w:tc>
      </w:tr>
    </w:tbl>
    <w:p w14:paraId="3E2C1165">
      <w:pPr>
        <w:sectPr>
          <w:pgSz w:w="11906" w:h="16838"/>
          <w:pgMar w:top="1440" w:right="1800" w:bottom="1440" w:left="1800" w:header="851" w:footer="992" w:gutter="0"/>
          <w:cols w:space="425" w:num="1"/>
          <w:docGrid w:type="lines" w:linePitch="312" w:charSpace="0"/>
        </w:sectPr>
      </w:pPr>
    </w:p>
    <w:p w14:paraId="3BA41EBE">
      <w:pPr>
        <w:pStyle w:val="2"/>
      </w:pPr>
      <w:r>
        <w:rPr>
          <w:rFonts w:hint="eastAsia"/>
        </w:rPr>
        <w:t>四、生态环境影响分析</w:t>
      </w:r>
    </w:p>
    <w:tbl>
      <w:tblPr>
        <w:tblStyle w:val="23"/>
        <w:tblW w:w="499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7873"/>
      </w:tblGrid>
      <w:tr w14:paraId="4CB45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0" w:hRule="atLeast"/>
        </w:trPr>
        <w:tc>
          <w:tcPr>
            <w:tcW w:w="336" w:type="pct"/>
            <w:tcMar>
              <w:left w:w="28" w:type="dxa"/>
              <w:right w:w="28" w:type="dxa"/>
            </w:tcMar>
            <w:vAlign w:val="center"/>
          </w:tcPr>
          <w:p w14:paraId="223C2AB4">
            <w:pPr>
              <w:pStyle w:val="32"/>
            </w:pPr>
            <w:bookmarkStart w:id="11" w:name="_Hlk69138538"/>
            <w:r>
              <w:rPr>
                <w:rFonts w:hint="eastAsia"/>
                <w:sz w:val="24"/>
                <w:szCs w:val="28"/>
              </w:rPr>
              <w:t>施工期生态环境影响分析</w:t>
            </w:r>
          </w:p>
        </w:tc>
        <w:tc>
          <w:tcPr>
            <w:tcW w:w="4664" w:type="pct"/>
            <w:vAlign w:val="center"/>
          </w:tcPr>
          <w:p w14:paraId="793F0065">
            <w:r>
              <w:rPr>
                <w:rFonts w:hint="eastAsia"/>
              </w:rPr>
              <w:t>本项目探矿期间主要的环境影响为探矿过程产生的废水、废气、噪声、固体废物排放对环境的影响及生态保护措施。</w:t>
            </w:r>
          </w:p>
          <w:p w14:paraId="00FF2E10">
            <w:pPr>
              <w:pStyle w:val="19"/>
            </w:pPr>
            <w:r>
              <w:t>4.1</w:t>
            </w:r>
            <w:r>
              <w:rPr>
                <w:rFonts w:hint="eastAsia"/>
              </w:rPr>
              <w:t>施工期大气环境影响分析</w:t>
            </w:r>
          </w:p>
          <w:p w14:paraId="4A56C366">
            <w:r>
              <w:rPr>
                <w:rFonts w:hint="eastAsia"/>
              </w:rPr>
              <w:t>结合项目施工特点及施工内容，本项目施工期大气污染源主要来自于钻探、槽探、坑探等工程中产生的扬尘以及运输车辆、柴油发电机废气和施工机械等产生的燃油烟气。</w:t>
            </w:r>
          </w:p>
          <w:p w14:paraId="2BC0A563">
            <w:pPr>
              <w:ind w:firstLine="0" w:firstLineChars="0"/>
              <w:rPr>
                <w:b/>
                <w:bCs/>
              </w:rPr>
            </w:pPr>
            <w:r>
              <w:rPr>
                <w:b/>
                <w:bCs/>
              </w:rPr>
              <w:t>4.</w:t>
            </w:r>
            <w:r>
              <w:rPr>
                <w:rFonts w:hint="eastAsia"/>
                <w:b/>
                <w:bCs/>
              </w:rPr>
              <w:t>1.1扬尘</w:t>
            </w:r>
          </w:p>
          <w:p w14:paraId="18958BC0">
            <w:r>
              <w:rPr>
                <w:rFonts w:hint="eastAsia"/>
              </w:rPr>
              <w:t>在勘查过程中，扬尘污染主要来源于：钻探工程产生的扬尘，土石方堆放时因风力作用产生的扬尘以及运输扬尘。</w:t>
            </w:r>
          </w:p>
          <w:p w14:paraId="3C1F14D9">
            <w:r>
              <w:rPr>
                <w:rFonts w:hint="eastAsia" w:ascii="宋体" w:hAnsi="宋体" w:cs="宋体"/>
              </w:rPr>
              <w:t>①</w:t>
            </w:r>
            <w:r>
              <w:t>钻</w:t>
            </w:r>
            <w:r>
              <w:rPr>
                <w:rFonts w:hint="eastAsia"/>
              </w:rPr>
              <w:t>探、槽探</w:t>
            </w:r>
            <w:r>
              <w:t>粉尘</w:t>
            </w:r>
          </w:p>
          <w:p w14:paraId="0F6FA958">
            <w:r>
              <w:t>据有关研究，在不设置围</w:t>
            </w:r>
            <w:r>
              <w:rPr>
                <w:rFonts w:hint="eastAsia"/>
              </w:rPr>
              <w:t>挡</w:t>
            </w:r>
            <w:r>
              <w:t>时，扬尘影响主要在下风向距离250m范围内；有围</w:t>
            </w:r>
            <w:r>
              <w:rPr>
                <w:rFonts w:hint="eastAsia"/>
              </w:rPr>
              <w:t>挡</w:t>
            </w:r>
            <w:r>
              <w:t>时，扬尘影响主要在下风向距离200m范围内。因此，在对作业场界设置</w:t>
            </w:r>
            <w:r>
              <w:rPr>
                <w:rFonts w:hint="eastAsia"/>
              </w:rPr>
              <w:t>围挡</w:t>
            </w:r>
            <w:r>
              <w:t>并辅以现场洒水抑尘等措施，抑尘效率70%～80%，能有效减少扬尘的影响。</w:t>
            </w:r>
          </w:p>
          <w:p w14:paraId="49C046A5">
            <w:r>
              <w:t>本项目各作业点施工量较小，且均在山区进行，周边有山体和植被作为天然防尘屏障，同时，加强作业区洒水抑尘的情况下，扬尘影响主要集中在施工场地内，对外环境影响较小。但为确保工人身体健康，须佩戴防护口罩。</w:t>
            </w:r>
          </w:p>
          <w:p w14:paraId="70631230">
            <w:r>
              <w:rPr>
                <w:rFonts w:hint="eastAsia"/>
              </w:rPr>
              <w:t>②临时堆放扬尘</w:t>
            </w:r>
          </w:p>
          <w:p w14:paraId="23BDAB02">
            <w:r>
              <w:rPr>
                <w:rFonts w:hint="eastAsia"/>
              </w:rPr>
              <w:t>对临时堆放的渣土表面进行压实，必要时设置塑料薄膜加以覆盖，并辅以洒水抑尘，可有效控制尘源，进一步减轻对环境的影响。</w:t>
            </w:r>
          </w:p>
          <w:p w14:paraId="30C7371F">
            <w:pPr>
              <w:rPr>
                <w:rFonts w:ascii="宋体" w:hAnsi="宋体" w:cs="宋体"/>
              </w:rPr>
            </w:pPr>
            <w:r>
              <w:rPr>
                <w:rFonts w:hint="eastAsia" w:ascii="宋体" w:hAnsi="宋体" w:cs="宋体"/>
              </w:rPr>
              <w:t>③爆破</w:t>
            </w:r>
            <w:r>
              <w:rPr>
                <w:rFonts w:hint="eastAsia"/>
              </w:rPr>
              <w:t>扬尘</w:t>
            </w:r>
          </w:p>
          <w:p w14:paraId="32440910">
            <w:r>
              <w:rPr>
                <w:rFonts w:hint="eastAsia"/>
              </w:rPr>
              <w:t>本项目爆破工作委托具有相应资质的专业民爆公司实施，不设炸药库。爆破作业严格按照爆破安全规程操作，预先计算安全距离，做好警戒工作，防止飞石伤人。</w:t>
            </w:r>
          </w:p>
          <w:p w14:paraId="587558E3">
            <w:r>
              <w:rPr>
                <w:rFonts w:hint="eastAsia"/>
              </w:rPr>
              <w:t>爆破及凿岩过程中会产生粉尘和爆破废气（主要含</w:t>
            </w:r>
            <w:r>
              <w:t>CO</w:t>
            </w:r>
            <w:r>
              <w:rPr>
                <w:rFonts w:hint="eastAsia"/>
              </w:rPr>
              <w:t>、</w:t>
            </w:r>
            <w:r>
              <w:t>NO₂</w:t>
            </w:r>
            <w:r>
              <w:rPr>
                <w:rFonts w:hint="eastAsia"/>
              </w:rPr>
              <w:t>等）。为控制其对施工人员及环境的影响，平硐施工采用湿式凿岩，爆破后实施强制机械通风，并进行洒水降尘，待硐内空气质量检测达标后，人员方可进入。施工人员配备防尘口罩等个人防护用品。</w:t>
            </w:r>
          </w:p>
          <w:p w14:paraId="71D3B36A">
            <w:r>
              <w:rPr>
                <w:rFonts w:hint="eastAsia"/>
              </w:rPr>
              <w:t>爆破作业为间歇性、短时操作，废气经通风稀释后从硐口排出，排放浓度和持续时间有限，经大气扩散后对周边环境影响较小。</w:t>
            </w:r>
          </w:p>
          <w:p w14:paraId="3E563109">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4 \* GB3</w:instrText>
            </w:r>
            <w:r>
              <w:rPr>
                <w:rFonts w:ascii="宋体" w:hAnsi="宋体" w:cs="宋体"/>
              </w:rPr>
              <w:instrText xml:space="preserve"> </w:instrText>
            </w:r>
            <w:r>
              <w:rPr>
                <w:rFonts w:ascii="宋体" w:hAnsi="宋体" w:cs="宋体"/>
              </w:rPr>
              <w:fldChar w:fldCharType="separate"/>
            </w:r>
            <w:r>
              <w:rPr>
                <w:rFonts w:hint="eastAsia" w:ascii="宋体" w:hAnsi="宋体" w:cs="宋体"/>
              </w:rPr>
              <w:t>④</w:t>
            </w:r>
            <w:r>
              <w:rPr>
                <w:rFonts w:ascii="宋体" w:hAnsi="宋体" w:cs="宋体"/>
              </w:rPr>
              <w:fldChar w:fldCharType="end"/>
            </w:r>
            <w:r>
              <w:rPr>
                <w:rFonts w:hint="eastAsia"/>
              </w:rPr>
              <w:t>运输道路扬尘</w:t>
            </w:r>
          </w:p>
          <w:p w14:paraId="0BA400C9">
            <w:r>
              <w:rPr>
                <w:rFonts w:hint="eastAsia" w:ascii="Segoe UI" w:hAnsi="Segoe UI" w:cs="Segoe UI"/>
                <w:color w:val="0F1115"/>
                <w:shd w:val="clear" w:color="auto" w:fill="FFFFFF"/>
              </w:rPr>
              <w:t>勘查区内部道路平整过程以及车辆运输样品及生活用品时会产生一定扬尘。施工扬尘的污染程度与风速、风速、物料含水率和汽车行驶速度等因素有关，汽车行驶速度和风速增大，起尘量相应增大，粉尘污染范围扩大；物料含水率增大，粉尘污染范围相应减小。施工扬尘会造成局部地段降尘量增多，对施工现场周围的大气环境会产生一定影响。通过采取洒水降尘、控制车速、物料运输苫盖等措施，可有效减轻扬尘污染。这种污染是局部的、短期的，施工结束后影响即消失</w:t>
            </w:r>
            <w:r>
              <w:rPr>
                <w:rFonts w:hint="eastAsia"/>
              </w:rPr>
              <w:t>。</w:t>
            </w:r>
          </w:p>
          <w:p w14:paraId="2DBEE2AE">
            <w:r>
              <w:rPr>
                <w:rFonts w:hint="eastAsia"/>
              </w:rPr>
              <w:t>经查阅资料，施工扬尘对施工区周围15m内的范围影响最大，15m之外的降尘浓度衰减较快，到200m处达到平衡点。据现场踏勘，项目200m内均无居民点，项目各施工段均不会对项目周围的居民点居民生活环境造成明显影响。</w:t>
            </w:r>
          </w:p>
          <w:p w14:paraId="0F0B07E1">
            <w:r>
              <w:rPr>
                <w:rFonts w:hint="eastAsia"/>
              </w:rPr>
              <w:t>要求与建议：</w:t>
            </w:r>
          </w:p>
          <w:p w14:paraId="3539EDF9">
            <w:r>
              <w:t>a.</w:t>
            </w:r>
            <w:r>
              <w:rPr>
                <w:rFonts w:hint="eastAsia"/>
              </w:rPr>
              <w:t>原材料运输、堆放要求遮盖；</w:t>
            </w:r>
          </w:p>
          <w:p w14:paraId="0A6B3BE2">
            <w:r>
              <w:t>b.</w:t>
            </w:r>
            <w:r>
              <w:rPr>
                <w:rFonts w:hint="eastAsia"/>
              </w:rPr>
              <w:t>及时清理场地弃渣料，不能及时清运的要求采取覆盖，洒水抑尘等措施；</w:t>
            </w:r>
          </w:p>
          <w:p w14:paraId="4EE4F915">
            <w:r>
              <w:rPr>
                <w:rFonts w:hint="eastAsia"/>
              </w:rPr>
              <w:t>c.尽量缩短施工期，干燥、大风天气施工必须采取洒水抑尘措施；</w:t>
            </w:r>
          </w:p>
          <w:p w14:paraId="41348C5F">
            <w:r>
              <w:rPr>
                <w:rFonts w:hint="eastAsia"/>
              </w:rPr>
              <w:t>d.运输道路要定时进行清扫、洒水；</w:t>
            </w:r>
          </w:p>
          <w:p w14:paraId="17F9E803">
            <w:r>
              <w:rPr>
                <w:rFonts w:hint="eastAsia"/>
              </w:rPr>
              <w:t>治理措施：在工作中建议施工人员</w:t>
            </w:r>
            <w:r>
              <w:t>戴口罩、防尘面罩等劳动防护装备</w:t>
            </w:r>
            <w:r>
              <w:rPr>
                <w:rFonts w:hint="eastAsia"/>
              </w:rPr>
              <w:t>，同时</w:t>
            </w:r>
            <w:r>
              <w:t>避开大风天气作业</w:t>
            </w:r>
            <w:r>
              <w:rPr>
                <w:rFonts w:hint="eastAsia"/>
              </w:rPr>
              <w:t>，勘查区内部道路限速行驶</w:t>
            </w:r>
            <w:r>
              <w:t>。</w:t>
            </w:r>
            <w:r>
              <w:rPr>
                <w:rFonts w:hint="eastAsia"/>
              </w:rPr>
              <w:t>对于钻探剥离的土石方，</w:t>
            </w:r>
            <w:r>
              <w:rPr>
                <w:rFonts w:hint="eastAsia"/>
                <w:bCs/>
              </w:rPr>
              <w:t>要求采用竹席或篷布覆盖，可有效减少扬尘的产生，</w:t>
            </w:r>
            <w:r>
              <w:rPr>
                <w:rFonts w:hint="eastAsia"/>
              </w:rPr>
              <w:t>由于挖方量较小，所以扬尘产生量较小。</w:t>
            </w:r>
          </w:p>
          <w:p w14:paraId="69468A36">
            <w:pPr>
              <w:pStyle w:val="19"/>
            </w:pPr>
            <w:r>
              <w:t>4.1.2</w:t>
            </w:r>
            <w:r>
              <w:rPr>
                <w:rFonts w:hint="eastAsia"/>
              </w:rPr>
              <w:t>燃油废气</w:t>
            </w:r>
          </w:p>
          <w:p w14:paraId="523132A0">
            <w:r>
              <w:rPr>
                <w:rFonts w:hint="eastAsia"/>
              </w:rPr>
              <w:t>本项目施工过程中采用自备发电机发电，整个施工期耗费柴油总量为20t。施工期为24个月，柴油消耗主要在野外施工期间（每年有效作业180天）。根据《非道路移动源大气污染物排放清单编制技术指南》中非道路移动机械（包括柴油发电机组）大气污染物排放量计算方法1，计算CO、NO</w:t>
            </w:r>
            <w:r>
              <w:rPr>
                <w:rFonts w:hint="eastAsia"/>
                <w:vertAlign w:val="subscript"/>
              </w:rPr>
              <w:t>X</w:t>
            </w:r>
            <w:r>
              <w:rPr>
                <w:rFonts w:hint="eastAsia"/>
              </w:rPr>
              <w:t>和HC、PM</w:t>
            </w:r>
            <w:r>
              <w:rPr>
                <w:rFonts w:hint="eastAsia"/>
                <w:vertAlign w:val="subscript"/>
              </w:rPr>
              <w:t>2.5</w:t>
            </w:r>
            <w:r>
              <w:rPr>
                <w:rFonts w:hint="eastAsia"/>
              </w:rPr>
              <w:t>和PM</w:t>
            </w:r>
            <w:r>
              <w:rPr>
                <w:rFonts w:hint="eastAsia"/>
                <w:vertAlign w:val="subscript"/>
              </w:rPr>
              <w:t>10</w:t>
            </w:r>
            <w:r>
              <w:rPr>
                <w:rFonts w:hint="eastAsia"/>
              </w:rPr>
              <w:t>的排放量。计算公式如下：</w:t>
            </w:r>
          </w:p>
          <w:p w14:paraId="44700B60">
            <w:pPr>
              <w:jc w:val="center"/>
            </w:pPr>
            <w:r>
              <w:rPr>
                <w:rFonts w:hint="eastAsia"/>
              </w:rPr>
              <w:t>E=（Y×EF）</w:t>
            </w:r>
            <w:r>
              <w:rPr>
                <w:rFonts w:ascii="Arial" w:hAnsi="Arial" w:cs="Arial"/>
              </w:rPr>
              <w:t>×</w:t>
            </w:r>
            <w:r>
              <w:rPr>
                <w:rFonts w:hint="eastAsia"/>
              </w:rPr>
              <w:t>10</w:t>
            </w:r>
            <w:r>
              <w:rPr>
                <w:rFonts w:hint="eastAsia"/>
                <w:vertAlign w:val="superscript"/>
              </w:rPr>
              <w:t>-6</w:t>
            </w:r>
          </w:p>
          <w:p w14:paraId="19714741">
            <w:r>
              <w:rPr>
                <w:rFonts w:hint="eastAsia"/>
              </w:rPr>
              <w:t>式中，E为非道路移动机械的CO、HC、NO</w:t>
            </w:r>
            <w:r>
              <w:rPr>
                <w:rFonts w:hint="eastAsia"/>
                <w:vertAlign w:val="subscript"/>
              </w:rPr>
              <w:t>X</w:t>
            </w:r>
            <w:r>
              <w:rPr>
                <w:rFonts w:hint="eastAsia"/>
              </w:rPr>
              <w:t>、PM</w:t>
            </w:r>
            <w:r>
              <w:rPr>
                <w:rFonts w:hint="eastAsia"/>
                <w:vertAlign w:val="subscript"/>
              </w:rPr>
              <w:t>2.5</w:t>
            </w:r>
            <w:r>
              <w:rPr>
                <w:rFonts w:hint="eastAsia"/>
              </w:rPr>
              <w:t>和PM</w:t>
            </w:r>
            <w:r>
              <w:rPr>
                <w:rFonts w:hint="eastAsia"/>
                <w:vertAlign w:val="subscript"/>
              </w:rPr>
              <w:t>10</w:t>
            </w:r>
            <w:r>
              <w:rPr>
                <w:rFonts w:hint="eastAsia"/>
              </w:rPr>
              <w:t>排放量，单位为吨；Y为燃油消耗量，单位为千克；EF为排放系数，单位为g/kg燃料。</w:t>
            </w:r>
          </w:p>
          <w:p w14:paraId="29C7593D">
            <w:r>
              <w:rPr>
                <w:rFonts w:hint="eastAsia"/>
              </w:rPr>
              <w:t>根据该指南方法1适用的非道路移动机械平均排放系数（g/kg燃料），柴油发电机组CO、HC、NO</w:t>
            </w:r>
            <w:r>
              <w:rPr>
                <w:rFonts w:hint="eastAsia"/>
                <w:vertAlign w:val="subscript"/>
              </w:rPr>
              <w:t>X</w:t>
            </w:r>
            <w:r>
              <w:rPr>
                <w:rFonts w:hint="eastAsia"/>
              </w:rPr>
              <w:t>、PM</w:t>
            </w:r>
            <w:r>
              <w:rPr>
                <w:rFonts w:hint="eastAsia"/>
                <w:vertAlign w:val="subscript"/>
              </w:rPr>
              <w:t>2.5</w:t>
            </w:r>
            <w:r>
              <w:rPr>
                <w:rFonts w:hint="eastAsia"/>
              </w:rPr>
              <w:t>和PM</w:t>
            </w:r>
            <w:r>
              <w:rPr>
                <w:rFonts w:hint="eastAsia"/>
                <w:vertAlign w:val="subscript"/>
              </w:rPr>
              <w:t>10</w:t>
            </w:r>
            <w:r>
              <w:rPr>
                <w:rFonts w:hint="eastAsia"/>
              </w:rPr>
              <w:t>的排放系数分别为10.72g/kg燃料、3.39g/kg燃料、32.79g/kg燃料、2.09g/kg燃料、2.09g/kg燃料。</w:t>
            </w:r>
          </w:p>
          <w:p w14:paraId="5FB73DB8">
            <w:r>
              <w:rPr>
                <w:rFonts w:hint="eastAsia"/>
              </w:rPr>
              <w:t>本项目施工地点较为开阔，扩散条件较好，不会对周边环境产生影响。项目施工期间排放的大气污染物将随工程的结束而消失。则本项目施工期间机械设备的尾气产生情况见表4-1。</w:t>
            </w:r>
          </w:p>
          <w:p w14:paraId="13C79D67">
            <w:pPr>
              <w:pStyle w:val="34"/>
              <w:spacing w:before="156"/>
              <w:rPr>
                <w:rFonts w:ascii="Times New Roman" w:hAnsi="Times New Roman"/>
              </w:rPr>
            </w:pPr>
            <w:r>
              <w:rPr>
                <w:rFonts w:ascii="Times New Roman" w:hAnsi="Times New Roman"/>
              </w:rPr>
              <w:t>表4-1  发电机产排污情况一览表</w:t>
            </w:r>
          </w:p>
          <w:tbl>
            <w:tblPr>
              <w:tblStyle w:val="23"/>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4"/>
              <w:gridCol w:w="1434"/>
              <w:gridCol w:w="1759"/>
              <w:gridCol w:w="1759"/>
              <w:gridCol w:w="1759"/>
            </w:tblGrid>
            <w:tr w14:paraId="013326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00" w:type="pct"/>
                  <w:tcBorders>
                    <w:tl2br w:val="nil"/>
                    <w:tr2bl w:val="nil"/>
                  </w:tcBorders>
                  <w:shd w:val="clear" w:color="auto" w:fill="auto"/>
                  <w:vAlign w:val="center"/>
                </w:tcPr>
                <w:p w14:paraId="6BEE3EEC">
                  <w:pPr>
                    <w:pStyle w:val="32"/>
                    <w:rPr>
                      <w:szCs w:val="21"/>
                    </w:rPr>
                  </w:pPr>
                  <w:r>
                    <w:rPr>
                      <w:szCs w:val="21"/>
                    </w:rPr>
                    <w:t>序号</w:t>
                  </w:r>
                </w:p>
              </w:tc>
              <w:tc>
                <w:tcPr>
                  <w:tcW w:w="940" w:type="pct"/>
                  <w:tcBorders>
                    <w:tl2br w:val="nil"/>
                    <w:tr2bl w:val="nil"/>
                  </w:tcBorders>
                  <w:shd w:val="clear" w:color="auto" w:fill="auto"/>
                  <w:vAlign w:val="center"/>
                </w:tcPr>
                <w:p w14:paraId="2DF0E104">
                  <w:pPr>
                    <w:pStyle w:val="32"/>
                    <w:rPr>
                      <w:szCs w:val="21"/>
                    </w:rPr>
                  </w:pPr>
                  <w:r>
                    <w:rPr>
                      <w:szCs w:val="21"/>
                    </w:rPr>
                    <w:t>污染物</w:t>
                  </w:r>
                </w:p>
              </w:tc>
              <w:tc>
                <w:tcPr>
                  <w:tcW w:w="1153" w:type="pct"/>
                  <w:tcBorders>
                    <w:tl2br w:val="nil"/>
                    <w:tr2bl w:val="nil"/>
                  </w:tcBorders>
                  <w:shd w:val="clear" w:color="auto" w:fill="auto"/>
                  <w:vAlign w:val="center"/>
                </w:tcPr>
                <w:p w14:paraId="0CF524E8">
                  <w:pPr>
                    <w:pStyle w:val="32"/>
                    <w:rPr>
                      <w:szCs w:val="21"/>
                    </w:rPr>
                  </w:pPr>
                  <w:r>
                    <w:rPr>
                      <w:szCs w:val="21"/>
                    </w:rPr>
                    <w:t>燃烧产污系数</w:t>
                  </w:r>
                </w:p>
              </w:tc>
              <w:tc>
                <w:tcPr>
                  <w:tcW w:w="1153" w:type="pct"/>
                  <w:tcBorders>
                    <w:tl2br w:val="nil"/>
                    <w:tr2bl w:val="nil"/>
                  </w:tcBorders>
                  <w:shd w:val="clear" w:color="auto" w:fill="auto"/>
                  <w:vAlign w:val="center"/>
                </w:tcPr>
                <w:p w14:paraId="7DA70B76">
                  <w:pPr>
                    <w:pStyle w:val="32"/>
                    <w:rPr>
                      <w:szCs w:val="21"/>
                    </w:rPr>
                  </w:pPr>
                  <w:r>
                    <w:rPr>
                      <w:szCs w:val="21"/>
                    </w:rPr>
                    <w:t>污染物产生量</w:t>
                  </w:r>
                </w:p>
                <w:p w14:paraId="33959294">
                  <w:pPr>
                    <w:spacing w:line="240" w:lineRule="auto"/>
                    <w:ind w:firstLine="0" w:firstLineChars="0"/>
                    <w:jc w:val="center"/>
                  </w:pPr>
                  <w:r>
                    <w:rPr>
                      <w:rFonts w:hint="eastAsia"/>
                      <w:sz w:val="21"/>
                      <w:szCs w:val="21"/>
                    </w:rPr>
                    <w:t>（t/施工期）</w:t>
                  </w:r>
                </w:p>
              </w:tc>
              <w:tc>
                <w:tcPr>
                  <w:tcW w:w="1153" w:type="pct"/>
                  <w:tcBorders>
                    <w:tl2br w:val="nil"/>
                    <w:tr2bl w:val="nil"/>
                  </w:tcBorders>
                  <w:shd w:val="clear" w:color="auto" w:fill="auto"/>
                  <w:vAlign w:val="center"/>
                </w:tcPr>
                <w:p w14:paraId="387C6FBB">
                  <w:pPr>
                    <w:pStyle w:val="32"/>
                    <w:rPr>
                      <w:szCs w:val="21"/>
                    </w:rPr>
                  </w:pPr>
                  <w:r>
                    <w:rPr>
                      <w:szCs w:val="21"/>
                    </w:rPr>
                    <w:t>污染物排放量</w:t>
                  </w:r>
                </w:p>
                <w:p w14:paraId="0C24F762">
                  <w:pPr>
                    <w:pStyle w:val="32"/>
                  </w:pPr>
                  <w:r>
                    <w:rPr>
                      <w:rFonts w:hint="eastAsia"/>
                      <w:szCs w:val="21"/>
                    </w:rPr>
                    <w:t>（t/施工期）</w:t>
                  </w:r>
                </w:p>
              </w:tc>
            </w:tr>
            <w:tr w14:paraId="3BE05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9" w:hRule="atLeast"/>
              </w:trPr>
              <w:tc>
                <w:tcPr>
                  <w:tcW w:w="600" w:type="pct"/>
                  <w:tcBorders>
                    <w:tl2br w:val="nil"/>
                    <w:tr2bl w:val="nil"/>
                  </w:tcBorders>
                  <w:shd w:val="clear" w:color="auto" w:fill="auto"/>
                  <w:vAlign w:val="center"/>
                </w:tcPr>
                <w:p w14:paraId="224F08D8">
                  <w:pPr>
                    <w:pStyle w:val="32"/>
                    <w:rPr>
                      <w:szCs w:val="21"/>
                    </w:rPr>
                  </w:pPr>
                  <w:r>
                    <w:rPr>
                      <w:szCs w:val="21"/>
                    </w:rPr>
                    <w:t>1</w:t>
                  </w:r>
                </w:p>
              </w:tc>
              <w:tc>
                <w:tcPr>
                  <w:tcW w:w="940" w:type="pct"/>
                  <w:tcBorders>
                    <w:tl2br w:val="nil"/>
                    <w:tr2bl w:val="nil"/>
                  </w:tcBorders>
                  <w:shd w:val="clear" w:color="auto" w:fill="auto"/>
                  <w:vAlign w:val="center"/>
                </w:tcPr>
                <w:p w14:paraId="4D1304A9">
                  <w:pPr>
                    <w:pStyle w:val="32"/>
                    <w:rPr>
                      <w:szCs w:val="21"/>
                    </w:rPr>
                  </w:pPr>
                  <w:r>
                    <w:rPr>
                      <w:rFonts w:hint="eastAsia"/>
                    </w:rPr>
                    <w:t>CO</w:t>
                  </w:r>
                </w:p>
              </w:tc>
              <w:tc>
                <w:tcPr>
                  <w:tcW w:w="1153" w:type="pct"/>
                  <w:tcBorders>
                    <w:tl2br w:val="nil"/>
                    <w:tr2bl w:val="nil"/>
                  </w:tcBorders>
                  <w:shd w:val="clear" w:color="auto" w:fill="auto"/>
                  <w:vAlign w:val="center"/>
                </w:tcPr>
                <w:p w14:paraId="6DA6A397">
                  <w:pPr>
                    <w:pStyle w:val="32"/>
                    <w:rPr>
                      <w:szCs w:val="21"/>
                    </w:rPr>
                  </w:pPr>
                  <w:r>
                    <w:rPr>
                      <w:rFonts w:hint="eastAsia"/>
                    </w:rPr>
                    <w:t>10.72g/kg</w:t>
                  </w:r>
                </w:p>
              </w:tc>
              <w:tc>
                <w:tcPr>
                  <w:tcW w:w="1153" w:type="pct"/>
                  <w:tcBorders>
                    <w:tl2br w:val="nil"/>
                    <w:tr2bl w:val="nil"/>
                  </w:tcBorders>
                  <w:shd w:val="clear" w:color="auto" w:fill="auto"/>
                  <w:vAlign w:val="center"/>
                </w:tcPr>
                <w:p w14:paraId="2CDED86F">
                  <w:pPr>
                    <w:pStyle w:val="32"/>
                    <w:rPr>
                      <w:szCs w:val="21"/>
                    </w:rPr>
                  </w:pPr>
                  <w:r>
                    <w:rPr>
                      <w:rFonts w:hint="eastAsia"/>
                      <w:szCs w:val="21"/>
                    </w:rPr>
                    <w:t>0</w:t>
                  </w:r>
                  <w:r>
                    <w:rPr>
                      <w:szCs w:val="21"/>
                    </w:rPr>
                    <w:t>.214</w:t>
                  </w:r>
                </w:p>
              </w:tc>
              <w:tc>
                <w:tcPr>
                  <w:tcW w:w="1153" w:type="pct"/>
                  <w:tcBorders>
                    <w:tl2br w:val="nil"/>
                    <w:tr2bl w:val="nil"/>
                  </w:tcBorders>
                  <w:shd w:val="clear" w:color="auto" w:fill="auto"/>
                  <w:vAlign w:val="center"/>
                </w:tcPr>
                <w:p w14:paraId="7C21E879">
                  <w:pPr>
                    <w:pStyle w:val="32"/>
                    <w:rPr>
                      <w:szCs w:val="21"/>
                    </w:rPr>
                  </w:pPr>
                  <w:r>
                    <w:rPr>
                      <w:rFonts w:hint="eastAsia"/>
                      <w:szCs w:val="21"/>
                    </w:rPr>
                    <w:t>0</w:t>
                  </w:r>
                  <w:r>
                    <w:rPr>
                      <w:szCs w:val="21"/>
                    </w:rPr>
                    <w:t>.214</w:t>
                  </w:r>
                </w:p>
              </w:tc>
            </w:tr>
            <w:tr w14:paraId="139A9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9" w:hRule="atLeast"/>
              </w:trPr>
              <w:tc>
                <w:tcPr>
                  <w:tcW w:w="600" w:type="pct"/>
                  <w:tcBorders>
                    <w:tl2br w:val="nil"/>
                    <w:tr2bl w:val="nil"/>
                  </w:tcBorders>
                  <w:shd w:val="clear" w:color="auto" w:fill="auto"/>
                  <w:vAlign w:val="center"/>
                </w:tcPr>
                <w:p w14:paraId="282DBD0F">
                  <w:pPr>
                    <w:pStyle w:val="32"/>
                    <w:rPr>
                      <w:szCs w:val="21"/>
                    </w:rPr>
                  </w:pPr>
                  <w:r>
                    <w:rPr>
                      <w:rFonts w:hint="eastAsia"/>
                      <w:szCs w:val="21"/>
                    </w:rPr>
                    <w:t>2</w:t>
                  </w:r>
                </w:p>
              </w:tc>
              <w:tc>
                <w:tcPr>
                  <w:tcW w:w="940" w:type="pct"/>
                  <w:tcBorders>
                    <w:tl2br w:val="nil"/>
                    <w:tr2bl w:val="nil"/>
                  </w:tcBorders>
                  <w:shd w:val="clear" w:color="auto" w:fill="auto"/>
                  <w:vAlign w:val="center"/>
                </w:tcPr>
                <w:p w14:paraId="7DBAB087">
                  <w:pPr>
                    <w:pStyle w:val="32"/>
                    <w:rPr>
                      <w:szCs w:val="21"/>
                    </w:rPr>
                  </w:pPr>
                  <w:r>
                    <w:rPr>
                      <w:rFonts w:hint="eastAsia"/>
                    </w:rPr>
                    <w:t>HC</w:t>
                  </w:r>
                </w:p>
              </w:tc>
              <w:tc>
                <w:tcPr>
                  <w:tcW w:w="1153" w:type="pct"/>
                  <w:tcBorders>
                    <w:tl2br w:val="nil"/>
                    <w:tr2bl w:val="nil"/>
                  </w:tcBorders>
                  <w:shd w:val="clear" w:color="auto" w:fill="auto"/>
                  <w:vAlign w:val="center"/>
                </w:tcPr>
                <w:p w14:paraId="7E132134">
                  <w:pPr>
                    <w:pStyle w:val="32"/>
                    <w:rPr>
                      <w:szCs w:val="21"/>
                    </w:rPr>
                  </w:pPr>
                  <w:r>
                    <w:rPr>
                      <w:rFonts w:hint="eastAsia"/>
                    </w:rPr>
                    <w:t>3.39g/kg</w:t>
                  </w:r>
                </w:p>
              </w:tc>
              <w:tc>
                <w:tcPr>
                  <w:tcW w:w="1153" w:type="pct"/>
                  <w:tcBorders>
                    <w:tl2br w:val="nil"/>
                    <w:tr2bl w:val="nil"/>
                  </w:tcBorders>
                  <w:shd w:val="clear" w:color="auto" w:fill="auto"/>
                  <w:vAlign w:val="center"/>
                </w:tcPr>
                <w:p w14:paraId="3EEDB2F7">
                  <w:pPr>
                    <w:pStyle w:val="32"/>
                    <w:rPr>
                      <w:szCs w:val="21"/>
                    </w:rPr>
                  </w:pPr>
                  <w:r>
                    <w:rPr>
                      <w:szCs w:val="21"/>
                    </w:rPr>
                    <w:t>0.068</w:t>
                  </w:r>
                </w:p>
              </w:tc>
              <w:tc>
                <w:tcPr>
                  <w:tcW w:w="1153" w:type="pct"/>
                  <w:tcBorders>
                    <w:tl2br w:val="nil"/>
                    <w:tr2bl w:val="nil"/>
                  </w:tcBorders>
                  <w:shd w:val="clear" w:color="auto" w:fill="auto"/>
                  <w:vAlign w:val="center"/>
                </w:tcPr>
                <w:p w14:paraId="3FF776F0">
                  <w:pPr>
                    <w:pStyle w:val="32"/>
                    <w:rPr>
                      <w:szCs w:val="21"/>
                    </w:rPr>
                  </w:pPr>
                  <w:r>
                    <w:rPr>
                      <w:szCs w:val="21"/>
                    </w:rPr>
                    <w:t>0.068</w:t>
                  </w:r>
                </w:p>
              </w:tc>
            </w:tr>
            <w:tr w14:paraId="0F7C65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1" w:hRule="atLeast"/>
              </w:trPr>
              <w:tc>
                <w:tcPr>
                  <w:tcW w:w="600" w:type="pct"/>
                  <w:tcBorders>
                    <w:tl2br w:val="nil"/>
                    <w:tr2bl w:val="nil"/>
                  </w:tcBorders>
                  <w:shd w:val="clear" w:color="auto" w:fill="auto"/>
                  <w:vAlign w:val="center"/>
                </w:tcPr>
                <w:p w14:paraId="2D22F4C8">
                  <w:pPr>
                    <w:pStyle w:val="32"/>
                    <w:rPr>
                      <w:szCs w:val="21"/>
                    </w:rPr>
                  </w:pPr>
                  <w:r>
                    <w:rPr>
                      <w:rFonts w:hint="eastAsia"/>
                      <w:szCs w:val="21"/>
                    </w:rPr>
                    <w:t>3</w:t>
                  </w:r>
                </w:p>
              </w:tc>
              <w:tc>
                <w:tcPr>
                  <w:tcW w:w="940" w:type="pct"/>
                  <w:tcBorders>
                    <w:tl2br w:val="nil"/>
                    <w:tr2bl w:val="nil"/>
                  </w:tcBorders>
                  <w:shd w:val="clear" w:color="auto" w:fill="auto"/>
                  <w:vAlign w:val="center"/>
                </w:tcPr>
                <w:p w14:paraId="31156470">
                  <w:pPr>
                    <w:pStyle w:val="32"/>
                    <w:rPr>
                      <w:szCs w:val="21"/>
                    </w:rPr>
                  </w:pPr>
                  <w:r>
                    <w:rPr>
                      <w:rFonts w:hint="eastAsia"/>
                    </w:rPr>
                    <w:t>NO</w:t>
                  </w:r>
                  <w:r>
                    <w:rPr>
                      <w:rFonts w:hint="eastAsia"/>
                      <w:vertAlign w:val="subscript"/>
                    </w:rPr>
                    <w:t>X</w:t>
                  </w:r>
                </w:p>
              </w:tc>
              <w:tc>
                <w:tcPr>
                  <w:tcW w:w="1153" w:type="pct"/>
                  <w:tcBorders>
                    <w:tl2br w:val="nil"/>
                    <w:tr2bl w:val="nil"/>
                  </w:tcBorders>
                  <w:shd w:val="clear" w:color="auto" w:fill="auto"/>
                  <w:vAlign w:val="center"/>
                </w:tcPr>
                <w:p w14:paraId="1CBAF6FB">
                  <w:pPr>
                    <w:pStyle w:val="32"/>
                    <w:rPr>
                      <w:szCs w:val="21"/>
                    </w:rPr>
                  </w:pPr>
                  <w:r>
                    <w:rPr>
                      <w:rFonts w:hint="eastAsia"/>
                    </w:rPr>
                    <w:t>32.79g/kg</w:t>
                  </w:r>
                </w:p>
              </w:tc>
              <w:tc>
                <w:tcPr>
                  <w:tcW w:w="1153" w:type="pct"/>
                  <w:tcBorders>
                    <w:tl2br w:val="nil"/>
                    <w:tr2bl w:val="nil"/>
                  </w:tcBorders>
                  <w:shd w:val="clear" w:color="auto" w:fill="auto"/>
                  <w:vAlign w:val="center"/>
                </w:tcPr>
                <w:p w14:paraId="4BA1A9F0">
                  <w:pPr>
                    <w:pStyle w:val="32"/>
                    <w:rPr>
                      <w:szCs w:val="21"/>
                    </w:rPr>
                  </w:pPr>
                  <w:r>
                    <w:rPr>
                      <w:rFonts w:hint="eastAsia"/>
                      <w:szCs w:val="21"/>
                    </w:rPr>
                    <w:t>0</w:t>
                  </w:r>
                  <w:r>
                    <w:rPr>
                      <w:szCs w:val="21"/>
                    </w:rPr>
                    <w:t>.656</w:t>
                  </w:r>
                </w:p>
              </w:tc>
              <w:tc>
                <w:tcPr>
                  <w:tcW w:w="1153" w:type="pct"/>
                  <w:tcBorders>
                    <w:tl2br w:val="nil"/>
                    <w:tr2bl w:val="nil"/>
                  </w:tcBorders>
                  <w:shd w:val="clear" w:color="auto" w:fill="auto"/>
                  <w:vAlign w:val="center"/>
                </w:tcPr>
                <w:p w14:paraId="14014338">
                  <w:pPr>
                    <w:pStyle w:val="32"/>
                    <w:rPr>
                      <w:szCs w:val="21"/>
                    </w:rPr>
                  </w:pPr>
                  <w:r>
                    <w:rPr>
                      <w:rFonts w:hint="eastAsia"/>
                      <w:szCs w:val="21"/>
                    </w:rPr>
                    <w:t>0</w:t>
                  </w:r>
                  <w:r>
                    <w:rPr>
                      <w:szCs w:val="21"/>
                    </w:rPr>
                    <w:t>.656</w:t>
                  </w:r>
                </w:p>
              </w:tc>
            </w:tr>
            <w:tr w14:paraId="1B0267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1" w:hRule="atLeast"/>
              </w:trPr>
              <w:tc>
                <w:tcPr>
                  <w:tcW w:w="600" w:type="pct"/>
                  <w:tcBorders>
                    <w:tl2br w:val="nil"/>
                    <w:tr2bl w:val="nil"/>
                  </w:tcBorders>
                  <w:shd w:val="clear" w:color="auto" w:fill="auto"/>
                  <w:vAlign w:val="center"/>
                </w:tcPr>
                <w:p w14:paraId="324CF021">
                  <w:pPr>
                    <w:pStyle w:val="32"/>
                    <w:rPr>
                      <w:szCs w:val="21"/>
                    </w:rPr>
                  </w:pPr>
                  <w:r>
                    <w:rPr>
                      <w:rFonts w:hint="eastAsia"/>
                      <w:szCs w:val="21"/>
                    </w:rPr>
                    <w:t>4</w:t>
                  </w:r>
                </w:p>
              </w:tc>
              <w:tc>
                <w:tcPr>
                  <w:tcW w:w="940" w:type="pct"/>
                  <w:tcBorders>
                    <w:tl2br w:val="nil"/>
                    <w:tr2bl w:val="nil"/>
                  </w:tcBorders>
                  <w:shd w:val="clear" w:color="auto" w:fill="auto"/>
                  <w:vAlign w:val="center"/>
                </w:tcPr>
                <w:p w14:paraId="4CA4E56C">
                  <w:pPr>
                    <w:pStyle w:val="32"/>
                    <w:rPr>
                      <w:szCs w:val="21"/>
                    </w:rPr>
                  </w:pPr>
                  <w:r>
                    <w:rPr>
                      <w:rFonts w:hint="eastAsia"/>
                    </w:rPr>
                    <w:t>PM</w:t>
                  </w:r>
                  <w:r>
                    <w:rPr>
                      <w:rFonts w:hint="eastAsia"/>
                      <w:vertAlign w:val="subscript"/>
                    </w:rPr>
                    <w:t>2.5</w:t>
                  </w:r>
                </w:p>
              </w:tc>
              <w:tc>
                <w:tcPr>
                  <w:tcW w:w="1153" w:type="pct"/>
                  <w:tcBorders>
                    <w:tl2br w:val="nil"/>
                    <w:tr2bl w:val="nil"/>
                  </w:tcBorders>
                  <w:shd w:val="clear" w:color="auto" w:fill="auto"/>
                  <w:vAlign w:val="center"/>
                </w:tcPr>
                <w:p w14:paraId="6D024C5A">
                  <w:pPr>
                    <w:pStyle w:val="32"/>
                    <w:rPr>
                      <w:szCs w:val="21"/>
                    </w:rPr>
                  </w:pPr>
                  <w:r>
                    <w:rPr>
                      <w:rFonts w:hint="eastAsia"/>
                    </w:rPr>
                    <w:t>2.09g/kg</w:t>
                  </w:r>
                </w:p>
              </w:tc>
              <w:tc>
                <w:tcPr>
                  <w:tcW w:w="1153" w:type="pct"/>
                  <w:tcBorders>
                    <w:tl2br w:val="nil"/>
                    <w:tr2bl w:val="nil"/>
                  </w:tcBorders>
                  <w:shd w:val="clear" w:color="auto" w:fill="auto"/>
                </w:tcPr>
                <w:p w14:paraId="0C381D06">
                  <w:pPr>
                    <w:pStyle w:val="32"/>
                    <w:rPr>
                      <w:szCs w:val="21"/>
                    </w:rPr>
                  </w:pPr>
                  <w:r>
                    <w:rPr>
                      <w:szCs w:val="21"/>
                    </w:rPr>
                    <w:t>0.042</w:t>
                  </w:r>
                </w:p>
              </w:tc>
              <w:tc>
                <w:tcPr>
                  <w:tcW w:w="1153" w:type="pct"/>
                  <w:tcBorders>
                    <w:tl2br w:val="nil"/>
                    <w:tr2bl w:val="nil"/>
                  </w:tcBorders>
                  <w:shd w:val="clear" w:color="auto" w:fill="auto"/>
                </w:tcPr>
                <w:p w14:paraId="5FBE1A43">
                  <w:pPr>
                    <w:pStyle w:val="32"/>
                    <w:rPr>
                      <w:szCs w:val="21"/>
                    </w:rPr>
                  </w:pPr>
                  <w:r>
                    <w:rPr>
                      <w:szCs w:val="21"/>
                    </w:rPr>
                    <w:t>0.042</w:t>
                  </w:r>
                </w:p>
              </w:tc>
            </w:tr>
            <w:tr w14:paraId="465F3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1" w:hRule="atLeast"/>
              </w:trPr>
              <w:tc>
                <w:tcPr>
                  <w:tcW w:w="600" w:type="pct"/>
                  <w:tcBorders>
                    <w:tl2br w:val="nil"/>
                    <w:tr2bl w:val="nil"/>
                  </w:tcBorders>
                  <w:shd w:val="clear" w:color="auto" w:fill="auto"/>
                  <w:vAlign w:val="center"/>
                </w:tcPr>
                <w:p w14:paraId="463D7707">
                  <w:pPr>
                    <w:pStyle w:val="32"/>
                    <w:rPr>
                      <w:szCs w:val="21"/>
                    </w:rPr>
                  </w:pPr>
                  <w:r>
                    <w:rPr>
                      <w:rFonts w:hint="eastAsia"/>
                      <w:szCs w:val="21"/>
                    </w:rPr>
                    <w:t>5</w:t>
                  </w:r>
                </w:p>
              </w:tc>
              <w:tc>
                <w:tcPr>
                  <w:tcW w:w="940" w:type="pct"/>
                  <w:tcBorders>
                    <w:tl2br w:val="nil"/>
                    <w:tr2bl w:val="nil"/>
                  </w:tcBorders>
                  <w:shd w:val="clear" w:color="auto" w:fill="auto"/>
                  <w:vAlign w:val="center"/>
                </w:tcPr>
                <w:p w14:paraId="3F0C122C">
                  <w:pPr>
                    <w:pStyle w:val="32"/>
                    <w:rPr>
                      <w:szCs w:val="21"/>
                    </w:rPr>
                  </w:pPr>
                  <w:r>
                    <w:rPr>
                      <w:rFonts w:hint="eastAsia"/>
                    </w:rPr>
                    <w:t>PM</w:t>
                  </w:r>
                  <w:r>
                    <w:rPr>
                      <w:rFonts w:hint="eastAsia"/>
                      <w:vertAlign w:val="subscript"/>
                    </w:rPr>
                    <w:t>10</w:t>
                  </w:r>
                </w:p>
              </w:tc>
              <w:tc>
                <w:tcPr>
                  <w:tcW w:w="1153" w:type="pct"/>
                  <w:tcBorders>
                    <w:tl2br w:val="nil"/>
                    <w:tr2bl w:val="nil"/>
                  </w:tcBorders>
                  <w:shd w:val="clear" w:color="auto" w:fill="auto"/>
                  <w:vAlign w:val="center"/>
                </w:tcPr>
                <w:p w14:paraId="4D21F887">
                  <w:pPr>
                    <w:pStyle w:val="32"/>
                    <w:rPr>
                      <w:szCs w:val="21"/>
                    </w:rPr>
                  </w:pPr>
                  <w:r>
                    <w:rPr>
                      <w:rFonts w:hint="eastAsia"/>
                    </w:rPr>
                    <w:t>2.09g/kg</w:t>
                  </w:r>
                </w:p>
              </w:tc>
              <w:tc>
                <w:tcPr>
                  <w:tcW w:w="1153" w:type="pct"/>
                  <w:tcBorders>
                    <w:tl2br w:val="nil"/>
                    <w:tr2bl w:val="nil"/>
                  </w:tcBorders>
                  <w:shd w:val="clear" w:color="auto" w:fill="auto"/>
                  <w:vAlign w:val="center"/>
                </w:tcPr>
                <w:p w14:paraId="2B482504">
                  <w:pPr>
                    <w:pStyle w:val="32"/>
                    <w:rPr>
                      <w:szCs w:val="21"/>
                    </w:rPr>
                  </w:pPr>
                  <w:r>
                    <w:rPr>
                      <w:szCs w:val="21"/>
                    </w:rPr>
                    <w:t>0.042</w:t>
                  </w:r>
                </w:p>
              </w:tc>
              <w:tc>
                <w:tcPr>
                  <w:tcW w:w="1153" w:type="pct"/>
                  <w:tcBorders>
                    <w:tl2br w:val="nil"/>
                    <w:tr2bl w:val="nil"/>
                  </w:tcBorders>
                  <w:shd w:val="clear" w:color="auto" w:fill="auto"/>
                  <w:vAlign w:val="center"/>
                </w:tcPr>
                <w:p w14:paraId="09C0D95B">
                  <w:pPr>
                    <w:pStyle w:val="32"/>
                    <w:rPr>
                      <w:szCs w:val="21"/>
                    </w:rPr>
                  </w:pPr>
                  <w:r>
                    <w:rPr>
                      <w:szCs w:val="21"/>
                    </w:rPr>
                    <w:t>0.042</w:t>
                  </w:r>
                </w:p>
              </w:tc>
            </w:tr>
          </w:tbl>
          <w:p w14:paraId="4D9FC6B9">
            <w:pPr>
              <w:pStyle w:val="19"/>
            </w:pPr>
            <w:r>
              <w:t>4.</w:t>
            </w:r>
            <w:r>
              <w:rPr>
                <w:rFonts w:hint="eastAsia"/>
              </w:rPr>
              <w:t>2施工期废水污染物影响分析</w:t>
            </w:r>
          </w:p>
          <w:p w14:paraId="05978B77">
            <w:r>
              <w:rPr>
                <w:rFonts w:hint="eastAsia"/>
              </w:rPr>
              <w:t>本项目钻探废水经沉淀池处理后，上清液循环复用、定期补水，不外排。由于本项目施工时间短，未涉及大规模用水环节，因此产生的生活污水量也较少。生活污水排入一体化污水处理设备处理达到《农村生活污水处理排放标准》（DB65 4275-2019）表2中C级标准后，用于周边植被绿化，不外排。</w:t>
            </w:r>
          </w:p>
          <w:p w14:paraId="21CE090F">
            <w:pPr>
              <w:pStyle w:val="19"/>
            </w:pPr>
            <w:r>
              <w:t>4.3</w:t>
            </w:r>
            <w:r>
              <w:rPr>
                <w:rFonts w:hint="eastAsia"/>
              </w:rPr>
              <w:t>施工期噪声影响分析</w:t>
            </w:r>
          </w:p>
          <w:p w14:paraId="0647AD06">
            <w:pPr>
              <w:rPr>
                <w:b/>
              </w:rPr>
            </w:pPr>
            <w:r>
              <w:rPr>
                <w:rFonts w:hint="eastAsia"/>
              </w:rPr>
              <w:t>本项目施工期主要噪声源为钻机、柴油发电机、凿岩机、越野车（运输车辆）及爆破作业，各噪声源强均为距声源1m处测定值，详见下表。</w:t>
            </w:r>
          </w:p>
          <w:p w14:paraId="06C56DDD">
            <w:pPr>
              <w:pStyle w:val="16"/>
            </w:pPr>
            <w:r>
              <w:t>表4-</w:t>
            </w:r>
            <w:r>
              <w:rPr>
                <w:rFonts w:hint="eastAsia"/>
              </w:rPr>
              <w:t>2</w:t>
            </w:r>
            <w:r>
              <w:t xml:space="preserve">  主要噪声源及声级一览表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15"/>
              <w:gridCol w:w="2090"/>
              <w:gridCol w:w="1734"/>
              <w:gridCol w:w="1223"/>
              <w:gridCol w:w="1765"/>
            </w:tblGrid>
            <w:tr w14:paraId="5972AA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534" w:type="pct"/>
                  <w:tcBorders>
                    <w:tl2br w:val="nil"/>
                    <w:tr2bl w:val="nil"/>
                  </w:tcBorders>
                  <w:vAlign w:val="center"/>
                </w:tcPr>
                <w:p w14:paraId="5F1470FA">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序号</w:t>
                  </w:r>
                </w:p>
              </w:tc>
              <w:tc>
                <w:tcPr>
                  <w:tcW w:w="1370" w:type="pct"/>
                  <w:tcBorders>
                    <w:tl2br w:val="nil"/>
                    <w:tr2bl w:val="nil"/>
                  </w:tcBorders>
                  <w:vAlign w:val="center"/>
                </w:tcPr>
                <w:p w14:paraId="2E3F21C7">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声源名称</w:t>
                  </w:r>
                </w:p>
              </w:tc>
              <w:tc>
                <w:tcPr>
                  <w:tcW w:w="1137" w:type="pct"/>
                  <w:tcBorders>
                    <w:tl2br w:val="nil"/>
                    <w:tr2bl w:val="nil"/>
                  </w:tcBorders>
                  <w:vAlign w:val="center"/>
                </w:tcPr>
                <w:p w14:paraId="46FFABE7">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噪声</w:t>
                  </w:r>
                  <w:r>
                    <w:rPr>
                      <w:rFonts w:hint="eastAsia" w:ascii="Times New Roman" w:hAnsi="Times New Roman" w:eastAsiaTheme="minorEastAsia"/>
                      <w:sz w:val="21"/>
                      <w:szCs w:val="21"/>
                    </w:rPr>
                    <w:t>强度</w:t>
                  </w:r>
                  <w:r>
                    <w:rPr>
                      <w:rFonts w:ascii="Times New Roman" w:hAnsi="Times New Roman" w:eastAsiaTheme="minorEastAsia"/>
                      <w:sz w:val="21"/>
                      <w:szCs w:val="21"/>
                    </w:rPr>
                    <w:t>dB(A)</w:t>
                  </w:r>
                </w:p>
              </w:tc>
              <w:tc>
                <w:tcPr>
                  <w:tcW w:w="802" w:type="pct"/>
                  <w:tcBorders>
                    <w:tl2br w:val="nil"/>
                    <w:tr2bl w:val="nil"/>
                  </w:tcBorders>
                </w:tcPr>
                <w:p w14:paraId="06A42799">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测定距离</w:t>
                  </w:r>
                </w:p>
              </w:tc>
              <w:tc>
                <w:tcPr>
                  <w:tcW w:w="1157" w:type="pct"/>
                  <w:tcBorders>
                    <w:tl2br w:val="nil"/>
                    <w:tr2bl w:val="nil"/>
                  </w:tcBorders>
                  <w:vAlign w:val="center"/>
                </w:tcPr>
                <w:p w14:paraId="6A4709CA">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备注</w:t>
                  </w:r>
                </w:p>
              </w:tc>
            </w:tr>
            <w:tr w14:paraId="66242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 w:hRule="atLeast"/>
                <w:jc w:val="center"/>
              </w:trPr>
              <w:tc>
                <w:tcPr>
                  <w:tcW w:w="534" w:type="pct"/>
                  <w:tcBorders>
                    <w:tl2br w:val="nil"/>
                    <w:tr2bl w:val="nil"/>
                  </w:tcBorders>
                  <w:vAlign w:val="center"/>
                </w:tcPr>
                <w:p w14:paraId="1EF9C087">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w:t>
                  </w:r>
                </w:p>
              </w:tc>
              <w:tc>
                <w:tcPr>
                  <w:tcW w:w="1370" w:type="pct"/>
                  <w:tcBorders>
                    <w:tl2br w:val="nil"/>
                    <w:tr2bl w:val="nil"/>
                  </w:tcBorders>
                  <w:vAlign w:val="center"/>
                </w:tcPr>
                <w:p w14:paraId="6E5BB0C4">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钻机</w:t>
                  </w:r>
                </w:p>
              </w:tc>
              <w:tc>
                <w:tcPr>
                  <w:tcW w:w="1137" w:type="pct"/>
                  <w:tcBorders>
                    <w:tl2br w:val="nil"/>
                    <w:tr2bl w:val="nil"/>
                  </w:tcBorders>
                  <w:vAlign w:val="center"/>
                </w:tcPr>
                <w:p w14:paraId="4E99321C">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90</w:t>
                  </w:r>
                </w:p>
              </w:tc>
              <w:tc>
                <w:tcPr>
                  <w:tcW w:w="802" w:type="pct"/>
                  <w:tcBorders>
                    <w:tl2br w:val="nil"/>
                    <w:tr2bl w:val="nil"/>
                  </w:tcBorders>
                </w:tcPr>
                <w:p w14:paraId="404C7BDD">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1m</w:t>
                  </w:r>
                </w:p>
              </w:tc>
              <w:tc>
                <w:tcPr>
                  <w:tcW w:w="1157" w:type="pct"/>
                  <w:tcBorders>
                    <w:tl2br w:val="nil"/>
                    <w:tr2bl w:val="nil"/>
                  </w:tcBorders>
                  <w:vAlign w:val="center"/>
                </w:tcPr>
                <w:p w14:paraId="7F569BBD">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连续</w:t>
                  </w:r>
                </w:p>
              </w:tc>
            </w:tr>
            <w:tr w14:paraId="041AA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534" w:type="pct"/>
                  <w:tcBorders>
                    <w:tl2br w:val="nil"/>
                    <w:tr2bl w:val="nil"/>
                  </w:tcBorders>
                  <w:vAlign w:val="center"/>
                </w:tcPr>
                <w:p w14:paraId="14DFF249">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2</w:t>
                  </w:r>
                </w:p>
              </w:tc>
              <w:tc>
                <w:tcPr>
                  <w:tcW w:w="1370" w:type="pct"/>
                  <w:tcBorders>
                    <w:tl2br w:val="nil"/>
                    <w:tr2bl w:val="nil"/>
                  </w:tcBorders>
                  <w:vAlign w:val="center"/>
                </w:tcPr>
                <w:p w14:paraId="6E5E8959">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柴油发电机</w:t>
                  </w:r>
                </w:p>
              </w:tc>
              <w:tc>
                <w:tcPr>
                  <w:tcW w:w="1137" w:type="pct"/>
                  <w:tcBorders>
                    <w:tl2br w:val="nil"/>
                    <w:tr2bl w:val="nil"/>
                  </w:tcBorders>
                  <w:vAlign w:val="center"/>
                </w:tcPr>
                <w:p w14:paraId="3BC80954">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90</w:t>
                  </w:r>
                </w:p>
              </w:tc>
              <w:tc>
                <w:tcPr>
                  <w:tcW w:w="802" w:type="pct"/>
                  <w:tcBorders>
                    <w:tl2br w:val="nil"/>
                    <w:tr2bl w:val="nil"/>
                  </w:tcBorders>
                  <w:vAlign w:val="center"/>
                </w:tcPr>
                <w:p w14:paraId="06C938C8">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1m</w:t>
                  </w:r>
                </w:p>
              </w:tc>
              <w:tc>
                <w:tcPr>
                  <w:tcW w:w="1157" w:type="pct"/>
                  <w:tcBorders>
                    <w:tl2br w:val="nil"/>
                    <w:tr2bl w:val="nil"/>
                  </w:tcBorders>
                  <w:vAlign w:val="center"/>
                </w:tcPr>
                <w:p w14:paraId="2D553B3E">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连续</w:t>
                  </w:r>
                </w:p>
              </w:tc>
            </w:tr>
            <w:tr w14:paraId="70E28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534" w:type="pct"/>
                  <w:tcBorders>
                    <w:tl2br w:val="nil"/>
                    <w:tr2bl w:val="nil"/>
                  </w:tcBorders>
                  <w:vAlign w:val="center"/>
                </w:tcPr>
                <w:p w14:paraId="0DA6CD03">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3</w:t>
                  </w:r>
                </w:p>
              </w:tc>
              <w:tc>
                <w:tcPr>
                  <w:tcW w:w="1370" w:type="pct"/>
                  <w:tcBorders>
                    <w:tl2br w:val="nil"/>
                    <w:tr2bl w:val="nil"/>
                  </w:tcBorders>
                  <w:vAlign w:val="center"/>
                </w:tcPr>
                <w:p w14:paraId="5313AC01">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凿岩机</w:t>
                  </w:r>
                </w:p>
              </w:tc>
              <w:tc>
                <w:tcPr>
                  <w:tcW w:w="1137" w:type="pct"/>
                  <w:tcBorders>
                    <w:tl2br w:val="nil"/>
                    <w:tr2bl w:val="nil"/>
                  </w:tcBorders>
                  <w:vAlign w:val="center"/>
                </w:tcPr>
                <w:p w14:paraId="34BA79E1">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90</w:t>
                  </w:r>
                </w:p>
              </w:tc>
              <w:tc>
                <w:tcPr>
                  <w:tcW w:w="802" w:type="pct"/>
                  <w:tcBorders>
                    <w:tl2br w:val="nil"/>
                    <w:tr2bl w:val="nil"/>
                  </w:tcBorders>
                  <w:vAlign w:val="center"/>
                </w:tcPr>
                <w:p w14:paraId="79FF178E">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1m</w:t>
                  </w:r>
                </w:p>
              </w:tc>
              <w:tc>
                <w:tcPr>
                  <w:tcW w:w="1157" w:type="pct"/>
                  <w:tcBorders>
                    <w:tl2br w:val="nil"/>
                    <w:tr2bl w:val="nil"/>
                  </w:tcBorders>
                  <w:vAlign w:val="center"/>
                </w:tcPr>
                <w:p w14:paraId="40C7F8B2">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间歇</w:t>
                  </w:r>
                </w:p>
              </w:tc>
            </w:tr>
            <w:tr w14:paraId="58B9D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534" w:type="pct"/>
                  <w:tcBorders>
                    <w:tl2br w:val="nil"/>
                    <w:tr2bl w:val="nil"/>
                  </w:tcBorders>
                  <w:vAlign w:val="center"/>
                </w:tcPr>
                <w:p w14:paraId="3E37A318">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4</w:t>
                  </w:r>
                </w:p>
              </w:tc>
              <w:tc>
                <w:tcPr>
                  <w:tcW w:w="1370" w:type="pct"/>
                  <w:tcBorders>
                    <w:tl2br w:val="nil"/>
                    <w:tr2bl w:val="nil"/>
                  </w:tcBorders>
                  <w:vAlign w:val="center"/>
                </w:tcPr>
                <w:p w14:paraId="7778927A">
                  <w:pPr>
                    <w:pStyle w:val="15"/>
                    <w:spacing w:line="240" w:lineRule="auto"/>
                    <w:ind w:firstLine="0" w:firstLineChars="0"/>
                    <w:rPr>
                      <w:rFonts w:ascii="Times New Roman" w:hAnsi="Times New Roman" w:eastAsiaTheme="minorEastAsia"/>
                      <w:sz w:val="21"/>
                      <w:szCs w:val="21"/>
                    </w:rPr>
                  </w:pPr>
                  <w:r>
                    <w:rPr>
                      <w:rFonts w:hint="eastAsia" w:ascii="Times New Roman" w:hAnsi="Times New Roman" w:eastAsiaTheme="minorEastAsia"/>
                      <w:sz w:val="21"/>
                      <w:szCs w:val="21"/>
                    </w:rPr>
                    <w:t>越野车（运输车辆）</w:t>
                  </w:r>
                </w:p>
              </w:tc>
              <w:tc>
                <w:tcPr>
                  <w:tcW w:w="1137" w:type="pct"/>
                  <w:tcBorders>
                    <w:tl2br w:val="nil"/>
                    <w:tr2bl w:val="nil"/>
                  </w:tcBorders>
                  <w:vAlign w:val="center"/>
                </w:tcPr>
                <w:p w14:paraId="67984C74">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85</w:t>
                  </w:r>
                </w:p>
              </w:tc>
              <w:tc>
                <w:tcPr>
                  <w:tcW w:w="802" w:type="pct"/>
                  <w:tcBorders>
                    <w:tl2br w:val="nil"/>
                    <w:tr2bl w:val="nil"/>
                  </w:tcBorders>
                  <w:vAlign w:val="center"/>
                </w:tcPr>
                <w:p w14:paraId="51398A7A">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1m</w:t>
                  </w:r>
                </w:p>
              </w:tc>
              <w:tc>
                <w:tcPr>
                  <w:tcW w:w="1157" w:type="pct"/>
                  <w:tcBorders>
                    <w:tl2br w:val="nil"/>
                    <w:tr2bl w:val="nil"/>
                  </w:tcBorders>
                  <w:vAlign w:val="center"/>
                </w:tcPr>
                <w:p w14:paraId="5DCCE8C8">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流动</w:t>
                  </w:r>
                </w:p>
              </w:tc>
            </w:tr>
            <w:tr w14:paraId="32D2BA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 w:hRule="atLeast"/>
                <w:jc w:val="center"/>
              </w:trPr>
              <w:tc>
                <w:tcPr>
                  <w:tcW w:w="534" w:type="pct"/>
                  <w:tcBorders>
                    <w:tl2br w:val="nil"/>
                    <w:tr2bl w:val="nil"/>
                  </w:tcBorders>
                  <w:vAlign w:val="center"/>
                </w:tcPr>
                <w:p w14:paraId="3412444B">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p>
              </w:tc>
              <w:tc>
                <w:tcPr>
                  <w:tcW w:w="1370" w:type="pct"/>
                  <w:tcBorders>
                    <w:tl2br w:val="nil"/>
                    <w:tr2bl w:val="nil"/>
                  </w:tcBorders>
                  <w:vAlign w:val="center"/>
                </w:tcPr>
                <w:p w14:paraId="3BD2BB0D">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爆破</w:t>
                  </w:r>
                </w:p>
              </w:tc>
              <w:tc>
                <w:tcPr>
                  <w:tcW w:w="1137" w:type="pct"/>
                  <w:tcBorders>
                    <w:tl2br w:val="nil"/>
                    <w:tr2bl w:val="nil"/>
                  </w:tcBorders>
                  <w:vAlign w:val="center"/>
                </w:tcPr>
                <w:p w14:paraId="1E5EB858">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110（峰值）</w:t>
                  </w:r>
                </w:p>
              </w:tc>
              <w:tc>
                <w:tcPr>
                  <w:tcW w:w="802" w:type="pct"/>
                  <w:tcBorders>
                    <w:tl2br w:val="nil"/>
                    <w:tr2bl w:val="nil"/>
                  </w:tcBorders>
                  <w:vAlign w:val="center"/>
                </w:tcPr>
                <w:p w14:paraId="4CC83BB2">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1m</w:t>
                  </w:r>
                </w:p>
              </w:tc>
              <w:tc>
                <w:tcPr>
                  <w:tcW w:w="1157" w:type="pct"/>
                  <w:tcBorders>
                    <w:tl2br w:val="nil"/>
                    <w:tr2bl w:val="nil"/>
                  </w:tcBorders>
                  <w:vAlign w:val="center"/>
                </w:tcPr>
                <w:p w14:paraId="5F093200">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瞬时</w:t>
                  </w:r>
                </w:p>
              </w:tc>
            </w:tr>
          </w:tbl>
          <w:p w14:paraId="6D1284AE">
            <w:r>
              <w:rPr>
                <w:rFonts w:hint="eastAsia"/>
              </w:rPr>
              <w:t>（1）预测模式</w:t>
            </w:r>
          </w:p>
          <w:p w14:paraId="7A78FB92">
            <w:r>
              <w:rPr>
                <w:rFonts w:hint="eastAsia"/>
              </w:rPr>
              <w:t>施工过程使用的施工机械产生的噪声主要属于中低频率噪声，且为户外噪声，在预测其影响时只考虑其距离扩散衰减。</w:t>
            </w:r>
          </w:p>
          <w:p w14:paraId="0E5813B1">
            <w:r>
              <w:rPr>
                <w:rFonts w:hint="eastAsia"/>
              </w:rPr>
              <w:t>根据《环境影响评价技术导则声环境》（HJ2.4-2021）中附录A“户外声传播的衰减”推荐的预测模式，预测分析项目施工期噪声对声环境的影响。预测模式及参数：</w:t>
            </w:r>
          </w:p>
          <w:p w14:paraId="63F82652">
            <w:r>
              <w:rPr>
                <w:rFonts w:hint="eastAsia"/>
              </w:rPr>
              <w:t>点声源的几何发散衰减公式：</w:t>
            </w:r>
          </w:p>
          <w:p w14:paraId="41E2FA65">
            <w:pPr>
              <w:jc w:val="center"/>
            </w:pPr>
            <w:r>
              <w:drawing>
                <wp:inline distT="0" distB="0" distL="0" distR="0">
                  <wp:extent cx="2406650" cy="360045"/>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0"/>
                          <a:stretch>
                            <a:fillRect/>
                          </a:stretch>
                        </pic:blipFill>
                        <pic:spPr>
                          <a:xfrm>
                            <a:off x="0" y="0"/>
                            <a:ext cx="2421308" cy="362425"/>
                          </a:xfrm>
                          <a:prstGeom prst="rect">
                            <a:avLst/>
                          </a:prstGeom>
                        </pic:spPr>
                      </pic:pic>
                    </a:graphicData>
                  </a:graphic>
                </wp:inline>
              </w:drawing>
            </w:r>
          </w:p>
          <w:p w14:paraId="3BACD008">
            <w:r>
              <w:rPr>
                <w:rFonts w:hint="eastAsia"/>
              </w:rPr>
              <w:t>式中：</w:t>
            </w:r>
            <w:r>
              <w:t>Lp</w:t>
            </w:r>
            <w:r>
              <w:rPr>
                <w:rFonts w:hint="eastAsia"/>
              </w:rPr>
              <w:t>（r）</w:t>
            </w:r>
            <w:r>
              <w:t>——</w:t>
            </w:r>
            <w:r>
              <w:rPr>
                <w:rFonts w:hint="eastAsia"/>
              </w:rPr>
              <w:t>预测点处声压级，</w:t>
            </w:r>
            <w:r>
              <w:t>dB</w:t>
            </w:r>
            <w:r>
              <w:rPr>
                <w:rFonts w:hint="eastAsia"/>
              </w:rPr>
              <w:t>；</w:t>
            </w:r>
          </w:p>
          <w:p w14:paraId="6FB5867D">
            <w:r>
              <w:t>Lp</w:t>
            </w:r>
            <w:r>
              <w:rPr>
                <w:rFonts w:hint="eastAsia"/>
              </w:rPr>
              <w:t>（r</w:t>
            </w:r>
            <w:r>
              <w:rPr>
                <w:vertAlign w:val="subscript"/>
              </w:rPr>
              <w:t>0</w:t>
            </w:r>
            <w:r>
              <w:rPr>
                <w:rFonts w:hint="eastAsia"/>
              </w:rPr>
              <w:t>）</w:t>
            </w:r>
            <w:r>
              <w:t>——</w:t>
            </w:r>
            <w:r>
              <w:rPr>
                <w:rFonts w:hint="eastAsia"/>
              </w:rPr>
              <w:t>参考位置</w:t>
            </w:r>
            <w:r>
              <w:t>r</w:t>
            </w:r>
            <w:r>
              <w:rPr>
                <w:vertAlign w:val="subscript"/>
              </w:rPr>
              <w:t>0</w:t>
            </w:r>
            <w:r>
              <w:rPr>
                <w:rFonts w:hint="eastAsia"/>
              </w:rPr>
              <w:t>处的声压级，</w:t>
            </w:r>
            <w:r>
              <w:t>dB</w:t>
            </w:r>
            <w:r>
              <w:rPr>
                <w:rFonts w:hint="eastAsia"/>
              </w:rPr>
              <w:t>；</w:t>
            </w:r>
          </w:p>
          <w:p w14:paraId="21F56378">
            <w:r>
              <w:t>r——</w:t>
            </w:r>
            <w:r>
              <w:rPr>
                <w:rFonts w:hint="eastAsia"/>
              </w:rPr>
              <w:t>预测点距声源的距离；</w:t>
            </w:r>
          </w:p>
          <w:p w14:paraId="5DF5C863">
            <w:r>
              <w:t>r</w:t>
            </w:r>
            <w:r>
              <w:rPr>
                <w:vertAlign w:val="subscript"/>
              </w:rPr>
              <w:t>0</w:t>
            </w:r>
            <w:r>
              <w:t>——</w:t>
            </w:r>
            <w:r>
              <w:rPr>
                <w:rFonts w:hint="eastAsia"/>
              </w:rPr>
              <w:t>参考位置距声源的距离。</w:t>
            </w:r>
          </w:p>
          <w:p w14:paraId="391556FB">
            <w:r>
              <w:rPr>
                <w:rFonts w:hint="eastAsia"/>
              </w:rPr>
              <w:t>（2）噪声预测值</w:t>
            </w:r>
          </w:p>
          <w:p w14:paraId="02B6ACEF">
            <w:r>
              <w:rPr>
                <w:rFonts w:hint="eastAsia"/>
              </w:rPr>
              <w:t>将项目各种噪声源均简化为点声源，项目主要机械设备在不同距离的贡献值预测结果见下表。</w:t>
            </w:r>
          </w:p>
          <w:p w14:paraId="351506D2">
            <w:pPr>
              <w:pStyle w:val="16"/>
            </w:pPr>
            <w:r>
              <w:t>表4-</w:t>
            </w:r>
            <w:r>
              <w:rPr>
                <w:rFonts w:hint="eastAsia"/>
              </w:rPr>
              <w:t>3</w:t>
            </w:r>
            <w:r>
              <w:t xml:space="preserve">  </w:t>
            </w:r>
            <w:r>
              <w:rPr>
                <w:rFonts w:hint="eastAsia"/>
              </w:rPr>
              <w:t>生产机械噪声预测一览表</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36"/>
              <w:gridCol w:w="860"/>
              <w:gridCol w:w="601"/>
              <w:gridCol w:w="648"/>
              <w:gridCol w:w="648"/>
              <w:gridCol w:w="648"/>
              <w:gridCol w:w="714"/>
              <w:gridCol w:w="727"/>
              <w:gridCol w:w="745"/>
            </w:tblGrid>
            <w:tr w14:paraId="50D2CD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 w:hRule="atLeast"/>
              </w:trPr>
              <w:tc>
                <w:tcPr>
                  <w:tcW w:w="1335" w:type="pct"/>
                  <w:vMerge w:val="restart"/>
                  <w:tcBorders>
                    <w:tl2br w:val="nil"/>
                    <w:tr2bl w:val="nil"/>
                  </w:tcBorders>
                  <w:vAlign w:val="center"/>
                </w:tcPr>
                <w:p w14:paraId="02B37066">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机械类型</w:t>
                  </w:r>
                </w:p>
              </w:tc>
              <w:tc>
                <w:tcPr>
                  <w:tcW w:w="564" w:type="pct"/>
                  <w:vMerge w:val="restart"/>
                  <w:tcBorders>
                    <w:tl2br w:val="nil"/>
                    <w:tr2bl w:val="nil"/>
                  </w:tcBorders>
                  <w:vAlign w:val="center"/>
                </w:tcPr>
                <w:p w14:paraId="38EBB5D3">
                  <w:pPr>
                    <w:pStyle w:val="15"/>
                    <w:spacing w:line="240" w:lineRule="auto"/>
                    <w:ind w:firstLine="0" w:firstLineChars="0"/>
                    <w:rPr>
                      <w:rFonts w:ascii="Times New Roman" w:hAnsi="Times New Roman" w:eastAsiaTheme="minorEastAsia"/>
                      <w:sz w:val="21"/>
                      <w:szCs w:val="21"/>
                    </w:rPr>
                  </w:pPr>
                  <w:r>
                    <w:rPr>
                      <w:rFonts w:hint="eastAsia" w:ascii="Times New Roman" w:hAnsi="Times New Roman" w:eastAsiaTheme="minorEastAsia"/>
                      <w:sz w:val="21"/>
                      <w:szCs w:val="21"/>
                    </w:rPr>
                    <w:t>源强（1m处）</w:t>
                  </w:r>
                </w:p>
              </w:tc>
              <w:tc>
                <w:tcPr>
                  <w:tcW w:w="3101" w:type="pct"/>
                  <w:gridSpan w:val="7"/>
                  <w:tcBorders>
                    <w:tl2br w:val="nil"/>
                    <w:tr2bl w:val="nil"/>
                  </w:tcBorders>
                  <w:vAlign w:val="center"/>
                </w:tcPr>
                <w:p w14:paraId="45AB1F0B">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噪声</w:t>
                  </w:r>
                  <w:r>
                    <w:rPr>
                      <w:rFonts w:hint="eastAsia" w:ascii="Times New Roman" w:hAnsi="Times New Roman" w:eastAsiaTheme="minorEastAsia"/>
                      <w:sz w:val="21"/>
                      <w:szCs w:val="21"/>
                    </w:rPr>
                    <w:t>强度</w:t>
                  </w:r>
                  <w:r>
                    <w:rPr>
                      <w:rFonts w:ascii="Times New Roman" w:hAnsi="Times New Roman" w:eastAsiaTheme="minorEastAsia"/>
                      <w:sz w:val="21"/>
                      <w:szCs w:val="21"/>
                    </w:rPr>
                    <w:t>dB</w:t>
                  </w:r>
                  <w:r>
                    <w:rPr>
                      <w:rFonts w:hint="eastAsia" w:ascii="Times New Roman" w:hAnsi="Times New Roman" w:eastAsiaTheme="minorEastAsia"/>
                      <w:sz w:val="21"/>
                      <w:szCs w:val="21"/>
                    </w:rPr>
                    <w:t>（A）</w:t>
                  </w:r>
                </w:p>
              </w:tc>
            </w:tr>
            <w:tr w14:paraId="790BF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 w:hRule="atLeast"/>
              </w:trPr>
              <w:tc>
                <w:tcPr>
                  <w:tcW w:w="1335" w:type="pct"/>
                  <w:vMerge w:val="continue"/>
                  <w:tcBorders>
                    <w:tl2br w:val="nil"/>
                    <w:tr2bl w:val="nil"/>
                  </w:tcBorders>
                  <w:vAlign w:val="center"/>
                </w:tcPr>
                <w:p w14:paraId="42132BB2">
                  <w:pPr>
                    <w:pStyle w:val="15"/>
                    <w:spacing w:line="240" w:lineRule="auto"/>
                    <w:ind w:firstLine="0" w:firstLineChars="0"/>
                    <w:jc w:val="center"/>
                    <w:rPr>
                      <w:rFonts w:ascii="Times New Roman" w:hAnsi="Times New Roman" w:eastAsiaTheme="minorEastAsia"/>
                      <w:sz w:val="21"/>
                      <w:szCs w:val="21"/>
                    </w:rPr>
                  </w:pPr>
                </w:p>
              </w:tc>
              <w:tc>
                <w:tcPr>
                  <w:tcW w:w="564" w:type="pct"/>
                  <w:vMerge w:val="continue"/>
                  <w:tcBorders>
                    <w:tl2br w:val="nil"/>
                    <w:tr2bl w:val="nil"/>
                  </w:tcBorders>
                  <w:vAlign w:val="center"/>
                </w:tcPr>
                <w:p w14:paraId="74802FEA">
                  <w:pPr>
                    <w:pStyle w:val="15"/>
                    <w:spacing w:line="240" w:lineRule="auto"/>
                    <w:ind w:firstLine="0" w:firstLineChars="0"/>
                    <w:jc w:val="center"/>
                    <w:rPr>
                      <w:rFonts w:ascii="Times New Roman" w:hAnsi="Times New Roman" w:eastAsiaTheme="minorEastAsia"/>
                      <w:sz w:val="21"/>
                      <w:szCs w:val="21"/>
                    </w:rPr>
                  </w:pPr>
                </w:p>
              </w:tc>
              <w:tc>
                <w:tcPr>
                  <w:tcW w:w="394" w:type="pct"/>
                  <w:tcBorders>
                    <w:tl2br w:val="nil"/>
                    <w:tr2bl w:val="nil"/>
                  </w:tcBorders>
                  <w:vAlign w:val="center"/>
                </w:tcPr>
                <w:p w14:paraId="74BB258E">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w:t>
                  </w:r>
                  <w:r>
                    <w:rPr>
                      <w:rFonts w:ascii="Times New Roman" w:hAnsi="Times New Roman" w:eastAsiaTheme="minorEastAsia"/>
                      <w:sz w:val="21"/>
                      <w:szCs w:val="21"/>
                    </w:rPr>
                    <w:t>0m</w:t>
                  </w:r>
                </w:p>
              </w:tc>
              <w:tc>
                <w:tcPr>
                  <w:tcW w:w="425" w:type="pct"/>
                  <w:tcBorders>
                    <w:tl2br w:val="nil"/>
                    <w:tr2bl w:val="nil"/>
                  </w:tcBorders>
                  <w:vAlign w:val="center"/>
                </w:tcPr>
                <w:p w14:paraId="4A9CBB09">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20m</w:t>
                  </w:r>
                </w:p>
              </w:tc>
              <w:tc>
                <w:tcPr>
                  <w:tcW w:w="425" w:type="pct"/>
                  <w:tcBorders>
                    <w:tl2br w:val="nil"/>
                    <w:tr2bl w:val="nil"/>
                  </w:tcBorders>
                  <w:vAlign w:val="center"/>
                </w:tcPr>
                <w:p w14:paraId="79C02B3F">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30m</w:t>
                  </w:r>
                </w:p>
              </w:tc>
              <w:tc>
                <w:tcPr>
                  <w:tcW w:w="425" w:type="pct"/>
                  <w:tcBorders>
                    <w:tl2br w:val="nil"/>
                    <w:tr2bl w:val="nil"/>
                  </w:tcBorders>
                  <w:vAlign w:val="center"/>
                </w:tcPr>
                <w:p w14:paraId="5C480E11">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40m</w:t>
                  </w:r>
                </w:p>
              </w:tc>
              <w:tc>
                <w:tcPr>
                  <w:tcW w:w="468" w:type="pct"/>
                  <w:tcBorders>
                    <w:tl2br w:val="nil"/>
                    <w:tr2bl w:val="nil"/>
                  </w:tcBorders>
                  <w:vAlign w:val="center"/>
                </w:tcPr>
                <w:p w14:paraId="53507785">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50m</w:t>
                  </w:r>
                </w:p>
              </w:tc>
              <w:tc>
                <w:tcPr>
                  <w:tcW w:w="476" w:type="pct"/>
                  <w:tcBorders>
                    <w:tl2br w:val="nil"/>
                    <w:tr2bl w:val="nil"/>
                  </w:tcBorders>
                  <w:vAlign w:val="center"/>
                </w:tcPr>
                <w:p w14:paraId="5105FEE2">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1</w:t>
                  </w:r>
                  <w:r>
                    <w:rPr>
                      <w:rFonts w:ascii="Times New Roman" w:hAnsi="Times New Roman" w:eastAsiaTheme="minorEastAsia"/>
                      <w:sz w:val="21"/>
                      <w:szCs w:val="21"/>
                    </w:rPr>
                    <w:t>00m</w:t>
                  </w:r>
                </w:p>
              </w:tc>
              <w:tc>
                <w:tcPr>
                  <w:tcW w:w="487" w:type="pct"/>
                  <w:tcBorders>
                    <w:tl2br w:val="nil"/>
                    <w:tr2bl w:val="nil"/>
                  </w:tcBorders>
                  <w:vAlign w:val="center"/>
                </w:tcPr>
                <w:p w14:paraId="6E100E92">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200m</w:t>
                  </w:r>
                </w:p>
              </w:tc>
            </w:tr>
            <w:tr w14:paraId="02EE1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1335" w:type="pct"/>
                  <w:tcBorders>
                    <w:tl2br w:val="nil"/>
                    <w:tr2bl w:val="nil"/>
                  </w:tcBorders>
                  <w:vAlign w:val="center"/>
                </w:tcPr>
                <w:p w14:paraId="5BBCAFD3">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钻机</w:t>
                  </w:r>
                </w:p>
              </w:tc>
              <w:tc>
                <w:tcPr>
                  <w:tcW w:w="564" w:type="pct"/>
                  <w:tcBorders>
                    <w:tl2br w:val="nil"/>
                    <w:tr2bl w:val="nil"/>
                  </w:tcBorders>
                  <w:vAlign w:val="center"/>
                </w:tcPr>
                <w:p w14:paraId="70B20665">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90</w:t>
                  </w:r>
                </w:p>
              </w:tc>
              <w:tc>
                <w:tcPr>
                  <w:tcW w:w="394" w:type="pct"/>
                  <w:tcBorders>
                    <w:tl2br w:val="nil"/>
                    <w:tr2bl w:val="nil"/>
                  </w:tcBorders>
                  <w:vAlign w:val="center"/>
                </w:tcPr>
                <w:p w14:paraId="78AC3B3C">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7</w:t>
                  </w:r>
                  <w:r>
                    <w:rPr>
                      <w:rFonts w:ascii="Times New Roman" w:hAnsi="Times New Roman" w:eastAsiaTheme="minorEastAsia"/>
                      <w:sz w:val="21"/>
                      <w:szCs w:val="21"/>
                    </w:rPr>
                    <w:t>0.0</w:t>
                  </w:r>
                </w:p>
              </w:tc>
              <w:tc>
                <w:tcPr>
                  <w:tcW w:w="425" w:type="pct"/>
                  <w:tcBorders>
                    <w:tl2br w:val="nil"/>
                    <w:tr2bl w:val="nil"/>
                  </w:tcBorders>
                  <w:vAlign w:val="center"/>
                </w:tcPr>
                <w:p w14:paraId="02697864">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6</w:t>
                  </w:r>
                  <w:r>
                    <w:rPr>
                      <w:rFonts w:ascii="Times New Roman" w:hAnsi="Times New Roman" w:eastAsiaTheme="minorEastAsia"/>
                      <w:sz w:val="21"/>
                      <w:szCs w:val="21"/>
                    </w:rPr>
                    <w:t>4.0</w:t>
                  </w:r>
                </w:p>
              </w:tc>
              <w:tc>
                <w:tcPr>
                  <w:tcW w:w="425" w:type="pct"/>
                  <w:tcBorders>
                    <w:tl2br w:val="nil"/>
                    <w:tr2bl w:val="nil"/>
                  </w:tcBorders>
                  <w:vAlign w:val="center"/>
                </w:tcPr>
                <w:p w14:paraId="233C5717">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6</w:t>
                  </w:r>
                  <w:r>
                    <w:rPr>
                      <w:rFonts w:ascii="Times New Roman" w:hAnsi="Times New Roman" w:eastAsiaTheme="minorEastAsia"/>
                      <w:sz w:val="21"/>
                      <w:szCs w:val="21"/>
                    </w:rPr>
                    <w:t>0.5</w:t>
                  </w:r>
                </w:p>
              </w:tc>
              <w:tc>
                <w:tcPr>
                  <w:tcW w:w="425" w:type="pct"/>
                  <w:tcBorders>
                    <w:tl2br w:val="nil"/>
                    <w:tr2bl w:val="nil"/>
                  </w:tcBorders>
                  <w:vAlign w:val="center"/>
                </w:tcPr>
                <w:p w14:paraId="5CE5E120">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8.0</w:t>
                  </w:r>
                </w:p>
              </w:tc>
              <w:tc>
                <w:tcPr>
                  <w:tcW w:w="468" w:type="pct"/>
                  <w:tcBorders>
                    <w:tl2br w:val="nil"/>
                    <w:tr2bl w:val="nil"/>
                  </w:tcBorders>
                  <w:vAlign w:val="center"/>
                </w:tcPr>
                <w:p w14:paraId="79FA7C50">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6.0</w:t>
                  </w:r>
                </w:p>
              </w:tc>
              <w:tc>
                <w:tcPr>
                  <w:tcW w:w="476" w:type="pct"/>
                  <w:tcBorders>
                    <w:tl2br w:val="nil"/>
                    <w:tr2bl w:val="nil"/>
                  </w:tcBorders>
                  <w:vAlign w:val="center"/>
                </w:tcPr>
                <w:p w14:paraId="197FF44A">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0.0</w:t>
                  </w:r>
                </w:p>
              </w:tc>
              <w:tc>
                <w:tcPr>
                  <w:tcW w:w="487" w:type="pct"/>
                  <w:tcBorders>
                    <w:tl2br w:val="nil"/>
                    <w:tr2bl w:val="nil"/>
                  </w:tcBorders>
                  <w:vAlign w:val="center"/>
                </w:tcPr>
                <w:p w14:paraId="5CCB6BA9">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4</w:t>
                  </w:r>
                  <w:r>
                    <w:rPr>
                      <w:rFonts w:ascii="Times New Roman" w:hAnsi="Times New Roman" w:eastAsiaTheme="minorEastAsia"/>
                      <w:sz w:val="21"/>
                      <w:szCs w:val="21"/>
                    </w:rPr>
                    <w:t>4.0</w:t>
                  </w:r>
                </w:p>
              </w:tc>
            </w:tr>
            <w:tr w14:paraId="7003E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1335" w:type="pct"/>
                  <w:tcBorders>
                    <w:tl2br w:val="nil"/>
                    <w:tr2bl w:val="nil"/>
                  </w:tcBorders>
                  <w:vAlign w:val="center"/>
                </w:tcPr>
                <w:p w14:paraId="02C53B0C">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柴油发电机</w:t>
                  </w:r>
                </w:p>
              </w:tc>
              <w:tc>
                <w:tcPr>
                  <w:tcW w:w="564" w:type="pct"/>
                  <w:tcBorders>
                    <w:tl2br w:val="nil"/>
                    <w:tr2bl w:val="nil"/>
                  </w:tcBorders>
                  <w:vAlign w:val="center"/>
                </w:tcPr>
                <w:p w14:paraId="6376FC19">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90</w:t>
                  </w:r>
                </w:p>
              </w:tc>
              <w:tc>
                <w:tcPr>
                  <w:tcW w:w="394" w:type="pct"/>
                  <w:tcBorders>
                    <w:tl2br w:val="nil"/>
                    <w:tr2bl w:val="nil"/>
                  </w:tcBorders>
                  <w:vAlign w:val="center"/>
                </w:tcPr>
                <w:p w14:paraId="66B23985">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7</w:t>
                  </w:r>
                  <w:r>
                    <w:rPr>
                      <w:rFonts w:ascii="Times New Roman" w:hAnsi="Times New Roman" w:eastAsiaTheme="minorEastAsia"/>
                      <w:sz w:val="21"/>
                      <w:szCs w:val="21"/>
                    </w:rPr>
                    <w:t>0.0</w:t>
                  </w:r>
                </w:p>
              </w:tc>
              <w:tc>
                <w:tcPr>
                  <w:tcW w:w="425" w:type="pct"/>
                  <w:tcBorders>
                    <w:tl2br w:val="nil"/>
                    <w:tr2bl w:val="nil"/>
                  </w:tcBorders>
                  <w:vAlign w:val="center"/>
                </w:tcPr>
                <w:p w14:paraId="5E5591D6">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6</w:t>
                  </w:r>
                  <w:r>
                    <w:rPr>
                      <w:rFonts w:ascii="Times New Roman" w:hAnsi="Times New Roman" w:eastAsiaTheme="minorEastAsia"/>
                      <w:sz w:val="21"/>
                      <w:szCs w:val="21"/>
                    </w:rPr>
                    <w:t>4.0</w:t>
                  </w:r>
                </w:p>
              </w:tc>
              <w:tc>
                <w:tcPr>
                  <w:tcW w:w="425" w:type="pct"/>
                  <w:tcBorders>
                    <w:tl2br w:val="nil"/>
                    <w:tr2bl w:val="nil"/>
                  </w:tcBorders>
                  <w:vAlign w:val="center"/>
                </w:tcPr>
                <w:p w14:paraId="13C89583">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6</w:t>
                  </w:r>
                  <w:r>
                    <w:rPr>
                      <w:rFonts w:ascii="Times New Roman" w:hAnsi="Times New Roman" w:eastAsiaTheme="minorEastAsia"/>
                      <w:sz w:val="21"/>
                      <w:szCs w:val="21"/>
                    </w:rPr>
                    <w:t>0.5</w:t>
                  </w:r>
                </w:p>
              </w:tc>
              <w:tc>
                <w:tcPr>
                  <w:tcW w:w="425" w:type="pct"/>
                  <w:tcBorders>
                    <w:tl2br w:val="nil"/>
                    <w:tr2bl w:val="nil"/>
                  </w:tcBorders>
                  <w:vAlign w:val="center"/>
                </w:tcPr>
                <w:p w14:paraId="111C831B">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8.0</w:t>
                  </w:r>
                </w:p>
              </w:tc>
              <w:tc>
                <w:tcPr>
                  <w:tcW w:w="468" w:type="pct"/>
                  <w:tcBorders>
                    <w:tl2br w:val="nil"/>
                    <w:tr2bl w:val="nil"/>
                  </w:tcBorders>
                  <w:vAlign w:val="center"/>
                </w:tcPr>
                <w:p w14:paraId="0DDE6559">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6.0</w:t>
                  </w:r>
                </w:p>
              </w:tc>
              <w:tc>
                <w:tcPr>
                  <w:tcW w:w="476" w:type="pct"/>
                  <w:tcBorders>
                    <w:tl2br w:val="nil"/>
                    <w:tr2bl w:val="nil"/>
                  </w:tcBorders>
                  <w:vAlign w:val="center"/>
                </w:tcPr>
                <w:p w14:paraId="27E2C633">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0.0</w:t>
                  </w:r>
                </w:p>
              </w:tc>
              <w:tc>
                <w:tcPr>
                  <w:tcW w:w="487" w:type="pct"/>
                  <w:tcBorders>
                    <w:tl2br w:val="nil"/>
                    <w:tr2bl w:val="nil"/>
                  </w:tcBorders>
                  <w:vAlign w:val="center"/>
                </w:tcPr>
                <w:p w14:paraId="41DA5537">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4</w:t>
                  </w:r>
                  <w:r>
                    <w:rPr>
                      <w:rFonts w:ascii="Times New Roman" w:hAnsi="Times New Roman" w:eastAsiaTheme="minorEastAsia"/>
                      <w:sz w:val="21"/>
                      <w:szCs w:val="21"/>
                    </w:rPr>
                    <w:t>4.0</w:t>
                  </w:r>
                </w:p>
              </w:tc>
            </w:tr>
            <w:tr w14:paraId="1BDF6C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trPr>
              <w:tc>
                <w:tcPr>
                  <w:tcW w:w="1335" w:type="pct"/>
                  <w:tcBorders>
                    <w:tl2br w:val="nil"/>
                    <w:tr2bl w:val="nil"/>
                  </w:tcBorders>
                  <w:vAlign w:val="center"/>
                </w:tcPr>
                <w:p w14:paraId="61793876">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凿岩机</w:t>
                  </w:r>
                </w:p>
              </w:tc>
              <w:tc>
                <w:tcPr>
                  <w:tcW w:w="564" w:type="pct"/>
                  <w:tcBorders>
                    <w:tl2br w:val="nil"/>
                    <w:tr2bl w:val="nil"/>
                  </w:tcBorders>
                  <w:vAlign w:val="center"/>
                </w:tcPr>
                <w:p w14:paraId="0277FAC9">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90</w:t>
                  </w:r>
                </w:p>
              </w:tc>
              <w:tc>
                <w:tcPr>
                  <w:tcW w:w="394" w:type="pct"/>
                  <w:tcBorders>
                    <w:tl2br w:val="nil"/>
                    <w:tr2bl w:val="nil"/>
                  </w:tcBorders>
                  <w:vAlign w:val="center"/>
                </w:tcPr>
                <w:p w14:paraId="4FDCA46B">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6</w:t>
                  </w:r>
                  <w:r>
                    <w:rPr>
                      <w:rFonts w:ascii="Times New Roman" w:hAnsi="Times New Roman" w:eastAsiaTheme="minorEastAsia"/>
                      <w:sz w:val="21"/>
                      <w:szCs w:val="21"/>
                    </w:rPr>
                    <w:t>8.0</w:t>
                  </w:r>
                </w:p>
              </w:tc>
              <w:tc>
                <w:tcPr>
                  <w:tcW w:w="425" w:type="pct"/>
                  <w:tcBorders>
                    <w:tl2br w:val="nil"/>
                    <w:tr2bl w:val="nil"/>
                  </w:tcBorders>
                  <w:vAlign w:val="center"/>
                </w:tcPr>
                <w:p w14:paraId="5E9C8DF0">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6</w:t>
                  </w:r>
                  <w:r>
                    <w:rPr>
                      <w:rFonts w:ascii="Times New Roman" w:hAnsi="Times New Roman" w:eastAsiaTheme="minorEastAsia"/>
                      <w:sz w:val="21"/>
                      <w:szCs w:val="21"/>
                    </w:rPr>
                    <w:t>2.0</w:t>
                  </w:r>
                </w:p>
              </w:tc>
              <w:tc>
                <w:tcPr>
                  <w:tcW w:w="425" w:type="pct"/>
                  <w:tcBorders>
                    <w:tl2br w:val="nil"/>
                    <w:tr2bl w:val="nil"/>
                  </w:tcBorders>
                  <w:vAlign w:val="center"/>
                </w:tcPr>
                <w:p w14:paraId="36FE24B4">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8.5</w:t>
                  </w:r>
                </w:p>
              </w:tc>
              <w:tc>
                <w:tcPr>
                  <w:tcW w:w="425" w:type="pct"/>
                  <w:tcBorders>
                    <w:tl2br w:val="nil"/>
                    <w:tr2bl w:val="nil"/>
                  </w:tcBorders>
                  <w:vAlign w:val="center"/>
                </w:tcPr>
                <w:p w14:paraId="4ED2D22D">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6.0</w:t>
                  </w:r>
                </w:p>
              </w:tc>
              <w:tc>
                <w:tcPr>
                  <w:tcW w:w="468" w:type="pct"/>
                  <w:tcBorders>
                    <w:tl2br w:val="nil"/>
                    <w:tr2bl w:val="nil"/>
                  </w:tcBorders>
                  <w:vAlign w:val="center"/>
                </w:tcPr>
                <w:p w14:paraId="08D5D873">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4.0</w:t>
                  </w:r>
                </w:p>
              </w:tc>
              <w:tc>
                <w:tcPr>
                  <w:tcW w:w="476" w:type="pct"/>
                  <w:tcBorders>
                    <w:tl2br w:val="nil"/>
                    <w:tr2bl w:val="nil"/>
                  </w:tcBorders>
                  <w:vAlign w:val="center"/>
                </w:tcPr>
                <w:p w14:paraId="0EDD6DED">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4</w:t>
                  </w:r>
                  <w:r>
                    <w:rPr>
                      <w:rFonts w:ascii="Times New Roman" w:hAnsi="Times New Roman" w:eastAsiaTheme="minorEastAsia"/>
                      <w:sz w:val="21"/>
                      <w:szCs w:val="21"/>
                    </w:rPr>
                    <w:t>8.0</w:t>
                  </w:r>
                </w:p>
              </w:tc>
              <w:tc>
                <w:tcPr>
                  <w:tcW w:w="487" w:type="pct"/>
                  <w:tcBorders>
                    <w:tl2br w:val="nil"/>
                    <w:tr2bl w:val="nil"/>
                  </w:tcBorders>
                  <w:vAlign w:val="center"/>
                </w:tcPr>
                <w:p w14:paraId="5FCECEC6">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4</w:t>
                  </w:r>
                  <w:r>
                    <w:rPr>
                      <w:rFonts w:ascii="Times New Roman" w:hAnsi="Times New Roman" w:eastAsiaTheme="minorEastAsia"/>
                      <w:sz w:val="21"/>
                      <w:szCs w:val="21"/>
                    </w:rPr>
                    <w:t>2.0</w:t>
                  </w:r>
                </w:p>
              </w:tc>
            </w:tr>
            <w:tr w14:paraId="28411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 w:hRule="atLeast"/>
              </w:trPr>
              <w:tc>
                <w:tcPr>
                  <w:tcW w:w="1335" w:type="pct"/>
                  <w:tcBorders>
                    <w:tl2br w:val="nil"/>
                    <w:tr2bl w:val="nil"/>
                  </w:tcBorders>
                  <w:vAlign w:val="center"/>
                </w:tcPr>
                <w:p w14:paraId="6545E9EA">
                  <w:pPr>
                    <w:pStyle w:val="15"/>
                    <w:spacing w:line="240" w:lineRule="auto"/>
                    <w:ind w:firstLine="0" w:firstLineChars="0"/>
                    <w:rPr>
                      <w:rFonts w:ascii="Times New Roman" w:hAnsi="Times New Roman" w:eastAsiaTheme="minorEastAsia"/>
                      <w:sz w:val="21"/>
                      <w:szCs w:val="21"/>
                    </w:rPr>
                  </w:pPr>
                  <w:r>
                    <w:rPr>
                      <w:rFonts w:hint="eastAsia" w:ascii="Times New Roman" w:hAnsi="Times New Roman" w:eastAsiaTheme="minorEastAsia"/>
                      <w:sz w:val="21"/>
                      <w:szCs w:val="21"/>
                    </w:rPr>
                    <w:t>越野车（运输车辆）</w:t>
                  </w:r>
                </w:p>
              </w:tc>
              <w:tc>
                <w:tcPr>
                  <w:tcW w:w="564" w:type="pct"/>
                  <w:tcBorders>
                    <w:tl2br w:val="nil"/>
                    <w:tr2bl w:val="nil"/>
                  </w:tcBorders>
                  <w:vAlign w:val="center"/>
                </w:tcPr>
                <w:p w14:paraId="462BA19B">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85</w:t>
                  </w:r>
                </w:p>
              </w:tc>
              <w:tc>
                <w:tcPr>
                  <w:tcW w:w="394" w:type="pct"/>
                  <w:tcBorders>
                    <w:tl2br w:val="nil"/>
                    <w:tr2bl w:val="nil"/>
                  </w:tcBorders>
                  <w:vAlign w:val="center"/>
                </w:tcPr>
                <w:p w14:paraId="12E38ADB">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6</w:t>
                  </w:r>
                  <w:r>
                    <w:rPr>
                      <w:rFonts w:ascii="Times New Roman" w:hAnsi="Times New Roman" w:eastAsiaTheme="minorEastAsia"/>
                      <w:sz w:val="21"/>
                      <w:szCs w:val="21"/>
                    </w:rPr>
                    <w:t>5.0</w:t>
                  </w:r>
                </w:p>
              </w:tc>
              <w:tc>
                <w:tcPr>
                  <w:tcW w:w="425" w:type="pct"/>
                  <w:tcBorders>
                    <w:tl2br w:val="nil"/>
                    <w:tr2bl w:val="nil"/>
                  </w:tcBorders>
                  <w:vAlign w:val="center"/>
                </w:tcPr>
                <w:p w14:paraId="3E52BB57">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9.0</w:t>
                  </w:r>
                </w:p>
              </w:tc>
              <w:tc>
                <w:tcPr>
                  <w:tcW w:w="425" w:type="pct"/>
                  <w:tcBorders>
                    <w:tl2br w:val="nil"/>
                    <w:tr2bl w:val="nil"/>
                  </w:tcBorders>
                  <w:vAlign w:val="center"/>
                </w:tcPr>
                <w:p w14:paraId="06E9D2E6">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5.5</w:t>
                  </w:r>
                </w:p>
              </w:tc>
              <w:tc>
                <w:tcPr>
                  <w:tcW w:w="425" w:type="pct"/>
                  <w:tcBorders>
                    <w:tl2br w:val="nil"/>
                    <w:tr2bl w:val="nil"/>
                  </w:tcBorders>
                  <w:vAlign w:val="center"/>
                </w:tcPr>
                <w:p w14:paraId="534C704F">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3.0</w:t>
                  </w:r>
                </w:p>
              </w:tc>
              <w:tc>
                <w:tcPr>
                  <w:tcW w:w="468" w:type="pct"/>
                  <w:tcBorders>
                    <w:tl2br w:val="nil"/>
                    <w:tr2bl w:val="nil"/>
                  </w:tcBorders>
                  <w:vAlign w:val="center"/>
                </w:tcPr>
                <w:p w14:paraId="367D6DBA">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5</w:t>
                  </w:r>
                  <w:r>
                    <w:rPr>
                      <w:rFonts w:ascii="Times New Roman" w:hAnsi="Times New Roman" w:eastAsiaTheme="minorEastAsia"/>
                      <w:sz w:val="21"/>
                      <w:szCs w:val="21"/>
                    </w:rPr>
                    <w:t>1.0</w:t>
                  </w:r>
                </w:p>
              </w:tc>
              <w:tc>
                <w:tcPr>
                  <w:tcW w:w="476" w:type="pct"/>
                  <w:tcBorders>
                    <w:tl2br w:val="nil"/>
                    <w:tr2bl w:val="nil"/>
                  </w:tcBorders>
                  <w:vAlign w:val="center"/>
                </w:tcPr>
                <w:p w14:paraId="04E7490C">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4</w:t>
                  </w:r>
                  <w:r>
                    <w:rPr>
                      <w:rFonts w:ascii="Times New Roman" w:hAnsi="Times New Roman" w:eastAsiaTheme="minorEastAsia"/>
                      <w:sz w:val="21"/>
                      <w:szCs w:val="21"/>
                    </w:rPr>
                    <w:t>5.0</w:t>
                  </w:r>
                </w:p>
              </w:tc>
              <w:tc>
                <w:tcPr>
                  <w:tcW w:w="487" w:type="pct"/>
                  <w:tcBorders>
                    <w:tl2br w:val="nil"/>
                    <w:tr2bl w:val="nil"/>
                  </w:tcBorders>
                  <w:vAlign w:val="center"/>
                </w:tcPr>
                <w:p w14:paraId="37EA07FC">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3</w:t>
                  </w:r>
                  <w:r>
                    <w:rPr>
                      <w:rFonts w:ascii="Times New Roman" w:hAnsi="Times New Roman" w:eastAsiaTheme="minorEastAsia"/>
                      <w:sz w:val="21"/>
                      <w:szCs w:val="21"/>
                    </w:rPr>
                    <w:t>9.0</w:t>
                  </w:r>
                </w:p>
              </w:tc>
            </w:tr>
            <w:tr w14:paraId="58DAD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 w:hRule="atLeast"/>
              </w:trPr>
              <w:tc>
                <w:tcPr>
                  <w:tcW w:w="1335" w:type="pct"/>
                  <w:tcBorders>
                    <w:tl2br w:val="nil"/>
                    <w:tr2bl w:val="nil"/>
                  </w:tcBorders>
                  <w:vAlign w:val="center"/>
                </w:tcPr>
                <w:p w14:paraId="10A73A2E">
                  <w:pPr>
                    <w:pStyle w:val="15"/>
                    <w:spacing w:line="240" w:lineRule="auto"/>
                    <w:ind w:firstLine="0" w:firstLineChars="0"/>
                    <w:jc w:val="center"/>
                    <w:rPr>
                      <w:rFonts w:ascii="Times New Roman" w:hAnsi="Times New Roman" w:eastAsiaTheme="minorEastAsia"/>
                      <w:sz w:val="21"/>
                      <w:szCs w:val="21"/>
                    </w:rPr>
                  </w:pPr>
                  <w:r>
                    <w:rPr>
                      <w:rFonts w:hint="eastAsia" w:ascii="Times New Roman" w:hAnsi="Times New Roman" w:eastAsiaTheme="minorEastAsia"/>
                      <w:sz w:val="21"/>
                      <w:szCs w:val="21"/>
                    </w:rPr>
                    <w:t>爆破（瞬时峰值）</w:t>
                  </w:r>
                </w:p>
              </w:tc>
              <w:tc>
                <w:tcPr>
                  <w:tcW w:w="564" w:type="pct"/>
                  <w:tcBorders>
                    <w:tl2br w:val="nil"/>
                    <w:tr2bl w:val="nil"/>
                  </w:tcBorders>
                  <w:vAlign w:val="center"/>
                </w:tcPr>
                <w:p w14:paraId="7A6FC263">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110</w:t>
                  </w:r>
                </w:p>
              </w:tc>
              <w:tc>
                <w:tcPr>
                  <w:tcW w:w="394" w:type="pct"/>
                  <w:tcBorders>
                    <w:tl2br w:val="nil"/>
                    <w:tr2bl w:val="nil"/>
                  </w:tcBorders>
                  <w:vAlign w:val="center"/>
                </w:tcPr>
                <w:p w14:paraId="2C813B57">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90.0</w:t>
                  </w:r>
                </w:p>
              </w:tc>
              <w:tc>
                <w:tcPr>
                  <w:tcW w:w="425" w:type="pct"/>
                  <w:tcBorders>
                    <w:tl2br w:val="nil"/>
                    <w:tr2bl w:val="nil"/>
                  </w:tcBorders>
                  <w:vAlign w:val="center"/>
                </w:tcPr>
                <w:p w14:paraId="74CE3751">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84.0</w:t>
                  </w:r>
                </w:p>
              </w:tc>
              <w:tc>
                <w:tcPr>
                  <w:tcW w:w="425" w:type="pct"/>
                  <w:tcBorders>
                    <w:tl2br w:val="nil"/>
                    <w:tr2bl w:val="nil"/>
                  </w:tcBorders>
                  <w:vAlign w:val="center"/>
                </w:tcPr>
                <w:p w14:paraId="262D1FE7">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80.5</w:t>
                  </w:r>
                </w:p>
              </w:tc>
              <w:tc>
                <w:tcPr>
                  <w:tcW w:w="425" w:type="pct"/>
                  <w:tcBorders>
                    <w:tl2br w:val="nil"/>
                    <w:tr2bl w:val="nil"/>
                  </w:tcBorders>
                  <w:vAlign w:val="center"/>
                </w:tcPr>
                <w:p w14:paraId="2C2DB5F7">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78.0</w:t>
                  </w:r>
                </w:p>
              </w:tc>
              <w:tc>
                <w:tcPr>
                  <w:tcW w:w="468" w:type="pct"/>
                  <w:tcBorders>
                    <w:tl2br w:val="nil"/>
                    <w:tr2bl w:val="nil"/>
                  </w:tcBorders>
                  <w:vAlign w:val="center"/>
                </w:tcPr>
                <w:p w14:paraId="70AA7E6C">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76.0</w:t>
                  </w:r>
                </w:p>
              </w:tc>
              <w:tc>
                <w:tcPr>
                  <w:tcW w:w="476" w:type="pct"/>
                  <w:tcBorders>
                    <w:tl2br w:val="nil"/>
                    <w:tr2bl w:val="nil"/>
                  </w:tcBorders>
                  <w:vAlign w:val="center"/>
                </w:tcPr>
                <w:p w14:paraId="57C0F031">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70.0</w:t>
                  </w:r>
                </w:p>
              </w:tc>
              <w:tc>
                <w:tcPr>
                  <w:tcW w:w="487" w:type="pct"/>
                  <w:tcBorders>
                    <w:tl2br w:val="nil"/>
                    <w:tr2bl w:val="nil"/>
                  </w:tcBorders>
                  <w:vAlign w:val="center"/>
                </w:tcPr>
                <w:p w14:paraId="1FCB647D">
                  <w:pPr>
                    <w:pStyle w:val="15"/>
                    <w:spacing w:line="240" w:lineRule="auto"/>
                    <w:ind w:firstLine="0" w:firstLineChars="0"/>
                    <w:jc w:val="center"/>
                    <w:rPr>
                      <w:rFonts w:ascii="Times New Roman" w:hAnsi="Times New Roman" w:eastAsiaTheme="minorEastAsia"/>
                      <w:sz w:val="21"/>
                      <w:szCs w:val="21"/>
                    </w:rPr>
                  </w:pPr>
                  <w:r>
                    <w:rPr>
                      <w:rFonts w:ascii="Times New Roman" w:hAnsi="Times New Roman" w:eastAsiaTheme="minorEastAsia"/>
                      <w:sz w:val="21"/>
                      <w:szCs w:val="21"/>
                    </w:rPr>
                    <w:t>64.0</w:t>
                  </w:r>
                </w:p>
              </w:tc>
            </w:tr>
          </w:tbl>
          <w:p w14:paraId="635BB64E">
            <w:r>
              <w:rPr>
                <w:rFonts w:hint="eastAsia"/>
              </w:rPr>
              <w:t>由表4-3预测结果可知，单台设备在10m处昼间贡献值为70.0dB（A），满足《建筑施工噪声排放标准》（GB12523-20</w:t>
            </w:r>
            <w:r>
              <w:t>25</w:t>
            </w:r>
            <w:r>
              <w:rPr>
                <w:rFonts w:hint="eastAsia"/>
              </w:rPr>
              <w:t>）昼间70dB（A）的排放限值要求。爆破作业为瞬时噪声，不适用于连续噪声标准，在200m处峰值贡献值约64dB（A）。施工期各噪声源设备距场界均有一定距离，经距离衰减后场界处昼间噪声贡献值可满足标准限值要求，且周边200m范围内无声环境敏感目标。项目施工主要集中在昼间，严禁夜间施工，施工噪声对周围声环境影响可接受。</w:t>
            </w:r>
          </w:p>
          <w:p w14:paraId="506DAC4C">
            <w:pPr>
              <w:pStyle w:val="19"/>
              <w:rPr>
                <w:color w:val="000000" w:themeColor="text1"/>
                <w14:textFill>
                  <w14:solidFill>
                    <w14:schemeClr w14:val="tx1"/>
                  </w14:solidFill>
                </w14:textFill>
              </w:rPr>
            </w:pPr>
            <w:r>
              <w:rPr>
                <w:color w:val="000000" w:themeColor="text1"/>
                <w14:textFill>
                  <w14:solidFill>
                    <w14:schemeClr w14:val="tx1"/>
                  </w14:solidFill>
                </w14:textFill>
              </w:rPr>
              <w:t>4.4</w:t>
            </w:r>
            <w:r>
              <w:rPr>
                <w:rFonts w:hint="eastAsia"/>
                <w:color w:val="000000" w:themeColor="text1"/>
                <w14:textFill>
                  <w14:solidFill>
                    <w14:schemeClr w14:val="tx1"/>
                  </w14:solidFill>
                </w14:textFill>
              </w:rPr>
              <w:t>施工期固体废物</w:t>
            </w:r>
          </w:p>
          <w:p w14:paraId="1A77B0E9">
            <w:pPr>
              <w:rPr>
                <w:color w:val="000000" w:themeColor="text1"/>
                <w14:textFill>
                  <w14:solidFill>
                    <w14:schemeClr w14:val="tx1"/>
                  </w14:solidFill>
                </w14:textFill>
              </w:rPr>
            </w:pPr>
            <w:r>
              <w:t>本项目固体废物</w:t>
            </w:r>
            <w:r>
              <w:rPr>
                <w:rFonts w:hint="eastAsia"/>
              </w:rPr>
              <w:t>分为一般固体废物和危险废物。一般固体废物</w:t>
            </w:r>
            <w:r>
              <w:t>主要为</w:t>
            </w:r>
            <w:r>
              <w:rPr>
                <w:rFonts w:hint="eastAsia"/>
              </w:rPr>
              <w:t>钻探</w:t>
            </w:r>
            <w:r>
              <w:t>产生的临时土石方</w:t>
            </w:r>
            <w:r>
              <w:rPr>
                <w:rFonts w:hint="eastAsia"/>
              </w:rPr>
              <w:t>、钻探泥浆、钻孔岩屑及施工人员产生的生活垃圾。危险废物包括废润滑油</w:t>
            </w:r>
            <w:r>
              <w:rPr>
                <w:rFonts w:hint="eastAsia"/>
                <w:color w:val="000000" w:themeColor="text1"/>
                <w14:textFill>
                  <w14:solidFill>
                    <w14:schemeClr w14:val="tx1"/>
                  </w14:solidFill>
                </w14:textFill>
              </w:rPr>
              <w:t>。</w:t>
            </w:r>
          </w:p>
          <w:p w14:paraId="7CCA9130">
            <w:pPr>
              <w:rPr>
                <w:snapToGrid w:val="0"/>
              </w:rPr>
            </w:pPr>
            <w:r>
              <w:rPr>
                <w:rFonts w:hint="eastAsia"/>
                <w:snapToGrid w:val="0"/>
              </w:rPr>
              <w:t>①土石方</w:t>
            </w:r>
          </w:p>
          <w:p w14:paraId="0230E7A3">
            <w:r>
              <w:rPr>
                <w:rFonts w:hint="eastAsia"/>
              </w:rPr>
              <w:t>根据表2-7土石方平衡一览表，本项目施工期产生的土石方总量为</w:t>
            </w:r>
            <w:r>
              <w:rPr>
                <w:szCs w:val="21"/>
              </w:rPr>
              <w:t>34366.588</w:t>
            </w:r>
            <w:r>
              <w:rPr>
                <w:rFonts w:hint="eastAsia"/>
              </w:rPr>
              <w:t>m³，其中剥离表土与废石分区暂存于各作业点附近的临时堆场。剥离表土单独堆存并采取苫盖防护措施，施工结束后用于勘查区复垦及植被恢复；废石及弃土优先用于回填平硐、槽探及场地平整，剩余部分妥善处置，不得随意弃置。临时堆存的剥离表土在最终回填时按原土层顺序分层回填，以保护表土资源。</w:t>
            </w:r>
          </w:p>
          <w:p w14:paraId="2932FBCF">
            <w:pPr>
              <w:rPr>
                <w:snapToGrid w:val="0"/>
              </w:rPr>
            </w:pPr>
            <w:r>
              <w:rPr>
                <w:rFonts w:hint="eastAsia"/>
                <w:snapToGrid w:val="0"/>
              </w:rPr>
              <w:t>②钻探泥浆</w:t>
            </w:r>
          </w:p>
          <w:p w14:paraId="23F2F265">
            <w:r>
              <w:rPr>
                <w:rFonts w:hint="eastAsia"/>
              </w:rPr>
              <w:t>钻探使用的泥浆采用水基非磺化泥浆，从钻孔孔口返回后引至沉淀池，通过沉淀处理后，上清液循环使用，不外排。该类固废主要为岩屑胶结水团与泥沙混合物，属于一般固体废物，根据业主提供的施工经验数据，在现有施工机具及环境条件下产生泥浆0.5t/100m。本项目钻探工作量为7378m，则整个探矿期泥浆产生量约为36.89t。钻探泥浆完工后，将钻探泥浆填入沉淀池内，并采用水泥固化填埋</w:t>
            </w:r>
            <w:r>
              <w:t>。</w:t>
            </w:r>
          </w:p>
          <w:p w14:paraId="3A49CE08">
            <w:r>
              <w:rPr>
                <w:snapToGrid w:val="0"/>
              </w:rPr>
              <w:fldChar w:fldCharType="begin"/>
            </w:r>
            <w:r>
              <w:rPr>
                <w:snapToGrid w:val="0"/>
              </w:rPr>
              <w:instrText xml:space="preserve"> = 3 \* GB3 \* MERGEFORMAT </w:instrText>
            </w:r>
            <w:r>
              <w:rPr>
                <w:snapToGrid w:val="0"/>
              </w:rPr>
              <w:fldChar w:fldCharType="separate"/>
            </w:r>
            <w:r>
              <w:rPr>
                <w:rFonts w:hint="eastAsia" w:ascii="宋体" w:hAnsi="宋体" w:cs="宋体"/>
                <w:snapToGrid w:val="0"/>
              </w:rPr>
              <w:t>③</w:t>
            </w:r>
            <w:r>
              <w:rPr>
                <w:snapToGrid w:val="0"/>
              </w:rPr>
              <w:fldChar w:fldCharType="end"/>
            </w:r>
            <w:r>
              <w:rPr>
                <w:rFonts w:hint="eastAsia"/>
              </w:rPr>
              <w:t>钻孔岩屑</w:t>
            </w:r>
          </w:p>
          <w:p w14:paraId="3C71CB5E">
            <w:pPr>
              <w:rPr>
                <w:color w:val="000000"/>
              </w:rPr>
            </w:pPr>
            <w:r>
              <w:rPr>
                <w:rFonts w:hint="eastAsia"/>
                <w:color w:val="000000"/>
              </w:rPr>
              <w:t>钻孔岩屑是在钻孔过程中钻头切屑地层岩石而产生的碎屑，并通过钻井泥浆带出至地面，主要成分为岩石（屑）。每个钻孔完毕后，</w:t>
            </w:r>
            <w:r>
              <w:rPr>
                <w:rFonts w:hint="eastAsia"/>
              </w:rPr>
              <w:t>钻孔岩屑</w:t>
            </w:r>
            <w:r>
              <w:rPr>
                <w:rFonts w:hint="eastAsia"/>
                <w:color w:val="000000"/>
              </w:rPr>
              <w:t>用于封孔，对钻孔进行密封。</w:t>
            </w:r>
          </w:p>
          <w:p w14:paraId="7493B368">
            <w:pPr>
              <w:rPr>
                <w:color w:val="000000"/>
              </w:rPr>
            </w:pPr>
            <w:r>
              <w:rPr>
                <w:color w:val="000000"/>
              </w:rPr>
              <w:t>钻屑产生量参考同类型项目经验公式进行计算：</w:t>
            </w:r>
          </w:p>
          <w:p w14:paraId="1BF9635E">
            <w:pPr>
              <w:jc w:val="center"/>
            </w:pPr>
            <w:r>
              <w:t>V=π×r²×h×k</w:t>
            </w:r>
          </w:p>
          <w:p w14:paraId="4FF72224">
            <w:pPr>
              <w:rPr>
                <w:color w:val="000000"/>
              </w:rPr>
            </w:pPr>
            <w:r>
              <w:rPr>
                <w:color w:val="000000"/>
              </w:rPr>
              <w:t>其中：V——钻屑体积，m</w:t>
            </w:r>
            <w:r>
              <w:rPr>
                <w:color w:val="000000"/>
                <w:vertAlign w:val="superscript"/>
              </w:rPr>
              <w:t>3</w:t>
            </w:r>
            <w:r>
              <w:rPr>
                <w:color w:val="000000"/>
              </w:rPr>
              <w:t>；</w:t>
            </w:r>
          </w:p>
          <w:p w14:paraId="56E5AA60">
            <w:pPr>
              <w:rPr>
                <w:color w:val="000000"/>
              </w:rPr>
            </w:pPr>
            <w:r>
              <w:rPr>
                <w:color w:val="000000"/>
              </w:rPr>
              <w:t>π——圆周率，圆的周长与直径的比值，本次取3.14；</w:t>
            </w:r>
          </w:p>
          <w:p w14:paraId="43C602E9">
            <w:pPr>
              <w:rPr>
                <w:color w:val="000000"/>
              </w:rPr>
            </w:pPr>
            <w:r>
              <w:rPr>
                <w:color w:val="000000"/>
              </w:rPr>
              <w:t>r—钻井半径，m，0.0375m；</w:t>
            </w:r>
          </w:p>
          <w:p w14:paraId="1E6A7CEA">
            <w:pPr>
              <w:rPr>
                <w:color w:val="000000"/>
              </w:rPr>
            </w:pPr>
            <w:r>
              <w:rPr>
                <w:color w:val="000000"/>
              </w:rPr>
              <w:t>h——</w:t>
            </w:r>
            <w:r>
              <w:rPr>
                <w:rFonts w:hint="eastAsia"/>
                <w:color w:val="000000"/>
              </w:rPr>
              <w:t>钻探总进尺，m，7378m</w:t>
            </w:r>
            <w:r>
              <w:rPr>
                <w:color w:val="000000"/>
              </w:rPr>
              <w:t>；</w:t>
            </w:r>
          </w:p>
          <w:p w14:paraId="7646CF6E">
            <w:pPr>
              <w:rPr>
                <w:color w:val="000000"/>
              </w:rPr>
            </w:pPr>
            <w:r>
              <w:rPr>
                <w:color w:val="000000"/>
              </w:rPr>
              <w:t>k——井眼扩大率，本次取，10%</w:t>
            </w:r>
            <w:r>
              <w:rPr>
                <w:rFonts w:hint="eastAsia"/>
                <w:color w:val="000000"/>
              </w:rPr>
              <w:t>；</w:t>
            </w:r>
          </w:p>
          <w:p w14:paraId="6C03FFC3">
            <w:r>
              <w:rPr>
                <w:rFonts w:hint="eastAsia"/>
              </w:rPr>
              <w:t>经计算，钻孔岩屑产生量为4.56m³。钻孔施工完毕后，该部分岩屑全部用于人工回填</w:t>
            </w:r>
            <w:r>
              <w:t>。</w:t>
            </w:r>
          </w:p>
          <w:p w14:paraId="7077CB2E">
            <w:pPr>
              <w:rPr>
                <w:snapToGrid w:val="0"/>
              </w:rPr>
            </w:pPr>
            <w:r>
              <w:rPr>
                <w:snapToGrid w:val="0"/>
              </w:rPr>
              <w:fldChar w:fldCharType="begin"/>
            </w:r>
            <w:r>
              <w:rPr>
                <w:snapToGrid w:val="0"/>
              </w:rPr>
              <w:instrText xml:space="preserve"> = 4 \* GB3 </w:instrText>
            </w:r>
            <w:r>
              <w:rPr>
                <w:snapToGrid w:val="0"/>
              </w:rPr>
              <w:fldChar w:fldCharType="separate"/>
            </w:r>
            <w:r>
              <w:rPr>
                <w:rFonts w:hint="eastAsia"/>
                <w:snapToGrid w:val="0"/>
              </w:rPr>
              <w:t>④</w:t>
            </w:r>
            <w:r>
              <w:rPr>
                <w:snapToGrid w:val="0"/>
              </w:rPr>
              <w:fldChar w:fldCharType="end"/>
            </w:r>
            <w:r>
              <w:rPr>
                <w:snapToGrid w:val="0"/>
              </w:rPr>
              <w:t>生活垃圾</w:t>
            </w:r>
          </w:p>
          <w:p w14:paraId="2D888AFB">
            <w:pPr>
              <w:rPr>
                <w:highlight w:val="yellow"/>
              </w:rPr>
            </w:pPr>
            <w:r>
              <w:rPr>
                <w:rFonts w:hint="eastAsia"/>
              </w:rPr>
              <w:t>生活垃圾主要为勘查人员日常生活产生，以纸张、塑料瓶等废弃物为主。本项目野外勘查作业人员为16人，按每人每天产生0.35kg生活垃圾计算，则生活垃圾产生量为5.6kg/d（</w:t>
            </w:r>
            <w:r>
              <w:t>1.008</w:t>
            </w:r>
            <w:r>
              <w:rPr>
                <w:rFonts w:hint="eastAsia"/>
              </w:rPr>
              <w:t>t/a，按</w:t>
            </w:r>
            <w:r>
              <w:t>180</w:t>
            </w:r>
            <w:r>
              <w:rPr>
                <w:rFonts w:hint="eastAsia"/>
              </w:rPr>
              <w:t>天计）。生活垃圾采用垃圾桶集中收集后，运出勘查区，由环卫部门统一清运。严禁在勘查区内随意遗弃生活垃圾。</w:t>
            </w:r>
          </w:p>
          <w:p w14:paraId="18BC1EEE">
            <w:r>
              <w:fldChar w:fldCharType="begin"/>
            </w:r>
            <w:r>
              <w:instrText xml:space="preserve"> </w:instrText>
            </w:r>
            <w:r>
              <w:rPr>
                <w:rFonts w:hint="eastAsia"/>
              </w:rPr>
              <w:instrText xml:space="preserve">= 5 \* GB3</w:instrText>
            </w:r>
            <w:r>
              <w:instrText xml:space="preserve"> </w:instrText>
            </w:r>
            <w:r>
              <w:fldChar w:fldCharType="separate"/>
            </w:r>
            <w:r>
              <w:rPr>
                <w:rFonts w:hint="eastAsia"/>
              </w:rPr>
              <w:t>⑤</w:t>
            </w:r>
            <w:r>
              <w:fldChar w:fldCharType="end"/>
            </w:r>
            <w:r>
              <w:rPr>
                <w:rFonts w:hint="eastAsia"/>
              </w:rPr>
              <w:t>沉淀池沉渣</w:t>
            </w:r>
          </w:p>
          <w:p w14:paraId="03FB55D9">
            <w:pPr>
              <w:rPr>
                <w:rFonts w:ascii="宋体" w:hAnsi="宋体" w:cs="宋体"/>
                <w:bCs/>
              </w:rPr>
            </w:pPr>
            <w:r>
              <w:rPr>
                <w:rFonts w:hint="eastAsia" w:ascii="宋体" w:hAnsi="宋体" w:cs="宋体"/>
                <w:bCs/>
              </w:rPr>
              <w:t>沉淀池沉渣就地掩埋</w:t>
            </w:r>
            <w:r>
              <w:rPr>
                <w:rFonts w:ascii="宋体" w:hAnsi="宋体" w:cs="宋体"/>
                <w:bCs/>
              </w:rPr>
              <w:t>。</w:t>
            </w:r>
          </w:p>
          <w:p w14:paraId="0A37EFC1">
            <w:pPr>
              <w:rPr>
                <w:rFonts w:ascii="宋体" w:hAnsi="宋体" w:cs="宋体"/>
                <w:bCs/>
              </w:rPr>
            </w:pPr>
            <w:r>
              <w:rPr>
                <w:rFonts w:ascii="宋体" w:hAnsi="宋体" w:cs="宋体"/>
                <w:bCs/>
              </w:rPr>
              <w:fldChar w:fldCharType="begin"/>
            </w:r>
            <w:r>
              <w:rPr>
                <w:rFonts w:ascii="宋体" w:hAnsi="宋体" w:cs="宋体"/>
                <w:bCs/>
              </w:rPr>
              <w:instrText xml:space="preserve"> </w:instrText>
            </w:r>
            <w:r>
              <w:rPr>
                <w:rFonts w:hint="eastAsia" w:ascii="宋体" w:hAnsi="宋体" w:cs="宋体"/>
                <w:bCs/>
              </w:rPr>
              <w:instrText xml:space="preserve">= 6 \* GB3</w:instrText>
            </w:r>
            <w:r>
              <w:rPr>
                <w:rFonts w:ascii="宋体" w:hAnsi="宋体" w:cs="宋体"/>
                <w:bCs/>
              </w:rPr>
              <w:instrText xml:space="preserve"> </w:instrText>
            </w:r>
            <w:r>
              <w:rPr>
                <w:rFonts w:ascii="宋体" w:hAnsi="宋体" w:cs="宋体"/>
                <w:bCs/>
              </w:rPr>
              <w:fldChar w:fldCharType="separate"/>
            </w:r>
            <w:r>
              <w:rPr>
                <w:rFonts w:hint="eastAsia" w:ascii="宋体" w:hAnsi="宋体" w:cs="宋体"/>
                <w:bCs/>
              </w:rPr>
              <w:t>⑥</w:t>
            </w:r>
            <w:r>
              <w:rPr>
                <w:rFonts w:ascii="宋体" w:hAnsi="宋体" w:cs="宋体"/>
                <w:bCs/>
              </w:rPr>
              <w:fldChar w:fldCharType="end"/>
            </w:r>
            <w:r>
              <w:rPr>
                <w:rFonts w:hint="eastAsia"/>
              </w:rPr>
              <w:t>废润滑油</w:t>
            </w:r>
          </w:p>
          <w:p w14:paraId="1EF566D4">
            <w:r>
              <w:rPr>
                <w:rFonts w:hint="eastAsia"/>
              </w:rPr>
              <w:t>本项目钻机、柴油发电机等设备在运行及日常维护过程中会产生少量废润滑油，施工期产生量约为0.1t。根据《国家危险废物名录》（2025年版），废润滑油属于危险废物，废物类别为HW08废矿物油与含矿物油废物，废物代码为900-214-08。产生的废润滑油应规范收集，贮存于施工营地内设置的临时危险废物贮存点（配备防渗托盘），定期交由有资质单位处置。施工现场配备吸油毡等应急物资，油料泄漏时可及时处置。</w:t>
            </w:r>
          </w:p>
          <w:p w14:paraId="477690D5">
            <w:r>
              <w:rPr>
                <w:rFonts w:hint="eastAsia"/>
              </w:rPr>
              <w:t>综上，本项目产生的固废均能够妥善处置。固体废物</w:t>
            </w:r>
            <w:r>
              <w:t>产生明细</w:t>
            </w:r>
            <w:r>
              <w:rPr>
                <w:rFonts w:hint="eastAsia"/>
              </w:rPr>
              <w:t>见表</w:t>
            </w:r>
            <w:r>
              <w:t>4-4</w:t>
            </w:r>
            <w:r>
              <w:rPr>
                <w:rFonts w:hint="eastAsia"/>
              </w:rPr>
              <w:t>。</w:t>
            </w:r>
          </w:p>
          <w:p w14:paraId="2A9F0F9A">
            <w:pPr>
              <w:pStyle w:val="34"/>
              <w:spacing w:before="156"/>
            </w:pPr>
            <w:r>
              <w:rPr>
                <w:rFonts w:hint="eastAsia"/>
              </w:rPr>
              <w:t>表4-</w:t>
            </w:r>
            <w:r>
              <w:t xml:space="preserve">4  </w:t>
            </w:r>
            <w:r>
              <w:rPr>
                <w:rFonts w:hint="eastAsia"/>
              </w:rPr>
              <w:t>项目固体废物产生情况明细</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129"/>
              <w:gridCol w:w="781"/>
              <w:gridCol w:w="1313"/>
              <w:gridCol w:w="1340"/>
              <w:gridCol w:w="842"/>
              <w:gridCol w:w="1535"/>
            </w:tblGrid>
            <w:tr w14:paraId="69857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vAlign w:val="center"/>
                </w:tcPr>
                <w:p w14:paraId="332640B7">
                  <w:pPr>
                    <w:pStyle w:val="63"/>
                    <w:adjustRightInd w:val="0"/>
                    <w:snapToGrid w:val="0"/>
                  </w:pPr>
                  <w:r>
                    <w:rPr>
                      <w:rFonts w:hint="eastAsia"/>
                    </w:rPr>
                    <w:t>废物属性</w:t>
                  </w:r>
                </w:p>
              </w:tc>
              <w:tc>
                <w:tcPr>
                  <w:tcW w:w="758" w:type="pct"/>
                  <w:vAlign w:val="center"/>
                </w:tcPr>
                <w:p w14:paraId="5D8D880B">
                  <w:pPr>
                    <w:pStyle w:val="63"/>
                    <w:adjustRightInd w:val="0"/>
                    <w:snapToGrid w:val="0"/>
                  </w:pPr>
                  <w:r>
                    <w:rPr>
                      <w:rFonts w:hint="eastAsia"/>
                    </w:rPr>
                    <w:t>名称</w:t>
                  </w:r>
                </w:p>
              </w:tc>
              <w:tc>
                <w:tcPr>
                  <w:tcW w:w="530" w:type="pct"/>
                  <w:vAlign w:val="center"/>
                </w:tcPr>
                <w:p w14:paraId="19A8E67D">
                  <w:pPr>
                    <w:pStyle w:val="63"/>
                    <w:adjustRightInd w:val="0"/>
                    <w:snapToGrid w:val="0"/>
                  </w:pPr>
                  <w:r>
                    <w:rPr>
                      <w:rFonts w:hint="eastAsia"/>
                    </w:rPr>
                    <w:t>废物类别</w:t>
                  </w:r>
                </w:p>
              </w:tc>
              <w:tc>
                <w:tcPr>
                  <w:tcW w:w="862" w:type="pct"/>
                  <w:vAlign w:val="center"/>
                </w:tcPr>
                <w:p w14:paraId="7F9F10BD">
                  <w:pPr>
                    <w:pStyle w:val="63"/>
                    <w:adjustRightInd w:val="0"/>
                    <w:snapToGrid w:val="0"/>
                  </w:pPr>
                  <w:r>
                    <w:rPr>
                      <w:rFonts w:hint="eastAsia"/>
                    </w:rPr>
                    <w:t>废物代码</w:t>
                  </w:r>
                </w:p>
              </w:tc>
              <w:tc>
                <w:tcPr>
                  <w:tcW w:w="773" w:type="pct"/>
                  <w:vAlign w:val="center"/>
                </w:tcPr>
                <w:p w14:paraId="14521FDE">
                  <w:pPr>
                    <w:pStyle w:val="63"/>
                    <w:adjustRightInd w:val="0"/>
                    <w:snapToGrid w:val="0"/>
                    <w:jc w:val="both"/>
                  </w:pPr>
                  <w:r>
                    <w:rPr>
                      <w:rFonts w:hint="eastAsia"/>
                    </w:rPr>
                    <w:t>产生量（施工期）</w:t>
                  </w:r>
                </w:p>
              </w:tc>
              <w:tc>
                <w:tcPr>
                  <w:tcW w:w="587" w:type="pct"/>
                  <w:vAlign w:val="center"/>
                </w:tcPr>
                <w:p w14:paraId="2D9D4F35">
                  <w:pPr>
                    <w:pStyle w:val="63"/>
                    <w:adjustRightInd w:val="0"/>
                    <w:snapToGrid w:val="0"/>
                  </w:pPr>
                  <w:r>
                    <w:rPr>
                      <w:rFonts w:hint="eastAsia"/>
                    </w:rPr>
                    <w:t>危险特性</w:t>
                  </w:r>
                </w:p>
              </w:tc>
              <w:tc>
                <w:tcPr>
                  <w:tcW w:w="1024" w:type="pct"/>
                  <w:vAlign w:val="center"/>
                </w:tcPr>
                <w:p w14:paraId="06F469A4">
                  <w:pPr>
                    <w:pStyle w:val="63"/>
                    <w:adjustRightInd w:val="0"/>
                    <w:snapToGrid w:val="0"/>
                  </w:pPr>
                  <w:r>
                    <w:rPr>
                      <w:rFonts w:hint="eastAsia"/>
                    </w:rPr>
                    <w:t>去向</w:t>
                  </w:r>
                </w:p>
              </w:tc>
            </w:tr>
            <w:tr w14:paraId="56011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466" w:type="pct"/>
                  <w:vMerge w:val="restart"/>
                  <w:vAlign w:val="center"/>
                </w:tcPr>
                <w:p w14:paraId="3FB45991">
                  <w:pPr>
                    <w:pStyle w:val="63"/>
                    <w:adjustRightInd w:val="0"/>
                    <w:snapToGrid w:val="0"/>
                  </w:pPr>
                  <w:r>
                    <w:rPr>
                      <w:rFonts w:hint="eastAsia"/>
                    </w:rPr>
                    <w:t>一般固废</w:t>
                  </w:r>
                </w:p>
              </w:tc>
              <w:tc>
                <w:tcPr>
                  <w:tcW w:w="758" w:type="pct"/>
                  <w:vAlign w:val="center"/>
                </w:tcPr>
                <w:p w14:paraId="04DCEAB8">
                  <w:pPr>
                    <w:pStyle w:val="63"/>
                    <w:adjustRightInd w:val="0"/>
                    <w:snapToGrid w:val="0"/>
                  </w:pPr>
                  <w:r>
                    <w:rPr>
                      <w:rFonts w:hint="eastAsia"/>
                    </w:rPr>
                    <w:t>土石方</w:t>
                  </w:r>
                </w:p>
              </w:tc>
              <w:tc>
                <w:tcPr>
                  <w:tcW w:w="530" w:type="pct"/>
                  <w:vAlign w:val="center"/>
                </w:tcPr>
                <w:p w14:paraId="2A253C8F">
                  <w:pPr>
                    <w:pStyle w:val="63"/>
                    <w:adjustRightInd w:val="0"/>
                    <w:snapToGrid w:val="0"/>
                  </w:pPr>
                  <w:r>
                    <w:rPr>
                      <w:rFonts w:hint="eastAsia"/>
                    </w:rPr>
                    <w:t>SW</w:t>
                  </w:r>
                  <w:r>
                    <w:t>70</w:t>
                  </w:r>
                </w:p>
              </w:tc>
              <w:tc>
                <w:tcPr>
                  <w:tcW w:w="862" w:type="pct"/>
                  <w:vAlign w:val="center"/>
                </w:tcPr>
                <w:p w14:paraId="7190F7C3">
                  <w:pPr>
                    <w:pStyle w:val="63"/>
                    <w:adjustRightInd w:val="0"/>
                    <w:snapToGrid w:val="0"/>
                  </w:pPr>
                  <w:r>
                    <w:t>900-001-S70</w:t>
                  </w:r>
                </w:p>
              </w:tc>
              <w:tc>
                <w:tcPr>
                  <w:tcW w:w="773" w:type="pct"/>
                  <w:vAlign w:val="center"/>
                </w:tcPr>
                <w:p w14:paraId="617DEE6C">
                  <w:pPr>
                    <w:pStyle w:val="63"/>
                    <w:adjustRightInd w:val="0"/>
                    <w:snapToGrid w:val="0"/>
                  </w:pPr>
                  <w:r>
                    <w:t>34366.588m</w:t>
                  </w:r>
                  <w:r>
                    <w:rPr>
                      <w:vertAlign w:val="superscript"/>
                    </w:rPr>
                    <w:t>3</w:t>
                  </w:r>
                </w:p>
              </w:tc>
              <w:tc>
                <w:tcPr>
                  <w:tcW w:w="587" w:type="pct"/>
                  <w:vAlign w:val="center"/>
                </w:tcPr>
                <w:p w14:paraId="3730855E">
                  <w:pPr>
                    <w:pStyle w:val="63"/>
                    <w:adjustRightInd w:val="0"/>
                    <w:snapToGrid w:val="0"/>
                  </w:pPr>
                  <w:r>
                    <w:t>/</w:t>
                  </w:r>
                </w:p>
              </w:tc>
              <w:tc>
                <w:tcPr>
                  <w:tcW w:w="1024" w:type="pct"/>
                  <w:vMerge w:val="restart"/>
                  <w:vAlign w:val="center"/>
                </w:tcPr>
                <w:p w14:paraId="5B7942B6">
                  <w:pPr>
                    <w:pStyle w:val="63"/>
                    <w:adjustRightInd w:val="0"/>
                    <w:snapToGrid w:val="0"/>
                    <w:jc w:val="both"/>
                  </w:pPr>
                  <w:r>
                    <w:rPr>
                      <w:rFonts w:hint="eastAsia" w:ascii="Segoe UI" w:hAnsi="Segoe UI" w:cs="Segoe UI"/>
                      <w:color w:val="0F1115"/>
                      <w:shd w:val="clear" w:color="auto" w:fill="FFFFFF"/>
                    </w:rPr>
                    <w:t>表土单独堆存并分层回填用于复垦，废石优先回填利用，剩余妥善处置，不随意弃置；钻探岩屑人工回填</w:t>
                  </w:r>
                </w:p>
              </w:tc>
            </w:tr>
            <w:tr w14:paraId="639C6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466" w:type="pct"/>
                  <w:vMerge w:val="continue"/>
                  <w:vAlign w:val="center"/>
                </w:tcPr>
                <w:p w14:paraId="0319E002">
                  <w:pPr>
                    <w:pStyle w:val="63"/>
                    <w:adjustRightInd w:val="0"/>
                    <w:snapToGrid w:val="0"/>
                  </w:pPr>
                </w:p>
              </w:tc>
              <w:tc>
                <w:tcPr>
                  <w:tcW w:w="758" w:type="pct"/>
                  <w:vAlign w:val="center"/>
                </w:tcPr>
                <w:p w14:paraId="12B35D35">
                  <w:pPr>
                    <w:pStyle w:val="63"/>
                  </w:pPr>
                  <w:r>
                    <w:rPr>
                      <w:rFonts w:hint="eastAsia"/>
                    </w:rPr>
                    <w:t>钻孔岩屑</w:t>
                  </w:r>
                </w:p>
              </w:tc>
              <w:tc>
                <w:tcPr>
                  <w:tcW w:w="530" w:type="pct"/>
                  <w:vAlign w:val="center"/>
                </w:tcPr>
                <w:p w14:paraId="060B81BE">
                  <w:pPr>
                    <w:pStyle w:val="63"/>
                  </w:pPr>
                  <w:r>
                    <w:t>SW12</w:t>
                  </w:r>
                </w:p>
              </w:tc>
              <w:tc>
                <w:tcPr>
                  <w:tcW w:w="862" w:type="pct"/>
                  <w:vAlign w:val="center"/>
                </w:tcPr>
                <w:p w14:paraId="027D0515">
                  <w:pPr>
                    <w:pStyle w:val="63"/>
                  </w:pPr>
                  <w:r>
                    <w:rPr>
                      <w:rFonts w:hint="eastAsia"/>
                      <w:color w:val="000000"/>
                    </w:rPr>
                    <w:t>900-099-S12</w:t>
                  </w:r>
                </w:p>
              </w:tc>
              <w:tc>
                <w:tcPr>
                  <w:tcW w:w="773" w:type="pct"/>
                  <w:vAlign w:val="center"/>
                </w:tcPr>
                <w:p w14:paraId="1138ACCE">
                  <w:pPr>
                    <w:pStyle w:val="63"/>
                  </w:pPr>
                  <w:r>
                    <w:t>4.56</w:t>
                  </w:r>
                  <w:r>
                    <w:rPr>
                      <w:rFonts w:hint="eastAsia"/>
                    </w:rPr>
                    <w:t>m</w:t>
                  </w:r>
                  <w:r>
                    <w:rPr>
                      <w:rFonts w:hint="eastAsia"/>
                      <w:vertAlign w:val="superscript"/>
                    </w:rPr>
                    <w:t>3</w:t>
                  </w:r>
                </w:p>
              </w:tc>
              <w:tc>
                <w:tcPr>
                  <w:tcW w:w="587" w:type="pct"/>
                  <w:vAlign w:val="center"/>
                </w:tcPr>
                <w:p w14:paraId="464A1AD4">
                  <w:pPr>
                    <w:pStyle w:val="63"/>
                  </w:pPr>
                  <w:r>
                    <w:rPr>
                      <w:rFonts w:hint="eastAsia"/>
                    </w:rPr>
                    <w:t>/</w:t>
                  </w:r>
                </w:p>
              </w:tc>
              <w:tc>
                <w:tcPr>
                  <w:tcW w:w="1024" w:type="pct"/>
                  <w:vMerge w:val="continue"/>
                  <w:vAlign w:val="center"/>
                </w:tcPr>
                <w:p w14:paraId="23F40624">
                  <w:pPr>
                    <w:pStyle w:val="63"/>
                  </w:pPr>
                </w:p>
              </w:tc>
            </w:tr>
            <w:tr w14:paraId="52F599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66" w:type="pct"/>
                  <w:vMerge w:val="continue"/>
                  <w:vAlign w:val="center"/>
                </w:tcPr>
                <w:p w14:paraId="01F75176">
                  <w:pPr>
                    <w:pStyle w:val="63"/>
                    <w:adjustRightInd w:val="0"/>
                    <w:snapToGrid w:val="0"/>
                  </w:pPr>
                </w:p>
              </w:tc>
              <w:tc>
                <w:tcPr>
                  <w:tcW w:w="758" w:type="pct"/>
                  <w:vAlign w:val="center"/>
                </w:tcPr>
                <w:p w14:paraId="07FCDAE3">
                  <w:pPr>
                    <w:pStyle w:val="63"/>
                  </w:pPr>
                  <w:r>
                    <w:rPr>
                      <w:rFonts w:hint="eastAsia"/>
                    </w:rPr>
                    <w:t>钻探泥浆</w:t>
                  </w:r>
                </w:p>
              </w:tc>
              <w:tc>
                <w:tcPr>
                  <w:tcW w:w="530" w:type="pct"/>
                  <w:vAlign w:val="center"/>
                </w:tcPr>
                <w:p w14:paraId="0A65E0BB">
                  <w:pPr>
                    <w:pStyle w:val="63"/>
                  </w:pPr>
                  <w:r>
                    <w:t>SW7</w:t>
                  </w:r>
                  <w:r>
                    <w:rPr>
                      <w:rFonts w:hint="eastAsia"/>
                    </w:rPr>
                    <w:t>1</w:t>
                  </w:r>
                </w:p>
              </w:tc>
              <w:tc>
                <w:tcPr>
                  <w:tcW w:w="862" w:type="pct"/>
                  <w:vAlign w:val="center"/>
                </w:tcPr>
                <w:p w14:paraId="016B1B21">
                  <w:pPr>
                    <w:pStyle w:val="63"/>
                  </w:pPr>
                  <w:r>
                    <w:t>900-001-S7</w:t>
                  </w:r>
                  <w:r>
                    <w:rPr>
                      <w:rFonts w:hint="eastAsia"/>
                    </w:rPr>
                    <w:t>1</w:t>
                  </w:r>
                </w:p>
              </w:tc>
              <w:tc>
                <w:tcPr>
                  <w:tcW w:w="773" w:type="pct"/>
                  <w:vAlign w:val="center"/>
                </w:tcPr>
                <w:p w14:paraId="04FC63DD">
                  <w:pPr>
                    <w:pStyle w:val="63"/>
                  </w:pPr>
                  <w:r>
                    <w:rPr>
                      <w:rFonts w:hint="eastAsia"/>
                    </w:rPr>
                    <w:t>36.89t</w:t>
                  </w:r>
                </w:p>
              </w:tc>
              <w:tc>
                <w:tcPr>
                  <w:tcW w:w="587" w:type="pct"/>
                  <w:vAlign w:val="center"/>
                </w:tcPr>
                <w:p w14:paraId="618FBB90">
                  <w:pPr>
                    <w:pStyle w:val="63"/>
                  </w:pPr>
                  <w:r>
                    <w:rPr>
                      <w:rFonts w:hint="eastAsia"/>
                    </w:rPr>
                    <w:t>/</w:t>
                  </w:r>
                </w:p>
              </w:tc>
              <w:tc>
                <w:tcPr>
                  <w:tcW w:w="1024" w:type="pct"/>
                  <w:vAlign w:val="center"/>
                </w:tcPr>
                <w:p w14:paraId="621B78C9">
                  <w:pPr>
                    <w:pStyle w:val="63"/>
                  </w:pPr>
                  <w:r>
                    <w:rPr>
                      <w:rFonts w:hint="eastAsia"/>
                    </w:rPr>
                    <w:t>钻井泥浆固化后就地填埋</w:t>
                  </w:r>
                </w:p>
              </w:tc>
            </w:tr>
            <w:tr w14:paraId="4FD40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vMerge w:val="continue"/>
                  <w:vAlign w:val="center"/>
                </w:tcPr>
                <w:p w14:paraId="33D17325">
                  <w:pPr>
                    <w:pStyle w:val="63"/>
                    <w:adjustRightInd w:val="0"/>
                    <w:snapToGrid w:val="0"/>
                  </w:pPr>
                </w:p>
              </w:tc>
              <w:tc>
                <w:tcPr>
                  <w:tcW w:w="758" w:type="pct"/>
                  <w:vAlign w:val="center"/>
                </w:tcPr>
                <w:p w14:paraId="053B23D1">
                  <w:pPr>
                    <w:pStyle w:val="63"/>
                    <w:adjustRightInd w:val="0"/>
                    <w:snapToGrid w:val="0"/>
                  </w:pPr>
                  <w:r>
                    <w:rPr>
                      <w:rFonts w:hint="eastAsia"/>
                    </w:rPr>
                    <w:t>沉淀池沉渣</w:t>
                  </w:r>
                </w:p>
              </w:tc>
              <w:tc>
                <w:tcPr>
                  <w:tcW w:w="530" w:type="pct"/>
                  <w:vAlign w:val="center"/>
                </w:tcPr>
                <w:p w14:paraId="48D9C671">
                  <w:pPr>
                    <w:pStyle w:val="63"/>
                  </w:pPr>
                  <w:r>
                    <w:t>SW</w:t>
                  </w:r>
                  <w:r>
                    <w:rPr>
                      <w:rFonts w:hint="eastAsia"/>
                    </w:rPr>
                    <w:t>07</w:t>
                  </w:r>
                </w:p>
              </w:tc>
              <w:tc>
                <w:tcPr>
                  <w:tcW w:w="862" w:type="pct"/>
                  <w:vAlign w:val="center"/>
                </w:tcPr>
                <w:p w14:paraId="659EBBC2">
                  <w:pPr>
                    <w:pStyle w:val="63"/>
                  </w:pPr>
                  <w:r>
                    <w:rPr>
                      <w:rFonts w:hint="eastAsia"/>
                    </w:rPr>
                    <w:t>900-099-S07</w:t>
                  </w:r>
                </w:p>
              </w:tc>
              <w:tc>
                <w:tcPr>
                  <w:tcW w:w="773" w:type="pct"/>
                  <w:vAlign w:val="center"/>
                </w:tcPr>
                <w:p w14:paraId="1595F219">
                  <w:pPr>
                    <w:pStyle w:val="63"/>
                    <w:adjustRightInd w:val="0"/>
                    <w:snapToGrid w:val="0"/>
                  </w:pPr>
                  <w:r>
                    <w:t>0.72</w:t>
                  </w:r>
                  <w:r>
                    <w:rPr>
                      <w:rFonts w:hint="eastAsia"/>
                    </w:rPr>
                    <w:t>t</w:t>
                  </w:r>
                </w:p>
              </w:tc>
              <w:tc>
                <w:tcPr>
                  <w:tcW w:w="587" w:type="pct"/>
                  <w:vAlign w:val="center"/>
                </w:tcPr>
                <w:p w14:paraId="34755CC9">
                  <w:pPr>
                    <w:pStyle w:val="63"/>
                    <w:adjustRightInd w:val="0"/>
                    <w:snapToGrid w:val="0"/>
                  </w:pPr>
                  <w:r>
                    <w:rPr>
                      <w:rFonts w:hint="eastAsia"/>
                    </w:rPr>
                    <w:t>/</w:t>
                  </w:r>
                </w:p>
              </w:tc>
              <w:tc>
                <w:tcPr>
                  <w:tcW w:w="1024" w:type="pct"/>
                  <w:vAlign w:val="center"/>
                </w:tcPr>
                <w:p w14:paraId="15754B3C">
                  <w:pPr>
                    <w:pStyle w:val="63"/>
                    <w:adjustRightInd w:val="0"/>
                    <w:snapToGrid w:val="0"/>
                  </w:pPr>
                  <w:r>
                    <w:rPr>
                      <w:rFonts w:hint="eastAsia"/>
                    </w:rPr>
                    <w:t>就地掩埋</w:t>
                  </w:r>
                </w:p>
              </w:tc>
            </w:tr>
            <w:tr w14:paraId="25679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vAlign w:val="center"/>
                </w:tcPr>
                <w:p w14:paraId="1489B301">
                  <w:pPr>
                    <w:pStyle w:val="63"/>
                    <w:adjustRightInd w:val="0"/>
                    <w:snapToGrid w:val="0"/>
                  </w:pPr>
                  <w:r>
                    <w:rPr>
                      <w:rFonts w:hint="eastAsia"/>
                    </w:rPr>
                    <w:t>生活垃圾</w:t>
                  </w:r>
                </w:p>
              </w:tc>
              <w:tc>
                <w:tcPr>
                  <w:tcW w:w="758" w:type="pct"/>
                  <w:vAlign w:val="center"/>
                </w:tcPr>
                <w:p w14:paraId="01A4EE8E">
                  <w:pPr>
                    <w:pStyle w:val="63"/>
                    <w:adjustRightInd w:val="0"/>
                    <w:snapToGrid w:val="0"/>
                  </w:pPr>
                  <w:r>
                    <w:rPr>
                      <w:rFonts w:hint="eastAsia"/>
                    </w:rPr>
                    <w:t>生活垃圾</w:t>
                  </w:r>
                </w:p>
              </w:tc>
              <w:tc>
                <w:tcPr>
                  <w:tcW w:w="530" w:type="pct"/>
                  <w:vAlign w:val="center"/>
                </w:tcPr>
                <w:p w14:paraId="2F60721D">
                  <w:pPr>
                    <w:pStyle w:val="63"/>
                  </w:pPr>
                  <w:r>
                    <w:t>SW64</w:t>
                  </w:r>
                </w:p>
              </w:tc>
              <w:tc>
                <w:tcPr>
                  <w:tcW w:w="862" w:type="pct"/>
                  <w:vAlign w:val="center"/>
                </w:tcPr>
                <w:p w14:paraId="220682AD">
                  <w:pPr>
                    <w:pStyle w:val="63"/>
                  </w:pPr>
                  <w:r>
                    <w:t>900-099-S64</w:t>
                  </w:r>
                </w:p>
              </w:tc>
              <w:tc>
                <w:tcPr>
                  <w:tcW w:w="773" w:type="pct"/>
                  <w:vAlign w:val="center"/>
                </w:tcPr>
                <w:p w14:paraId="6ECFF868">
                  <w:pPr>
                    <w:pStyle w:val="63"/>
                    <w:adjustRightInd w:val="0"/>
                    <w:snapToGrid w:val="0"/>
                  </w:pPr>
                  <w:r>
                    <w:t>1.008</w:t>
                  </w:r>
                  <w:r>
                    <w:rPr>
                      <w:rFonts w:hint="eastAsia"/>
                    </w:rPr>
                    <w:t>t</w:t>
                  </w:r>
                  <w:r>
                    <w:t>/</w:t>
                  </w:r>
                  <w:r>
                    <w:rPr>
                      <w:rFonts w:hint="eastAsia"/>
                    </w:rPr>
                    <w:t>a</w:t>
                  </w:r>
                </w:p>
              </w:tc>
              <w:tc>
                <w:tcPr>
                  <w:tcW w:w="587" w:type="pct"/>
                  <w:vAlign w:val="center"/>
                </w:tcPr>
                <w:p w14:paraId="3B798FE7">
                  <w:pPr>
                    <w:pStyle w:val="63"/>
                    <w:adjustRightInd w:val="0"/>
                    <w:snapToGrid w:val="0"/>
                  </w:pPr>
                  <w:r>
                    <w:t>/</w:t>
                  </w:r>
                </w:p>
              </w:tc>
              <w:tc>
                <w:tcPr>
                  <w:tcW w:w="1024" w:type="pct"/>
                  <w:vAlign w:val="center"/>
                </w:tcPr>
                <w:p w14:paraId="4192522E">
                  <w:pPr>
                    <w:pStyle w:val="63"/>
                    <w:adjustRightInd w:val="0"/>
                    <w:snapToGrid w:val="0"/>
                  </w:pPr>
                  <w:r>
                    <w:rPr>
                      <w:rFonts w:hint="eastAsia"/>
                    </w:rPr>
                    <w:t>采用垃圾桶集中收集后运出勘查区由环卫部门统一清运</w:t>
                  </w:r>
                </w:p>
              </w:tc>
            </w:tr>
            <w:tr w14:paraId="10D04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vAlign w:val="center"/>
                </w:tcPr>
                <w:p w14:paraId="1121ED0F">
                  <w:pPr>
                    <w:pStyle w:val="63"/>
                  </w:pPr>
                  <w:r>
                    <w:rPr>
                      <w:rFonts w:hint="eastAsia"/>
                    </w:rPr>
                    <w:t>危险废物</w:t>
                  </w:r>
                </w:p>
              </w:tc>
              <w:tc>
                <w:tcPr>
                  <w:tcW w:w="758" w:type="pct"/>
                  <w:vAlign w:val="center"/>
                </w:tcPr>
                <w:p w14:paraId="5D901EE1">
                  <w:pPr>
                    <w:pStyle w:val="63"/>
                  </w:pPr>
                  <w:r>
                    <w:rPr>
                      <w:rFonts w:hint="eastAsia"/>
                    </w:rPr>
                    <w:t>废润滑油</w:t>
                  </w:r>
                </w:p>
              </w:tc>
              <w:tc>
                <w:tcPr>
                  <w:tcW w:w="530" w:type="pct"/>
                  <w:vAlign w:val="center"/>
                </w:tcPr>
                <w:p w14:paraId="7CFD940C">
                  <w:pPr>
                    <w:pStyle w:val="63"/>
                  </w:pPr>
                  <w:r>
                    <w:rPr>
                      <w:rFonts w:hint="eastAsia"/>
                    </w:rPr>
                    <w:t>HW08</w:t>
                  </w:r>
                </w:p>
              </w:tc>
              <w:tc>
                <w:tcPr>
                  <w:tcW w:w="862" w:type="pct"/>
                  <w:vAlign w:val="center"/>
                </w:tcPr>
                <w:p w14:paraId="2725894C">
                  <w:pPr>
                    <w:pStyle w:val="63"/>
                  </w:pPr>
                  <w:r>
                    <w:rPr>
                      <w:rFonts w:hint="eastAsia"/>
                    </w:rPr>
                    <w:t>900-214-08</w:t>
                  </w:r>
                </w:p>
              </w:tc>
              <w:tc>
                <w:tcPr>
                  <w:tcW w:w="773" w:type="pct"/>
                  <w:vAlign w:val="center"/>
                </w:tcPr>
                <w:p w14:paraId="6610E2AD">
                  <w:pPr>
                    <w:pStyle w:val="63"/>
                  </w:pPr>
                  <w:r>
                    <w:rPr>
                      <w:rFonts w:hint="eastAsia"/>
                    </w:rPr>
                    <w:t>0.1t</w:t>
                  </w:r>
                </w:p>
              </w:tc>
              <w:tc>
                <w:tcPr>
                  <w:tcW w:w="587" w:type="pct"/>
                  <w:vAlign w:val="center"/>
                </w:tcPr>
                <w:p w14:paraId="30D4FE49">
                  <w:pPr>
                    <w:pStyle w:val="63"/>
                  </w:pPr>
                  <w:r>
                    <w:rPr>
                      <w:rFonts w:hint="eastAsia"/>
                    </w:rPr>
                    <w:t>毒性、易燃性</w:t>
                  </w:r>
                </w:p>
              </w:tc>
              <w:tc>
                <w:tcPr>
                  <w:tcW w:w="1024" w:type="pct"/>
                  <w:vAlign w:val="center"/>
                </w:tcPr>
                <w:p w14:paraId="762BFE86">
                  <w:pPr>
                    <w:pStyle w:val="63"/>
                  </w:pPr>
                  <w:r>
                    <w:rPr>
                      <w:rFonts w:hint="eastAsia"/>
                    </w:rPr>
                    <w:t>集中收集交有资质单位处理</w:t>
                  </w:r>
                </w:p>
              </w:tc>
            </w:tr>
          </w:tbl>
          <w:p w14:paraId="21AEDF22">
            <w:pPr>
              <w:pStyle w:val="19"/>
            </w:pPr>
            <w:r>
              <w:rPr>
                <w:rFonts w:hint="eastAsia"/>
              </w:rPr>
              <w:t>4</w:t>
            </w:r>
            <w:r>
              <w:t>.5</w:t>
            </w:r>
            <w:r>
              <w:rPr>
                <w:rFonts w:hint="eastAsia"/>
              </w:rPr>
              <w:t>环境管理要求</w:t>
            </w:r>
          </w:p>
          <w:p w14:paraId="4CB2DD23">
            <w:pPr>
              <w:widowControl/>
              <w:adjustRightInd w:val="0"/>
              <w:snapToGrid w:val="0"/>
              <w:ind w:firstLine="482"/>
              <w:jc w:val="left"/>
              <w:rPr>
                <w:rFonts w:ascii="宋体" w:hAnsi="宋体" w:cs="宋体"/>
                <w:b/>
              </w:rPr>
            </w:pPr>
            <w:r>
              <w:rPr>
                <w:rFonts w:hint="eastAsia" w:ascii="宋体" w:hAnsi="宋体" w:cs="宋体"/>
                <w:b/>
                <w:color w:val="000000"/>
                <w:kern w:val="0"/>
                <w:lang w:bidi="ar"/>
              </w:rPr>
              <w:t>（1）一般固体废物暂存间建设及管理要求：</w:t>
            </w:r>
          </w:p>
          <w:p w14:paraId="04DA73FD">
            <w:pPr>
              <w:widowControl/>
              <w:adjustRightInd w:val="0"/>
              <w:snapToGrid w:val="0"/>
              <w:rPr>
                <w:color w:val="000000"/>
                <w:kern w:val="0"/>
                <w:lang w:bidi="ar"/>
              </w:rPr>
            </w:pPr>
            <w:r>
              <w:rPr>
                <w:color w:val="000000"/>
                <w:kern w:val="0"/>
                <w:lang w:bidi="ar"/>
              </w:rPr>
              <w:t>1）一般固体废物暂存区按照《</w:t>
            </w:r>
            <w:r>
              <w:rPr>
                <w:rFonts w:hint="eastAsia"/>
                <w:color w:val="000000"/>
                <w:kern w:val="0"/>
                <w:lang w:bidi="ar"/>
              </w:rPr>
              <w:t>一般工业固体废物贮存和填埋污染控制标准</w:t>
            </w:r>
            <w:r>
              <w:rPr>
                <w:color w:val="000000"/>
                <w:kern w:val="0"/>
                <w:lang w:bidi="ar"/>
              </w:rPr>
              <w:t>》</w:t>
            </w:r>
            <w:r>
              <w:rPr>
                <w:rFonts w:hint="eastAsia"/>
                <w:color w:val="000000"/>
                <w:kern w:val="0"/>
                <w:lang w:bidi="ar"/>
              </w:rPr>
              <w:t>（</w:t>
            </w:r>
            <w:r>
              <w:rPr>
                <w:color w:val="000000"/>
                <w:kern w:val="0"/>
                <w:lang w:bidi="ar"/>
              </w:rPr>
              <w:t>GB18599-2020</w:t>
            </w:r>
            <w:r>
              <w:rPr>
                <w:rFonts w:hint="eastAsia"/>
                <w:color w:val="000000"/>
                <w:kern w:val="0"/>
                <w:lang w:bidi="ar"/>
              </w:rPr>
              <w:t>）</w:t>
            </w:r>
            <w:r>
              <w:rPr>
                <w:color w:val="000000"/>
                <w:kern w:val="0"/>
                <w:lang w:bidi="ar"/>
              </w:rPr>
              <w:t>中标准要求进行管理；</w:t>
            </w:r>
          </w:p>
          <w:p w14:paraId="4BA07671">
            <w:pPr>
              <w:widowControl/>
              <w:adjustRightInd w:val="0"/>
              <w:snapToGrid w:val="0"/>
              <w:rPr>
                <w:color w:val="000000"/>
                <w:kern w:val="0"/>
                <w:lang w:bidi="ar"/>
              </w:rPr>
            </w:pPr>
            <w:r>
              <w:rPr>
                <w:rFonts w:hint="eastAsia"/>
                <w:color w:val="000000"/>
                <w:kern w:val="0"/>
                <w:lang w:bidi="ar"/>
              </w:rPr>
              <w:t>2）</w:t>
            </w:r>
            <w:r>
              <w:rPr>
                <w:color w:val="000000"/>
                <w:kern w:val="0"/>
                <w:lang w:bidi="ar"/>
              </w:rPr>
              <w:t>对固体废物实行从产生、收集、运输、贮存直至最终处理实行全过程管理，按照有关法律、法规的要求，对固体废弃物全过程管理应报当地生态环境行政主管部门等批准。</w:t>
            </w:r>
          </w:p>
          <w:p w14:paraId="65ECBC78">
            <w:pPr>
              <w:widowControl/>
              <w:adjustRightInd w:val="0"/>
              <w:snapToGrid w:val="0"/>
              <w:rPr>
                <w:color w:val="000000"/>
                <w:kern w:val="0"/>
                <w:lang w:bidi="ar"/>
              </w:rPr>
            </w:pPr>
            <w:r>
              <w:rPr>
                <w:rFonts w:hint="eastAsia"/>
                <w:color w:val="000000"/>
                <w:kern w:val="0"/>
                <w:lang w:bidi="ar"/>
              </w:rPr>
              <w:t>3）</w:t>
            </w:r>
            <w:r>
              <w:rPr>
                <w:color w:val="000000"/>
                <w:kern w:val="0"/>
                <w:lang w:bidi="ar"/>
              </w:rPr>
              <w:t>加强固体废物规范化管理，固体废物分类定点堆放，堆放场所远离办公区</w:t>
            </w:r>
            <w:r>
              <w:rPr>
                <w:rFonts w:hint="eastAsia"/>
                <w:color w:val="000000"/>
                <w:kern w:val="0"/>
                <w:lang w:bidi="ar"/>
              </w:rPr>
              <w:t>。</w:t>
            </w:r>
          </w:p>
          <w:p w14:paraId="46072541">
            <w:pPr>
              <w:widowControl/>
              <w:adjustRightInd w:val="0"/>
              <w:snapToGrid w:val="0"/>
              <w:jc w:val="left"/>
              <w:rPr>
                <w:color w:val="000000"/>
                <w:kern w:val="0"/>
                <w:lang w:bidi="ar"/>
              </w:rPr>
            </w:pPr>
            <w:r>
              <w:rPr>
                <w:rFonts w:hint="eastAsia"/>
                <w:color w:val="000000"/>
                <w:kern w:val="0"/>
                <w:lang w:bidi="ar"/>
              </w:rPr>
              <w:t>4）</w:t>
            </w:r>
            <w:r>
              <w:rPr>
                <w:color w:val="000000"/>
                <w:kern w:val="0"/>
                <w:lang w:bidi="ar"/>
              </w:rPr>
              <w:t>固体废物要及时清运，避免产生二次污染。</w:t>
            </w:r>
          </w:p>
          <w:p w14:paraId="1B2D0A67">
            <w:r>
              <w:rPr>
                <w:color w:val="000000"/>
                <w:kern w:val="0"/>
                <w:lang w:bidi="ar"/>
              </w:rPr>
              <w:t>一般工业固体废物贮存、处置场，禁止危险废物和生活垃圾混入。贮存、处置场使用单位，应建立检查维护制度。发现有损坏可能或异常，应及时采取必要措施，以保障正常运行。贮存、处置场的使用单位，应建立档案制度。应将入场的一般工业固体废物的种类和数量以及下列资料，详细记录在案，长期保存，供随时查阅。贮存、处置场的环境保护图形标志，应按相关规定进行检查和维护</w:t>
            </w:r>
            <w:r>
              <w:t>。</w:t>
            </w:r>
          </w:p>
          <w:p w14:paraId="29F4D874">
            <w:pPr>
              <w:ind w:firstLine="482"/>
              <w:rPr>
                <w:b/>
                <w:bCs/>
              </w:rPr>
            </w:pPr>
            <w:r>
              <w:rPr>
                <w:rFonts w:hint="eastAsia"/>
                <w:b/>
                <w:bCs/>
              </w:rPr>
              <w:t>（2）危险废物贮存点建设及管理要求：</w:t>
            </w:r>
          </w:p>
          <w:p w14:paraId="3120951C">
            <w:r>
              <w:rPr>
                <w:rFonts w:hint="eastAsia"/>
                <w:bCs/>
              </w:rPr>
              <w:t>本项目主要风险物质为</w:t>
            </w:r>
            <w:r>
              <w:rPr>
                <w:rFonts w:hint="eastAsia"/>
              </w:rPr>
              <w:t>废润滑油，废润滑油集中收集后委托有资质的处理单位进行处理。本项目危险废物临时贮存场所的建设必须满足《危险废物贮存污染控制标准》（GB18597-2023）的相关要求。</w:t>
            </w:r>
          </w:p>
          <w:p w14:paraId="4A052B23">
            <w:pPr>
              <w:ind w:firstLine="482"/>
            </w:pPr>
            <w:r>
              <w:rPr>
                <w:rFonts w:hint="eastAsia" w:ascii="宋体" w:hAnsi="宋体" w:cs="宋体"/>
                <w:b/>
                <w:bCs/>
              </w:rPr>
              <w:t>1）危险废物的收集和临时贮存要求</w:t>
            </w:r>
          </w:p>
          <w:p w14:paraId="4354C0FF">
            <w:r>
              <w:rPr>
                <w:rFonts w:hint="eastAsia"/>
                <w:bCs/>
              </w:rPr>
              <w:t>本项目危险废物为</w:t>
            </w:r>
            <w:r>
              <w:rPr>
                <w:rFonts w:hint="eastAsia"/>
                <w:color w:val="000000"/>
              </w:rPr>
              <w:t>废润滑油</w:t>
            </w:r>
            <w:r>
              <w:rPr>
                <w:rFonts w:hint="eastAsia"/>
              </w:rPr>
              <w:t>，</w:t>
            </w:r>
            <w:r>
              <w:rPr>
                <w:rFonts w:hint="eastAsia"/>
                <w:color w:val="000000"/>
              </w:rPr>
              <w:t>废润滑油</w:t>
            </w:r>
            <w:r>
              <w:rPr>
                <w:rFonts w:hint="eastAsia"/>
              </w:rPr>
              <w:t>集中收集后委托有资质的处理单位进行处理</w:t>
            </w:r>
            <w:r>
              <w:t>。</w:t>
            </w:r>
            <w:r>
              <w:rPr>
                <w:rFonts w:hint="eastAsia"/>
              </w:rPr>
              <w:t>危险废物贮存点</w:t>
            </w:r>
            <w:r>
              <w:t>应按《危险废物贮存污染控制标准》</w:t>
            </w:r>
            <w:r>
              <w:rPr>
                <w:rFonts w:hint="eastAsia"/>
              </w:rPr>
              <w:t>（</w:t>
            </w:r>
            <w:r>
              <w:t>GB18597-2023</w:t>
            </w:r>
            <w:r>
              <w:rPr>
                <w:rFonts w:hint="eastAsia"/>
              </w:rPr>
              <w:t>）</w:t>
            </w:r>
            <w:r>
              <w:t>的要求设计建设，可以做到</w:t>
            </w:r>
            <w:r>
              <w:rPr>
                <w:rFonts w:hint="eastAsia"/>
              </w:rPr>
              <w:t>“</w:t>
            </w:r>
            <w:r>
              <w:t>四防</w:t>
            </w:r>
            <w:r>
              <w:rPr>
                <w:rFonts w:hint="eastAsia"/>
              </w:rPr>
              <w:t>”（</w:t>
            </w:r>
            <w:r>
              <w:t>防风、防雨、防晒、防渗漏</w:t>
            </w:r>
            <w:r>
              <w:rPr>
                <w:rFonts w:hint="eastAsia"/>
              </w:rPr>
              <w:t>）</w:t>
            </w:r>
            <w:r>
              <w:t>。同时还需委托有资质的单位处置。根据《中华人民共和国固体废物污染环境防治法》、《危险废物收集、贮存、运输技术规范》</w:t>
            </w:r>
            <w:r>
              <w:rPr>
                <w:rFonts w:hint="eastAsia"/>
              </w:rPr>
              <w:t>（</w:t>
            </w:r>
            <w:r>
              <w:t>HJ2025-2012</w:t>
            </w:r>
            <w:r>
              <w:rPr>
                <w:rFonts w:hint="eastAsia"/>
              </w:rPr>
              <w:t>）</w:t>
            </w:r>
            <w:r>
              <w:t>、《危险废物贮存污染控制标准》</w:t>
            </w:r>
            <w:r>
              <w:rPr>
                <w:rFonts w:hint="eastAsia"/>
              </w:rPr>
              <w:t>（</w:t>
            </w:r>
            <w:r>
              <w:t>18597-2023</w:t>
            </w:r>
            <w:r>
              <w:rPr>
                <w:rFonts w:hint="eastAsia"/>
              </w:rPr>
              <w:t>）</w:t>
            </w:r>
            <w:r>
              <w:t>，项目在运营过程中，按照以下要求管理危险废物：</w:t>
            </w:r>
          </w:p>
          <w:p w14:paraId="257CC3F7">
            <w:r>
              <w:t>a.应加强危险废物管理，制定危险废物管理计划，并报当地环保部门备案。对员工进行培训，提高全体人员对危险废物管理的认识。确保相关管理人员和从事危废收集、运送、</w:t>
            </w:r>
            <w:r>
              <w:rPr>
                <w:rFonts w:hint="eastAsia"/>
              </w:rPr>
              <w:t>贮存</w:t>
            </w:r>
            <w:r>
              <w:t>等工作的人员掌握国家相关法律法规、规章和有关规范性文件的规定，熟悉本单位制定的危险废物管理规章制度、工作流程等各项工作要求；掌握危险废物分类收集、运送、</w:t>
            </w:r>
            <w:r>
              <w:rPr>
                <w:rFonts w:hint="eastAsia"/>
              </w:rPr>
              <w:t>贮存</w:t>
            </w:r>
            <w:r>
              <w:t>的正确方法和操作程序，提高安全防护和应急处置能力。</w:t>
            </w:r>
          </w:p>
          <w:p w14:paraId="3E769F97">
            <w:r>
              <w:t>b.建设单位必须严格按照《危险废物收集贮存运输技术规范》的要求来进行危险废物的收集、贮存和运输。危险废物的收集、贮存，须按照其特性分类进行。禁止混合收集、贮存、运输、处置性质不相容而未经安全性处置的危废。装</w:t>
            </w:r>
            <w:r>
              <w:rPr>
                <w:rFonts w:hint="eastAsia"/>
              </w:rPr>
              <w:t>危险废物</w:t>
            </w:r>
            <w:r>
              <w:t>的容器和包装物，要确保无破损、泄漏和其他缺陷，并依据《危险废物贮存污染控制标准》</w:t>
            </w:r>
            <w:r>
              <w:rPr>
                <w:rFonts w:hint="eastAsia"/>
              </w:rPr>
              <w:t>（</w:t>
            </w:r>
            <w:r>
              <w:t>GB18597-2023</w:t>
            </w:r>
            <w:r>
              <w:rPr>
                <w:rFonts w:hint="eastAsia"/>
              </w:rPr>
              <w:t>）</w:t>
            </w:r>
            <w:r>
              <w:t>的规范建设</w:t>
            </w:r>
            <w:r>
              <w:rPr>
                <w:rFonts w:hint="eastAsia"/>
              </w:rPr>
              <w:t>危险废物</w:t>
            </w:r>
            <w:r>
              <w:t>贮存场所并设置</w:t>
            </w:r>
            <w:r>
              <w:rPr>
                <w:rFonts w:hint="eastAsia"/>
              </w:rPr>
              <w:t>危险废物</w:t>
            </w:r>
            <w:r>
              <w:t>标识。危险废物运输应由持有危险废物经营许可证的单位按照其许可证的经营范围组织实施，承担危险废物运输的单位应获得交通运输部门颁发的危险货物运输资质。</w:t>
            </w:r>
          </w:p>
          <w:p w14:paraId="67D53AEC">
            <w:r>
              <w:t>c.建危险废物临时存放间。危险废物临时贮存区应设置明显标志，并对地面进行硬化，并具有防雨淋、防日晒、防渗漏、密闭等措施，并建立健全危险废物管理台账、专人管理。禁止将</w:t>
            </w:r>
            <w:r>
              <w:rPr>
                <w:rFonts w:hint="eastAsia"/>
              </w:rPr>
              <w:t>危险废物</w:t>
            </w:r>
            <w:r>
              <w:t>混入非危险废物中贮存。并且，贮存时间不得超过一年。</w:t>
            </w:r>
          </w:p>
          <w:p w14:paraId="7A424C1E">
            <w:r>
              <w:t>d.严格执行危险废物转移管理制度，禁止将危险废物提供或委托给无危险废</w:t>
            </w:r>
            <w:r>
              <w:rPr>
                <w:kern w:val="0"/>
              </w:rPr>
              <w:t>物经营许可证的单位从事收集、贮存、利用、处置等经营活动。</w:t>
            </w:r>
          </w:p>
          <w:p w14:paraId="5C6F19AD">
            <w:pPr>
              <w:ind w:firstLine="482"/>
              <w:rPr>
                <w:b/>
                <w:bCs/>
                <w:kern w:val="0"/>
              </w:rPr>
            </w:pPr>
            <w:r>
              <w:rPr>
                <w:rFonts w:hint="eastAsia"/>
                <w:b/>
                <w:bCs/>
                <w:kern w:val="0"/>
              </w:rPr>
              <w:t>2）危险废物贮存点标识要求</w:t>
            </w:r>
          </w:p>
          <w:p w14:paraId="2D38E893">
            <w:r>
              <w:rPr>
                <w:kern w:val="0"/>
              </w:rPr>
              <w:t>根据《危险废物贮存污染控制标准》</w:t>
            </w:r>
            <w:r>
              <w:rPr>
                <w:rFonts w:hint="eastAsia"/>
                <w:kern w:val="0"/>
              </w:rPr>
              <w:t>（</w:t>
            </w:r>
            <w:r>
              <w:rPr>
                <w:kern w:val="0"/>
              </w:rPr>
              <w:t>GB18597-2023</w:t>
            </w:r>
            <w:r>
              <w:rPr>
                <w:rFonts w:hint="eastAsia"/>
                <w:kern w:val="0"/>
              </w:rPr>
              <w:t>）</w:t>
            </w:r>
            <w:r>
              <w:rPr>
                <w:kern w:val="0"/>
              </w:rPr>
              <w:t>、《危险废物识别标志设置技术规范》</w:t>
            </w:r>
            <w:r>
              <w:rPr>
                <w:rFonts w:hint="eastAsia"/>
                <w:kern w:val="0"/>
              </w:rPr>
              <w:t>（</w:t>
            </w:r>
            <w:r>
              <w:rPr>
                <w:kern w:val="0"/>
              </w:rPr>
              <w:t>HJ1276-2022</w:t>
            </w:r>
            <w:r>
              <w:rPr>
                <w:rFonts w:hint="eastAsia"/>
                <w:kern w:val="0"/>
              </w:rPr>
              <w:t>）</w:t>
            </w:r>
            <w:r>
              <w:rPr>
                <w:kern w:val="0"/>
              </w:rPr>
              <w:t>、《排污单位污染物排放口二维码标识技术规范》（HJ1297—2023）</w:t>
            </w:r>
            <w:r>
              <w:rPr>
                <w:rFonts w:hint="eastAsia"/>
                <w:kern w:val="0"/>
              </w:rPr>
              <w:t>、《环境保护图形标志—固体废物贮存（处置）场》（GB15562.2-1995）修改单</w:t>
            </w:r>
            <w:r>
              <w:rPr>
                <w:kern w:val="0"/>
              </w:rPr>
              <w:t>等相关规定要求</w:t>
            </w:r>
            <w:r>
              <w:rPr>
                <w:rFonts w:hint="eastAsia"/>
              </w:rPr>
              <w:t>危险废物贮存点</w:t>
            </w:r>
            <w:r>
              <w:rPr>
                <w:kern w:val="0"/>
              </w:rPr>
              <w:t>及危险废物贮存相关标志设置</w:t>
            </w:r>
            <w:r>
              <w:rPr>
                <w:rFonts w:hint="eastAsia"/>
              </w:rPr>
              <w:t>。</w:t>
            </w:r>
          </w:p>
          <w:p w14:paraId="7B3F2A5D">
            <w:pPr>
              <w:pStyle w:val="19"/>
            </w:pPr>
            <w:r>
              <w:t>4.6</w:t>
            </w:r>
            <w:r>
              <w:rPr>
                <w:rFonts w:hint="eastAsia"/>
              </w:rPr>
              <w:t>施工期生态环境影响分析</w:t>
            </w:r>
          </w:p>
          <w:p w14:paraId="41491F41">
            <w:r>
              <w:rPr>
                <w:rFonts w:hint="eastAsia"/>
              </w:rPr>
              <w:t>本项目为地质勘查工程，施工期道路修筑、槽探开挖及钻机平台建设等作业将扰动原地表，破坏天然牧草地植被及土壤结构，造成施工区地表裸露、植被损失及局部水土流失风险增加，对区域生态环境产生一定影响，主要表现在以下几个方面：</w:t>
            </w:r>
          </w:p>
          <w:p w14:paraId="2D40E8FD">
            <w:r>
              <w:rPr>
                <w:rFonts w:hint="eastAsia"/>
              </w:rPr>
              <w:t>（1）工程占地影响分析</w:t>
            </w:r>
          </w:p>
          <w:p w14:paraId="2E370CBA">
            <w:r>
              <w:rPr>
                <w:rFonts w:hint="eastAsia"/>
                <w:color w:val="0F1115"/>
                <w:shd w:val="clear" w:color="auto" w:fill="FFFFFF"/>
              </w:rPr>
              <w:t>根据自然资源局出具的选址意见复函，本项目临时用地情况如下：道路工程用地长度16.703km，均宽5m；槽探35处；钻探22处；生活区2处。临时用地合计面积9.8337hm²（147.5</w:t>
            </w:r>
            <w:r>
              <w:rPr>
                <w:color w:val="0F1115"/>
                <w:shd w:val="clear" w:color="auto" w:fill="FFFFFF"/>
              </w:rPr>
              <w:t>055</w:t>
            </w:r>
            <w:r>
              <w:rPr>
                <w:rFonts w:hint="eastAsia"/>
                <w:color w:val="0F1115"/>
                <w:shd w:val="clear" w:color="auto" w:fill="FFFFFF"/>
              </w:rPr>
              <w:t>亩）。土地权属均为国有，地类为天然牧草地、农村道路、裸岩石砾地。项目临时用地范围不涉及生态保护红线</w:t>
            </w:r>
            <w:r>
              <w:rPr>
                <w:rFonts w:hint="eastAsia"/>
              </w:rPr>
              <w:t>。</w:t>
            </w:r>
          </w:p>
          <w:p w14:paraId="10EFF4BE">
            <w:r>
              <w:rPr>
                <w:rFonts w:hint="eastAsia"/>
              </w:rPr>
              <w:t>道路工程用地长度16.703km，均宽5m，主要用于施工机械及材料运输通行。道路修筑需进行场地平整和压实，施工期间将破坏地表植被，造成局部土地裸露，同时可能阻断或改变地表径流，对临时道路跨越的天然牧草地植被造成占压和破坏。</w:t>
            </w:r>
          </w:p>
          <w:p w14:paraId="608CE733">
            <w:r>
              <w:rPr>
                <w:rFonts w:hint="eastAsia"/>
              </w:rPr>
              <w:t>槽探工程及钻探工程用地较为分散，单点扰动面积小，主要用于探槽开挖及钻机平台布设。施工期间将破坏地表植被及土壤结构，若防护不当可能引发局部水土流失。</w:t>
            </w:r>
          </w:p>
          <w:p w14:paraId="188E88FD">
            <w:r>
              <w:rPr>
                <w:rFonts w:hint="eastAsia"/>
              </w:rPr>
              <w:t>本项目属地质勘查工程，单点施工周期短、总体扰动面积小。通过严格控制施工作业带宽度，对开挖产生的土石方集中堆放并采取苫盖、拦挡等临时防护措施，施工结束后及时进行场地平整、植被恢复（播撒适宜当地生长的草种并适度养护），临时占地对环境的影响是暂时的、可逆的，随施工结束和生态恢复措施的落实，区域土地利用功能可逐步恢复</w:t>
            </w:r>
            <w:r>
              <w:t>。</w:t>
            </w:r>
          </w:p>
          <w:p w14:paraId="2F2A163F">
            <w:pPr>
              <w:rPr>
                <w:rFonts w:ascii="宋体" w:hAnsi="宋体" w:cs="宋体"/>
              </w:rPr>
            </w:pPr>
            <w:r>
              <w:rPr>
                <w:rFonts w:hint="eastAsia"/>
              </w:rPr>
              <w:t>（2）</w:t>
            </w:r>
            <w:r>
              <w:rPr>
                <w:rFonts w:ascii="宋体" w:hAnsi="宋体" w:cs="宋体"/>
              </w:rPr>
              <w:t>对植被的影响分析</w:t>
            </w:r>
          </w:p>
          <w:p w14:paraId="7CA43B89">
            <w:r>
              <w:rPr>
                <w:rFonts w:hint="eastAsia" w:ascii="Segoe UI" w:hAnsi="Segoe UI" w:cs="Segoe UI"/>
                <w:color w:val="0F1115"/>
                <w:shd w:val="clear" w:color="auto" w:fill="FFFFFF"/>
              </w:rPr>
              <w:t>本项目施工期道路修筑、槽探开挖、坑探施工、钻探平台建设及机械碾压等作业将破坏占地范围内的地表植被，造成局部植被损失和地表裸露，对局部生态系统稳定性产生短期不利影响</w:t>
            </w:r>
            <w:r>
              <w:rPr>
                <w:rFonts w:hint="eastAsia"/>
              </w:rPr>
              <w:t>。</w:t>
            </w:r>
          </w:p>
          <w:p w14:paraId="438CF001">
            <w:r>
              <w:rPr>
                <w:rFonts w:hint="eastAsia"/>
              </w:rPr>
              <w:t>根据现场踏勘，项目区地类以天然牧草地为主，植被覆盖度较高，主要植被类型为</w:t>
            </w:r>
            <w:r>
              <w:rPr>
                <w:rFonts w:hint="eastAsia"/>
                <w:color w:val="000000"/>
                <w:kern w:val="0"/>
              </w:rPr>
              <w:t>紫花针茅</w:t>
            </w:r>
            <w:r>
              <w:rPr>
                <w:rFonts w:hint="eastAsia"/>
              </w:rPr>
              <w:t>、</w:t>
            </w:r>
            <w:r>
              <w:rPr>
                <w:rFonts w:hint="eastAsia"/>
                <w:color w:val="000000"/>
                <w:kern w:val="0"/>
              </w:rPr>
              <w:t>紫菀木</w:t>
            </w:r>
            <w:r>
              <w:rPr>
                <w:rFonts w:hint="eastAsia"/>
              </w:rPr>
              <w:t>、灌木亚菊、</w:t>
            </w:r>
            <w:r>
              <w:rPr>
                <w:rFonts w:hint="eastAsia"/>
                <w:color w:val="000000"/>
                <w:kern w:val="0"/>
              </w:rPr>
              <w:t>沙生针茅</w:t>
            </w:r>
            <w:r>
              <w:rPr>
                <w:rFonts w:hint="eastAsia"/>
              </w:rPr>
              <w:t>等当地常见草本植物，覆盖度高、连片分布。施工临时占地（合计</w:t>
            </w:r>
            <w:r>
              <w:t>9.8337hm²</w:t>
            </w:r>
            <w:r>
              <w:rPr>
                <w:rFonts w:hint="eastAsia"/>
              </w:rPr>
              <w:t>）范围内的地表植被将被清除或占压，造成植被地上部分损失。但项目占地范围内未发现珍稀濒危保护植物或古树名木分布，受影响植被均为当地广布物种，且在周边区域有广泛分布，不会因本工程施工而导致物种灭绝或区域性消失。</w:t>
            </w:r>
          </w:p>
          <w:p w14:paraId="10E02C4F">
            <w:r>
              <w:rPr>
                <w:rFonts w:hint="eastAsia"/>
              </w:rPr>
              <w:t>本项目属地质勘查工程，施工点位分散、单点扰动面积小，影响区域主要为天然牧草地及少量其他草地。工程施工不会导致区域植物物种组成发生根本改变，仅造成局部植被盖度和生物量的暂时性降低。</w:t>
            </w:r>
          </w:p>
          <w:p w14:paraId="0310934B">
            <w:r>
              <w:rPr>
                <w:rFonts w:hint="eastAsia"/>
              </w:rPr>
              <w:t>施工结束后，通过对临时占地进行场地平整、翻松压实土层、播撒乡土草种并适度施肥养护，区域植被盖度和生物量可逐步恢复至原有水平。施工对植被的负面影响是局部和暂时的，在落实生态恢复措施的前提下，区域天然牧草地的生态功能可得到有效恢复。</w:t>
            </w:r>
          </w:p>
          <w:p w14:paraId="2DEF4764">
            <w:r>
              <w:rPr>
                <w:rFonts w:hint="eastAsia"/>
                <w:color w:val="000000"/>
              </w:rPr>
              <w:t>（3）</w:t>
            </w:r>
            <w:r>
              <w:t>对野生动物影响分析</w:t>
            </w:r>
          </w:p>
          <w:p w14:paraId="4F928213">
            <w:pPr>
              <w:rPr>
                <w:color w:val="000000"/>
              </w:rPr>
            </w:pPr>
            <w:r>
              <w:rPr>
                <w:rFonts w:hint="eastAsia"/>
                <w:color w:val="000000"/>
              </w:rPr>
              <w:t>项目区及周边区域人类活动较为频繁，野生动物栖息环境已受到一定程度的人为干扰。经现场调查及资料查阅，项目评价范围内未发现国家级、自治区级重点保护野生动物分布，亦无珍稀濒危野生动物的重要栖息地或繁殖地。沿线野生动物主要以鸟类（如雀形目小型鸟类）及啮齿类动物（如鼠类）为主，偶见草兔等小型兽类。</w:t>
            </w:r>
          </w:p>
          <w:p w14:paraId="4294ECF7">
            <w:pPr>
              <w:rPr>
                <w:color w:val="0F1115"/>
                <w:shd w:val="clear" w:color="auto" w:fill="FFFFFF"/>
              </w:rPr>
            </w:pPr>
            <w:r>
              <w:rPr>
                <w:rFonts w:hint="eastAsia" w:ascii="Segoe UI" w:hAnsi="Segoe UI" w:cs="Segoe UI"/>
                <w:color w:val="0F1115"/>
                <w:shd w:val="clear" w:color="auto" w:fill="FFFFFF"/>
              </w:rPr>
              <w:t>施工期间，道路修筑、槽探开挖、坑探施工、钻探作业及机械噪声、人员活动等，将惊扰区域内野生动物，可能迫使其暂时向周边适宜生境迁移</w:t>
            </w:r>
            <w:r>
              <w:rPr>
                <w:rFonts w:ascii="Segoe UI" w:hAnsi="Segoe UI" w:cs="Segoe UI"/>
                <w:color w:val="0F1115"/>
                <w:shd w:val="clear" w:color="auto" w:fill="FFFFFF"/>
              </w:rPr>
              <w:t>。受影响物种主要为常见小型野生动物（鸟类、啮齿类等），其活动范围广、迁移能力较强，在遇到不利干扰时可迅速转移至周边相似生境中栖息。本项目施工点位分散、单点施工周期短，且施工结束后干扰即消失，受影响动物可逐步回迁至原栖息地。因此，本工程施工不会导致区域野生动物种群数量发生明显变化，亦不会造成物种消失或生物多样</w:t>
            </w:r>
            <w:r>
              <w:rPr>
                <w:color w:val="0F1115"/>
                <w:shd w:val="clear" w:color="auto" w:fill="FFFFFF"/>
              </w:rPr>
              <w:t>性降低。</w:t>
            </w:r>
          </w:p>
          <w:p w14:paraId="6653A64E">
            <w:pPr>
              <w:rPr>
                <w:color w:val="0F1115"/>
                <w:shd w:val="clear" w:color="auto" w:fill="FFFFFF"/>
              </w:rPr>
            </w:pPr>
            <w:r>
              <w:rPr>
                <w:rFonts w:hint="eastAsia"/>
                <w:color w:val="0F1115"/>
                <w:shd w:val="clear" w:color="auto" w:fill="FFFFFF"/>
              </w:rPr>
              <w:t>（4）</w:t>
            </w:r>
            <w:r>
              <w:rPr>
                <w:color w:val="0F1115"/>
                <w:shd w:val="clear" w:color="auto" w:fill="FFFFFF"/>
              </w:rPr>
              <w:t>对</w:t>
            </w:r>
            <w:r>
              <w:rPr>
                <w:rFonts w:hint="eastAsia"/>
                <w:color w:val="0F1115"/>
                <w:shd w:val="clear" w:color="auto" w:fill="FFFFFF"/>
              </w:rPr>
              <w:t>水生动物</w:t>
            </w:r>
            <w:r>
              <w:rPr>
                <w:color w:val="0F1115"/>
                <w:shd w:val="clear" w:color="auto" w:fill="FFFFFF"/>
              </w:rPr>
              <w:t>影响分析</w:t>
            </w:r>
          </w:p>
          <w:p w14:paraId="321FF1BA">
            <w:pPr>
              <w:rPr>
                <w:color w:val="0F1115"/>
                <w:shd w:val="clear" w:color="auto" w:fill="FFFFFF"/>
              </w:rPr>
            </w:pPr>
            <w:r>
              <w:rPr>
                <w:rFonts w:hint="eastAsia"/>
                <w:color w:val="0F1115"/>
                <w:shd w:val="clear" w:color="auto" w:fill="FFFFFF"/>
              </w:rPr>
              <w:t>现状调查表明，芒奇提河水生生物种类及数量较少，评价范围内无保护鱼类及产卵场等敏感区域分布，常见物种主要为泥鳅等广布性种类。本项目施工作业不</w:t>
            </w:r>
            <w:r>
              <w:rPr>
                <w:rFonts w:ascii="Segoe UI" w:hAnsi="Segoe UI" w:eastAsia="Segoe UI" w:cs="Segoe UI"/>
                <w:color w:val="0F1115"/>
                <w:shd w:val="clear" w:color="auto" w:fill="FFFFFF"/>
              </w:rPr>
              <w:t>涉及河道及水域，施工活动对水生生物无直接影响，对水生生态的影响总体较小</w:t>
            </w:r>
            <w:r>
              <w:rPr>
                <w:color w:val="0F1115"/>
                <w:shd w:val="clear" w:color="auto" w:fill="FFFFFF"/>
              </w:rPr>
              <w:t>。</w:t>
            </w:r>
          </w:p>
          <w:p w14:paraId="0E893BEC">
            <w:pPr>
              <w:rPr>
                <w:color w:val="0F1115"/>
                <w:shd w:val="clear" w:color="auto" w:fill="FFFFFF"/>
              </w:rPr>
            </w:pPr>
            <w:r>
              <w:rPr>
                <w:color w:val="0F1115"/>
                <w:shd w:val="clear" w:color="auto" w:fill="FFFFFF"/>
              </w:rPr>
              <w:t>（5）水土流失影响分析</w:t>
            </w:r>
          </w:p>
          <w:p w14:paraId="41CC8DEC">
            <w:pPr>
              <w:rPr>
                <w:color w:val="0F1115"/>
                <w:shd w:val="clear" w:color="auto" w:fill="FFFFFF"/>
              </w:rPr>
            </w:pPr>
            <w:r>
              <w:rPr>
                <w:color w:val="0F1115"/>
                <w:shd w:val="clear" w:color="auto" w:fill="FFFFFF"/>
              </w:rPr>
              <w:t>本项目水土流失主要发生在施工期。道路修筑、槽探开挖、</w:t>
            </w:r>
            <w:r>
              <w:rPr>
                <w:rFonts w:hint="eastAsia" w:ascii="Segoe UI" w:hAnsi="Segoe UI" w:cs="Segoe UI"/>
                <w:color w:val="0F1115"/>
                <w:shd w:val="clear" w:color="auto" w:fill="FFFFFF"/>
              </w:rPr>
              <w:t>坑探施工、</w:t>
            </w:r>
            <w:r>
              <w:rPr>
                <w:color w:val="0F1115"/>
                <w:shd w:val="clear" w:color="auto" w:fill="FFFFFF"/>
              </w:rPr>
              <w:t>钻探平台建设及机械碾压等作业将扰动地表，破坏天然牧草地植被，使土壤抗侵蚀能力暂时下降，在强风或强降水条件下可能产生一定程度的水土流失。根据《关于印发</w:t>
            </w:r>
            <w:bookmarkStart w:id="12" w:name="_GoBack"/>
            <w:r>
              <w:rPr>
                <w:rFonts w:hint="eastAsia"/>
                <w:color w:val="0F1115"/>
                <w:shd w:val="clear" w:color="auto" w:fill="FFFFFF"/>
                <w:lang w:eastAsia="zh-CN"/>
              </w:rPr>
              <w:t>新疆维吾尔自治区</w:t>
            </w:r>
            <w:bookmarkEnd w:id="12"/>
            <w:r>
              <w:rPr>
                <w:color w:val="0F1115"/>
                <w:shd w:val="clear" w:color="auto" w:fill="FFFFFF"/>
              </w:rPr>
              <w:t>级水土流失重点预防区和重点治理区复核划分成果的通知》（新水水保〔2019〕4号），项目区属于天山山区重点预防区。由于施工点位分散、单点扰动面积小，施工期间通过控制作业带宽度、避开恶劣天气施工、对临时堆土采取苫盖等措施，可将水土流失影响控制在较小范围。施工结束后及时进行场地平整和植被恢复，地表抗侵蚀能力逐步回升。总体而言，本项目水土流失影响是局部和暂时的，不会造成严重的水土流失危害。</w:t>
            </w:r>
          </w:p>
          <w:p w14:paraId="44C56BB2">
            <w:r>
              <w:rPr>
                <w:rFonts w:hint="eastAsia"/>
                <w:color w:val="0F1115"/>
                <w:shd w:val="clear" w:color="auto" w:fill="FFFFFF"/>
              </w:rPr>
              <w:t>（6）</w:t>
            </w:r>
            <w:r>
              <w:rPr>
                <w:rFonts w:hint="eastAsia"/>
              </w:rPr>
              <w:t>水土保持影响分析内容</w:t>
            </w:r>
          </w:p>
          <w:p w14:paraId="30B32DE6">
            <w:pPr>
              <w:rPr>
                <w:color w:val="0F1115"/>
                <w:shd w:val="clear" w:color="auto" w:fill="FFFFFF"/>
              </w:rPr>
            </w:pPr>
            <w:r>
              <w:rPr>
                <w:rFonts w:hint="eastAsia"/>
                <w:color w:val="0F1115"/>
                <w:shd w:val="clear" w:color="auto" w:fill="FFFFFF"/>
              </w:rPr>
              <w:t>本项目位于天山山区水土流失重点预防区。施工期道路修筑、槽探坑探开挖、钻探平台建设等作业将扰动地表、破坏植被，使土壤抗侵蚀能力下降，在强风或强降水条件下可能产生水土流失。施工期间通过控制作业带宽度、临时堆土苫盖、避开恶劣天气施工，施工结束后及时进行场地平整和植被恢复，可将水土流失影响控制在局部和短期内，不会造成严重危害。</w:t>
            </w:r>
          </w:p>
          <w:p w14:paraId="5F6D719F">
            <w:pPr>
              <w:rPr>
                <w:color w:val="0F1115"/>
                <w:shd w:val="clear" w:color="auto" w:fill="FFFFFF"/>
              </w:rPr>
            </w:pPr>
            <w:r>
              <w:rPr>
                <w:color w:val="0F1115"/>
                <w:shd w:val="clear" w:color="auto" w:fill="FFFFFF"/>
              </w:rPr>
              <w:t>（7）施工期地表水环境影响分析</w:t>
            </w:r>
          </w:p>
          <w:p w14:paraId="04ACC744">
            <w:pPr>
              <w:rPr>
                <w:color w:val="0F1115"/>
                <w:shd w:val="clear" w:color="auto" w:fill="FFFFFF"/>
              </w:rPr>
            </w:pPr>
            <w:r>
              <w:rPr>
                <w:rFonts w:hint="eastAsia"/>
                <w:color w:val="0F1115"/>
                <w:shd w:val="clear" w:color="auto" w:fill="FFFFFF"/>
              </w:rPr>
              <w:t>现状调查表明，距离本项目最近的敏感水体为芒奇提河。施工作业带布设于该河右岸，与河道最近距离约310m，施工区域不涉及河道及水域，不涉及水下开挖、水下浇筑等涉水施工。施工期间钻探废水经沉淀池处理后循环使用，不外排；生活污水经一体化污水处理设备处理后用于</w:t>
            </w:r>
            <w:r>
              <w:rPr>
                <w:rFonts w:hint="eastAsia"/>
              </w:rPr>
              <w:t>周边植被绿化</w:t>
            </w:r>
            <w:r>
              <w:rPr>
                <w:rFonts w:hint="eastAsia"/>
                <w:color w:val="0F1115"/>
                <w:shd w:val="clear" w:color="auto" w:fill="FFFFFF"/>
              </w:rPr>
              <w:t>，不向地表水体排放。施工区距水体较远，不存在施工废水直接进入河道的途径。因此，本项目施工期对</w:t>
            </w:r>
            <w:r>
              <w:rPr>
                <w:color w:val="000000"/>
              </w:rPr>
              <w:t>芒奇提河</w:t>
            </w:r>
            <w:r>
              <w:rPr>
                <w:rFonts w:hint="eastAsia"/>
                <w:color w:val="0F1115"/>
                <w:shd w:val="clear" w:color="auto" w:fill="FFFFFF"/>
              </w:rPr>
              <w:t>水质影响轻微，不会对其现有水体功能及生态保护红线区的生态功能产生不利影响。</w:t>
            </w:r>
          </w:p>
          <w:p w14:paraId="736541C2">
            <w:r>
              <w:rPr>
                <w:rFonts w:hint="eastAsia"/>
              </w:rPr>
              <w:t>（</w:t>
            </w:r>
            <w:r>
              <w:t>8</w:t>
            </w:r>
            <w:r>
              <w:rPr>
                <w:rFonts w:hint="eastAsia"/>
              </w:rPr>
              <w:t>）防沙治沙影响分析</w:t>
            </w:r>
          </w:p>
          <w:p w14:paraId="0E98A950">
            <w:r>
              <w:rPr>
                <w:rFonts w:hint="eastAsia"/>
              </w:rPr>
              <w:t>项目区不涉及沙化土地封禁保护区，周边无沙漠及沙化荒漠分布，属于非沙化土地。施工期道路修筑、槽探开挖等作业将扰动地表植被，在干旱多风条件下可能加剧局部风蚀，但本项目植被覆盖度较高，施工点位分散、扰动面积小，通过严格控制施工作业范围、避开大风天气作业、对临时堆土采取苫盖措施、施工结束后及时进行场地平整和植被恢复，可有效抑制风沙活动。综上，项目建设不涉及沙化土地敏感区，对防沙治沙影响较小</w:t>
            </w:r>
            <w:r>
              <w:t>。</w:t>
            </w:r>
          </w:p>
          <w:p w14:paraId="11A42307">
            <w:r>
              <w:rPr>
                <w:rFonts w:hint="eastAsia"/>
              </w:rPr>
              <w:t>（</w:t>
            </w:r>
            <w:r>
              <w:t>9</w:t>
            </w:r>
            <w:r>
              <w:rPr>
                <w:rFonts w:hint="eastAsia"/>
              </w:rPr>
              <w:t>）</w:t>
            </w:r>
            <w:r>
              <w:t>景观影响分析</w:t>
            </w:r>
          </w:p>
          <w:p w14:paraId="60E08986">
            <w:r>
              <w:rPr>
                <w:rFonts w:hint="eastAsia"/>
              </w:rPr>
              <w:t>本项目位于和静县察汗乌苏北方向约</w:t>
            </w:r>
            <w:r>
              <w:t>359.4</w:t>
            </w:r>
            <w:r>
              <w:rPr>
                <w:rFonts w:hint="eastAsia"/>
              </w:rPr>
              <w:t>°直距约</w:t>
            </w:r>
            <w:r>
              <w:t>6.422</w:t>
            </w:r>
            <w:r>
              <w:rPr>
                <w:rFonts w:hint="eastAsia"/>
              </w:rPr>
              <w:t>千米处，属天然牧草地景观区。施工期道路修筑、槽探开挖、坑探施工、钻探平台建设等作业将造成地表扰动和植被破坏，临时堆土及施工机械的视觉干扰对局部景观产生暂时性不利影响。但施工点位分散、临时占地面积较小，影响范围有限，且随施工结束和植被恢复而逐步消除。施工结束后，通过对临时占地进行场地平整和植被恢复，可逐步恢复原有天然牧草地景观风貌。因此，本项目对区域景观影响是暂时的、可恢复的</w:t>
            </w:r>
            <w:r>
              <w:t>。</w:t>
            </w:r>
          </w:p>
          <w:p w14:paraId="2108CC8C">
            <w:r>
              <w:rPr>
                <w:rFonts w:hint="eastAsia"/>
              </w:rPr>
              <w:t>（</w:t>
            </w:r>
            <w:r>
              <w:t>10</w:t>
            </w:r>
            <w:r>
              <w:rPr>
                <w:rFonts w:hint="eastAsia"/>
              </w:rPr>
              <w:t>）</w:t>
            </w:r>
            <w:r>
              <w:t>社会影响分析</w:t>
            </w:r>
          </w:p>
          <w:p w14:paraId="699BDBCB">
            <w:r>
              <w:rPr>
                <w:rFonts w:ascii="Segoe UI" w:hAnsi="Segoe UI" w:cs="Segoe UI"/>
                <w:color w:val="0F1115"/>
                <w:shd w:val="clear" w:color="auto" w:fill="FFFFFF"/>
              </w:rPr>
              <w:t>施工期机械噪声、扬尘及临时占地影响范围有限，项目区周边无居民点分布，不存在施工扰民问题。施工结束后，通过对临时占地进行场地平整和植被恢复，可逐步恢复原有天然牧草地风貌，不会对周边社会环境产生不利影响</w:t>
            </w:r>
            <w:r>
              <w:t>。</w:t>
            </w:r>
          </w:p>
          <w:p w14:paraId="1B4BD8C9">
            <w:r>
              <w:rPr>
                <w:rFonts w:hint="eastAsia"/>
              </w:rPr>
              <w:t>（1</w:t>
            </w:r>
            <w:r>
              <w:t>1</w:t>
            </w:r>
            <w:r>
              <w:rPr>
                <w:rFonts w:hint="eastAsia"/>
              </w:rPr>
              <w:t>）</w:t>
            </w:r>
            <w:r>
              <w:t>经济影响分析</w:t>
            </w:r>
          </w:p>
          <w:p w14:paraId="47C848EC">
            <w:pPr>
              <w:rPr>
                <w:rFonts w:ascii="Segoe UI" w:hAnsi="Segoe UI" w:cs="Segoe UI"/>
                <w:color w:val="0F1115"/>
                <w:shd w:val="clear" w:color="auto" w:fill="FFFFFF"/>
              </w:rPr>
            </w:pPr>
            <w:r>
              <w:rPr>
                <w:rFonts w:hint="eastAsia"/>
              </w:rPr>
              <w:t>施工期将为当地提供少量临时就业岗位，并拉动水泥、木材等建材需求，对地方经济发展产生短期正面拉动作用。项目勘查成果若实现找矿突破，将为后续矿产资源开发提供资源储量基础，潜在经济价值显著，对区</w:t>
            </w:r>
            <w:r>
              <w:rPr>
                <w:rFonts w:hint="eastAsia" w:ascii="Segoe UI" w:hAnsi="Segoe UI" w:cs="Segoe UI"/>
                <w:color w:val="0F1115"/>
                <w:shd w:val="clear" w:color="auto" w:fill="FFFFFF"/>
              </w:rPr>
              <w:t>域矿业经济发展具有积极意义</w:t>
            </w:r>
            <w:r>
              <w:rPr>
                <w:rFonts w:ascii="Segoe UI" w:hAnsi="Segoe UI" w:cs="Segoe UI"/>
                <w:color w:val="0F1115"/>
                <w:shd w:val="clear" w:color="auto" w:fill="FFFFFF"/>
              </w:rPr>
              <w:t>。</w:t>
            </w:r>
          </w:p>
          <w:p w14:paraId="69A25E86">
            <w:pPr>
              <w:ind w:firstLine="482"/>
              <w:rPr>
                <w:b/>
                <w:bCs/>
                <w:color w:val="0F1115"/>
                <w:shd w:val="clear" w:color="auto" w:fill="FFFFFF"/>
              </w:rPr>
            </w:pPr>
            <w:r>
              <w:rPr>
                <w:b/>
                <w:bCs/>
                <w:color w:val="0F1115"/>
                <w:shd w:val="clear" w:color="auto" w:fill="FFFFFF"/>
              </w:rPr>
              <w:t>7.环境风险影响分析</w:t>
            </w:r>
          </w:p>
          <w:p w14:paraId="15111DE3">
            <w:r>
              <w:rPr>
                <w:rFonts w:hint="eastAsia"/>
                <w:color w:val="0F1115"/>
                <w:shd w:val="clear" w:color="auto" w:fill="FFFFFF"/>
              </w:rPr>
              <w:t>在勘查区设置柴油临时存放点一处，柴油分期从哈尔莫敦镇购买，采用200L铁皮油桶（高0.93m，直径0.58m）装运至存放点堆放。存放点地面铺设防渗膜进行防渗处理，并采取防雨、防晒措施，油桶按规范分类摆放，周围设置警示标志，配备灭火器等消防器材，确保存放安全</w:t>
            </w:r>
            <w:r>
              <w:rPr>
                <w:color w:val="0F1115"/>
                <w:shd w:val="clear" w:color="auto" w:fill="FFFFFF"/>
              </w:rPr>
              <w:t>。施工期主要设备为柴油发电机、钻机、岩凿机、自卸汽车。机械维修依托该乡修理厂，不设置专门修配厂；若设备因故障无法移动，由维修厂人员赴现场进行应急维修，产生的废润滑油由施工方在施工营地内设置临时危险废物贮存点，配备防渗托盘，定期交由有资质单位处置。同时，施工现场配备吸油毡、围油栏等应急物资，确保油料泄漏时可及时处置；加强对施工人员的环境风险防范培训，提高风险防范意识。通过上述措施，可有效控制施工期环境风险，项目环境风险总体可控。</w:t>
            </w:r>
          </w:p>
        </w:tc>
      </w:tr>
      <w:tr w14:paraId="3A30BB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4" w:hRule="atLeast"/>
        </w:trPr>
        <w:tc>
          <w:tcPr>
            <w:tcW w:w="336" w:type="pct"/>
            <w:tcMar>
              <w:left w:w="28" w:type="dxa"/>
              <w:right w:w="28" w:type="dxa"/>
            </w:tcMar>
            <w:vAlign w:val="center"/>
          </w:tcPr>
          <w:p w14:paraId="3D008EA2">
            <w:pPr>
              <w:pStyle w:val="32"/>
              <w:rPr>
                <w:rFonts w:ascii="宋体" w:hAnsi="宋体"/>
                <w:bCs/>
                <w:sz w:val="24"/>
                <w:szCs w:val="24"/>
              </w:rPr>
            </w:pPr>
            <w:r>
              <w:rPr>
                <w:rFonts w:hint="eastAsia"/>
                <w:sz w:val="24"/>
                <w:szCs w:val="24"/>
              </w:rPr>
              <w:t>运营期生态环境影响分析</w:t>
            </w:r>
          </w:p>
        </w:tc>
        <w:tc>
          <w:tcPr>
            <w:tcW w:w="4664" w:type="pct"/>
            <w:vAlign w:val="center"/>
          </w:tcPr>
          <w:p w14:paraId="596CB38B">
            <w:r>
              <w:rPr>
                <w:rFonts w:hint="eastAsia"/>
              </w:rPr>
              <w:t>本项目为矿产地质调查，施工期结束后即拆除所有临时设施，对临时占地进行场地平整和植被恢复。随着施工迹地的生态恢复，区域植被盖度和生物量逐步回升，施工活动对生态环境的扰动影响随之终止。本项目不涉及运营期，不存在持续性污染源或永久性构筑物对周边环境的长期影响。</w:t>
            </w:r>
          </w:p>
        </w:tc>
      </w:tr>
      <w:tr w14:paraId="553324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71" w:hRule="atLeast"/>
        </w:trPr>
        <w:tc>
          <w:tcPr>
            <w:tcW w:w="336" w:type="pct"/>
            <w:tcMar>
              <w:left w:w="28" w:type="dxa"/>
              <w:right w:w="28" w:type="dxa"/>
            </w:tcMar>
            <w:vAlign w:val="center"/>
          </w:tcPr>
          <w:p w14:paraId="7A924B6F">
            <w:pPr>
              <w:spacing w:line="240" w:lineRule="auto"/>
              <w:ind w:firstLine="0" w:firstLineChars="0"/>
              <w:jc w:val="center"/>
            </w:pPr>
            <w:r>
              <w:rPr>
                <w:rFonts w:hint="eastAsia"/>
              </w:rPr>
              <w:t>选址环境合理性分析</w:t>
            </w:r>
          </w:p>
        </w:tc>
        <w:tc>
          <w:tcPr>
            <w:tcW w:w="4664" w:type="pct"/>
            <w:vAlign w:val="center"/>
          </w:tcPr>
          <w:p w14:paraId="5964EC8A">
            <w:pPr>
              <w:pStyle w:val="19"/>
              <w:ind w:firstLine="482" w:firstLineChars="200"/>
            </w:pPr>
            <w:r>
              <w:rPr>
                <w:rFonts w:hint="eastAsia"/>
              </w:rPr>
              <w:t>1、用地合理性</w:t>
            </w:r>
          </w:p>
          <w:p w14:paraId="0FD356DB">
            <w:pPr>
              <w:rPr>
                <w:color w:val="000000"/>
              </w:rPr>
            </w:pPr>
            <w:r>
              <w:rPr>
                <w:rFonts w:hint="eastAsia"/>
              </w:rPr>
              <w:t>本项目为矿产地质调查，勘查区面积9.6192km²，呈多边形展布，勘查工作部署严格遵循任务书划定范围，不涉及线路选线问题。项目区不涉及饮用水水源保护区、自然保护区、风景名胜区、地质公园、森林公园及人文古迹等环境敏感点，临时用地不占用生态保护红线，不占用基本农田及耕地。项目实施过程中通过优化施工布局、控制扰动范围，可将对天然牧草地的影响降至最低，从环境保护角度分析，项目选址合理可行</w:t>
            </w:r>
            <w:r>
              <w:rPr>
                <w:rFonts w:hint="eastAsia"/>
                <w:color w:val="000000"/>
              </w:rPr>
              <w:t>。</w:t>
            </w:r>
          </w:p>
          <w:p w14:paraId="39B7D88A">
            <w:pPr>
              <w:pStyle w:val="19"/>
              <w:ind w:firstLine="482" w:firstLineChars="200"/>
            </w:pPr>
            <w:r>
              <w:rPr>
                <w:rFonts w:hint="eastAsia"/>
              </w:rPr>
              <w:t>2、临时道路选址合理性分析</w:t>
            </w:r>
          </w:p>
          <w:p w14:paraId="5CFAFCD3">
            <w:r>
              <w:rPr>
                <w:rFonts w:hint="eastAsia"/>
              </w:rPr>
              <w:t>本项目临时工程主要包括道路工程、槽探工程、坑探施工及钻探工程。</w:t>
            </w:r>
          </w:p>
          <w:p w14:paraId="23C20A90">
            <w:r>
              <w:rPr>
                <w:rFonts w:hint="eastAsia"/>
              </w:rPr>
              <w:t>道路工程用地长度16.703km，均宽5m，沿地形线布设，主要连接各施工点位与现有道路，减少对地表植被的切割和碾压。道路占地类型为天然牧草地，不占用基本农田和耕地，施工期间严格控制作业宽度，防止机械随意碾压破坏周边植被。</w:t>
            </w:r>
          </w:p>
          <w:p w14:paraId="661BFCF8">
            <w:pPr>
              <w:rPr>
                <w:color w:val="000000"/>
              </w:rPr>
            </w:pPr>
            <w:r>
              <w:rPr>
                <w:rFonts w:hint="eastAsia"/>
              </w:rPr>
              <w:t>槽探、坑探工程及钻探工程用地较为分散，单点扰动面积小，选址均避开了生态保护红线、河道水域。工程施工点位均不涉及饮用水源保护区、自然保护区等敏感目标，场地条件便于施工结束后进行场地平整和植被恢复。因此，临时工程平面布置合理。</w:t>
            </w:r>
          </w:p>
          <w:p w14:paraId="5AC49AF2">
            <w:pPr>
              <w:pStyle w:val="19"/>
              <w:ind w:firstLine="482" w:firstLineChars="200"/>
            </w:pPr>
            <w:r>
              <w:rPr>
                <w:rFonts w:hint="eastAsia"/>
              </w:rPr>
              <w:t>3、与周边环境相容性分析</w:t>
            </w:r>
          </w:p>
          <w:p w14:paraId="4379227C">
            <w:r>
              <w:rPr>
                <w:rFonts w:hint="eastAsia"/>
              </w:rPr>
              <w:t>根据现场踏勘，项目区植被覆盖度较高，地类以天然牧草地为主。评价范围内不涉及自然保护区、风景名胜区、饮用水水源保护区等区域，亦无集中居民点等敏感目标，外环境制约因素较少。</w:t>
            </w:r>
          </w:p>
          <w:p w14:paraId="192CD075">
            <w:r>
              <w:rPr>
                <w:rFonts w:hint="eastAsia"/>
              </w:rPr>
              <w:t>本项目建设内容与周边环境功能无明显冲突。施工期间产生的各类污染物，在全面落实本报告提出的污染防治措施与生态保护要求后，均可得到有效控制，实现达标排放或妥善处置。通过优化工程布局、严格控制施工范围、加强施工期环境管理，能够有效减缓对周边环境的短期不利影响。</w:t>
            </w:r>
          </w:p>
          <w:p w14:paraId="6745D113">
            <w:r>
              <w:rPr>
                <w:rFonts w:hint="eastAsia"/>
              </w:rPr>
              <w:t>项目区范围内未发现国家级或自治区级重点保护野生动植物。</w:t>
            </w:r>
          </w:p>
          <w:p w14:paraId="7C72A50F">
            <w:r>
              <w:rPr>
                <w:rFonts w:hint="eastAsia"/>
              </w:rPr>
              <w:t>综上所述，在切实落实各项环保措施的前提下，从环境保护角度分析，本项目选址与周边环境基本相容，建设方案具备环境可行性。</w:t>
            </w:r>
          </w:p>
        </w:tc>
      </w:tr>
      <w:bookmarkEnd w:id="11"/>
    </w:tbl>
    <w:p w14:paraId="260C9D5E">
      <w:pPr>
        <w:sectPr>
          <w:pgSz w:w="11906" w:h="16838"/>
          <w:pgMar w:top="1440" w:right="1800" w:bottom="1440" w:left="1800" w:header="851" w:footer="992" w:gutter="0"/>
          <w:cols w:space="425" w:num="1"/>
          <w:docGrid w:type="lines" w:linePitch="312" w:charSpace="0"/>
        </w:sectPr>
      </w:pPr>
    </w:p>
    <w:p w14:paraId="4CFDE894">
      <w:pPr>
        <w:pStyle w:val="2"/>
      </w:pPr>
      <w:r>
        <w:rPr>
          <w:rFonts w:hint="eastAsia"/>
        </w:rPr>
        <w:t>五、主要生态环境保护措施</w:t>
      </w:r>
    </w:p>
    <w:tbl>
      <w:tblPr>
        <w:tblStyle w:val="23"/>
        <w:tblpPr w:leftFromText="180" w:rightFromText="180" w:vertAnchor="text" w:tblpXSpec="center" w:tblpY="1"/>
        <w:tblOverlap w:val="never"/>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8005"/>
      </w:tblGrid>
      <w:tr w14:paraId="2F082A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8" w:type="pct"/>
            <w:tcMar>
              <w:left w:w="28" w:type="dxa"/>
              <w:right w:w="28" w:type="dxa"/>
            </w:tcMar>
            <w:vAlign w:val="center"/>
          </w:tcPr>
          <w:p w14:paraId="43D04FE8">
            <w:pPr>
              <w:pStyle w:val="32"/>
            </w:pPr>
            <w:r>
              <w:rPr>
                <w:rFonts w:hint="eastAsia"/>
                <w:sz w:val="24"/>
                <w:szCs w:val="28"/>
              </w:rPr>
              <w:t>施工期生态环境保护措施</w:t>
            </w:r>
          </w:p>
        </w:tc>
        <w:tc>
          <w:tcPr>
            <w:tcW w:w="4741" w:type="pct"/>
            <w:vAlign w:val="center"/>
          </w:tcPr>
          <w:p w14:paraId="29963E77">
            <w:pPr>
              <w:pStyle w:val="19"/>
            </w:pPr>
            <w:r>
              <w:t>5.1</w:t>
            </w:r>
            <w:r>
              <w:rPr>
                <w:rFonts w:hint="eastAsia"/>
              </w:rPr>
              <w:t>大气环境保护措施</w:t>
            </w:r>
          </w:p>
          <w:p w14:paraId="03E72424">
            <w:pPr>
              <w:ind w:firstLine="0" w:firstLineChars="0"/>
              <w:rPr>
                <w:b/>
                <w:bCs/>
              </w:rPr>
            </w:pPr>
            <w:r>
              <w:rPr>
                <w:b/>
                <w:bCs/>
              </w:rPr>
              <w:t>5.1.1</w:t>
            </w:r>
            <w:r>
              <w:rPr>
                <w:rFonts w:hint="eastAsia"/>
                <w:b/>
                <w:bCs/>
              </w:rPr>
              <w:t>施工扬尘</w:t>
            </w:r>
          </w:p>
          <w:p w14:paraId="55622270">
            <w:r>
              <w:rPr>
                <w:rFonts w:hint="eastAsia"/>
              </w:rPr>
              <w:t>本项目施工期大气污染源主要包括地表开挖扬尘、物料运输扬尘、临时堆场扬尘以及坑探（平硐）掘进过程中产生的粉尘。针对上述污染源，拟采取以下环境保护措施：</w:t>
            </w:r>
          </w:p>
          <w:p w14:paraId="30D006B8">
            <w:r>
              <w:rPr>
                <w:rFonts w:hint="eastAsia"/>
              </w:rPr>
              <w:t>①施工现场配备洒水设备，对运输路面和物料堆场适时洒水，保证一定的湿度，抑制起尘量；</w:t>
            </w:r>
          </w:p>
          <w:p w14:paraId="379E8721">
            <w:r>
              <w:rPr>
                <w:rFonts w:hint="eastAsia"/>
              </w:rPr>
              <w:t>②槽探、钻探开挖产生的土石方要及时回填，减少堆积量；</w:t>
            </w:r>
          </w:p>
          <w:p w14:paraId="57B2BF00">
            <w:r>
              <w:rPr>
                <w:rFonts w:hint="eastAsia"/>
              </w:rPr>
              <w:t>③运输易产生扬尘的物料车辆应密闭运输，篷布遮盖，避免洒落，严禁在运输过程中出现抛洒现象，严格限制运输车辆行驶速度，施工场地内行车速度不宜超过15km/h；</w:t>
            </w:r>
          </w:p>
          <w:p w14:paraId="7F563DCF">
            <w:r>
              <w:rPr>
                <w:rFonts w:hint="eastAsia"/>
              </w:rPr>
              <w:t>④严禁在大风天气进行土石方作业，物料堆场以篷布覆盖，遇大风天气停止易起尘作业；</w:t>
            </w:r>
          </w:p>
          <w:p w14:paraId="2A8E3419">
            <w:r>
              <w:rPr>
                <w:rFonts w:hint="eastAsia"/>
              </w:rPr>
              <w:t>⑤采用尾气排放符合国家规定标准的车辆和施工机械，确保其在运行时尾气达标排放。</w:t>
            </w:r>
          </w:p>
          <w:p w14:paraId="1BC6602B">
            <w:r>
              <w:rPr>
                <w:rFonts w:hint="eastAsia"/>
              </w:rPr>
              <w:t>⑥爆破作业后及时进行强制机械通风和洒水降尘，加速粉尘沉降和有害气体稀释，待硐内空气质量满足作业要求后方可继续施工；</w:t>
            </w:r>
          </w:p>
          <w:p w14:paraId="2C716D56">
            <w:r>
              <w:rPr>
                <w:rFonts w:hint="eastAsia"/>
              </w:rPr>
              <w:t>通过采取以上措施，施工扬尘基本可以得到控制，有效降低了施工扬尘对周围环境空气的影响。同时，本项目单点施工周期短，扬尘影响随施工结束而消失，对环境空气影响较小。</w:t>
            </w:r>
          </w:p>
          <w:p w14:paraId="167C564F">
            <w:pPr>
              <w:ind w:firstLine="0" w:firstLineChars="0"/>
              <w:rPr>
                <w:b/>
                <w:bCs/>
              </w:rPr>
            </w:pPr>
            <w:r>
              <w:rPr>
                <w:b/>
                <w:bCs/>
              </w:rPr>
              <w:t>5.1.2</w:t>
            </w:r>
            <w:r>
              <w:rPr>
                <w:rFonts w:hint="eastAsia"/>
                <w:b/>
                <w:bCs/>
              </w:rPr>
              <w:t>燃油废气</w:t>
            </w:r>
          </w:p>
          <w:p w14:paraId="3B07D4EA">
            <w:r>
              <w:rPr>
                <w:rFonts w:hint="eastAsia"/>
              </w:rPr>
              <w:t>施工期燃油废气主要来自柴油发电机运行。柴油发电机定期维护保养，提高其燃烧效率，可有效减少尾气排放量。项目区地处开阔山区，有利于大气污染物稀释扩散，且燃油废气排放总量较小，属无组织排放，在采取上述措施后，对周边大气环境影响有限。</w:t>
            </w:r>
          </w:p>
          <w:p w14:paraId="367FE209">
            <w:r>
              <w:rPr>
                <w:rFonts w:hint="eastAsia"/>
              </w:rPr>
              <w:t>综上所述，通过加强施工期间扬尘治理、对柴油发电机定期维护保养，施工作业对周边大气环境的影响范围有限，且施工大气污染是短期的、局部的，施工结束后即会消失，故项目施工期间对大气环境的影响较小。通过采取上述措施即可减小施工期对区域大气环境的影响，且防治措施经济可行。</w:t>
            </w:r>
          </w:p>
          <w:p w14:paraId="630F429E">
            <w:pPr>
              <w:pStyle w:val="19"/>
            </w:pPr>
            <w:r>
              <w:t>5.2</w:t>
            </w:r>
            <w:r>
              <w:rPr>
                <w:rFonts w:hint="eastAsia"/>
              </w:rPr>
              <w:t>水环境保护措施</w:t>
            </w:r>
          </w:p>
          <w:p w14:paraId="5B7B8EF3">
            <w:r>
              <w:rPr>
                <w:rFonts w:hint="eastAsia"/>
              </w:rPr>
              <w:t>施工废水主要来自钻探废水和生活废水，钻探废水主要污染物为SS，经过钻孔附近的沉淀池收集沉淀后回用于钻探，不外排。生活污水来源于施工人员及工地管理人员，其污染物较为简单，主要为SS、NH</w:t>
            </w:r>
            <w:r>
              <w:rPr>
                <w:rFonts w:hint="eastAsia"/>
                <w:vertAlign w:val="subscript"/>
              </w:rPr>
              <w:t>3</w:t>
            </w:r>
            <w:r>
              <w:rPr>
                <w:rFonts w:hint="eastAsia"/>
              </w:rPr>
              <w:t>-N、COD、BOD</w:t>
            </w:r>
            <w:r>
              <w:rPr>
                <w:rFonts w:hint="eastAsia"/>
                <w:vertAlign w:val="subscript"/>
              </w:rPr>
              <w:t>5</w:t>
            </w:r>
            <w:r>
              <w:rPr>
                <w:rFonts w:hint="eastAsia"/>
              </w:rPr>
              <w:t>等。</w:t>
            </w:r>
          </w:p>
          <w:p w14:paraId="2E27DB2B">
            <w:r>
              <w:rPr>
                <w:rFonts w:hint="eastAsia"/>
              </w:rPr>
              <w:t>生活污水排入一体化污水处理设备处理达标后，其出水标准可达到《农村生活污水处理排放标准》（DB65</w:t>
            </w:r>
            <w:r>
              <w:t xml:space="preserve"> </w:t>
            </w:r>
            <w:r>
              <w:rPr>
                <w:rFonts w:hint="eastAsia"/>
              </w:rPr>
              <w:t>4275-2019）表2中C级标准，用于周边植被绿化，不外排，对环境影响不大。</w:t>
            </w:r>
          </w:p>
          <w:p w14:paraId="4A0FC0C2">
            <w:pPr>
              <w:ind w:firstLine="0" w:firstLineChars="0"/>
              <w:rPr>
                <w:b/>
                <w:bCs/>
              </w:rPr>
            </w:pPr>
            <w:r>
              <w:rPr>
                <w:b/>
                <w:bCs/>
              </w:rPr>
              <w:t>5.3</w:t>
            </w:r>
            <w:r>
              <w:rPr>
                <w:rFonts w:hint="eastAsia"/>
                <w:b/>
                <w:bCs/>
              </w:rPr>
              <w:t>声环境保护措施</w:t>
            </w:r>
          </w:p>
          <w:p w14:paraId="5962BEE6">
            <w:r>
              <w:rPr>
                <w:rFonts w:hint="eastAsia"/>
              </w:rPr>
              <w:t>本项目施工期噪声的来源包括钻机、柴油发电机运输车辆等产生的噪声，项目周边50m范围内无环境敏感目标，对环境影响较小。控制措施如下：</w:t>
            </w:r>
          </w:p>
          <w:p w14:paraId="3C425106">
            <w:r>
              <w:rPr>
                <w:rFonts w:hint="eastAsia"/>
              </w:rPr>
              <w:t>①从声源上控制：使用低噪声机械设备，严格按操作规范使用各类机械。</w:t>
            </w:r>
          </w:p>
          <w:p w14:paraId="572B3A5B">
            <w:r>
              <w:rPr>
                <w:rFonts w:hint="eastAsia"/>
              </w:rPr>
              <w:t>②合理安排施工时间：首先制订施工计划时，应尽可能避免大量高噪声设备同时施工。</w:t>
            </w:r>
          </w:p>
          <w:p w14:paraId="306A9378">
            <w:r>
              <w:rPr>
                <w:rFonts w:hint="eastAsia"/>
              </w:rPr>
              <w:t>③合理布置施工现场：施工现场应合理布局，将施工中的固定噪声源相对集中摆放，闲置不用的设备立即关闭，降低施工噪声对周边声环境的影响。</w:t>
            </w:r>
          </w:p>
          <w:p w14:paraId="03A83757">
            <w:r>
              <w:rPr>
                <w:rFonts w:hint="eastAsia"/>
              </w:rPr>
              <w:t>④车辆出入施工现场时应低速、禁鸣。</w:t>
            </w:r>
          </w:p>
          <w:p w14:paraId="675FC8CA">
            <w:pPr>
              <w:pStyle w:val="19"/>
            </w:pPr>
            <w:r>
              <w:t>5.4</w:t>
            </w:r>
            <w:r>
              <w:rPr>
                <w:rFonts w:hint="eastAsia"/>
              </w:rPr>
              <w:t>固体废物处置措施分析</w:t>
            </w:r>
          </w:p>
          <w:p w14:paraId="60A6D276">
            <w:r>
              <w:t>本项目固体废物</w:t>
            </w:r>
            <w:r>
              <w:rPr>
                <w:rFonts w:hint="eastAsia"/>
              </w:rPr>
              <w:t>分为一般固体废物和危险废物。一般固体废物</w:t>
            </w:r>
            <w:r>
              <w:t>主要为</w:t>
            </w:r>
            <w:r>
              <w:rPr>
                <w:rFonts w:hint="eastAsia"/>
              </w:rPr>
              <w:t>钻探</w:t>
            </w:r>
            <w:r>
              <w:t>产生的临时土石方</w:t>
            </w:r>
            <w:r>
              <w:rPr>
                <w:rFonts w:hint="eastAsia"/>
              </w:rPr>
              <w:t>、钻探泥浆、钻孔岩屑、沉淀池沉渣及施工人员产生的生活垃圾。危险废物包括废润滑油。</w:t>
            </w:r>
          </w:p>
          <w:p w14:paraId="7AE4D3FA">
            <w:r>
              <w:t>（1）</w:t>
            </w:r>
            <w:r>
              <w:rPr>
                <w:rFonts w:hint="eastAsia"/>
              </w:rPr>
              <w:t>开挖临时堆土</w:t>
            </w:r>
          </w:p>
          <w:p w14:paraId="37A5193A">
            <w:r>
              <w:rPr>
                <w:rFonts w:hint="eastAsia"/>
              </w:rPr>
              <w:t>主要为槽探开挖产生的土石方，属于一般固废。</w:t>
            </w:r>
            <w:r>
              <w:t>对临时堆土坡脚进行防护、表面夯实处理</w:t>
            </w:r>
            <w:r>
              <w:rPr>
                <w:rFonts w:hint="eastAsia"/>
              </w:rPr>
              <w:t>并设置相应的挡渣墙。勘探期内严禁将开挖土石方堆放在山间冲沟内，阻塞冲沟，确保冲沟的通畅性。开挖的土石方在勘探期结束后全部回填至开挖迹地，开挖临时堆土的环境影响较小。</w:t>
            </w:r>
          </w:p>
          <w:p w14:paraId="53C5A634">
            <w:r>
              <w:rPr>
                <w:rFonts w:hint="eastAsia"/>
              </w:rPr>
              <w:t>（2）钻井泥浆、岩屑、沉淀池沉渣</w:t>
            </w:r>
          </w:p>
          <w:p w14:paraId="6085F474">
            <w:r>
              <w:rPr>
                <w:rFonts w:hint="eastAsia"/>
              </w:rPr>
              <w:t>本项目使用的泥浆为水基钻井泥浆，以膨润土、辅料粘土作为基础配浆材料形成的多种成分和相态共存的悬浮液。本项目采用的泥浆材料及处理剂具备无毒无害、可自然降解性能，不含易燃、易爆、有毒物质，循环使用，固化后就地填埋。钻井设备清洗废水沉淀池沉渣在勘探结束后固化就地填埋。岩屑用于回填。废弃泥浆、沉渣及岩屑的处置满足《一般工业固体废物贮存和填埋污染控制标准》（GB18599-2020）的要求。</w:t>
            </w:r>
          </w:p>
          <w:p w14:paraId="0DFFDEA2">
            <w:r>
              <w:rPr>
                <w:rFonts w:hint="eastAsia"/>
              </w:rPr>
              <w:t>（3）生活垃圾</w:t>
            </w:r>
          </w:p>
          <w:p w14:paraId="2C0CB42F">
            <w:r>
              <w:rPr>
                <w:rFonts w:hint="eastAsia"/>
              </w:rPr>
              <w:t>本项目施工人员生活垃圾产生量约为1.008t/a，采用垃圾桶集中收集后，定期运出勘查区，交由环卫部门统一清运</w:t>
            </w:r>
            <w:r>
              <w:t>。</w:t>
            </w:r>
          </w:p>
          <w:p w14:paraId="7E6945EA">
            <w:r>
              <w:rPr>
                <w:rFonts w:hint="eastAsia"/>
              </w:rPr>
              <w:t>（4）废润滑油</w:t>
            </w:r>
          </w:p>
          <w:p w14:paraId="27AC0FDB">
            <w:r>
              <w:rPr>
                <w:rFonts w:hint="eastAsia" w:ascii="Segoe UI" w:hAnsi="Segoe UI" w:cs="Segoe UI"/>
                <w:color w:val="0F1115"/>
                <w:shd w:val="clear" w:color="auto" w:fill="FFFFFF"/>
              </w:rPr>
              <w:t>机械维修依托该乡修理厂，不设置专门修配厂</w:t>
            </w:r>
            <w:r>
              <w:rPr>
                <w:rFonts w:ascii="Segoe UI" w:hAnsi="Segoe UI" w:cs="Segoe UI"/>
                <w:color w:val="0F1115"/>
                <w:shd w:val="clear" w:color="auto" w:fill="FFFFFF"/>
              </w:rPr>
              <w:t>。若设备确因故障无法移动，由维修厂人员到场应急维修，产生的废润滑油应规范收集，贮存于施工营地内设置的临时危险废物贮存点（配备防渗托盘），定期交由有资质单位处置。施工现场配备吸油毡等应急物资，油料泄漏时可及时处置</w:t>
            </w:r>
            <w:r>
              <w:rPr>
                <w:rFonts w:hint="eastAsia"/>
              </w:rPr>
              <w:t>。</w:t>
            </w:r>
          </w:p>
          <w:p w14:paraId="0EE90321">
            <w:r>
              <w:rPr>
                <w:rFonts w:hint="eastAsia"/>
              </w:rPr>
              <w:t>贮存点应满足以下要求：</w:t>
            </w:r>
          </w:p>
          <w:p w14:paraId="1C29AFCE">
            <w:r>
              <w:rPr>
                <w:rFonts w:hint="eastAsia"/>
              </w:rPr>
              <w:t>①贮存点应具有固定的区域边界，并应采取与其他区域进行隔离的措施。</w:t>
            </w:r>
          </w:p>
          <w:p w14:paraId="064A28C3">
            <w:r>
              <w:rPr>
                <w:rFonts w:hint="eastAsia"/>
              </w:rPr>
              <w:t>②贮存点应采取防风、防雨、防晒和防止危险废物流失、扬散等措施。</w:t>
            </w:r>
          </w:p>
          <w:p w14:paraId="660A79C9">
            <w:r>
              <w:rPr>
                <w:rFonts w:hint="eastAsia"/>
              </w:rPr>
              <w:t>③贮存点贮存的危险废物应置于容器或包装物中，不应直接散堆。</w:t>
            </w:r>
          </w:p>
          <w:p w14:paraId="3AEEEFA8">
            <w:r>
              <w:rPr>
                <w:rFonts w:hint="eastAsia"/>
              </w:rPr>
              <w:t>④贮存点应根据危险废物的形态、物理化学性质、包装形式等，采取防渗、防漏等污染防治措施或采用具有相应功能的装置。</w:t>
            </w:r>
          </w:p>
          <w:p w14:paraId="7B6CDF7D">
            <w:r>
              <w:rPr>
                <w:rFonts w:hint="eastAsia"/>
              </w:rPr>
              <w:t>⑤贮存点应及时清运贮存的危险废物，实时贮存量不应超过</w:t>
            </w:r>
            <w:r>
              <w:t>3</w:t>
            </w:r>
            <w:r>
              <w:rPr>
                <w:rFonts w:hint="eastAsia"/>
              </w:rPr>
              <w:t>吨。</w:t>
            </w:r>
          </w:p>
          <w:p w14:paraId="1AC6A7FD">
            <w:pPr>
              <w:pStyle w:val="19"/>
              <w:ind w:firstLine="480" w:firstLineChars="200"/>
              <w:rPr>
                <w:b w:val="0"/>
                <w:bCs w:val="0"/>
              </w:rPr>
            </w:pPr>
            <w:r>
              <w:rPr>
                <w:rFonts w:hint="eastAsia"/>
                <w:b w:val="0"/>
                <w:bCs w:val="0"/>
              </w:rPr>
              <w:t>5）贮存</w:t>
            </w:r>
            <w:r>
              <w:rPr>
                <w:b w:val="0"/>
                <w:bCs w:val="0"/>
              </w:rPr>
              <w:t>及转运管理要求</w:t>
            </w:r>
          </w:p>
          <w:p w14:paraId="522745D6">
            <w:r>
              <w:rPr>
                <w:rFonts w:hint="eastAsia" w:ascii="宋体" w:hAnsi="宋体" w:cs="宋体"/>
              </w:rPr>
              <w:t>①</w:t>
            </w:r>
            <w:r>
              <w:rPr>
                <w:rFonts w:hint="eastAsia"/>
              </w:rPr>
              <w:t>钻探使用的泥浆采用水基非磺化泥浆，从钻孔孔口返回后引至沉淀池，通过沉淀处理后，上清液循环使用，不外排；钻探完工后，将钻探泥浆填入沉淀池内</w:t>
            </w:r>
            <w:r>
              <w:t>并</w:t>
            </w:r>
            <w:r>
              <w:rPr>
                <w:rFonts w:hint="eastAsia"/>
              </w:rPr>
              <w:t>采用水泥</w:t>
            </w:r>
            <w:r>
              <w:t>固化填埋。</w:t>
            </w:r>
          </w:p>
          <w:p w14:paraId="47AF1409">
            <w:r>
              <w:rPr>
                <w:rFonts w:hint="eastAsia" w:ascii="宋体" w:hAnsi="宋体" w:cs="宋体"/>
              </w:rPr>
              <w:t>②</w:t>
            </w:r>
            <w:r>
              <w:t>钻井过程产生的固体废物要进行分类收集，确保固体废物的收集率为100%；严禁将固体废物乱倒乱放。</w:t>
            </w:r>
          </w:p>
          <w:p w14:paraId="22A06953">
            <w:r>
              <w:rPr>
                <w:rFonts w:hint="eastAsia" w:ascii="宋体" w:hAnsi="宋体" w:cs="宋体"/>
              </w:rPr>
              <w:t>③</w:t>
            </w:r>
            <w:r>
              <w:rPr>
                <w:rFonts w:hint="eastAsia"/>
              </w:rPr>
              <w:t>废润滑油</w:t>
            </w:r>
            <w:r>
              <w:t>属于危险废物，其</w:t>
            </w:r>
            <w:r>
              <w:rPr>
                <w:rFonts w:hint="eastAsia"/>
              </w:rPr>
              <w:t>贮存</w:t>
            </w:r>
            <w:r>
              <w:t>、运输应严格遵守《废矿物油回收利用污染控制技术规范》（HJ607-2011）和《危险废物收集、贮存、运输技术规范》（HJ2025-2012）中的相关规定，建立相应的规章制度和污染防治措施；所有的废油均按规定进行收集，收集容器应完好无损，没有腐蚀、污染、损毁或其他能导致其使用效能减弱的缺陷；废油存放区域设置作业界标志和警示牌；废油运输按照《危险化学品安全管理条例》中有关运输规定进行；</w:t>
            </w:r>
          </w:p>
          <w:p w14:paraId="7EF556A3">
            <w:r>
              <w:rPr>
                <w:rFonts w:hint="eastAsia" w:ascii="宋体" w:hAnsi="宋体" w:cs="宋体"/>
              </w:rPr>
              <w:t>④</w:t>
            </w:r>
            <w:r>
              <w:t>废油收集过程产生的废旧容器应按照危险废物进行处置，仍可转作他用的，应经过消除污染的处理。</w:t>
            </w:r>
          </w:p>
          <w:p w14:paraId="2509A1FA">
            <w:r>
              <w:rPr>
                <w:rFonts w:hint="eastAsia" w:ascii="宋体" w:hAnsi="宋体" w:cs="宋体"/>
              </w:rPr>
              <w:t>⑤</w:t>
            </w:r>
            <w:r>
              <w:t>废油应在产生源收集，不宜在产生源收集的应设置专用设施集中收集。</w:t>
            </w:r>
          </w:p>
          <w:p w14:paraId="7D97C9E9">
            <w:r>
              <w:rPr>
                <w:rFonts w:hint="eastAsia" w:ascii="宋体" w:hAnsi="宋体" w:cs="宋体"/>
              </w:rPr>
              <w:t>⑥</w:t>
            </w:r>
            <w:r>
              <w:t>现场</w:t>
            </w:r>
            <w:r>
              <w:rPr>
                <w:rFonts w:hint="eastAsia"/>
              </w:rPr>
              <w:t>沾染</w:t>
            </w:r>
            <w:r>
              <w:t>废矿物油的泥、沙、水全部收集。</w:t>
            </w:r>
          </w:p>
          <w:p w14:paraId="4329E488">
            <w:r>
              <w:rPr>
                <w:rFonts w:hint="eastAsia" w:ascii="宋体" w:hAnsi="宋体" w:cs="宋体"/>
              </w:rPr>
              <w:t>⑦</w:t>
            </w:r>
            <w:r>
              <w:t>废油的转运要用密闭容器盛装，避免运输过程中造成废油的外溢，污染环境。</w:t>
            </w:r>
          </w:p>
          <w:p w14:paraId="39311D08">
            <w:pPr>
              <w:ind w:firstLine="0" w:firstLineChars="0"/>
              <w:rPr>
                <w:b/>
                <w:bCs/>
              </w:rPr>
            </w:pPr>
            <w:r>
              <w:rPr>
                <w:b/>
                <w:bCs/>
              </w:rPr>
              <w:t>5.5</w:t>
            </w:r>
            <w:r>
              <w:rPr>
                <w:b/>
                <w:szCs w:val="20"/>
              </w:rPr>
              <w:t>生态</w:t>
            </w:r>
            <w:r>
              <w:rPr>
                <w:rFonts w:hint="eastAsia"/>
                <w:b/>
                <w:szCs w:val="20"/>
              </w:rPr>
              <w:t>环境保护措施</w:t>
            </w:r>
          </w:p>
          <w:p w14:paraId="2C339DC4">
            <w:r>
              <w:rPr>
                <w:rFonts w:hint="eastAsia"/>
              </w:rPr>
              <w:t>项目区涉及</w:t>
            </w:r>
            <w:r>
              <w:rPr>
                <w:color w:val="000000"/>
              </w:rPr>
              <w:t>芒奇提河</w:t>
            </w:r>
            <w:r>
              <w:rPr>
                <w:rFonts w:hint="eastAsia"/>
              </w:rPr>
              <w:t>，施工作业带布设于该河右岸，与河道最近距离约310m，不涉及河道及水域。为最大限度减少对生态环境的影响，制定以下保护措施：</w:t>
            </w:r>
          </w:p>
          <w:p w14:paraId="53382438">
            <w:r>
              <w:rPr>
                <w:rFonts w:hint="eastAsia"/>
              </w:rPr>
              <w:t>（1）工程占地保护措施</w:t>
            </w:r>
          </w:p>
          <w:p w14:paraId="2BD26524">
            <w:r>
              <w:rPr>
                <w:rFonts w:hint="eastAsia"/>
              </w:rPr>
              <w:t>①严格限定施工扰动范围，施工活动严格控制在临时用地批复范围内，在施工区设置警示标牌，严禁施工人员和机械越界进入非施工区域。</w:t>
            </w:r>
          </w:p>
          <w:p w14:paraId="417EE607">
            <w:r>
              <w:rPr>
                <w:rFonts w:hint="eastAsia"/>
              </w:rPr>
              <w:t>②槽探、钻探、坑探工程点位布设避让植被茂密区域及不良地质地段，优先选择植被覆盖度相对较低、地形相对平缓的位置布设。坑探硐口选址应避开崩塌、滑坡、泥石流等地质灾害易发区，并尽量远离地表水体及冲沟汇水区，减少对地表径流的干扰。</w:t>
            </w:r>
          </w:p>
          <w:p w14:paraId="3C4B6D1D">
            <w:r>
              <w:rPr>
                <w:rFonts w:hint="eastAsia"/>
              </w:rPr>
              <w:t>③槽探、钻探、坑探开挖产生的土石方集中堆放于作业带内划定区域，采取苫盖、拦挡等临时防护措施，防止雨水冲刷造成水土流失。坑探施工产生的废石优先用于道路铺垫或场地平整，实现综合利用；无法利用的矿渣及废石集中堆置于临时堆场。各工程完工后，及时进行回填、平整场地，并按照绿色勘查要求开展覆土复绿工作。</w:t>
            </w:r>
          </w:p>
          <w:p w14:paraId="34A5D1D2">
            <w:r>
              <w:rPr>
                <w:rFonts w:hint="eastAsia"/>
              </w:rPr>
              <w:t>④施工前对表层土壤进行剥离，集中堆存并覆盖，用于施工结束后植被恢复。</w:t>
            </w:r>
          </w:p>
          <w:p w14:paraId="586F286C">
            <w:r>
              <w:rPr>
                <w:rFonts w:hint="eastAsia"/>
              </w:rPr>
              <w:t>⑤施工营地设置垃圾桶，生活垃圾集中收集后定期清运，严禁随意丢弃。</w:t>
            </w:r>
          </w:p>
          <w:p w14:paraId="3B6EADD9">
            <w:r>
              <w:rPr>
                <w:rFonts w:hint="eastAsia"/>
              </w:rPr>
              <w:t>⑥施工结束后对全部临时占地（</w:t>
            </w:r>
            <w:r>
              <w:t>9.8337hm²</w:t>
            </w:r>
            <w:r>
              <w:rPr>
                <w:rFonts w:hint="eastAsia"/>
              </w:rPr>
              <w:t>）进行场地平整、翻松压实土层，播撒当地常见草种，并适当施肥养护，植被恢复效果需达到与周边天然牧草地基本一致。</w:t>
            </w:r>
          </w:p>
          <w:p w14:paraId="201025EA">
            <w:r>
              <w:rPr>
                <w:rFonts w:hint="eastAsia"/>
              </w:rPr>
              <w:t>（</w:t>
            </w:r>
            <w:r>
              <w:t>2</w:t>
            </w:r>
            <w:r>
              <w:rPr>
                <w:rFonts w:hint="eastAsia"/>
              </w:rPr>
              <w:t>）土壤与植被的保护措施</w:t>
            </w:r>
          </w:p>
          <w:p w14:paraId="268B51CF">
            <w:r>
              <w:rPr>
                <w:rFonts w:hint="eastAsia"/>
              </w:rPr>
              <w:t>本项目对生态环境的影响主要集中在施工过程中对土壤、植被等地表自然要素的扰动。项目区地类以天然牧草地为主，植被覆盖度较高，土壤结构相对稳定。为减少对土壤及植被的影响，提出以下防治措施：</w:t>
            </w:r>
          </w:p>
          <w:p w14:paraId="49CE36D5">
            <w:r>
              <w:rPr>
                <w:rFonts w:hint="eastAsia"/>
              </w:rPr>
              <w:t>①施工前对占用天然牧草地的表土进行剥离保护，剥离厚度控制在20</w:t>
            </w:r>
            <w:r>
              <w:t>-</w:t>
            </w:r>
            <w:r>
              <w:rPr>
                <w:rFonts w:hint="eastAsia"/>
              </w:rPr>
              <w:t>30cm，集中堆存于指定区域，采用防尘网覆盖，施工结束后作为植被恢复用土回填。</w:t>
            </w:r>
          </w:p>
          <w:p w14:paraId="071A71E8">
            <w:r>
              <w:rPr>
                <w:rFonts w:hint="eastAsia"/>
              </w:rPr>
              <w:t>②严格控制施工机械和车辆在非施工区域行驶，避免对施工范围外的土壤造成碾压和压实。</w:t>
            </w:r>
          </w:p>
          <w:p w14:paraId="1C9093AC">
            <w:r>
              <w:rPr>
                <w:rFonts w:hint="eastAsia"/>
              </w:rPr>
              <w:t>③施工过程中做到随挖随填，避免土石方长时间露天堆放造成土壤风蚀。</w:t>
            </w:r>
          </w:p>
          <w:p w14:paraId="717DDE69">
            <w:r>
              <w:rPr>
                <w:rFonts w:hint="eastAsia"/>
              </w:rPr>
              <w:t>④施工结束后及时对临时占地进行土地整治，包括平整场地、翻松土壤（翻松深度不低于30cm），改善土壤理化性状，创造适宜植物生长的土壤环境。</w:t>
            </w:r>
          </w:p>
          <w:p w14:paraId="04CA5371">
            <w:r>
              <w:rPr>
                <w:rFonts w:hint="eastAsia"/>
              </w:rPr>
              <w:t>⑤植被恢复选用当地常见草种，采用人工撒播方式播种，播撒密度适宜，并适当施肥养护，确保植被恢复效果达到与周边天然牧草地基本一致。</w:t>
            </w:r>
          </w:p>
          <w:p w14:paraId="60EFBBBD">
            <w:r>
              <w:rPr>
                <w:rFonts w:hint="eastAsia"/>
              </w:rPr>
              <w:t>（</w:t>
            </w:r>
            <w:r>
              <w:t>3</w:t>
            </w:r>
            <w:r>
              <w:rPr>
                <w:rFonts w:hint="eastAsia"/>
              </w:rPr>
              <w:t>）野生动物保护措施</w:t>
            </w:r>
          </w:p>
          <w:p w14:paraId="68022982">
            <w:r>
              <w:rPr>
                <w:rFonts w:hint="eastAsia"/>
              </w:rPr>
              <w:t>为尽可能减少施工对区域常见野生动物的影响，保护其基本生境，采取以下措施：</w:t>
            </w:r>
          </w:p>
          <w:p w14:paraId="35FF56FD">
            <w:r>
              <w:rPr>
                <w:rFonts w:hint="eastAsia"/>
              </w:rPr>
              <w:t>①保护现有栖息环境。施工期间注意维护项目区内现有的天然牧草地植被，为常见的鼠类、鸟类等动物保留必要的栖息与活动空间。</w:t>
            </w:r>
          </w:p>
          <w:p w14:paraId="1FB8FDEE">
            <w:r>
              <w:rPr>
                <w:rFonts w:hint="eastAsia"/>
              </w:rPr>
              <w:t>②加强施工行为管理。严禁施工人员捕捉、驱赶或伤害鸟类、鼠类等动物，禁止破坏其巢穴、洞道等栖息场所。</w:t>
            </w:r>
          </w:p>
          <w:p w14:paraId="16F25B05">
            <w:r>
              <w:rPr>
                <w:rFonts w:hint="eastAsia"/>
              </w:rPr>
              <w:t>③减少对栖息环境的扰动。施工过程中应严格控制作业范围，避免不必要的开挖和植被清除。选用低噪声、低振动设备，减少对野生动物的惊扰，做到速战速决，缩短干扰时间。</w:t>
            </w:r>
          </w:p>
          <w:p w14:paraId="6A9A9433">
            <w:r>
              <w:rPr>
                <w:rFonts w:hint="eastAsia"/>
              </w:rPr>
              <w:t>④施工结束后，结合植被恢复工作，通过播撒乡土草种恢复天然牧草地，促进局部生境的逐步恢复。</w:t>
            </w:r>
          </w:p>
          <w:p w14:paraId="47344A02">
            <w:r>
              <w:t>（</w:t>
            </w:r>
            <w:r>
              <w:rPr>
                <w:rFonts w:hint="eastAsia"/>
              </w:rPr>
              <w:t>4</w:t>
            </w:r>
            <w:r>
              <w:t>）</w:t>
            </w:r>
            <w:r>
              <w:rPr>
                <w:rFonts w:hint="eastAsia"/>
              </w:rPr>
              <w:t>对水生动物保护措施</w:t>
            </w:r>
          </w:p>
          <w:p w14:paraId="3C0814A1">
            <w:r>
              <w:rPr>
                <w:rFonts w:hint="eastAsia"/>
              </w:rPr>
              <w:t>根据现状调查，项目区周边主要水体为</w:t>
            </w:r>
            <w:r>
              <w:rPr>
                <w:color w:val="000000"/>
              </w:rPr>
              <w:t>芒奇提河</w:t>
            </w:r>
            <w:r>
              <w:rPr>
                <w:rFonts w:hint="eastAsia"/>
              </w:rPr>
              <w:t>，</w:t>
            </w:r>
            <w:r>
              <w:rPr>
                <w:rFonts w:hint="eastAsia"/>
                <w:color w:val="0F1115"/>
                <w:shd w:val="clear" w:color="auto" w:fill="FFFFFF"/>
              </w:rPr>
              <w:t>施工作业带布设于该河右岸，与河道最近距离约310m</w:t>
            </w:r>
            <w:r>
              <w:rPr>
                <w:rFonts w:hint="eastAsia"/>
              </w:rPr>
              <w:t>，施工区域不涉及河道及水域范围，水生动物栖息环境未受扰动。施工期间钻探废水经沉淀池处理后循环使用，不外排；生活污水经一体化污水处理设备处理后用于周边植被绿化，不向地表水体排放。施工区距水体较远，不存在施工废水直接进入河道的途径，对水生动物及其栖息生境基本无影响。施工过程中加强机械维护管理，防止油料泄漏，确保不对周边水环境造成污染。</w:t>
            </w:r>
          </w:p>
          <w:p w14:paraId="1D0C3F87">
            <w:r>
              <w:rPr>
                <w:rFonts w:hint="eastAsia"/>
              </w:rPr>
              <w:t>（</w:t>
            </w:r>
            <w:r>
              <w:t>5</w:t>
            </w:r>
            <w:r>
              <w:rPr>
                <w:rFonts w:hint="eastAsia"/>
              </w:rPr>
              <w:t>）水土流失防治措施</w:t>
            </w:r>
          </w:p>
          <w:p w14:paraId="79EDEC1D">
            <w:r>
              <w:t>项目施工过程中，各类工程活动如</w:t>
            </w:r>
            <w:r>
              <w:rPr>
                <w:rFonts w:hint="eastAsia"/>
              </w:rPr>
              <w:t>道路修建</w:t>
            </w:r>
            <w:r>
              <w:t>、搭建临时设施等会</w:t>
            </w:r>
            <w:r>
              <w:rPr>
                <w:rFonts w:hint="eastAsia"/>
              </w:rPr>
              <w:t>造成水土流失。采取以下水土保持措施：</w:t>
            </w:r>
          </w:p>
          <w:p w14:paraId="37881F14">
            <w:r>
              <w:rPr>
                <w:rFonts w:hint="eastAsia"/>
              </w:rPr>
              <w:t>①</w:t>
            </w:r>
            <w:r>
              <w:t>做好施工规划工作，合理布设施工场地，减少占用土地</w:t>
            </w:r>
            <w:r>
              <w:rPr>
                <w:rFonts w:hint="eastAsia"/>
              </w:rPr>
              <w:t>。</w:t>
            </w:r>
          </w:p>
          <w:p w14:paraId="7C1D168E">
            <w:r>
              <w:rPr>
                <w:rFonts w:hint="eastAsia"/>
              </w:rPr>
              <w:t>②</w:t>
            </w:r>
            <w:r>
              <w:t>控制人为活动，加强施工监理，防止施工人员及施工机械超范围的活动</w:t>
            </w:r>
            <w:r>
              <w:rPr>
                <w:rFonts w:hint="eastAsia"/>
              </w:rPr>
              <w:t>。</w:t>
            </w:r>
          </w:p>
          <w:p w14:paraId="02F7530E">
            <w:r>
              <w:rPr>
                <w:rFonts w:hint="eastAsia"/>
              </w:rPr>
              <w:t>③</w:t>
            </w:r>
            <w:r>
              <w:t>动土作业应尽量避免大风天和雨天开展，以免造成大量水土流失。</w:t>
            </w:r>
          </w:p>
          <w:p w14:paraId="6539F129">
            <w:r>
              <w:rPr>
                <w:rFonts w:hint="eastAsia"/>
              </w:rPr>
              <w:t>④</w:t>
            </w:r>
            <w:r>
              <w:t>结束后要对施工迹地进行清理平整与植被恢复工作，尽可能减少对树木与植被的破坏。</w:t>
            </w:r>
          </w:p>
          <w:p w14:paraId="7AE5B11F">
            <w:r>
              <w:t>（</w:t>
            </w:r>
            <w:r>
              <w:rPr>
                <w:rFonts w:hint="eastAsia"/>
              </w:rPr>
              <w:t>6</w:t>
            </w:r>
            <w:r>
              <w:t>）防沙治沙</w:t>
            </w:r>
            <w:r>
              <w:rPr>
                <w:rFonts w:hint="eastAsia"/>
              </w:rPr>
              <w:t>保护措施</w:t>
            </w:r>
          </w:p>
          <w:p w14:paraId="58C8F370">
            <w:r>
              <w:t>项目</w:t>
            </w:r>
            <w:r>
              <w:rPr>
                <w:rFonts w:hint="eastAsia"/>
              </w:rPr>
              <w:t>施工时间短，范围小，对区域土地沙化影响较小。采取以下防沙治沙措施：</w:t>
            </w:r>
          </w:p>
          <w:p w14:paraId="302FEF39">
            <w:r>
              <w:rPr>
                <w:rFonts w:hint="eastAsia"/>
              </w:rPr>
              <w:t>①</w:t>
            </w:r>
            <w:r>
              <w:t>施工结束后对场地进行平整和清理，尽量利用施工时产生的表层土对临时占地进行覆盖</w:t>
            </w:r>
            <w:r>
              <w:rPr>
                <w:rFonts w:hint="eastAsia"/>
              </w:rPr>
              <w:t>。</w:t>
            </w:r>
          </w:p>
          <w:p w14:paraId="39F927E3">
            <w:r>
              <w:rPr>
                <w:rFonts w:hint="eastAsia"/>
              </w:rPr>
              <w:t>②合理规划机械行驶路线，避免不必要的重复碾压。</w:t>
            </w:r>
          </w:p>
          <w:p w14:paraId="267C0290">
            <w:r>
              <w:rPr>
                <w:rFonts w:hint="eastAsia"/>
              </w:rPr>
              <w:t>③严禁在大风大雨天气施工</w:t>
            </w:r>
            <w:r>
              <w:t>。</w:t>
            </w:r>
          </w:p>
          <w:p w14:paraId="7E7B12A5">
            <w:r>
              <w:rPr>
                <w:rFonts w:hint="eastAsia"/>
              </w:rPr>
              <w:t>（7）表土剥离保护措施</w:t>
            </w:r>
          </w:p>
          <w:p w14:paraId="528736F5">
            <w:r>
              <w:rPr>
                <w:rFonts w:hint="eastAsia"/>
              </w:rPr>
              <w:t>施工前严格按照《表土剥离及其再利用技术要求》（GB/T45107-2024）等要求做好表土剥离措施。</w:t>
            </w:r>
          </w:p>
          <w:p w14:paraId="285427F4">
            <w:r>
              <w:rPr>
                <w:rFonts w:hint="eastAsia"/>
              </w:rPr>
              <w:t>①施工前对天然牧草地及其他草地区域进行表土质量调查，识别肥沃表土层，确定剥离范围和厚度。</w:t>
            </w:r>
          </w:p>
          <w:p w14:paraId="3F8D720A">
            <w:r>
              <w:rPr>
                <w:rFonts w:hint="eastAsia"/>
              </w:rPr>
              <w:t>②根据场地条件采用机械或人工剥离方式，将表土与心土分开剥离、分开堆放，剥离厚度视腐殖质层厚度确定。</w:t>
            </w:r>
          </w:p>
          <w:p w14:paraId="305CBE87">
            <w:r>
              <w:rPr>
                <w:rFonts w:hint="eastAsia"/>
              </w:rPr>
              <w:t>③在各施工点位附近划定专门区域集中堆放剥离表土，采取防尘网覆盖、四周设临时拦挡等措施防护，并记录来源、土量等信息。</w:t>
            </w:r>
          </w:p>
          <w:p w14:paraId="71061329">
            <w:r>
              <w:rPr>
                <w:rFonts w:hint="eastAsia"/>
              </w:rPr>
              <w:t>④施工结束后，将剥离的表土用于临时占地植被恢复，优先回覆于原占地类型，确保植被恢复效果</w:t>
            </w:r>
            <w:r>
              <w:t>。</w:t>
            </w:r>
          </w:p>
          <w:p w14:paraId="111A0F19">
            <w:pPr>
              <w:ind w:firstLine="0" w:firstLineChars="0"/>
              <w:outlineLvl w:val="1"/>
              <w:rPr>
                <w:color w:val="000000"/>
              </w:rPr>
            </w:pPr>
            <w:r>
              <w:rPr>
                <w:b/>
                <w:bCs/>
              </w:rPr>
              <w:t>5.6</w:t>
            </w:r>
            <w:r>
              <w:rPr>
                <w:rFonts w:hint="eastAsia"/>
                <w:b/>
              </w:rPr>
              <w:t>生态保护红线周边施工人员管控措施</w:t>
            </w:r>
          </w:p>
          <w:p w14:paraId="2FC1E7A8">
            <w:r>
              <w:t>1.</w:t>
            </w:r>
            <w:r>
              <w:rPr>
                <w:rFonts w:hint="eastAsia"/>
              </w:rPr>
              <w:t>精准划界与物理隔离</w:t>
            </w:r>
          </w:p>
          <w:p w14:paraId="3CE0ED00">
            <w:r>
              <w:rPr>
                <w:rFonts w:hint="eastAsia"/>
              </w:rPr>
              <w:t>委托专业机构测绘红线边界，设置连续的警示带、界桩（标注“生态保护红线禁止进入”）及警示牌（明确法律责任），形成可视化隔离带。</w:t>
            </w:r>
          </w:p>
          <w:p w14:paraId="1BF0F218">
            <w:r>
              <w:t>2.</w:t>
            </w:r>
            <w:r>
              <w:rPr>
                <w:rFonts w:hint="eastAsia"/>
              </w:rPr>
              <w:t>人员管控与技术预警</w:t>
            </w:r>
          </w:p>
          <w:p w14:paraId="05843513">
            <w:r>
              <w:rPr>
                <w:rFonts w:hint="eastAsia"/>
              </w:rPr>
              <w:t>岗前培训：明确红线范围、法规后果，通过现场指认、案例警示强化认知。</w:t>
            </w:r>
          </w:p>
          <w:p w14:paraId="3BF4CFC7">
            <w:r>
              <w:rPr>
                <w:rFonts w:hint="eastAsia"/>
              </w:rPr>
              <w:t>实时监控：为施工人员配备</w:t>
            </w:r>
            <w:r>
              <w:t>GPS</w:t>
            </w:r>
            <w:r>
              <w:rPr>
                <w:rFonts w:hint="eastAsia"/>
              </w:rPr>
              <w:t>定位设备。</w:t>
            </w:r>
          </w:p>
          <w:p w14:paraId="39D3CFC6">
            <w:r>
              <w:t>3.</w:t>
            </w:r>
            <w:r>
              <w:rPr>
                <w:rFonts w:hint="eastAsia"/>
              </w:rPr>
              <w:t>流程与巡查机制</w:t>
            </w:r>
          </w:p>
          <w:p w14:paraId="0DD6A78A">
            <w:r>
              <w:rPr>
                <w:rFonts w:hint="eastAsia"/>
              </w:rPr>
              <w:t>勘探路线、作业点提前报备，避开红线及缓冲警戒区。安排专人每</w:t>
            </w:r>
            <w:r>
              <w:t>2</w:t>
            </w:r>
            <w:r>
              <w:rPr>
                <w:rFonts w:hint="eastAsia"/>
              </w:rPr>
              <w:t>小时巡查边界，核对标识完整性，制止违规行为并记录。</w:t>
            </w:r>
          </w:p>
          <w:p w14:paraId="7EE60CFB">
            <w:pPr>
              <w:ind w:firstLine="0" w:firstLineChars="0"/>
              <w:rPr>
                <w:bCs/>
              </w:rPr>
            </w:pPr>
            <w:r>
              <w:rPr>
                <w:b/>
              </w:rPr>
              <w:t>5.7</w:t>
            </w:r>
            <w:r>
              <w:rPr>
                <w:rFonts w:hint="eastAsia"/>
                <w:b/>
              </w:rPr>
              <w:t>勘探结束后的生态恢复措施</w:t>
            </w:r>
          </w:p>
          <w:p w14:paraId="5A8CEDB2">
            <w:r>
              <w:rPr>
                <w:rFonts w:hint="eastAsia"/>
              </w:rPr>
              <w:t>勘查结束后的环境恢复和治理措施如下：</w:t>
            </w:r>
          </w:p>
          <w:p w14:paraId="6B87B0E2">
            <w:r>
              <w:rPr>
                <w:rFonts w:hint="eastAsia"/>
              </w:rPr>
              <w:t>（1）</w:t>
            </w:r>
            <w:r>
              <w:rPr>
                <w:rFonts w:ascii="宋体" w:hAnsi="宋体" w:cs="宋体"/>
              </w:rPr>
              <w:t>完井后须对临时占地范围进行平整，工程量即为项目所有临时占地，完井后施工设备及时撤离，固体废物全部妥善处置，现场禁止遗留，占地应清理平整，尽量利用临时道路施工时产生的表层弃土对临时占地进行覆盖，然后开展植被恢复工作。恢复植被物种选择以工程占地周边植物物种为主，不得随意引入外来植物物种</w:t>
            </w:r>
            <w:r>
              <w:rPr>
                <w:rFonts w:hint="eastAsia"/>
              </w:rPr>
              <w:t>。</w:t>
            </w:r>
          </w:p>
          <w:p w14:paraId="4F99CB88">
            <w:r>
              <w:rPr>
                <w:rFonts w:hint="eastAsia"/>
              </w:rPr>
              <w:t>（2）对区内各勘查施工器材统一收集、处理、不得遗留在区内。</w:t>
            </w:r>
          </w:p>
          <w:p w14:paraId="5A21FCF1">
            <w:r>
              <w:rPr>
                <w:rFonts w:hint="eastAsia"/>
              </w:rPr>
              <w:t>（3）巡视调查整个勘查区域，查看区域内施工迹地的生态恢复情况，发现问题及时采取相应的环境保护措施进行处理，不遗留问题。</w:t>
            </w:r>
          </w:p>
          <w:p w14:paraId="64F18FE7">
            <w:r>
              <w:rPr>
                <w:rFonts w:hint="eastAsia"/>
              </w:rPr>
              <w:t>（4）据环评要求，将人为活动限制在最小范围内，不因地质工作深化而显著增加对区域生态环境的影响范围和程度。</w:t>
            </w:r>
          </w:p>
          <w:p w14:paraId="222A6F68">
            <w:r>
              <w:rPr>
                <w:rFonts w:hint="eastAsia"/>
              </w:rPr>
              <w:t>（5）</w:t>
            </w:r>
            <w:r>
              <w:rPr>
                <w:rFonts w:ascii="宋体" w:hAnsi="宋体" w:cs="宋体"/>
              </w:rPr>
              <w:t>勘探期结束后，应立即停止勘查采样活动，严禁“以探代采”</w:t>
            </w:r>
            <w:r>
              <w:rPr>
                <w:rFonts w:hint="eastAsia" w:ascii="宋体" w:hAnsi="宋体" w:cs="宋体"/>
              </w:rPr>
              <w:t>。</w:t>
            </w:r>
          </w:p>
          <w:p w14:paraId="51009E21">
            <w:pPr>
              <w:rPr>
                <w:color w:val="000000"/>
              </w:rPr>
            </w:pPr>
            <w:r>
              <w:rPr>
                <w:rFonts w:hint="eastAsia"/>
              </w:rPr>
              <w:t>（</w:t>
            </w:r>
            <w:r>
              <w:t>6</w:t>
            </w:r>
            <w:r>
              <w:rPr>
                <w:rFonts w:hint="eastAsia"/>
              </w:rPr>
              <w:t>）</w:t>
            </w:r>
            <w:r>
              <w:rPr>
                <w:rFonts w:hint="eastAsia"/>
                <w:color w:val="000000"/>
              </w:rPr>
              <w:t>勘探结束后，清理生活营地所有建筑设施，清除生活区所有垃圾，建筑设施可重复利用的重复利用，不可重复利用的与建筑垃圾、生活垃圾一起</w:t>
            </w:r>
            <w:r>
              <w:rPr>
                <w:color w:val="000000"/>
              </w:rPr>
              <w:t>通过封闭篷车运至垃圾转运站，交由环卫部门统一处置。</w:t>
            </w:r>
          </w:p>
          <w:p w14:paraId="1FBF3E6B">
            <w:pPr>
              <w:rPr>
                <w:color w:val="000000"/>
              </w:rPr>
            </w:pPr>
            <w:r>
              <w:rPr>
                <w:color w:val="000000"/>
              </w:rPr>
              <w:t>（7）施工结束后，应对原工作区内的生活营地、临时道路、探井及槽探作业区进行生态恢复，主要包括土地平整；植被恢复应选用当地乡土草种，具体确定为</w:t>
            </w:r>
            <w:r>
              <w:t>冰草、沙生针茅、紫花针茅、羊茅</w:t>
            </w:r>
            <w:r>
              <w:rPr>
                <w:color w:val="000000"/>
              </w:rPr>
              <w:t>等品种，禁止引入外来物种。播种采用人工撒播方式，播种密度应与项目区周边未受扰动的天然牧草地原始群落特征相匹配。建设单位应在施工结束后分初期、中期两个阶段进行补植养护，确保扰动区域的植被盖度在两个生长季内恢复至周边未受扰动天然牧草地平均盖度的80%以上。</w:t>
            </w:r>
          </w:p>
          <w:p w14:paraId="06CA4DF7">
            <w:r>
              <w:rPr>
                <w:rFonts w:hint="eastAsia"/>
              </w:rPr>
              <w:t>（</w:t>
            </w:r>
            <w:r>
              <w:t>8</w:t>
            </w:r>
            <w:r>
              <w:rPr>
                <w:rFonts w:hint="eastAsia"/>
              </w:rPr>
              <w:t>）项目勘查工作结束或阶段工作结束，应针对勘查活动造成的环境影响，根据国家法律法规、强制性标准和恢复治理设计要求，结合地方社会经济发展需求，及时开展环境恢复治理，消除勘查活动对生态环境造成的负面影响。</w:t>
            </w:r>
          </w:p>
          <w:p w14:paraId="1A1DADF6">
            <w:pPr>
              <w:ind w:firstLine="0" w:firstLineChars="0"/>
              <w:rPr>
                <w:b/>
              </w:rPr>
            </w:pPr>
            <w:r>
              <w:rPr>
                <w:b/>
              </w:rPr>
              <w:t>5.8</w:t>
            </w:r>
            <w:r>
              <w:rPr>
                <w:rFonts w:hint="eastAsia"/>
                <w:b/>
              </w:rPr>
              <w:t>建设单位和第三方的环境保护责任</w:t>
            </w:r>
          </w:p>
          <w:p w14:paraId="7FA776CD">
            <w:pPr>
              <w:pStyle w:val="7"/>
              <w:ind w:firstLine="480"/>
              <w:jc w:val="both"/>
            </w:pPr>
            <w:r>
              <w:rPr>
                <w:rFonts w:hint="eastAsia"/>
              </w:rPr>
              <w:t>在勘查项目中，当施工具体由委托的第三方进行时，建设单位和第三方的环境保护责任需要明确划分，以确保项目在符合环保要求的前提下进行。以下是对双方环境保护责任的详细阐述：</w:t>
            </w:r>
          </w:p>
          <w:p w14:paraId="56859EC4">
            <w:pPr>
              <w:pStyle w:val="7"/>
              <w:ind w:left="240" w:leftChars="100" w:firstLine="240" w:firstLineChars="100"/>
            </w:pPr>
            <w:r>
              <w:rPr>
                <w:rFonts w:hint="eastAsia"/>
              </w:rPr>
              <w:t>建设单位的环境保护责任</w:t>
            </w:r>
          </w:p>
          <w:p w14:paraId="5F28AEA0">
            <w:pPr>
              <w:pStyle w:val="7"/>
              <w:ind w:left="240" w:leftChars="100" w:firstLine="240" w:firstLineChars="100"/>
            </w:pPr>
            <w:r>
              <w:rPr>
                <w:rFonts w:hint="eastAsia"/>
              </w:rPr>
              <w:t>1、项目策划与可行性研究</w:t>
            </w:r>
          </w:p>
          <w:p w14:paraId="36C01FC5">
            <w:pPr>
              <w:pStyle w:val="7"/>
              <w:ind w:firstLineChars="0"/>
              <w:jc w:val="both"/>
            </w:pPr>
            <w:r>
              <w:rPr>
                <w:rFonts w:hint="eastAsia"/>
              </w:rPr>
              <w:t>建设单位在项目初期应充分考虑环境保护因素，进行详尽的项目策划和可行性研究，确保项目符合国家和地方的环境保护法律法规，评估项目可能对环境造成的影响，并制定相应的预防和减轻措施。</w:t>
            </w:r>
          </w:p>
          <w:p w14:paraId="038F94C6">
            <w:pPr>
              <w:pStyle w:val="7"/>
              <w:ind w:left="240" w:leftChars="100" w:firstLine="240" w:firstLineChars="100"/>
            </w:pPr>
            <w:r>
              <w:rPr>
                <w:rFonts w:hint="eastAsia"/>
              </w:rPr>
              <w:t>2、选择合格的第三方</w:t>
            </w:r>
          </w:p>
          <w:p w14:paraId="364B18FE">
            <w:pPr>
              <w:pStyle w:val="7"/>
              <w:ind w:firstLineChars="0"/>
              <w:jc w:val="both"/>
            </w:pPr>
            <w:r>
              <w:rPr>
                <w:rFonts w:hint="eastAsia"/>
              </w:rPr>
              <w:t>建设单位应选择具备相应资质、技术实力强、环保意识高的第三方进行施工，在合同中明确第三方的环境保护责任，包括施工过程中的环保要求、污染防治措施等。建设单位应对第三方的施工活动进行定期或不定期的监督与检查，确保其按照合同和环保要求进行施工。</w:t>
            </w:r>
          </w:p>
          <w:p w14:paraId="7A0A906D">
            <w:pPr>
              <w:pStyle w:val="7"/>
              <w:ind w:firstLine="480"/>
            </w:pPr>
            <w:r>
              <w:rPr>
                <w:rFonts w:hint="eastAsia"/>
              </w:rPr>
              <w:t>第三方的环境保护责任</w:t>
            </w:r>
          </w:p>
          <w:p w14:paraId="0253A2BB">
            <w:pPr>
              <w:pStyle w:val="7"/>
              <w:ind w:firstLine="480"/>
            </w:pPr>
            <w:r>
              <w:rPr>
                <w:rFonts w:hint="eastAsia"/>
              </w:rPr>
              <w:t>1、遵守法律法规</w:t>
            </w:r>
          </w:p>
          <w:p w14:paraId="5D96A098">
            <w:pPr>
              <w:pStyle w:val="7"/>
              <w:ind w:firstLine="480"/>
              <w:jc w:val="both"/>
            </w:pPr>
            <w:r>
              <w:rPr>
                <w:rFonts w:hint="eastAsia"/>
              </w:rPr>
              <w:t>第三方应严格遵守国家和地方的环境保护法律法规，以及建设单位在合同中提出的具体环保要求。</w:t>
            </w:r>
          </w:p>
          <w:p w14:paraId="769BDE0E">
            <w:pPr>
              <w:pStyle w:val="7"/>
              <w:ind w:firstLine="480"/>
            </w:pPr>
            <w:r>
              <w:rPr>
                <w:rFonts w:hint="eastAsia"/>
              </w:rPr>
              <w:t>2、施工过程中的环保措施</w:t>
            </w:r>
          </w:p>
          <w:p w14:paraId="54A2B313">
            <w:pPr>
              <w:pStyle w:val="7"/>
              <w:ind w:firstLine="480"/>
              <w:jc w:val="both"/>
            </w:pPr>
            <w:r>
              <w:rPr>
                <w:rFonts w:hint="eastAsia"/>
              </w:rPr>
              <w:t>制定详细的施工环保方案，明确施工过程中的污染防治措施和生态保护措施。采取有效措施减少施工噪声、粉尘、废水、废气等污染物的排放，确保施工活动不对周边环境造成不良影响。</w:t>
            </w:r>
          </w:p>
          <w:p w14:paraId="00BCC0A4">
            <w:pPr>
              <w:pStyle w:val="7"/>
              <w:numPr>
                <w:ilvl w:val="0"/>
                <w:numId w:val="3"/>
              </w:numPr>
              <w:spacing w:line="240" w:lineRule="auto"/>
              <w:ind w:firstLine="480"/>
              <w:jc w:val="both"/>
            </w:pPr>
            <w:r>
              <w:rPr>
                <w:rFonts w:hint="eastAsia"/>
              </w:rPr>
              <w:t>废弃物处理</w:t>
            </w:r>
          </w:p>
          <w:p w14:paraId="6436F3CC">
            <w:r>
              <w:rPr>
                <w:rFonts w:hint="eastAsia"/>
              </w:rPr>
              <w:t>对施工过程中产生的废弃物进行分类收集、储存和处置，确保废弃物得到妥善处理不造成环境污染，对施工活动造成的生态破坏进行及时修复，恢复生态环境原貌或达到生态功能等效替代。</w:t>
            </w:r>
          </w:p>
          <w:p w14:paraId="2B33B6FF">
            <w:pPr>
              <w:rPr>
                <w:sz w:val="21"/>
              </w:rPr>
            </w:pPr>
            <w:r>
              <w:rPr>
                <w:rFonts w:hint="eastAsia"/>
              </w:rPr>
              <w:t>经采取以上措施，项目施工期对生态环境的影响可以降至最低。</w:t>
            </w:r>
          </w:p>
          <w:p w14:paraId="7A002A6D">
            <w:pPr>
              <w:pStyle w:val="19"/>
            </w:pPr>
            <w:r>
              <w:t>5.9</w:t>
            </w:r>
            <w:r>
              <w:rPr>
                <w:rFonts w:hint="eastAsia"/>
              </w:rPr>
              <w:t>环境风险评价</w:t>
            </w:r>
          </w:p>
          <w:p w14:paraId="736896F9">
            <w:r>
              <w:rPr>
                <w:rFonts w:hint="eastAsia"/>
              </w:rPr>
              <w:t>环境风险评价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0E74C692">
            <w:r>
              <w:rPr>
                <w:rFonts w:hint="eastAsia"/>
              </w:rPr>
              <w:t>通过对项目在生产过程中使用的物质、各工艺系统的危险性进行识别，分析周边环境的敏感性，对项目的风险潜势进行初判，确定评价等级。</w:t>
            </w:r>
          </w:p>
          <w:p w14:paraId="30F2891C">
            <w:pPr>
              <w:pStyle w:val="19"/>
            </w:pPr>
            <w:r>
              <w:t>5.9.1评价依据</w:t>
            </w:r>
          </w:p>
          <w:p w14:paraId="6382C83E">
            <w:r>
              <w:t>（1）风险调查</w:t>
            </w:r>
          </w:p>
          <w:p w14:paraId="2B48E0E5">
            <w:r>
              <w:rPr>
                <w:rFonts w:hint="eastAsia"/>
                <w:color w:val="000000"/>
              </w:rPr>
              <w:t>本项目柴油临时存放点设置5个200L铁皮油桶，单桶容积200L，最大储存量约为1t（柴油密度按0.84kg/L计，5桶×200L×0.84≈0.84t，取整约1.0t）。柴油分期从哈尔莫敦镇购买，采用桶装运输至现场，每月采购一次，单次采购量约1t（5桶），现场最大周转库存量为1t。发电机组及施工机械油箱内燃油随设备移动，属随机消耗性存量，不在现场固定储存设施内，不计入Q值计算</w:t>
            </w:r>
            <w:r>
              <w:rPr>
                <w:rFonts w:hint="eastAsia"/>
              </w:rPr>
              <w:t>。</w:t>
            </w:r>
          </w:p>
          <w:p w14:paraId="25E87A06">
            <w:r>
              <w:rPr>
                <w:rFonts w:hint="eastAsia"/>
              </w:rPr>
              <w:t>（2）危险物质数量与临界量比值（Q）</w:t>
            </w:r>
          </w:p>
          <w:p w14:paraId="2FC78236">
            <w:r>
              <w:rPr>
                <w:rFonts w:hint="eastAsia"/>
              </w:rPr>
              <w:t>计算所涉及的每种危险物质在厂界内的最大存在总量与其在附录B中对应临界量的比值Q。在不同厂区的同一种物质，按其在厂界内的最大存在总量计算。对于长输管线项目，按照两个截断阀室之间管段危险物质最大存在总量计算。</w:t>
            </w:r>
          </w:p>
          <w:p w14:paraId="13DB28C3">
            <w:r>
              <w:rPr>
                <w:rFonts w:hint="eastAsia"/>
              </w:rPr>
              <w:t>当只涉及一种危险物质时，计算该物质的总量与其临界量比值，即为Q；</w:t>
            </w:r>
          </w:p>
          <w:p w14:paraId="629E00EF">
            <w:r>
              <w:rPr>
                <w:rFonts w:hint="eastAsia"/>
              </w:rPr>
              <w:t>当存在多种危险物质时，则按式（C.1）计算物质总量与其临界量比值（Q）：</w:t>
            </w:r>
          </w:p>
          <w:p w14:paraId="6296B8F9">
            <w:pPr>
              <w:ind w:firstLine="0" w:firstLineChars="0"/>
              <w:jc w:val="center"/>
            </w:pPr>
            <w:r>
              <w:drawing>
                <wp:inline distT="0" distB="0" distL="114300" distR="114300">
                  <wp:extent cx="1785620" cy="539115"/>
                  <wp:effectExtent l="0" t="0" r="5080" b="133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1"/>
                          <a:stretch>
                            <a:fillRect/>
                          </a:stretch>
                        </pic:blipFill>
                        <pic:spPr>
                          <a:xfrm>
                            <a:off x="0" y="0"/>
                            <a:ext cx="1785620" cy="539115"/>
                          </a:xfrm>
                          <a:prstGeom prst="rect">
                            <a:avLst/>
                          </a:prstGeom>
                          <a:noFill/>
                          <a:ln>
                            <a:noFill/>
                          </a:ln>
                        </pic:spPr>
                      </pic:pic>
                    </a:graphicData>
                  </a:graphic>
                </wp:inline>
              </w:drawing>
            </w:r>
          </w:p>
          <w:p w14:paraId="4B4314BA">
            <w:r>
              <w:t>式中：q</w:t>
            </w:r>
            <w:r>
              <w:rPr>
                <w:vertAlign w:val="subscript"/>
              </w:rPr>
              <w:t>1</w:t>
            </w:r>
            <w:r>
              <w:t>，q</w:t>
            </w:r>
            <w:r>
              <w:rPr>
                <w:vertAlign w:val="subscript"/>
              </w:rPr>
              <w:t>2</w:t>
            </w:r>
            <w:r>
              <w:t>…..q</w:t>
            </w:r>
            <w:r>
              <w:rPr>
                <w:vertAlign w:val="subscript"/>
              </w:rPr>
              <w:t>n</w:t>
            </w:r>
            <w:r>
              <w:t>——每种危险物质的最大存在总量，t；</w:t>
            </w:r>
          </w:p>
          <w:p w14:paraId="677F0F77">
            <w:r>
              <w:t>Q</w:t>
            </w:r>
            <w:r>
              <w:rPr>
                <w:vertAlign w:val="subscript"/>
              </w:rPr>
              <w:t>1</w:t>
            </w:r>
            <w:r>
              <w:t>，Q</w:t>
            </w:r>
            <w:r>
              <w:rPr>
                <w:vertAlign w:val="subscript"/>
              </w:rPr>
              <w:t>2</w:t>
            </w:r>
            <w:r>
              <w:t>，…..Q</w:t>
            </w:r>
            <w:r>
              <w:rPr>
                <w:vertAlign w:val="subscript"/>
              </w:rPr>
              <w:t>n</w:t>
            </w:r>
            <w:r>
              <w:t>——每种危险物质的临界量，t；</w:t>
            </w:r>
          </w:p>
          <w:p w14:paraId="108137A7">
            <w:r>
              <w:t>当Q&lt;1时，该项目环境风险潜势为</w:t>
            </w:r>
            <w:r>
              <w:fldChar w:fldCharType="begin"/>
            </w:r>
            <w:r>
              <w:instrText xml:space="preserve">= 1 \* ROMAN</w:instrText>
            </w:r>
            <w:r>
              <w:fldChar w:fldCharType="separate"/>
            </w:r>
            <w:r>
              <w:t>I</w:t>
            </w:r>
            <w:r>
              <w:fldChar w:fldCharType="end"/>
            </w:r>
            <w:r>
              <w:t>。</w:t>
            </w:r>
          </w:p>
          <w:p w14:paraId="4840B8F7">
            <w:r>
              <w:t>当Q≥1时，将Q值划分为：（1）1≤Q＜10；（2）10≤Q＜100；（3）Q≥100。</w:t>
            </w:r>
          </w:p>
          <w:p w14:paraId="7604B784">
            <w:r>
              <w:t>通过计算，本项目Q&lt;1，所以本项目环境风险潜势为</w:t>
            </w:r>
            <w:r>
              <w:fldChar w:fldCharType="begin"/>
            </w:r>
            <w:r>
              <w:instrText xml:space="preserve">= 1 \* ROMAN</w:instrText>
            </w:r>
            <w:r>
              <w:fldChar w:fldCharType="separate"/>
            </w:r>
            <w:r>
              <w:t>I</w:t>
            </w:r>
            <w:r>
              <w:fldChar w:fldCharType="end"/>
            </w:r>
            <w:r>
              <w:t>。</w:t>
            </w:r>
          </w:p>
          <w:p w14:paraId="2E01305A">
            <w:r>
              <w:t>（3）评价等级</w:t>
            </w:r>
          </w:p>
          <w:p w14:paraId="7EA8A7A9">
            <w:r>
              <w:t>环境风险是指突发性事故对环境（或健康）的危害程度。建设项目环境风险评价，主要是对建设项目建设和运行期间发生的可预测突发性事件或事故（一般不包括人为破坏及自然灾害）引起有毒有害、易燃易爆等物质泄漏，或突发事件产生的新的有毒有害物质，所造成的对人身安全与环境的影响和损害，进行评估，提出防范、应急与减缓措施，以使建设项目事故率、损失和环境影响达到可接受水平。</w:t>
            </w:r>
          </w:p>
          <w:p w14:paraId="2734FCBA">
            <w:r>
              <w:t>本项目为矿产资源勘探，根据《建设项目环境风险评价技术导则》（HJ169-2018）附录B中推荐物质危险性识别可知，项目风险物质为</w:t>
            </w:r>
            <w:r>
              <w:rPr>
                <w:rFonts w:hint="eastAsia"/>
              </w:rPr>
              <w:t>废润滑油和柴油</w:t>
            </w:r>
            <w:r>
              <w:t>。</w:t>
            </w:r>
            <w:r>
              <w:rPr>
                <w:rFonts w:hint="eastAsia"/>
              </w:rPr>
              <w:t>风险源情况详见下表5-1。</w:t>
            </w:r>
          </w:p>
          <w:p w14:paraId="36D028A3">
            <w:pPr>
              <w:pStyle w:val="34"/>
              <w:spacing w:before="156"/>
              <w:rPr>
                <w:rFonts w:ascii="Times New Roman" w:hAnsi="Times New Roman"/>
                <w:bCs/>
                <w:kern w:val="2"/>
                <w:szCs w:val="21"/>
              </w:rPr>
            </w:pPr>
            <w:r>
              <w:rPr>
                <w:rFonts w:ascii="Times New Roman" w:hAnsi="Times New Roman"/>
                <w:bCs/>
                <w:kern w:val="2"/>
                <w:szCs w:val="21"/>
              </w:rPr>
              <w:t>表</w:t>
            </w:r>
            <w:r>
              <w:rPr>
                <w:rFonts w:hint="eastAsia" w:ascii="Times New Roman" w:hAnsi="Times New Roman"/>
                <w:bCs/>
                <w:kern w:val="2"/>
                <w:szCs w:val="21"/>
              </w:rPr>
              <w:t>5-1</w:t>
            </w:r>
            <w:r>
              <w:rPr>
                <w:rFonts w:ascii="Times New Roman" w:hAnsi="Times New Roman"/>
                <w:bCs/>
                <w:kern w:val="2"/>
                <w:szCs w:val="21"/>
              </w:rPr>
              <w:t xml:space="preserve">  </w:t>
            </w:r>
            <w:r>
              <w:rPr>
                <w:rFonts w:hint="eastAsia" w:ascii="Times New Roman" w:hAnsi="Times New Roman"/>
                <w:bCs/>
                <w:kern w:val="2"/>
                <w:szCs w:val="21"/>
              </w:rPr>
              <w:t>环境风险物质数量、临界量及其比值（Q）</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55"/>
              <w:gridCol w:w="1832"/>
              <w:gridCol w:w="1328"/>
              <w:gridCol w:w="1464"/>
              <w:gridCol w:w="1980"/>
            </w:tblGrid>
            <w:tr w14:paraId="5AFBE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1133" w:type="dxa"/>
                  <w:shd w:val="clear" w:color="auto" w:fill="auto"/>
                  <w:vAlign w:val="center"/>
                </w:tcPr>
                <w:p w14:paraId="6AB3D07A">
                  <w:pPr>
                    <w:pStyle w:val="32"/>
                  </w:pPr>
                  <w:r>
                    <w:rPr>
                      <w:rFonts w:hint="eastAsia"/>
                    </w:rPr>
                    <w:t>序号</w:t>
                  </w:r>
                </w:p>
              </w:tc>
              <w:tc>
                <w:tcPr>
                  <w:tcW w:w="1797" w:type="dxa"/>
                  <w:shd w:val="clear" w:color="auto" w:fill="auto"/>
                  <w:vAlign w:val="center"/>
                </w:tcPr>
                <w:p w14:paraId="0F51BB4E">
                  <w:pPr>
                    <w:pStyle w:val="32"/>
                    <w:rPr>
                      <w:vertAlign w:val="superscript"/>
                    </w:rPr>
                  </w:pPr>
                  <w:r>
                    <w:t>环境风险物质</w:t>
                  </w:r>
                </w:p>
              </w:tc>
              <w:tc>
                <w:tcPr>
                  <w:tcW w:w="1303" w:type="dxa"/>
                  <w:shd w:val="clear" w:color="auto" w:fill="auto"/>
                  <w:vAlign w:val="center"/>
                </w:tcPr>
                <w:p w14:paraId="4D8B50CA">
                  <w:pPr>
                    <w:pStyle w:val="32"/>
                  </w:pPr>
                  <w:r>
                    <w:t>储存量（q）</w:t>
                  </w:r>
                </w:p>
              </w:tc>
              <w:tc>
                <w:tcPr>
                  <w:tcW w:w="1436" w:type="dxa"/>
                  <w:shd w:val="clear" w:color="auto" w:fill="auto"/>
                  <w:vAlign w:val="center"/>
                </w:tcPr>
                <w:p w14:paraId="74A72AB9">
                  <w:pPr>
                    <w:pStyle w:val="32"/>
                  </w:pPr>
                  <w:r>
                    <w:t>临界量（Q）</w:t>
                  </w:r>
                </w:p>
              </w:tc>
              <w:tc>
                <w:tcPr>
                  <w:tcW w:w="1942" w:type="dxa"/>
                  <w:shd w:val="clear" w:color="auto" w:fill="auto"/>
                  <w:vAlign w:val="center"/>
                </w:tcPr>
                <w:p w14:paraId="4C1EF723">
                  <w:pPr>
                    <w:pStyle w:val="32"/>
                  </w:pPr>
                  <w:r>
                    <w:t>q比值（Q）</w:t>
                  </w:r>
                </w:p>
              </w:tc>
            </w:tr>
            <w:tr w14:paraId="6D3C33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1133" w:type="dxa"/>
                  <w:shd w:val="clear" w:color="auto" w:fill="auto"/>
                  <w:vAlign w:val="center"/>
                </w:tcPr>
                <w:p w14:paraId="0C73A34B">
                  <w:pPr>
                    <w:pStyle w:val="32"/>
                  </w:pPr>
                  <w:r>
                    <w:rPr>
                      <w:rFonts w:hint="eastAsia"/>
                    </w:rPr>
                    <w:t>1</w:t>
                  </w:r>
                </w:p>
              </w:tc>
              <w:tc>
                <w:tcPr>
                  <w:tcW w:w="1797" w:type="dxa"/>
                  <w:shd w:val="clear" w:color="auto" w:fill="auto"/>
                  <w:vAlign w:val="center"/>
                </w:tcPr>
                <w:p w14:paraId="4B4C24E0">
                  <w:pPr>
                    <w:pStyle w:val="32"/>
                  </w:pPr>
                  <w:r>
                    <w:rPr>
                      <w:rFonts w:hint="eastAsia"/>
                    </w:rPr>
                    <w:t>废润滑油</w:t>
                  </w:r>
                </w:p>
              </w:tc>
              <w:tc>
                <w:tcPr>
                  <w:tcW w:w="1303" w:type="dxa"/>
                  <w:shd w:val="clear" w:color="auto" w:fill="auto"/>
                  <w:vAlign w:val="center"/>
                </w:tcPr>
                <w:p w14:paraId="432F7ACB">
                  <w:pPr>
                    <w:pStyle w:val="32"/>
                  </w:pPr>
                  <w:r>
                    <w:t>0.1t</w:t>
                  </w:r>
                </w:p>
              </w:tc>
              <w:tc>
                <w:tcPr>
                  <w:tcW w:w="1436" w:type="dxa"/>
                  <w:shd w:val="clear" w:color="auto" w:fill="auto"/>
                  <w:vAlign w:val="center"/>
                </w:tcPr>
                <w:p w14:paraId="0F869A49">
                  <w:pPr>
                    <w:pStyle w:val="32"/>
                  </w:pPr>
                  <w:r>
                    <w:t>2500t</w:t>
                  </w:r>
                </w:p>
              </w:tc>
              <w:tc>
                <w:tcPr>
                  <w:tcW w:w="1942" w:type="dxa"/>
                  <w:shd w:val="clear" w:color="auto" w:fill="auto"/>
                  <w:vAlign w:val="center"/>
                </w:tcPr>
                <w:p w14:paraId="39D9A282">
                  <w:pPr>
                    <w:pStyle w:val="32"/>
                    <w:rPr>
                      <w:vertAlign w:val="superscript"/>
                    </w:rPr>
                  </w:pPr>
                  <w:r>
                    <w:t>0.00004</w:t>
                  </w:r>
                </w:p>
              </w:tc>
            </w:tr>
            <w:tr w14:paraId="0BCCF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1133" w:type="dxa"/>
                  <w:shd w:val="clear" w:color="auto" w:fill="auto"/>
                  <w:vAlign w:val="center"/>
                </w:tcPr>
                <w:p w14:paraId="3998A8D5">
                  <w:pPr>
                    <w:pStyle w:val="32"/>
                  </w:pPr>
                  <w:r>
                    <w:rPr>
                      <w:rFonts w:hint="eastAsia"/>
                    </w:rPr>
                    <w:t>2</w:t>
                  </w:r>
                </w:p>
              </w:tc>
              <w:tc>
                <w:tcPr>
                  <w:tcW w:w="1797" w:type="dxa"/>
                  <w:shd w:val="clear" w:color="auto" w:fill="auto"/>
                  <w:vAlign w:val="center"/>
                </w:tcPr>
                <w:p w14:paraId="3091B372">
                  <w:pPr>
                    <w:pStyle w:val="32"/>
                  </w:pPr>
                  <w:r>
                    <w:rPr>
                      <w:rFonts w:hint="eastAsia"/>
                    </w:rPr>
                    <w:t>柴油</w:t>
                  </w:r>
                </w:p>
              </w:tc>
              <w:tc>
                <w:tcPr>
                  <w:tcW w:w="1303" w:type="dxa"/>
                  <w:shd w:val="clear" w:color="auto" w:fill="auto"/>
                  <w:vAlign w:val="center"/>
                </w:tcPr>
                <w:p w14:paraId="609DDB81">
                  <w:pPr>
                    <w:pStyle w:val="32"/>
                  </w:pPr>
                  <w:r>
                    <w:t>1t</w:t>
                  </w:r>
                </w:p>
              </w:tc>
              <w:tc>
                <w:tcPr>
                  <w:tcW w:w="1436" w:type="dxa"/>
                  <w:shd w:val="clear" w:color="auto" w:fill="auto"/>
                  <w:vAlign w:val="center"/>
                </w:tcPr>
                <w:p w14:paraId="22FABB75">
                  <w:pPr>
                    <w:pStyle w:val="32"/>
                  </w:pPr>
                  <w:r>
                    <w:rPr>
                      <w:rFonts w:hint="eastAsia"/>
                    </w:rPr>
                    <w:t>2</w:t>
                  </w:r>
                  <w:r>
                    <w:t>500t</w:t>
                  </w:r>
                </w:p>
              </w:tc>
              <w:tc>
                <w:tcPr>
                  <w:tcW w:w="1942" w:type="dxa"/>
                  <w:shd w:val="clear" w:color="auto" w:fill="auto"/>
                  <w:vAlign w:val="center"/>
                </w:tcPr>
                <w:p w14:paraId="07F637F2">
                  <w:pPr>
                    <w:pStyle w:val="32"/>
                  </w:pPr>
                  <w:r>
                    <w:t>0.0004</w:t>
                  </w:r>
                </w:p>
              </w:tc>
            </w:tr>
            <w:tr w14:paraId="0B29E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 w:hRule="atLeast"/>
                <w:jc w:val="center"/>
              </w:trPr>
              <w:tc>
                <w:tcPr>
                  <w:tcW w:w="5669" w:type="dxa"/>
                  <w:gridSpan w:val="4"/>
                  <w:shd w:val="clear" w:color="auto" w:fill="auto"/>
                  <w:vAlign w:val="center"/>
                </w:tcPr>
                <w:p w14:paraId="51B22A08">
                  <w:pPr>
                    <w:pStyle w:val="32"/>
                  </w:pPr>
                  <w:r>
                    <w:t>合计</w:t>
                  </w:r>
                </w:p>
              </w:tc>
              <w:tc>
                <w:tcPr>
                  <w:tcW w:w="1942" w:type="dxa"/>
                  <w:shd w:val="clear" w:color="auto" w:fill="auto"/>
                  <w:vAlign w:val="center"/>
                </w:tcPr>
                <w:p w14:paraId="3B035D95">
                  <w:pPr>
                    <w:pStyle w:val="32"/>
                  </w:pPr>
                  <w:r>
                    <w:t>0.00044</w:t>
                  </w:r>
                </w:p>
              </w:tc>
            </w:tr>
          </w:tbl>
          <w:p w14:paraId="62874A30">
            <w:r>
              <w:t>根据危险物质数量与临界量比值，确定Q=0.00044&lt;1。当Q&lt;1时，该项目风险潜势为I，环境风险评价工作等级为简单分析。</w:t>
            </w:r>
          </w:p>
          <w:p w14:paraId="7B36057A">
            <w:r>
              <w:t>综上，本项目风险判定为简单评价。分析内容表见下表5-2。</w:t>
            </w:r>
          </w:p>
          <w:p w14:paraId="627D04B1">
            <w:pPr>
              <w:pStyle w:val="34"/>
              <w:spacing w:before="156"/>
              <w:rPr>
                <w:rFonts w:ascii="Times New Roman" w:hAnsi="Times New Roman"/>
                <w:bCs/>
                <w:kern w:val="2"/>
                <w:szCs w:val="21"/>
              </w:rPr>
            </w:pPr>
            <w:r>
              <w:rPr>
                <w:rFonts w:ascii="Times New Roman" w:hAnsi="Times New Roman"/>
                <w:bCs/>
                <w:kern w:val="2"/>
                <w:szCs w:val="21"/>
              </w:rPr>
              <w:t>表5-2  建设项目环境风险简单分析内容表</w:t>
            </w:r>
          </w:p>
          <w:tbl>
            <w:tblPr>
              <w:tblStyle w:val="23"/>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62"/>
              <w:gridCol w:w="5794"/>
            </w:tblGrid>
            <w:tr w14:paraId="2968BC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1265" w:type="pct"/>
                  <w:shd w:val="clear" w:color="auto" w:fill="auto"/>
                  <w:vAlign w:val="center"/>
                </w:tcPr>
                <w:p w14:paraId="7129DF60">
                  <w:pPr>
                    <w:pStyle w:val="32"/>
                    <w:rPr>
                      <w:szCs w:val="21"/>
                      <w:vertAlign w:val="superscript"/>
                    </w:rPr>
                  </w:pPr>
                  <w:r>
                    <w:rPr>
                      <w:szCs w:val="21"/>
                    </w:rPr>
                    <w:t>建设项目名称</w:t>
                  </w:r>
                </w:p>
              </w:tc>
              <w:tc>
                <w:tcPr>
                  <w:tcW w:w="3734" w:type="pct"/>
                  <w:shd w:val="clear" w:color="auto" w:fill="auto"/>
                  <w:vAlign w:val="center"/>
                </w:tcPr>
                <w:p w14:paraId="6E6B6759">
                  <w:pPr>
                    <w:pStyle w:val="32"/>
                    <w:rPr>
                      <w:szCs w:val="21"/>
                    </w:rPr>
                  </w:pPr>
                  <w:r>
                    <w:rPr>
                      <w:rFonts w:hint="eastAsia"/>
                    </w:rPr>
                    <w:t>新疆和静县察汗乌苏铜矿勘探项目</w:t>
                  </w:r>
                </w:p>
              </w:tc>
            </w:tr>
            <w:tr w14:paraId="078968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1265" w:type="pct"/>
                  <w:shd w:val="clear" w:color="auto" w:fill="auto"/>
                  <w:vAlign w:val="center"/>
                </w:tcPr>
                <w:p w14:paraId="321D7ECB">
                  <w:pPr>
                    <w:pStyle w:val="32"/>
                    <w:rPr>
                      <w:szCs w:val="21"/>
                    </w:rPr>
                  </w:pPr>
                  <w:r>
                    <w:rPr>
                      <w:szCs w:val="21"/>
                    </w:rPr>
                    <w:t>建设地点</w:t>
                  </w:r>
                </w:p>
              </w:tc>
              <w:tc>
                <w:tcPr>
                  <w:tcW w:w="3734" w:type="pct"/>
                  <w:shd w:val="clear" w:color="auto" w:fill="auto"/>
                  <w:vAlign w:val="center"/>
                </w:tcPr>
                <w:p w14:paraId="30960D4F">
                  <w:pPr>
                    <w:pStyle w:val="32"/>
                    <w:rPr>
                      <w:szCs w:val="21"/>
                      <w:highlight w:val="yellow"/>
                      <w:vertAlign w:val="superscript"/>
                    </w:rPr>
                  </w:pPr>
                  <w:r>
                    <w:rPr>
                      <w:rFonts w:hint="eastAsia"/>
                    </w:rPr>
                    <w:t>和静县察汗乌苏北方向约</w:t>
                  </w:r>
                  <w:r>
                    <w:t>359.4</w:t>
                  </w:r>
                  <w:r>
                    <w:rPr>
                      <w:rFonts w:hint="eastAsia"/>
                    </w:rPr>
                    <w:t>°直距约</w:t>
                  </w:r>
                  <w:r>
                    <w:t>6.422</w:t>
                  </w:r>
                  <w:r>
                    <w:rPr>
                      <w:rFonts w:hint="eastAsia"/>
                    </w:rPr>
                    <w:t>千米处</w:t>
                  </w:r>
                </w:p>
              </w:tc>
            </w:tr>
            <w:tr w14:paraId="0FB07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1265" w:type="pct"/>
                  <w:shd w:val="clear" w:color="auto" w:fill="auto"/>
                  <w:vAlign w:val="center"/>
                </w:tcPr>
                <w:p w14:paraId="3D6EE722">
                  <w:pPr>
                    <w:pStyle w:val="32"/>
                    <w:rPr>
                      <w:szCs w:val="21"/>
                    </w:rPr>
                  </w:pPr>
                  <w:r>
                    <w:rPr>
                      <w:szCs w:val="21"/>
                    </w:rPr>
                    <w:t>地理坐标</w:t>
                  </w:r>
                </w:p>
              </w:tc>
              <w:tc>
                <w:tcPr>
                  <w:tcW w:w="3734" w:type="pct"/>
                  <w:shd w:val="clear" w:color="auto" w:fill="auto"/>
                  <w:vAlign w:val="center"/>
                </w:tcPr>
                <w:p w14:paraId="62A5DA31">
                  <w:pPr>
                    <w:pStyle w:val="32"/>
                    <w:rPr>
                      <w:szCs w:val="21"/>
                      <w:highlight w:val="yellow"/>
                    </w:rPr>
                  </w:pPr>
                  <w:r>
                    <w:rPr>
                      <w:rFonts w:hint="eastAsia"/>
                    </w:rPr>
                    <w:t>经度</w:t>
                  </w:r>
                  <w:r>
                    <w:t>85°32'28.361"</w:t>
                  </w:r>
                  <w:r>
                    <w:rPr>
                      <w:rFonts w:hint="eastAsia"/>
                    </w:rPr>
                    <w:t>，</w:t>
                  </w:r>
                  <w:r>
                    <w:rPr>
                      <w:kern w:val="0"/>
                    </w:rPr>
                    <w:t>纬</w:t>
                  </w:r>
                  <w:r>
                    <w:rPr>
                      <w:rFonts w:hint="eastAsia"/>
                      <w:kern w:val="0"/>
                    </w:rPr>
                    <w:t>度</w:t>
                  </w:r>
                  <w:r>
                    <w:t>42°25'58.255"</w:t>
                  </w:r>
                </w:p>
              </w:tc>
            </w:tr>
            <w:tr w14:paraId="333AF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1265" w:type="pct"/>
                  <w:shd w:val="clear" w:color="auto" w:fill="auto"/>
                  <w:vAlign w:val="center"/>
                </w:tcPr>
                <w:p w14:paraId="7FEAD9B7">
                  <w:pPr>
                    <w:pStyle w:val="32"/>
                    <w:rPr>
                      <w:szCs w:val="21"/>
                    </w:rPr>
                  </w:pPr>
                  <w:r>
                    <w:rPr>
                      <w:szCs w:val="21"/>
                    </w:rPr>
                    <w:t>主要危险物质及分布</w:t>
                  </w:r>
                </w:p>
              </w:tc>
              <w:tc>
                <w:tcPr>
                  <w:tcW w:w="3734" w:type="pct"/>
                  <w:shd w:val="clear" w:color="auto" w:fill="auto"/>
                  <w:vAlign w:val="center"/>
                </w:tcPr>
                <w:p w14:paraId="6FAF4D72">
                  <w:pPr>
                    <w:spacing w:line="240" w:lineRule="auto"/>
                    <w:ind w:firstLine="0" w:firstLineChars="0"/>
                  </w:pPr>
                  <w:r>
                    <w:rPr>
                      <w:rFonts w:hint="eastAsia"/>
                      <w:sz w:val="21"/>
                      <w:szCs w:val="21"/>
                    </w:rPr>
                    <w:t>本项目主要危险物质为废润滑油和柴油，分别暂存于危险废物贮存点和柴油临时存放点</w:t>
                  </w:r>
                </w:p>
              </w:tc>
            </w:tr>
            <w:tr w14:paraId="4620D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1265" w:type="pct"/>
                  <w:shd w:val="clear" w:color="auto" w:fill="auto"/>
                  <w:vAlign w:val="center"/>
                </w:tcPr>
                <w:p w14:paraId="77AD432F">
                  <w:pPr>
                    <w:pStyle w:val="32"/>
                    <w:rPr>
                      <w:szCs w:val="21"/>
                    </w:rPr>
                  </w:pPr>
                  <w:r>
                    <w:rPr>
                      <w:szCs w:val="21"/>
                    </w:rPr>
                    <w:t>环境影响途径及危害后果（大气、地表水、地下水）</w:t>
                  </w:r>
                </w:p>
              </w:tc>
              <w:tc>
                <w:tcPr>
                  <w:tcW w:w="3734" w:type="pct"/>
                  <w:shd w:val="clear" w:color="auto" w:fill="auto"/>
                  <w:vAlign w:val="center"/>
                </w:tcPr>
                <w:p w14:paraId="4CF74BB9">
                  <w:pPr>
                    <w:pStyle w:val="32"/>
                    <w:rPr>
                      <w:szCs w:val="21"/>
                    </w:rPr>
                  </w:pPr>
                  <w:r>
                    <w:rPr>
                      <w:rFonts w:hint="eastAsia"/>
                      <w:szCs w:val="21"/>
                    </w:rPr>
                    <w:t>废润滑油、柴油存在泄漏风险，若发生泄漏可能污染区域地下水；同时存在火灾爆炸风险，其次生/伴生污染物可能对大气环境造成影响</w:t>
                  </w:r>
                </w:p>
              </w:tc>
            </w:tr>
            <w:tr w14:paraId="4EB18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1265" w:type="pct"/>
                  <w:shd w:val="clear" w:color="auto" w:fill="auto"/>
                  <w:vAlign w:val="center"/>
                </w:tcPr>
                <w:p w14:paraId="74D36045">
                  <w:pPr>
                    <w:pStyle w:val="32"/>
                    <w:rPr>
                      <w:szCs w:val="21"/>
                    </w:rPr>
                  </w:pPr>
                  <w:r>
                    <w:rPr>
                      <w:szCs w:val="21"/>
                    </w:rPr>
                    <w:t>风险防范措施要求</w:t>
                  </w:r>
                </w:p>
              </w:tc>
              <w:tc>
                <w:tcPr>
                  <w:tcW w:w="3734" w:type="pct"/>
                  <w:shd w:val="clear" w:color="auto" w:fill="auto"/>
                  <w:vAlign w:val="center"/>
                </w:tcPr>
                <w:p w14:paraId="6C2125BC">
                  <w:pPr>
                    <w:pStyle w:val="32"/>
                    <w:jc w:val="both"/>
                    <w:rPr>
                      <w:szCs w:val="21"/>
                    </w:rPr>
                  </w:pPr>
                  <w:r>
                    <w:rPr>
                      <w:rFonts w:hint="eastAsia"/>
                      <w:szCs w:val="21"/>
                    </w:rPr>
                    <w:t>加强机械设备维护管理，产生的废润滑油应规范收集、贮存，并严格按照危险废物管理要求，委托有资质单位进行处置</w:t>
                  </w:r>
                </w:p>
              </w:tc>
            </w:tr>
            <w:tr w14:paraId="2A5D0E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trPr>
              <w:tc>
                <w:tcPr>
                  <w:tcW w:w="1265" w:type="pct"/>
                  <w:shd w:val="clear" w:color="auto" w:fill="auto"/>
                  <w:vAlign w:val="center"/>
                </w:tcPr>
                <w:p w14:paraId="0AD7F895">
                  <w:pPr>
                    <w:pStyle w:val="32"/>
                    <w:rPr>
                      <w:szCs w:val="21"/>
                    </w:rPr>
                  </w:pPr>
                  <w:r>
                    <w:rPr>
                      <w:szCs w:val="21"/>
                    </w:rPr>
                    <w:t>填表说明（列出项目相关信息及评价说明）</w:t>
                  </w:r>
                </w:p>
              </w:tc>
              <w:tc>
                <w:tcPr>
                  <w:tcW w:w="3734" w:type="pct"/>
                  <w:shd w:val="clear" w:color="auto" w:fill="auto"/>
                  <w:vAlign w:val="center"/>
                </w:tcPr>
                <w:p w14:paraId="1A683244">
                  <w:pPr>
                    <w:pStyle w:val="32"/>
                    <w:rPr>
                      <w:szCs w:val="21"/>
                    </w:rPr>
                  </w:pPr>
                  <w:r>
                    <w:rPr>
                      <w:szCs w:val="21"/>
                    </w:rPr>
                    <w:t>不存在重大危险源，项目环境风险可以接受</w:t>
                  </w:r>
                </w:p>
              </w:tc>
            </w:tr>
          </w:tbl>
          <w:p w14:paraId="4F0CCB59">
            <w:pPr>
              <w:pStyle w:val="19"/>
            </w:pPr>
            <w:r>
              <w:t>5.9.2</w:t>
            </w:r>
            <w:r>
              <w:rPr>
                <w:rFonts w:hint="eastAsia"/>
              </w:rPr>
              <w:t>环境敏感目标概况</w:t>
            </w:r>
          </w:p>
          <w:p w14:paraId="38E1F41E">
            <w:r>
              <w:rPr>
                <w:rFonts w:hint="eastAsia"/>
              </w:rPr>
              <w:t>（</w:t>
            </w:r>
            <w:r>
              <w:t>1</w:t>
            </w:r>
            <w:r>
              <w:rPr>
                <w:rFonts w:hint="eastAsia"/>
              </w:rPr>
              <w:t>）大气环境敏感目标调查</w:t>
            </w:r>
          </w:p>
          <w:p w14:paraId="4F5EF41F">
            <w:r>
              <w:rPr>
                <w:rFonts w:ascii="Segoe UI" w:hAnsi="Segoe UI" w:cs="Segoe UI"/>
                <w:color w:val="0F1115"/>
                <w:shd w:val="clear" w:color="auto" w:fill="FFFFFF"/>
              </w:rPr>
              <w:t>经现场踏勘，本项目勘查区及周边区域均为山体，地势较高，无常住居民点、学校、医院等大气环境敏感建筑物分布。因此，本项目不涉及大气</w:t>
            </w:r>
            <w:r>
              <w:rPr>
                <w:color w:val="0F1115"/>
                <w:shd w:val="clear" w:color="auto" w:fill="FFFFFF"/>
              </w:rPr>
              <w:t>环境敏感目标</w:t>
            </w:r>
            <w:r>
              <w:t>。</w:t>
            </w:r>
          </w:p>
          <w:p w14:paraId="08C81F35">
            <w:r>
              <w:t>（2）地表水环境敏感目标调查</w:t>
            </w:r>
          </w:p>
          <w:p w14:paraId="0061F4D9">
            <w:r>
              <w:t>勘查区内分布有芒奇提河，属开都河流域支流，执行《地表水环境质量标准》（GB3838-2002）Ⅰ类标准。</w:t>
            </w:r>
            <w:r>
              <w:rPr>
                <w:rFonts w:hint="eastAsia"/>
              </w:rPr>
              <w:t>本项目</w:t>
            </w:r>
            <w:r>
              <w:rPr>
                <w:szCs w:val="21"/>
              </w:rPr>
              <w:t>生产废水经</w:t>
            </w:r>
            <w:r>
              <w:rPr>
                <w:color w:val="000000" w:themeColor="text1"/>
                <w:szCs w:val="21"/>
                <w14:textFill>
                  <w14:solidFill>
                    <w14:schemeClr w14:val="tx1"/>
                  </w14:solidFill>
                </w14:textFill>
              </w:rPr>
              <w:t>沉淀池沉淀后</w:t>
            </w:r>
            <w:r>
              <w:rPr>
                <w:rFonts w:hint="eastAsia"/>
                <w:color w:val="000000" w:themeColor="text1"/>
                <w:szCs w:val="21"/>
                <w14:textFill>
                  <w14:solidFill>
                    <w14:schemeClr w14:val="tx1"/>
                  </w14:solidFill>
                </w14:textFill>
              </w:rPr>
              <w:t>回用于钻探</w:t>
            </w:r>
            <w:r>
              <w:rPr>
                <w:color w:val="000000" w:themeColor="text1"/>
                <w:szCs w:val="21"/>
                <w14:textFill>
                  <w14:solidFill>
                    <w14:schemeClr w14:val="tx1"/>
                  </w14:solidFill>
                </w14:textFill>
              </w:rPr>
              <w:t>，不外排；生活污水</w:t>
            </w:r>
            <w:r>
              <w:rPr>
                <w:rFonts w:hint="eastAsia"/>
                <w:color w:val="000000" w:themeColor="text1"/>
                <w:szCs w:val="21"/>
                <w14:textFill>
                  <w14:solidFill>
                    <w14:schemeClr w14:val="tx1"/>
                  </w14:solidFill>
                </w14:textFill>
              </w:rPr>
              <w:t>排</w:t>
            </w:r>
            <w:r>
              <w:rPr>
                <w:color w:val="000000" w:themeColor="text1"/>
                <w:szCs w:val="21"/>
                <w14:textFill>
                  <w14:solidFill>
                    <w14:schemeClr w14:val="tx1"/>
                  </w14:solidFill>
                </w14:textFill>
              </w:rPr>
              <w:t>入一体化污水处理</w:t>
            </w:r>
            <w:r>
              <w:rPr>
                <w:rFonts w:hint="eastAsia"/>
                <w:color w:val="000000" w:themeColor="text1"/>
                <w:szCs w:val="21"/>
                <w14:textFill>
                  <w14:solidFill>
                    <w14:schemeClr w14:val="tx1"/>
                  </w14:solidFill>
                </w14:textFill>
              </w:rPr>
              <w:t>设备</w:t>
            </w:r>
            <w:r>
              <w:rPr>
                <w:color w:val="000000" w:themeColor="text1"/>
                <w:szCs w:val="21"/>
                <w14:textFill>
                  <w14:solidFill>
                    <w14:schemeClr w14:val="tx1"/>
                  </w14:solidFill>
                </w14:textFill>
              </w:rPr>
              <w:t>处理达标后，用于</w:t>
            </w:r>
            <w:r>
              <w:rPr>
                <w:rFonts w:hint="eastAsia"/>
              </w:rPr>
              <w:t>周边植被绿化</w:t>
            </w:r>
            <w:r>
              <w:t>，不排入地表水体。正常工况下项目废水不会对芒奇提河产生影响，但施工期间应严格管控，避免油料泄漏、土石方滑落等事故排放对河流造成污染。因此，本项目地表水环境保护目标为芒奇提河。</w:t>
            </w:r>
          </w:p>
          <w:p w14:paraId="48FACBF9">
            <w:r>
              <w:rPr>
                <w:rFonts w:hint="eastAsia"/>
              </w:rPr>
              <w:t>（3）地下水环境敏感目标调查</w:t>
            </w:r>
          </w:p>
          <w:p w14:paraId="586FF090">
            <w:r>
              <w:rPr>
                <w:rFonts w:hint="eastAsia"/>
              </w:rPr>
              <w:t>据现场调查，本项目勘查区地处山体区域，地势较高，周边无居民饮用水井及集中式地下水供水水源地，不涉及地下水水源保护区等敏感区域。因此，本项目无地下水环境敏感目标</w:t>
            </w:r>
            <w:r>
              <w:t>。</w:t>
            </w:r>
          </w:p>
          <w:p w14:paraId="596CBC1F">
            <w:pPr>
              <w:pStyle w:val="19"/>
            </w:pPr>
            <w:r>
              <w:t>5.9.3</w:t>
            </w:r>
            <w:r>
              <w:rPr>
                <w:rFonts w:hint="eastAsia"/>
              </w:rPr>
              <w:t>环境风险识别</w:t>
            </w:r>
          </w:p>
          <w:p w14:paraId="3B79DC1C">
            <w:r>
              <w:t>项目的风险识别主要从生产设施风险识别和生产过程所涉及的物质风险识别两方面着手。其中生产设施风险识别包括主要生产装置、贮运系统、公用工程系统、工程环保设施及辅助生产设施等；物质风险性识别包括生产中涉及的原辅材料、中间产品以及生产过程中排放的</w:t>
            </w:r>
            <w:r>
              <w:rPr>
                <w:rFonts w:hint="eastAsia"/>
              </w:rPr>
              <w:t>“</w:t>
            </w:r>
            <w:r>
              <w:t>三废</w:t>
            </w:r>
            <w:r>
              <w:rPr>
                <w:rFonts w:hint="eastAsia"/>
              </w:rPr>
              <w:t>”</w:t>
            </w:r>
            <w:r>
              <w:t>污染物等。</w:t>
            </w:r>
          </w:p>
          <w:p w14:paraId="4CFDF8C2">
            <w:r>
              <w:rPr>
                <w:rFonts w:hint="eastAsia"/>
              </w:rPr>
              <w:t>（1）风险物质识别</w:t>
            </w:r>
          </w:p>
          <w:p w14:paraId="463D1B78">
            <w:r>
              <w:rPr>
                <w:rFonts w:hint="eastAsia"/>
              </w:rPr>
              <w:t>根据对项目的原辅材料、中间产物和产品等进行分析，项目涉及的风险物质主要为废润滑油和柴油。</w:t>
            </w:r>
          </w:p>
          <w:p w14:paraId="3153A123">
            <w:r>
              <w:rPr>
                <w:rFonts w:hint="eastAsia"/>
              </w:rPr>
              <w:t>废润滑油和柴油</w:t>
            </w:r>
            <w:r>
              <w:t>的物化特性见表</w:t>
            </w:r>
            <w:r>
              <w:rPr>
                <w:rFonts w:hint="eastAsia"/>
              </w:rPr>
              <w:t>5-</w:t>
            </w:r>
            <w:r>
              <w:t>3所示。</w:t>
            </w:r>
          </w:p>
          <w:p w14:paraId="70598DAF">
            <w:pPr>
              <w:pStyle w:val="34"/>
              <w:spacing w:before="156"/>
              <w:rPr>
                <w:rFonts w:ascii="Times New Roman" w:hAnsi="Times New Roman"/>
                <w:bCs/>
                <w:kern w:val="2"/>
                <w:szCs w:val="21"/>
              </w:rPr>
            </w:pPr>
            <w:r>
              <w:rPr>
                <w:rFonts w:ascii="Times New Roman" w:hAnsi="Times New Roman"/>
                <w:bCs/>
                <w:kern w:val="2"/>
                <w:szCs w:val="21"/>
              </w:rPr>
              <w:t>表</w:t>
            </w:r>
            <w:r>
              <w:rPr>
                <w:rFonts w:hint="eastAsia" w:ascii="Times New Roman" w:hAnsi="Times New Roman"/>
                <w:bCs/>
                <w:kern w:val="2"/>
                <w:szCs w:val="21"/>
              </w:rPr>
              <w:t>5-</w:t>
            </w:r>
            <w:r>
              <w:rPr>
                <w:rFonts w:ascii="Times New Roman" w:hAnsi="Times New Roman"/>
                <w:bCs/>
                <w:kern w:val="2"/>
                <w:szCs w:val="21"/>
              </w:rPr>
              <w:t xml:space="preserve">3  </w:t>
            </w:r>
            <w:r>
              <w:rPr>
                <w:rFonts w:hint="eastAsia" w:ascii="Times New Roman" w:hAnsi="Times New Roman"/>
                <w:bCs/>
                <w:kern w:val="2"/>
                <w:szCs w:val="21"/>
              </w:rPr>
              <w:t>废润滑油</w:t>
            </w:r>
            <w:r>
              <w:rPr>
                <w:rFonts w:ascii="Times New Roman" w:hAnsi="Times New Roman"/>
                <w:bCs/>
                <w:kern w:val="2"/>
                <w:szCs w:val="21"/>
              </w:rPr>
              <w:t>物理化学特性表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17"/>
              <w:gridCol w:w="897"/>
              <w:gridCol w:w="975"/>
              <w:gridCol w:w="1128"/>
              <w:gridCol w:w="155"/>
              <w:gridCol w:w="579"/>
              <w:gridCol w:w="1719"/>
              <w:gridCol w:w="53"/>
              <w:gridCol w:w="82"/>
              <w:gridCol w:w="1654"/>
            </w:tblGrid>
            <w:tr w14:paraId="53FA0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33" w:type="pct"/>
                  <w:vMerge w:val="restart"/>
                  <w:vAlign w:val="center"/>
                </w:tcPr>
                <w:p w14:paraId="369D67D7">
                  <w:pPr>
                    <w:pStyle w:val="22"/>
                    <w:spacing w:after="0" w:line="240" w:lineRule="auto"/>
                    <w:ind w:firstLine="0" w:firstLineChars="0"/>
                    <w:jc w:val="center"/>
                    <w:rPr>
                      <w:szCs w:val="21"/>
                    </w:rPr>
                  </w:pPr>
                  <w:r>
                    <w:rPr>
                      <w:szCs w:val="21"/>
                    </w:rPr>
                    <w:t>标识</w:t>
                  </w:r>
                </w:p>
              </w:tc>
              <w:tc>
                <w:tcPr>
                  <w:tcW w:w="578" w:type="pct"/>
                  <w:vAlign w:val="center"/>
                </w:tcPr>
                <w:p w14:paraId="4FA560EC">
                  <w:pPr>
                    <w:pStyle w:val="22"/>
                    <w:spacing w:after="0" w:line="240" w:lineRule="auto"/>
                    <w:ind w:firstLine="0" w:firstLineChars="0"/>
                    <w:jc w:val="left"/>
                    <w:rPr>
                      <w:szCs w:val="21"/>
                    </w:rPr>
                  </w:pPr>
                  <w:r>
                    <w:rPr>
                      <w:szCs w:val="21"/>
                    </w:rPr>
                    <w:t>中文名</w:t>
                  </w:r>
                </w:p>
              </w:tc>
              <w:tc>
                <w:tcPr>
                  <w:tcW w:w="1455" w:type="pct"/>
                  <w:gridSpan w:val="3"/>
                  <w:vAlign w:val="center"/>
                </w:tcPr>
                <w:p w14:paraId="168411F5">
                  <w:pPr>
                    <w:pStyle w:val="22"/>
                    <w:spacing w:after="0" w:line="240" w:lineRule="auto"/>
                    <w:ind w:firstLine="0" w:firstLineChars="0"/>
                    <w:jc w:val="center"/>
                    <w:rPr>
                      <w:szCs w:val="21"/>
                    </w:rPr>
                  </w:pPr>
                  <w:r>
                    <w:rPr>
                      <w:rFonts w:hint="eastAsia"/>
                      <w:szCs w:val="21"/>
                    </w:rPr>
                    <w:t>废润滑油</w:t>
                  </w:r>
                </w:p>
              </w:tc>
              <w:tc>
                <w:tcPr>
                  <w:tcW w:w="1568" w:type="pct"/>
                  <w:gridSpan w:val="4"/>
                  <w:vAlign w:val="center"/>
                </w:tcPr>
                <w:p w14:paraId="63B19DC6">
                  <w:pPr>
                    <w:pStyle w:val="22"/>
                    <w:spacing w:after="0" w:line="240" w:lineRule="auto"/>
                    <w:ind w:firstLine="0" w:firstLineChars="0"/>
                    <w:jc w:val="center"/>
                    <w:rPr>
                      <w:szCs w:val="21"/>
                    </w:rPr>
                  </w:pPr>
                  <w:r>
                    <w:rPr>
                      <w:szCs w:val="21"/>
                    </w:rPr>
                    <w:t>危险货物编号</w:t>
                  </w:r>
                </w:p>
              </w:tc>
              <w:tc>
                <w:tcPr>
                  <w:tcW w:w="1067" w:type="pct"/>
                  <w:vAlign w:val="center"/>
                </w:tcPr>
                <w:p w14:paraId="2FFE907E">
                  <w:pPr>
                    <w:pStyle w:val="22"/>
                    <w:spacing w:after="0" w:line="240" w:lineRule="auto"/>
                    <w:ind w:firstLine="0" w:firstLineChars="0"/>
                    <w:jc w:val="center"/>
                    <w:rPr>
                      <w:szCs w:val="21"/>
                    </w:rPr>
                  </w:pPr>
                  <w:r>
                    <w:rPr>
                      <w:szCs w:val="21"/>
                    </w:rPr>
                    <w:t>/</w:t>
                  </w:r>
                </w:p>
              </w:tc>
            </w:tr>
            <w:tr w14:paraId="05C93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33" w:type="pct"/>
                  <w:vMerge w:val="continue"/>
                  <w:vAlign w:val="center"/>
                </w:tcPr>
                <w:p w14:paraId="3A689A09">
                  <w:pPr>
                    <w:pStyle w:val="22"/>
                    <w:spacing w:after="0" w:line="240" w:lineRule="auto"/>
                    <w:ind w:firstLine="0" w:firstLineChars="0"/>
                    <w:jc w:val="center"/>
                    <w:rPr>
                      <w:szCs w:val="21"/>
                    </w:rPr>
                  </w:pPr>
                </w:p>
              </w:tc>
              <w:tc>
                <w:tcPr>
                  <w:tcW w:w="578" w:type="pct"/>
                  <w:vAlign w:val="center"/>
                </w:tcPr>
                <w:p w14:paraId="59EA221C">
                  <w:pPr>
                    <w:pStyle w:val="22"/>
                    <w:spacing w:after="0" w:line="240" w:lineRule="auto"/>
                    <w:ind w:firstLine="0" w:firstLineChars="0"/>
                    <w:jc w:val="left"/>
                    <w:rPr>
                      <w:szCs w:val="21"/>
                    </w:rPr>
                  </w:pPr>
                  <w:r>
                    <w:rPr>
                      <w:szCs w:val="21"/>
                    </w:rPr>
                    <w:t>英文名</w:t>
                  </w:r>
                </w:p>
              </w:tc>
              <w:tc>
                <w:tcPr>
                  <w:tcW w:w="1455" w:type="pct"/>
                  <w:gridSpan w:val="3"/>
                  <w:vAlign w:val="center"/>
                </w:tcPr>
                <w:p w14:paraId="062B7A05">
                  <w:pPr>
                    <w:pStyle w:val="22"/>
                    <w:spacing w:after="0" w:line="240" w:lineRule="auto"/>
                    <w:ind w:firstLine="0" w:firstLineChars="0"/>
                    <w:jc w:val="center"/>
                    <w:rPr>
                      <w:szCs w:val="21"/>
                    </w:rPr>
                  </w:pPr>
                  <w:r>
                    <w:rPr>
                      <w:szCs w:val="21"/>
                    </w:rPr>
                    <w:t>Lubricatingoil；Lubeoil</w:t>
                  </w:r>
                </w:p>
              </w:tc>
              <w:tc>
                <w:tcPr>
                  <w:tcW w:w="1568" w:type="pct"/>
                  <w:gridSpan w:val="4"/>
                  <w:vAlign w:val="center"/>
                </w:tcPr>
                <w:p w14:paraId="4CF4D03B">
                  <w:pPr>
                    <w:pStyle w:val="22"/>
                    <w:spacing w:after="0" w:line="240" w:lineRule="auto"/>
                    <w:ind w:firstLine="0" w:firstLineChars="0"/>
                    <w:jc w:val="center"/>
                    <w:rPr>
                      <w:szCs w:val="21"/>
                    </w:rPr>
                  </w:pPr>
                  <w:r>
                    <w:rPr>
                      <w:szCs w:val="21"/>
                    </w:rPr>
                    <w:t>CAS编号</w:t>
                  </w:r>
                </w:p>
              </w:tc>
              <w:tc>
                <w:tcPr>
                  <w:tcW w:w="1067" w:type="pct"/>
                  <w:vAlign w:val="center"/>
                </w:tcPr>
                <w:p w14:paraId="66E54D09">
                  <w:pPr>
                    <w:pStyle w:val="22"/>
                    <w:spacing w:after="0" w:line="240" w:lineRule="auto"/>
                    <w:ind w:firstLine="0" w:firstLineChars="0"/>
                    <w:jc w:val="center"/>
                    <w:rPr>
                      <w:szCs w:val="21"/>
                    </w:rPr>
                  </w:pPr>
                  <w:r>
                    <w:rPr>
                      <w:szCs w:val="21"/>
                    </w:rPr>
                    <w:t>64742-50-3</w:t>
                  </w:r>
                </w:p>
              </w:tc>
            </w:tr>
            <w:tr w14:paraId="05D3D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24" w:hRule="atLeast"/>
                <w:jc w:val="center"/>
              </w:trPr>
              <w:tc>
                <w:tcPr>
                  <w:tcW w:w="333" w:type="pct"/>
                  <w:vMerge w:val="restart"/>
                  <w:vAlign w:val="center"/>
                </w:tcPr>
                <w:p w14:paraId="136E6BAC">
                  <w:pPr>
                    <w:pStyle w:val="22"/>
                    <w:spacing w:after="0" w:line="240" w:lineRule="auto"/>
                    <w:ind w:firstLine="0" w:firstLineChars="0"/>
                    <w:jc w:val="center"/>
                    <w:rPr>
                      <w:szCs w:val="21"/>
                    </w:rPr>
                  </w:pPr>
                  <w:r>
                    <w:rPr>
                      <w:szCs w:val="21"/>
                    </w:rPr>
                    <w:t>理化性质</w:t>
                  </w:r>
                </w:p>
              </w:tc>
              <w:tc>
                <w:tcPr>
                  <w:tcW w:w="578" w:type="pct"/>
                  <w:vAlign w:val="center"/>
                </w:tcPr>
                <w:p w14:paraId="0E2561CE">
                  <w:pPr>
                    <w:pStyle w:val="22"/>
                    <w:spacing w:after="0" w:line="240" w:lineRule="auto"/>
                    <w:ind w:firstLine="0" w:firstLineChars="0"/>
                    <w:jc w:val="left"/>
                    <w:rPr>
                      <w:szCs w:val="21"/>
                    </w:rPr>
                  </w:pPr>
                  <w:r>
                    <w:rPr>
                      <w:szCs w:val="21"/>
                    </w:rPr>
                    <w:t>性状</w:t>
                  </w:r>
                </w:p>
              </w:tc>
              <w:tc>
                <w:tcPr>
                  <w:tcW w:w="4090" w:type="pct"/>
                  <w:gridSpan w:val="8"/>
                  <w:vAlign w:val="center"/>
                </w:tcPr>
                <w:p w14:paraId="4B25D7C7">
                  <w:pPr>
                    <w:pStyle w:val="22"/>
                    <w:spacing w:after="0" w:line="240" w:lineRule="auto"/>
                    <w:ind w:firstLine="0" w:firstLineChars="0"/>
                    <w:jc w:val="center"/>
                    <w:rPr>
                      <w:szCs w:val="21"/>
                    </w:rPr>
                  </w:pPr>
                  <w:r>
                    <w:rPr>
                      <w:rFonts w:hint="eastAsia"/>
                      <w:szCs w:val="21"/>
                    </w:rPr>
                    <w:t>油状液体，淡黄色至棕褐色，有特殊气味。久置后颜色变深、黏度增大</w:t>
                  </w:r>
                </w:p>
              </w:tc>
            </w:tr>
            <w:tr w14:paraId="48EF3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33" w:type="pct"/>
                  <w:vMerge w:val="continue"/>
                  <w:vAlign w:val="center"/>
                </w:tcPr>
                <w:p w14:paraId="2A572055">
                  <w:pPr>
                    <w:pStyle w:val="22"/>
                    <w:spacing w:after="0" w:line="240" w:lineRule="auto"/>
                    <w:ind w:firstLine="0" w:firstLineChars="0"/>
                    <w:jc w:val="center"/>
                    <w:rPr>
                      <w:szCs w:val="21"/>
                    </w:rPr>
                  </w:pPr>
                </w:p>
              </w:tc>
              <w:tc>
                <w:tcPr>
                  <w:tcW w:w="578" w:type="pct"/>
                  <w:vAlign w:val="center"/>
                </w:tcPr>
                <w:p w14:paraId="6B802F13">
                  <w:pPr>
                    <w:pStyle w:val="22"/>
                    <w:spacing w:after="0" w:line="240" w:lineRule="auto"/>
                    <w:ind w:firstLine="0" w:firstLineChars="0"/>
                    <w:jc w:val="left"/>
                    <w:rPr>
                      <w:szCs w:val="21"/>
                    </w:rPr>
                  </w:pPr>
                  <w:r>
                    <w:rPr>
                      <w:szCs w:val="21"/>
                    </w:rPr>
                    <w:t>溶解性</w:t>
                  </w:r>
                </w:p>
              </w:tc>
              <w:tc>
                <w:tcPr>
                  <w:tcW w:w="1355" w:type="pct"/>
                  <w:gridSpan w:val="2"/>
                  <w:vAlign w:val="center"/>
                </w:tcPr>
                <w:p w14:paraId="2F9ACFB5">
                  <w:pPr>
                    <w:pStyle w:val="22"/>
                    <w:spacing w:after="0" w:line="240" w:lineRule="auto"/>
                    <w:ind w:firstLine="0" w:firstLineChars="0"/>
                    <w:jc w:val="center"/>
                    <w:rPr>
                      <w:szCs w:val="21"/>
                    </w:rPr>
                  </w:pPr>
                  <w:r>
                    <w:rPr>
                      <w:szCs w:val="21"/>
                    </w:rPr>
                    <w:t>不溶于水</w:t>
                  </w:r>
                </w:p>
              </w:tc>
              <w:tc>
                <w:tcPr>
                  <w:tcW w:w="1581" w:type="pct"/>
                  <w:gridSpan w:val="3"/>
                  <w:vAlign w:val="center"/>
                </w:tcPr>
                <w:p w14:paraId="611F2A7E">
                  <w:pPr>
                    <w:pStyle w:val="22"/>
                    <w:spacing w:after="0" w:line="240" w:lineRule="auto"/>
                    <w:ind w:firstLine="0" w:firstLineChars="0"/>
                    <w:jc w:val="center"/>
                    <w:rPr>
                      <w:szCs w:val="21"/>
                    </w:rPr>
                  </w:pPr>
                  <w:r>
                    <w:rPr>
                      <w:szCs w:val="21"/>
                    </w:rPr>
                    <w:t>相对密度（水=1）</w:t>
                  </w:r>
                </w:p>
              </w:tc>
              <w:tc>
                <w:tcPr>
                  <w:tcW w:w="1154" w:type="pct"/>
                  <w:gridSpan w:val="3"/>
                  <w:vAlign w:val="center"/>
                </w:tcPr>
                <w:p w14:paraId="03AE1884">
                  <w:pPr>
                    <w:pStyle w:val="22"/>
                    <w:tabs>
                      <w:tab w:val="left" w:pos="0"/>
                    </w:tabs>
                    <w:spacing w:after="0" w:line="240" w:lineRule="auto"/>
                    <w:ind w:firstLine="0" w:firstLineChars="0"/>
                    <w:rPr>
                      <w:szCs w:val="21"/>
                    </w:rPr>
                  </w:pPr>
                  <w:r>
                    <w:rPr>
                      <w:szCs w:val="21"/>
                    </w:rPr>
                    <w:t>0.85~0.95（＜1）</w:t>
                  </w:r>
                </w:p>
              </w:tc>
            </w:tr>
            <w:tr w14:paraId="28188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33" w:type="pct"/>
                  <w:vMerge w:val="continue"/>
                  <w:vAlign w:val="center"/>
                </w:tcPr>
                <w:p w14:paraId="1B8F14E5">
                  <w:pPr>
                    <w:pStyle w:val="22"/>
                    <w:spacing w:after="0" w:line="240" w:lineRule="auto"/>
                    <w:ind w:firstLine="0" w:firstLineChars="0"/>
                    <w:jc w:val="center"/>
                    <w:rPr>
                      <w:szCs w:val="21"/>
                    </w:rPr>
                  </w:pPr>
                </w:p>
              </w:tc>
              <w:tc>
                <w:tcPr>
                  <w:tcW w:w="4667" w:type="pct"/>
                  <w:gridSpan w:val="9"/>
                  <w:vAlign w:val="center"/>
                </w:tcPr>
                <w:p w14:paraId="5B215075">
                  <w:pPr>
                    <w:pStyle w:val="22"/>
                    <w:spacing w:after="0" w:line="240" w:lineRule="auto"/>
                    <w:ind w:firstLine="0" w:firstLineChars="0"/>
                    <w:jc w:val="left"/>
                    <w:rPr>
                      <w:szCs w:val="21"/>
                    </w:rPr>
                  </w:pPr>
                  <w:r>
                    <w:rPr>
                      <w:rFonts w:hint="eastAsia"/>
                      <w:szCs w:val="21"/>
                    </w:rPr>
                    <w:t>链长不等的烃类混合物（主要为C15-C36烷烃、环烷烃、芳烃等饱和烃）</w:t>
                  </w:r>
                </w:p>
              </w:tc>
            </w:tr>
            <w:tr w14:paraId="4FF62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33" w:type="pct"/>
                  <w:vMerge w:val="restart"/>
                  <w:vAlign w:val="center"/>
                </w:tcPr>
                <w:p w14:paraId="50CCDEC4">
                  <w:pPr>
                    <w:pStyle w:val="22"/>
                    <w:spacing w:after="0" w:line="240" w:lineRule="auto"/>
                    <w:ind w:firstLine="0" w:firstLineChars="0"/>
                    <w:jc w:val="center"/>
                    <w:rPr>
                      <w:szCs w:val="21"/>
                    </w:rPr>
                  </w:pPr>
                  <w:r>
                    <w:rPr>
                      <w:szCs w:val="21"/>
                    </w:rPr>
                    <w:t>燃烧爆炸危险性</w:t>
                  </w:r>
                </w:p>
              </w:tc>
              <w:tc>
                <w:tcPr>
                  <w:tcW w:w="1206" w:type="pct"/>
                  <w:gridSpan w:val="2"/>
                  <w:vAlign w:val="center"/>
                </w:tcPr>
                <w:p w14:paraId="5E8AD407">
                  <w:pPr>
                    <w:pStyle w:val="22"/>
                    <w:spacing w:after="0" w:line="240" w:lineRule="auto"/>
                    <w:ind w:firstLine="0" w:firstLineChars="0"/>
                    <w:jc w:val="left"/>
                    <w:rPr>
                      <w:szCs w:val="21"/>
                    </w:rPr>
                  </w:pPr>
                  <w:r>
                    <w:rPr>
                      <w:szCs w:val="21"/>
                    </w:rPr>
                    <w:t>燃烧性</w:t>
                  </w:r>
                </w:p>
              </w:tc>
              <w:tc>
                <w:tcPr>
                  <w:tcW w:w="1200" w:type="pct"/>
                  <w:gridSpan w:val="3"/>
                  <w:vAlign w:val="center"/>
                </w:tcPr>
                <w:p w14:paraId="0EF4EDAF">
                  <w:pPr>
                    <w:pStyle w:val="22"/>
                    <w:spacing w:after="0" w:line="240" w:lineRule="auto"/>
                    <w:ind w:firstLine="0" w:firstLineChars="0"/>
                    <w:jc w:val="center"/>
                    <w:rPr>
                      <w:szCs w:val="21"/>
                    </w:rPr>
                  </w:pPr>
                  <w:r>
                    <w:rPr>
                      <w:szCs w:val="21"/>
                    </w:rPr>
                    <w:t>可燃</w:t>
                  </w:r>
                </w:p>
              </w:tc>
              <w:tc>
                <w:tcPr>
                  <w:tcW w:w="1142" w:type="pct"/>
                  <w:gridSpan w:val="2"/>
                  <w:vAlign w:val="center"/>
                </w:tcPr>
                <w:p w14:paraId="654EFD95">
                  <w:pPr>
                    <w:pStyle w:val="22"/>
                    <w:spacing w:after="0" w:line="240" w:lineRule="auto"/>
                    <w:ind w:firstLine="0" w:firstLineChars="0"/>
                    <w:jc w:val="center"/>
                    <w:rPr>
                      <w:szCs w:val="21"/>
                    </w:rPr>
                  </w:pPr>
                  <w:r>
                    <w:rPr>
                      <w:rFonts w:hint="eastAsia"/>
                      <w:szCs w:val="21"/>
                    </w:rPr>
                    <w:t>闪</w:t>
                  </w:r>
                  <w:r>
                    <w:rPr>
                      <w:szCs w:val="21"/>
                    </w:rPr>
                    <w:t>点（℃）</w:t>
                  </w:r>
                </w:p>
              </w:tc>
              <w:tc>
                <w:tcPr>
                  <w:tcW w:w="1120" w:type="pct"/>
                  <w:gridSpan w:val="2"/>
                  <w:vAlign w:val="center"/>
                </w:tcPr>
                <w:p w14:paraId="22632103">
                  <w:pPr>
                    <w:pStyle w:val="22"/>
                    <w:spacing w:after="0" w:line="240" w:lineRule="auto"/>
                    <w:ind w:firstLineChars="0"/>
                    <w:jc w:val="center"/>
                    <w:rPr>
                      <w:szCs w:val="21"/>
                    </w:rPr>
                  </w:pPr>
                </w:p>
              </w:tc>
            </w:tr>
            <w:tr w14:paraId="3E5C1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24" w:hRule="atLeast"/>
                <w:jc w:val="center"/>
              </w:trPr>
              <w:tc>
                <w:tcPr>
                  <w:tcW w:w="333" w:type="pct"/>
                  <w:vMerge w:val="continue"/>
                  <w:vAlign w:val="center"/>
                </w:tcPr>
                <w:p w14:paraId="317A1AF1">
                  <w:pPr>
                    <w:pStyle w:val="22"/>
                    <w:numPr>
                      <w:ilvl w:val="0"/>
                      <w:numId w:val="4"/>
                    </w:numPr>
                    <w:kinsoku w:val="0"/>
                    <w:autoSpaceDE w:val="0"/>
                    <w:autoSpaceDN w:val="0"/>
                    <w:adjustRightInd w:val="0"/>
                    <w:snapToGrid w:val="0"/>
                    <w:spacing w:after="0" w:line="240" w:lineRule="auto"/>
                    <w:ind w:firstLine="420"/>
                    <w:jc w:val="left"/>
                    <w:textAlignment w:val="baseline"/>
                    <w:rPr>
                      <w:szCs w:val="21"/>
                    </w:rPr>
                  </w:pPr>
                </w:p>
              </w:tc>
              <w:tc>
                <w:tcPr>
                  <w:tcW w:w="1206" w:type="pct"/>
                  <w:gridSpan w:val="2"/>
                  <w:vAlign w:val="center"/>
                </w:tcPr>
                <w:p w14:paraId="3468699E">
                  <w:pPr>
                    <w:pStyle w:val="22"/>
                    <w:spacing w:after="0" w:line="240" w:lineRule="auto"/>
                    <w:ind w:firstLine="0" w:firstLineChars="0"/>
                    <w:jc w:val="left"/>
                    <w:rPr>
                      <w:szCs w:val="21"/>
                    </w:rPr>
                  </w:pPr>
                  <w:r>
                    <w:rPr>
                      <w:szCs w:val="21"/>
                    </w:rPr>
                    <w:t>爆炸极限（%）</w:t>
                  </w:r>
                </w:p>
              </w:tc>
              <w:tc>
                <w:tcPr>
                  <w:tcW w:w="1200" w:type="pct"/>
                  <w:gridSpan w:val="3"/>
                  <w:vAlign w:val="center"/>
                </w:tcPr>
                <w:p w14:paraId="24A8929D">
                  <w:pPr>
                    <w:pStyle w:val="22"/>
                    <w:spacing w:after="0" w:line="240" w:lineRule="auto"/>
                    <w:ind w:firstLine="0" w:firstLineChars="0"/>
                    <w:jc w:val="center"/>
                    <w:rPr>
                      <w:szCs w:val="21"/>
                    </w:rPr>
                  </w:pPr>
                  <w:r>
                    <w:rPr>
                      <w:szCs w:val="21"/>
                    </w:rPr>
                    <w:t>无资料</w:t>
                  </w:r>
                </w:p>
              </w:tc>
              <w:tc>
                <w:tcPr>
                  <w:tcW w:w="1142" w:type="pct"/>
                  <w:gridSpan w:val="2"/>
                  <w:vAlign w:val="center"/>
                </w:tcPr>
                <w:p w14:paraId="720D5E0F">
                  <w:pPr>
                    <w:pStyle w:val="22"/>
                    <w:spacing w:after="0" w:line="240" w:lineRule="auto"/>
                    <w:ind w:firstLine="0" w:firstLineChars="0"/>
                    <w:jc w:val="center"/>
                    <w:rPr>
                      <w:szCs w:val="21"/>
                    </w:rPr>
                  </w:pPr>
                  <w:r>
                    <w:rPr>
                      <w:szCs w:val="21"/>
                    </w:rPr>
                    <w:t>最小点火能（MJ）</w:t>
                  </w:r>
                </w:p>
              </w:tc>
              <w:tc>
                <w:tcPr>
                  <w:tcW w:w="1120" w:type="pct"/>
                  <w:gridSpan w:val="2"/>
                  <w:vAlign w:val="center"/>
                </w:tcPr>
                <w:p w14:paraId="05DE5B2A">
                  <w:pPr>
                    <w:pStyle w:val="22"/>
                    <w:spacing w:after="0" w:line="240" w:lineRule="auto"/>
                    <w:ind w:firstLine="0" w:firstLineChars="0"/>
                    <w:jc w:val="center"/>
                    <w:rPr>
                      <w:szCs w:val="21"/>
                    </w:rPr>
                  </w:pPr>
                  <w:r>
                    <w:rPr>
                      <w:szCs w:val="21"/>
                    </w:rPr>
                    <w:t>无资料</w:t>
                  </w:r>
                </w:p>
              </w:tc>
            </w:tr>
            <w:tr w14:paraId="0C1FD5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33" w:type="pct"/>
                  <w:vMerge w:val="continue"/>
                  <w:vAlign w:val="center"/>
                </w:tcPr>
                <w:p w14:paraId="6E989F2C">
                  <w:pPr>
                    <w:pStyle w:val="22"/>
                    <w:numPr>
                      <w:ilvl w:val="0"/>
                      <w:numId w:val="4"/>
                    </w:numPr>
                    <w:kinsoku w:val="0"/>
                    <w:autoSpaceDE w:val="0"/>
                    <w:autoSpaceDN w:val="0"/>
                    <w:adjustRightInd w:val="0"/>
                    <w:snapToGrid w:val="0"/>
                    <w:spacing w:after="0" w:line="240" w:lineRule="auto"/>
                    <w:ind w:firstLine="420"/>
                    <w:jc w:val="left"/>
                    <w:textAlignment w:val="baseline"/>
                    <w:rPr>
                      <w:szCs w:val="21"/>
                    </w:rPr>
                  </w:pPr>
                </w:p>
              </w:tc>
              <w:tc>
                <w:tcPr>
                  <w:tcW w:w="1206" w:type="pct"/>
                  <w:gridSpan w:val="2"/>
                  <w:vAlign w:val="center"/>
                </w:tcPr>
                <w:p w14:paraId="701F3D5D">
                  <w:pPr>
                    <w:pStyle w:val="22"/>
                    <w:spacing w:after="0" w:line="240" w:lineRule="auto"/>
                    <w:ind w:firstLine="0" w:firstLineChars="0"/>
                    <w:jc w:val="left"/>
                    <w:rPr>
                      <w:szCs w:val="21"/>
                    </w:rPr>
                  </w:pPr>
                  <w:r>
                    <w:rPr>
                      <w:szCs w:val="21"/>
                    </w:rPr>
                    <w:t>危险特性</w:t>
                  </w:r>
                </w:p>
              </w:tc>
              <w:tc>
                <w:tcPr>
                  <w:tcW w:w="3462" w:type="pct"/>
                  <w:gridSpan w:val="7"/>
                  <w:vAlign w:val="center"/>
                </w:tcPr>
                <w:p w14:paraId="798205A7">
                  <w:pPr>
                    <w:pStyle w:val="22"/>
                    <w:spacing w:after="0" w:line="240" w:lineRule="auto"/>
                    <w:ind w:firstLine="0" w:firstLineChars="0"/>
                    <w:jc w:val="center"/>
                    <w:rPr>
                      <w:szCs w:val="21"/>
                    </w:rPr>
                  </w:pPr>
                  <w:r>
                    <w:rPr>
                      <w:szCs w:val="21"/>
                    </w:rPr>
                    <w:t>遇明火、高热可燃</w:t>
                  </w:r>
                </w:p>
              </w:tc>
            </w:tr>
            <w:tr w14:paraId="19637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333" w:type="pct"/>
                  <w:vMerge w:val="continue"/>
                  <w:vAlign w:val="center"/>
                </w:tcPr>
                <w:p w14:paraId="3C3C1CAC">
                  <w:pPr>
                    <w:pStyle w:val="22"/>
                    <w:numPr>
                      <w:ilvl w:val="0"/>
                      <w:numId w:val="4"/>
                    </w:numPr>
                    <w:kinsoku w:val="0"/>
                    <w:autoSpaceDE w:val="0"/>
                    <w:autoSpaceDN w:val="0"/>
                    <w:adjustRightInd w:val="0"/>
                    <w:snapToGrid w:val="0"/>
                    <w:spacing w:after="0" w:line="240" w:lineRule="auto"/>
                    <w:ind w:firstLine="420"/>
                    <w:jc w:val="left"/>
                    <w:textAlignment w:val="baseline"/>
                    <w:rPr>
                      <w:szCs w:val="21"/>
                    </w:rPr>
                  </w:pPr>
                </w:p>
              </w:tc>
              <w:tc>
                <w:tcPr>
                  <w:tcW w:w="578" w:type="pct"/>
                  <w:vAlign w:val="center"/>
                </w:tcPr>
                <w:p w14:paraId="6924D5FD">
                  <w:pPr>
                    <w:pStyle w:val="22"/>
                    <w:spacing w:after="0" w:line="240" w:lineRule="auto"/>
                    <w:ind w:firstLine="0" w:firstLineChars="0"/>
                    <w:jc w:val="center"/>
                    <w:rPr>
                      <w:szCs w:val="21"/>
                    </w:rPr>
                  </w:pPr>
                  <w:r>
                    <w:rPr>
                      <w:szCs w:val="21"/>
                    </w:rPr>
                    <w:t>灭火方法</w:t>
                  </w:r>
                </w:p>
              </w:tc>
              <w:tc>
                <w:tcPr>
                  <w:tcW w:w="4090" w:type="pct"/>
                  <w:gridSpan w:val="8"/>
                  <w:vAlign w:val="center"/>
                </w:tcPr>
                <w:p w14:paraId="45322D24">
                  <w:pPr>
                    <w:pStyle w:val="22"/>
                    <w:spacing w:after="0" w:line="240" w:lineRule="auto"/>
                    <w:ind w:firstLine="0" w:firstLineChars="0"/>
                    <w:jc w:val="left"/>
                    <w:rPr>
                      <w:szCs w:val="21"/>
                    </w:rPr>
                  </w:pPr>
                  <w:r>
                    <w:rPr>
                      <w:szCs w:val="21"/>
                    </w:rPr>
                    <w:t>消防人员须佩戴防毒面具、穿全身消防服，在上风向灭火。尽可能将容器从火场移至空旷处。喷水保持火场容器冷却，直至灭火结束。处在火场中的容器若已变色或从安全泄压装置中产生声音，必须马上撤离。</w:t>
                  </w:r>
                </w:p>
                <w:p w14:paraId="30FA9CF0">
                  <w:pPr>
                    <w:pStyle w:val="22"/>
                    <w:spacing w:after="0" w:line="240" w:lineRule="auto"/>
                    <w:ind w:firstLine="0" w:firstLineChars="0"/>
                    <w:jc w:val="left"/>
                    <w:rPr>
                      <w:szCs w:val="21"/>
                    </w:rPr>
                  </w:pPr>
                  <w:r>
                    <w:rPr>
                      <w:szCs w:val="21"/>
                    </w:rPr>
                    <w:t>灭火剂</w:t>
                  </w:r>
                  <w:r>
                    <w:rPr>
                      <w:rFonts w:hint="eastAsia"/>
                      <w:szCs w:val="21"/>
                    </w:rPr>
                    <w:t>：</w:t>
                  </w:r>
                  <w:r>
                    <w:rPr>
                      <w:szCs w:val="21"/>
                    </w:rPr>
                    <w:t>雾状水、泡沫、干粉、二氧化碳、砂土。</w:t>
                  </w:r>
                </w:p>
              </w:tc>
            </w:tr>
            <w:tr w14:paraId="70FA6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33" w:type="pct"/>
                  <w:vMerge w:val="continue"/>
                  <w:vAlign w:val="center"/>
                </w:tcPr>
                <w:p w14:paraId="18810A10">
                  <w:pPr>
                    <w:pStyle w:val="22"/>
                    <w:numPr>
                      <w:ilvl w:val="0"/>
                      <w:numId w:val="4"/>
                    </w:numPr>
                    <w:kinsoku w:val="0"/>
                    <w:autoSpaceDE w:val="0"/>
                    <w:autoSpaceDN w:val="0"/>
                    <w:adjustRightInd w:val="0"/>
                    <w:snapToGrid w:val="0"/>
                    <w:spacing w:after="0" w:line="240" w:lineRule="auto"/>
                    <w:ind w:firstLine="420"/>
                    <w:jc w:val="left"/>
                    <w:textAlignment w:val="baseline"/>
                    <w:rPr>
                      <w:szCs w:val="21"/>
                    </w:rPr>
                  </w:pPr>
                </w:p>
              </w:tc>
              <w:tc>
                <w:tcPr>
                  <w:tcW w:w="578" w:type="pct"/>
                  <w:vAlign w:val="center"/>
                </w:tcPr>
                <w:p w14:paraId="296BC8C7">
                  <w:pPr>
                    <w:pStyle w:val="22"/>
                    <w:spacing w:after="0" w:line="240" w:lineRule="auto"/>
                    <w:ind w:firstLine="0" w:firstLineChars="0"/>
                    <w:jc w:val="center"/>
                    <w:rPr>
                      <w:szCs w:val="21"/>
                    </w:rPr>
                  </w:pPr>
                  <w:r>
                    <w:rPr>
                      <w:szCs w:val="21"/>
                    </w:rPr>
                    <w:t>燃烧产物</w:t>
                  </w:r>
                </w:p>
              </w:tc>
              <w:tc>
                <w:tcPr>
                  <w:tcW w:w="1828" w:type="pct"/>
                  <w:gridSpan w:val="4"/>
                  <w:vAlign w:val="center"/>
                </w:tcPr>
                <w:p w14:paraId="27024047">
                  <w:pPr>
                    <w:pStyle w:val="22"/>
                    <w:spacing w:after="0" w:line="240" w:lineRule="auto"/>
                    <w:ind w:firstLine="0" w:firstLineChars="0"/>
                    <w:jc w:val="center"/>
                    <w:rPr>
                      <w:szCs w:val="21"/>
                    </w:rPr>
                  </w:pPr>
                  <w:r>
                    <w:rPr>
                      <w:szCs w:val="21"/>
                    </w:rPr>
                    <w:t>一氧化碳、二氧化碳</w:t>
                  </w:r>
                </w:p>
              </w:tc>
              <w:tc>
                <w:tcPr>
                  <w:tcW w:w="1108" w:type="pct"/>
                  <w:vAlign w:val="center"/>
                </w:tcPr>
                <w:p w14:paraId="1C68B04C">
                  <w:pPr>
                    <w:pStyle w:val="22"/>
                    <w:spacing w:after="0" w:line="240" w:lineRule="auto"/>
                    <w:ind w:firstLine="0" w:firstLineChars="0"/>
                    <w:jc w:val="center"/>
                    <w:rPr>
                      <w:szCs w:val="21"/>
                    </w:rPr>
                  </w:pPr>
                  <w:r>
                    <w:rPr>
                      <w:szCs w:val="21"/>
                    </w:rPr>
                    <w:t>聚合危害</w:t>
                  </w:r>
                </w:p>
              </w:tc>
              <w:tc>
                <w:tcPr>
                  <w:tcW w:w="1154" w:type="pct"/>
                  <w:gridSpan w:val="3"/>
                  <w:vAlign w:val="center"/>
                </w:tcPr>
                <w:p w14:paraId="7740188A">
                  <w:pPr>
                    <w:pStyle w:val="22"/>
                    <w:spacing w:after="0" w:line="240" w:lineRule="auto"/>
                    <w:ind w:firstLine="0" w:firstLineChars="0"/>
                    <w:jc w:val="center"/>
                    <w:rPr>
                      <w:szCs w:val="21"/>
                    </w:rPr>
                  </w:pPr>
                  <w:r>
                    <w:rPr>
                      <w:szCs w:val="21"/>
                    </w:rPr>
                    <w:t>不聚合</w:t>
                  </w:r>
                </w:p>
              </w:tc>
            </w:tr>
            <w:tr w14:paraId="06704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33" w:type="pct"/>
                  <w:vMerge w:val="restart"/>
                  <w:vAlign w:val="center"/>
                </w:tcPr>
                <w:p w14:paraId="51D5BBBF">
                  <w:pPr>
                    <w:pStyle w:val="22"/>
                    <w:spacing w:after="0" w:line="240" w:lineRule="auto"/>
                    <w:ind w:firstLine="0" w:firstLineChars="0"/>
                    <w:jc w:val="center"/>
                    <w:rPr>
                      <w:szCs w:val="21"/>
                    </w:rPr>
                  </w:pPr>
                  <w:r>
                    <w:rPr>
                      <w:szCs w:val="21"/>
                    </w:rPr>
                    <w:t>健康危害</w:t>
                  </w:r>
                </w:p>
              </w:tc>
              <w:tc>
                <w:tcPr>
                  <w:tcW w:w="578" w:type="pct"/>
                  <w:vAlign w:val="center"/>
                </w:tcPr>
                <w:p w14:paraId="0F906E39">
                  <w:pPr>
                    <w:pStyle w:val="22"/>
                    <w:spacing w:after="0" w:line="240" w:lineRule="auto"/>
                    <w:ind w:firstLine="0" w:firstLineChars="0"/>
                    <w:jc w:val="center"/>
                    <w:rPr>
                      <w:szCs w:val="21"/>
                    </w:rPr>
                  </w:pPr>
                  <w:r>
                    <w:rPr>
                      <w:szCs w:val="21"/>
                    </w:rPr>
                    <w:t>危险特性</w:t>
                  </w:r>
                </w:p>
              </w:tc>
              <w:tc>
                <w:tcPr>
                  <w:tcW w:w="4090" w:type="pct"/>
                  <w:gridSpan w:val="8"/>
                  <w:vAlign w:val="center"/>
                </w:tcPr>
                <w:p w14:paraId="32E14066">
                  <w:pPr>
                    <w:pStyle w:val="22"/>
                    <w:spacing w:after="0" w:line="240" w:lineRule="auto"/>
                    <w:ind w:firstLine="0" w:firstLineChars="0"/>
                    <w:rPr>
                      <w:szCs w:val="21"/>
                    </w:rPr>
                  </w:pPr>
                  <w:r>
                    <w:rPr>
                      <w:rFonts w:hint="eastAsia" w:ascii="宋体" w:hAnsi="宋体" w:cs="宋体"/>
                      <w:szCs w:val="21"/>
                    </w:rPr>
                    <w:t>①</w:t>
                  </w:r>
                  <w:r>
                    <w:rPr>
                      <w:szCs w:val="21"/>
                    </w:rPr>
                    <w:t>可通过呼吸道和皮肤进入肌体，导致中毒及其他并发症</w:t>
                  </w:r>
                  <w:r>
                    <w:rPr>
                      <w:rFonts w:hint="eastAsia" w:ascii="宋体" w:hAnsi="宋体" w:cs="宋体"/>
                      <w:szCs w:val="21"/>
                    </w:rPr>
                    <w:t>②</w:t>
                  </w:r>
                  <w:r>
                    <w:rPr>
                      <w:szCs w:val="21"/>
                    </w:rPr>
                    <w:t>易燃</w:t>
                  </w:r>
                </w:p>
              </w:tc>
            </w:tr>
            <w:tr w14:paraId="5A3A62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333" w:type="pct"/>
                  <w:vMerge w:val="continue"/>
                  <w:vAlign w:val="center"/>
                </w:tcPr>
                <w:p w14:paraId="1D13A4F5">
                  <w:pPr>
                    <w:pStyle w:val="22"/>
                    <w:numPr>
                      <w:ilvl w:val="0"/>
                      <w:numId w:val="4"/>
                    </w:numPr>
                    <w:kinsoku w:val="0"/>
                    <w:autoSpaceDE w:val="0"/>
                    <w:autoSpaceDN w:val="0"/>
                    <w:adjustRightInd w:val="0"/>
                    <w:snapToGrid w:val="0"/>
                    <w:spacing w:after="0" w:line="240" w:lineRule="auto"/>
                    <w:ind w:firstLine="420"/>
                    <w:jc w:val="left"/>
                    <w:textAlignment w:val="baseline"/>
                    <w:rPr>
                      <w:szCs w:val="21"/>
                    </w:rPr>
                  </w:pPr>
                </w:p>
              </w:tc>
              <w:tc>
                <w:tcPr>
                  <w:tcW w:w="578" w:type="pct"/>
                  <w:vAlign w:val="center"/>
                </w:tcPr>
                <w:p w14:paraId="15AC0992">
                  <w:pPr>
                    <w:pStyle w:val="22"/>
                    <w:spacing w:after="0" w:line="240" w:lineRule="auto"/>
                    <w:ind w:firstLine="0" w:firstLineChars="0"/>
                    <w:jc w:val="center"/>
                    <w:rPr>
                      <w:szCs w:val="21"/>
                    </w:rPr>
                  </w:pPr>
                  <w:r>
                    <w:rPr>
                      <w:szCs w:val="21"/>
                    </w:rPr>
                    <w:t>健康危害</w:t>
                  </w:r>
                </w:p>
              </w:tc>
              <w:tc>
                <w:tcPr>
                  <w:tcW w:w="4090" w:type="pct"/>
                  <w:gridSpan w:val="8"/>
                  <w:vAlign w:val="center"/>
                </w:tcPr>
                <w:p w14:paraId="03F7F338">
                  <w:pPr>
                    <w:pStyle w:val="22"/>
                    <w:spacing w:after="0" w:line="240" w:lineRule="auto"/>
                    <w:ind w:firstLine="0" w:firstLineChars="0"/>
                    <w:rPr>
                      <w:szCs w:val="21"/>
                    </w:rPr>
                  </w:pPr>
                  <w:r>
                    <w:rPr>
                      <w:rFonts w:hint="eastAsia" w:ascii="宋体" w:hAnsi="宋体" w:cs="宋体"/>
                      <w:szCs w:val="21"/>
                    </w:rPr>
                    <w:t>①</w:t>
                  </w:r>
                  <w:r>
                    <w:rPr>
                      <w:szCs w:val="21"/>
                    </w:rPr>
                    <w:t>高浓度吸入废矿物油蒸气引起急性中毒，表现为中毒性脑病，出现精神症状、意识障碍。极高浓度吸入引起意识突然丧失、反射性呼吸停止。误将废矿物油吸入呼吸道可引起吸入性肺炎。</w:t>
                  </w:r>
                  <w:r>
                    <w:rPr>
                      <w:rFonts w:hint="eastAsia" w:ascii="宋体" w:hAnsi="宋体" w:cs="宋体"/>
                      <w:szCs w:val="21"/>
                    </w:rPr>
                    <w:t>②</w:t>
                  </w:r>
                  <w:r>
                    <w:rPr>
                      <w:szCs w:val="21"/>
                    </w:rPr>
                    <w:t>皮肤较长时间接触引起灼伤，个别发生急性皮炎。</w:t>
                  </w:r>
                  <w:r>
                    <w:rPr>
                      <w:rFonts w:hint="eastAsia" w:ascii="宋体" w:hAnsi="宋体" w:cs="宋体"/>
                      <w:szCs w:val="21"/>
                    </w:rPr>
                    <w:t>③</w:t>
                  </w:r>
                  <w:r>
                    <w:rPr>
                      <w:szCs w:val="21"/>
                    </w:rPr>
                    <w:t>慢性中毒可引起周围神经病、中毒性脑病、肾脏损害。可致皮肤损</w:t>
                  </w:r>
                </w:p>
              </w:tc>
            </w:tr>
            <w:tr w14:paraId="4A318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333" w:type="pct"/>
                  <w:vAlign w:val="center"/>
                </w:tcPr>
                <w:p w14:paraId="0CD8AA04">
                  <w:pPr>
                    <w:pStyle w:val="22"/>
                    <w:spacing w:after="0" w:line="240" w:lineRule="auto"/>
                    <w:ind w:firstLine="0" w:firstLineChars="0"/>
                    <w:jc w:val="center"/>
                    <w:rPr>
                      <w:szCs w:val="21"/>
                    </w:rPr>
                  </w:pPr>
                  <w:r>
                    <w:rPr>
                      <w:szCs w:val="21"/>
                    </w:rPr>
                    <w:t>对周围环境影响</w:t>
                  </w:r>
                </w:p>
              </w:tc>
              <w:tc>
                <w:tcPr>
                  <w:tcW w:w="4667" w:type="pct"/>
                  <w:gridSpan w:val="9"/>
                  <w:vAlign w:val="center"/>
                </w:tcPr>
                <w:p w14:paraId="6EFF10B9">
                  <w:pPr>
                    <w:pStyle w:val="22"/>
                    <w:spacing w:after="0" w:line="240" w:lineRule="auto"/>
                    <w:ind w:firstLine="0" w:firstLineChars="0"/>
                    <w:rPr>
                      <w:szCs w:val="21"/>
                    </w:rPr>
                  </w:pPr>
                  <w:r>
                    <w:rPr>
                      <w:rFonts w:hint="eastAsia"/>
                      <w:szCs w:val="21"/>
                    </w:rPr>
                    <w:t>在很低的浓度下就能对水生生物造成危害；在土壤中具有极强的迁移性；具有一定的生物富集性；在低浓度时可被生物降解；在高浓度时，可使微生物中毒，降解速率显著降低</w:t>
                  </w:r>
                  <w:r>
                    <w:rPr>
                      <w:szCs w:val="21"/>
                    </w:rPr>
                    <w:t>。</w:t>
                  </w:r>
                </w:p>
              </w:tc>
            </w:tr>
            <w:tr w14:paraId="7DF24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333" w:type="pct"/>
                  <w:vAlign w:val="center"/>
                </w:tcPr>
                <w:p w14:paraId="6A48E944">
                  <w:pPr>
                    <w:pStyle w:val="22"/>
                    <w:spacing w:after="0" w:line="240" w:lineRule="auto"/>
                    <w:ind w:firstLine="0" w:firstLineChars="0"/>
                    <w:jc w:val="center"/>
                    <w:rPr>
                      <w:szCs w:val="21"/>
                    </w:rPr>
                  </w:pPr>
                  <w:r>
                    <w:rPr>
                      <w:szCs w:val="21"/>
                    </w:rPr>
                    <w:t>急救</w:t>
                  </w:r>
                </w:p>
              </w:tc>
              <w:tc>
                <w:tcPr>
                  <w:tcW w:w="4667" w:type="pct"/>
                  <w:gridSpan w:val="9"/>
                  <w:vAlign w:val="center"/>
                </w:tcPr>
                <w:p w14:paraId="0A29BADC">
                  <w:pPr>
                    <w:pStyle w:val="22"/>
                    <w:spacing w:after="0" w:line="240" w:lineRule="auto"/>
                    <w:ind w:firstLine="0" w:firstLineChars="0"/>
                    <w:rPr>
                      <w:szCs w:val="21"/>
                    </w:rPr>
                  </w:pPr>
                  <w:r>
                    <w:rPr>
                      <w:szCs w:val="21"/>
                    </w:rPr>
                    <w:t>皮肤接触：立即脱去被污染的衣着，用大量清水冲洗；眼睛接触</w:t>
                  </w:r>
                  <w:r>
                    <w:rPr>
                      <w:rFonts w:hint="eastAsia"/>
                      <w:szCs w:val="21"/>
                    </w:rPr>
                    <w:t>：</w:t>
                  </w:r>
                  <w:r>
                    <w:rPr>
                      <w:szCs w:val="21"/>
                    </w:rPr>
                    <w:t>立即提起眼睑，用大量流动清水或生理盐水冲洗，就医：吸入；迅速脱离现场至空气新鲜处，保持呼吸道通畅，如呼吸困难，给输氧</w:t>
                  </w:r>
                  <w:r>
                    <w:rPr>
                      <w:rFonts w:hint="eastAsia"/>
                      <w:szCs w:val="21"/>
                    </w:rPr>
                    <w:t>；</w:t>
                  </w:r>
                  <w:r>
                    <w:rPr>
                      <w:szCs w:val="21"/>
                    </w:rPr>
                    <w:t>如呼吸停止，立即进行人工呼吸，就医；食入</w:t>
                  </w:r>
                  <w:r>
                    <w:rPr>
                      <w:rFonts w:hint="eastAsia"/>
                      <w:szCs w:val="21"/>
                    </w:rPr>
                    <w:t>：</w:t>
                  </w:r>
                  <w:r>
                    <w:rPr>
                      <w:szCs w:val="21"/>
                    </w:rPr>
                    <w:t>饮足量温水，催吐，就医。</w:t>
                  </w:r>
                </w:p>
              </w:tc>
            </w:tr>
            <w:tr w14:paraId="59BC9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333" w:type="pct"/>
                  <w:vAlign w:val="center"/>
                </w:tcPr>
                <w:p w14:paraId="52667580">
                  <w:pPr>
                    <w:pStyle w:val="22"/>
                    <w:spacing w:after="0" w:line="240" w:lineRule="auto"/>
                    <w:ind w:firstLine="0" w:firstLineChars="0"/>
                    <w:jc w:val="center"/>
                    <w:rPr>
                      <w:szCs w:val="21"/>
                    </w:rPr>
                  </w:pPr>
                  <w:r>
                    <w:rPr>
                      <w:szCs w:val="21"/>
                    </w:rPr>
                    <w:t>防护</w:t>
                  </w:r>
                </w:p>
              </w:tc>
              <w:tc>
                <w:tcPr>
                  <w:tcW w:w="4667" w:type="pct"/>
                  <w:gridSpan w:val="9"/>
                  <w:vAlign w:val="center"/>
                </w:tcPr>
                <w:p w14:paraId="3FB68FEF">
                  <w:pPr>
                    <w:pStyle w:val="22"/>
                    <w:spacing w:after="0" w:line="240" w:lineRule="auto"/>
                    <w:ind w:firstLine="0" w:firstLineChars="0"/>
                    <w:rPr>
                      <w:szCs w:val="21"/>
                    </w:rPr>
                  </w:pPr>
                  <w:r>
                    <w:rPr>
                      <w:szCs w:val="21"/>
                    </w:rPr>
                    <w:t>工程控制：密闭操作，注意通风；呼吸系统防护：空气中浓度超标时，建议佩戴自吸过滤式防毒面具(半面罩)。紧急事态抢救或撤离时，应该佩戴空气呼吸器。眼睛防护:戴化学安全防护眼镜。身体防护</w:t>
                  </w:r>
                  <w:r>
                    <w:rPr>
                      <w:rFonts w:hint="eastAsia"/>
                      <w:szCs w:val="21"/>
                    </w:rPr>
                    <w:t>：</w:t>
                  </w:r>
                  <w:r>
                    <w:rPr>
                      <w:szCs w:val="21"/>
                    </w:rPr>
                    <w:t>穿防毒物渗透工作服；手防护：戴橡胶耐油手套；其他：工作现场严禁吸烟。避免长期反复接触。</w:t>
                  </w:r>
                </w:p>
              </w:tc>
            </w:tr>
            <w:tr w14:paraId="5B467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333" w:type="pct"/>
                  <w:vAlign w:val="center"/>
                </w:tcPr>
                <w:p w14:paraId="32A90390">
                  <w:pPr>
                    <w:pStyle w:val="22"/>
                    <w:spacing w:after="0" w:line="240" w:lineRule="auto"/>
                    <w:ind w:firstLine="0" w:firstLineChars="0"/>
                    <w:jc w:val="center"/>
                    <w:rPr>
                      <w:szCs w:val="21"/>
                    </w:rPr>
                  </w:pPr>
                  <w:r>
                    <w:rPr>
                      <w:szCs w:val="21"/>
                    </w:rPr>
                    <w:t>泄漏处理</w:t>
                  </w:r>
                </w:p>
              </w:tc>
              <w:tc>
                <w:tcPr>
                  <w:tcW w:w="4667" w:type="pct"/>
                  <w:gridSpan w:val="9"/>
                  <w:vAlign w:val="center"/>
                </w:tcPr>
                <w:p w14:paraId="18FA7425">
                  <w:pPr>
                    <w:pStyle w:val="22"/>
                    <w:spacing w:after="0" w:line="240" w:lineRule="auto"/>
                    <w:ind w:firstLine="0" w:firstLineChars="0"/>
                    <w:rPr>
                      <w:szCs w:val="21"/>
                    </w:rPr>
                  </w:pPr>
                  <w:r>
                    <w:rPr>
                      <w:szCs w:val="21"/>
                    </w:rPr>
                    <w:t>迅速撤离泄漏污染区人员至安全区，并进行隔离，严格限制出入。切断火源。建议应急处理人员戴自给正压式呼吸器，穿防毒服。尽可能切断泄漏源。防止流入下水道、排洪沟等限制性空间。</w:t>
                  </w:r>
                  <w:r>
                    <w:rPr>
                      <w:rFonts w:hint="eastAsia"/>
                      <w:szCs w:val="21"/>
                    </w:rPr>
                    <w:t>少</w:t>
                  </w:r>
                  <w:r>
                    <w:rPr>
                      <w:szCs w:val="21"/>
                    </w:rPr>
                    <w:t>量泄漏：用砂土或其它不燃材料吸附或吸收。大量泄漏:构筑围堤或挖坑收容。用泵转移至槽车或专用收集器内，回收或运至废物处理场所处置。</w:t>
                  </w:r>
                </w:p>
              </w:tc>
            </w:tr>
            <w:tr w14:paraId="502EBB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333" w:type="pct"/>
                  <w:vAlign w:val="center"/>
                </w:tcPr>
                <w:p w14:paraId="397DFE51">
                  <w:pPr>
                    <w:pStyle w:val="22"/>
                    <w:spacing w:after="0" w:line="240" w:lineRule="auto"/>
                    <w:ind w:firstLine="0" w:firstLineChars="0"/>
                    <w:jc w:val="center"/>
                    <w:rPr>
                      <w:szCs w:val="21"/>
                    </w:rPr>
                  </w:pPr>
                  <w:r>
                    <w:rPr>
                      <w:szCs w:val="21"/>
                    </w:rPr>
                    <w:t>储运</w:t>
                  </w:r>
                </w:p>
              </w:tc>
              <w:tc>
                <w:tcPr>
                  <w:tcW w:w="4667" w:type="pct"/>
                  <w:gridSpan w:val="9"/>
                  <w:vAlign w:val="center"/>
                </w:tcPr>
                <w:p w14:paraId="31922F56">
                  <w:pPr>
                    <w:pStyle w:val="22"/>
                    <w:spacing w:after="0" w:line="240" w:lineRule="auto"/>
                    <w:ind w:firstLine="0" w:firstLineChars="0"/>
                    <w:rPr>
                      <w:szCs w:val="21"/>
                    </w:rPr>
                  </w:pPr>
                  <w:r>
                    <w:rPr>
                      <w:szCs w:val="21"/>
                    </w:rPr>
                    <w:t>储存于阴凉、通风的库房。远离火种、热源。应与氧化剂分开存放，切忌混储。配备相应品种和数量的消防器材。储区应备有泄漏应急处理设备和合适的收容材料。运输前应先检查包装容器是否完整、密封，运输过程中要确保容器不泄漏不倒塌、不坠落、不损坏。严禁与氧化剂、食用化学品等混装混运。运输车船必须彻底清洗、消毒，否则不得装运其它物品。船运时，配装位置应远离卧室、厨房，并与机舱、电源、火源等部位隔离。公路运输时要按规定路线行驶。</w:t>
                  </w:r>
                </w:p>
              </w:tc>
            </w:tr>
          </w:tbl>
          <w:p w14:paraId="2BE68A59">
            <w:pPr>
              <w:autoSpaceDE w:val="0"/>
              <w:autoSpaceDN w:val="0"/>
              <w:adjustRightInd w:val="0"/>
              <w:spacing w:before="156" w:beforeLines="50" w:line="240" w:lineRule="auto"/>
              <w:ind w:firstLine="0" w:firstLineChars="0"/>
              <w:jc w:val="center"/>
              <w:rPr>
                <w:b/>
                <w:kern w:val="0"/>
                <w:sz w:val="21"/>
                <w:szCs w:val="20"/>
              </w:rPr>
            </w:pPr>
            <w:r>
              <w:rPr>
                <w:rFonts w:hint="eastAsia"/>
                <w:b/>
                <w:kern w:val="0"/>
                <w:sz w:val="21"/>
                <w:szCs w:val="20"/>
              </w:rPr>
              <w:t>表</w:t>
            </w:r>
            <w:r>
              <w:rPr>
                <w:b/>
                <w:kern w:val="0"/>
                <w:sz w:val="21"/>
                <w:szCs w:val="20"/>
              </w:rPr>
              <w:t>5-4</w:t>
            </w:r>
            <w:r>
              <w:rPr>
                <w:rFonts w:hint="eastAsia"/>
                <w:b/>
                <w:kern w:val="0"/>
                <w:sz w:val="21"/>
                <w:szCs w:val="20"/>
              </w:rPr>
              <w:t>柴油物理化学特性表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2"/>
              <w:gridCol w:w="1196"/>
              <w:gridCol w:w="421"/>
              <w:gridCol w:w="436"/>
              <w:gridCol w:w="1351"/>
              <w:gridCol w:w="520"/>
              <w:gridCol w:w="799"/>
              <w:gridCol w:w="996"/>
              <w:gridCol w:w="726"/>
              <w:gridCol w:w="422"/>
            </w:tblGrid>
            <w:tr w14:paraId="792DC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000" w:type="pct"/>
                  <w:gridSpan w:val="10"/>
                  <w:tcBorders>
                    <w:top w:val="single" w:color="auto" w:sz="12" w:space="0"/>
                    <w:left w:val="single" w:color="auto" w:sz="12" w:space="0"/>
                    <w:bottom w:val="single" w:color="auto" w:sz="6" w:space="0"/>
                    <w:right w:val="single" w:color="auto" w:sz="12" w:space="0"/>
                  </w:tcBorders>
                  <w:vAlign w:val="center"/>
                </w:tcPr>
                <w:p w14:paraId="465655FE">
                  <w:pPr>
                    <w:spacing w:line="240" w:lineRule="auto"/>
                    <w:ind w:firstLine="0" w:firstLineChars="0"/>
                    <w:contextualSpacing/>
                    <w:jc w:val="center"/>
                    <w:rPr>
                      <w:sz w:val="21"/>
                      <w:szCs w:val="22"/>
                    </w:rPr>
                  </w:pPr>
                  <w:r>
                    <w:rPr>
                      <w:rFonts w:hint="eastAsia"/>
                      <w:sz w:val="21"/>
                      <w:szCs w:val="22"/>
                    </w:rPr>
                    <w:t>物料安全数据表</w:t>
                  </w:r>
                </w:p>
              </w:tc>
            </w:tr>
            <w:tr w14:paraId="2E7A3E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90" w:type="pct"/>
                  <w:tcBorders>
                    <w:top w:val="single" w:color="auto" w:sz="6" w:space="0"/>
                    <w:left w:val="single" w:color="auto" w:sz="12" w:space="0"/>
                    <w:bottom w:val="single" w:color="auto" w:sz="6" w:space="0"/>
                    <w:right w:val="single" w:color="auto" w:sz="6" w:space="0"/>
                  </w:tcBorders>
                  <w:vAlign w:val="center"/>
                </w:tcPr>
                <w:p w14:paraId="6D20A5D8">
                  <w:pPr>
                    <w:spacing w:line="240" w:lineRule="auto"/>
                    <w:ind w:firstLine="0" w:firstLineChars="0"/>
                    <w:contextualSpacing/>
                    <w:jc w:val="center"/>
                    <w:rPr>
                      <w:sz w:val="21"/>
                      <w:szCs w:val="22"/>
                    </w:rPr>
                  </w:pPr>
                  <w:r>
                    <w:rPr>
                      <w:sz w:val="21"/>
                      <w:szCs w:val="22"/>
                    </w:rPr>
                    <w:t>CAS</w:t>
                  </w:r>
                </w:p>
              </w:tc>
              <w:tc>
                <w:tcPr>
                  <w:tcW w:w="671" w:type="pct"/>
                  <w:tcBorders>
                    <w:top w:val="single" w:color="auto" w:sz="6" w:space="0"/>
                    <w:left w:val="single" w:color="auto" w:sz="6" w:space="0"/>
                    <w:bottom w:val="single" w:color="auto" w:sz="6" w:space="0"/>
                    <w:right w:val="single" w:color="auto" w:sz="6" w:space="0"/>
                  </w:tcBorders>
                  <w:vAlign w:val="center"/>
                </w:tcPr>
                <w:p w14:paraId="188730CE">
                  <w:pPr>
                    <w:spacing w:line="240" w:lineRule="auto"/>
                    <w:ind w:firstLine="0" w:firstLineChars="0"/>
                    <w:contextualSpacing/>
                    <w:jc w:val="center"/>
                    <w:rPr>
                      <w:sz w:val="21"/>
                      <w:szCs w:val="22"/>
                    </w:rPr>
                  </w:pPr>
                  <w:r>
                    <w:rPr>
                      <w:sz w:val="21"/>
                      <w:szCs w:val="22"/>
                    </w:rPr>
                    <w:t>68476-34-6</w:t>
                  </w:r>
                </w:p>
              </w:tc>
              <w:tc>
                <w:tcPr>
                  <w:tcW w:w="545" w:type="pct"/>
                  <w:gridSpan w:val="2"/>
                  <w:tcBorders>
                    <w:top w:val="single" w:color="auto" w:sz="6" w:space="0"/>
                    <w:left w:val="single" w:color="auto" w:sz="6" w:space="0"/>
                    <w:bottom w:val="single" w:color="auto" w:sz="6" w:space="0"/>
                    <w:right w:val="single" w:color="auto" w:sz="6" w:space="0"/>
                  </w:tcBorders>
                  <w:vAlign w:val="center"/>
                </w:tcPr>
                <w:p w14:paraId="15680084">
                  <w:pPr>
                    <w:spacing w:line="240" w:lineRule="auto"/>
                    <w:ind w:firstLine="0" w:firstLineChars="0"/>
                    <w:contextualSpacing/>
                    <w:jc w:val="center"/>
                    <w:rPr>
                      <w:sz w:val="21"/>
                      <w:szCs w:val="22"/>
                    </w:rPr>
                  </w:pPr>
                  <w:r>
                    <w:rPr>
                      <w:sz w:val="21"/>
                      <w:szCs w:val="22"/>
                    </w:rPr>
                    <w:t>RTECS</w:t>
                  </w:r>
                </w:p>
              </w:tc>
              <w:tc>
                <w:tcPr>
                  <w:tcW w:w="886" w:type="pct"/>
                  <w:tcBorders>
                    <w:top w:val="single" w:color="auto" w:sz="6" w:space="0"/>
                    <w:left w:val="single" w:color="auto" w:sz="6" w:space="0"/>
                    <w:bottom w:val="single" w:color="auto" w:sz="6" w:space="0"/>
                    <w:right w:val="single" w:color="auto" w:sz="6" w:space="0"/>
                  </w:tcBorders>
                  <w:vAlign w:val="center"/>
                </w:tcPr>
                <w:p w14:paraId="51E88BD6">
                  <w:pPr>
                    <w:spacing w:line="240" w:lineRule="auto"/>
                    <w:ind w:firstLine="0" w:firstLineChars="0"/>
                    <w:contextualSpacing/>
                    <w:jc w:val="center"/>
                    <w:rPr>
                      <w:sz w:val="21"/>
                      <w:szCs w:val="22"/>
                    </w:rPr>
                  </w:pPr>
                  <w:r>
                    <w:rPr>
                      <w:sz w:val="21"/>
                      <w:szCs w:val="22"/>
                    </w:rPr>
                    <w:t>HZl770000</w:t>
                  </w:r>
                </w:p>
              </w:tc>
              <w:tc>
                <w:tcPr>
                  <w:tcW w:w="347" w:type="pct"/>
                  <w:tcBorders>
                    <w:top w:val="single" w:color="auto" w:sz="6" w:space="0"/>
                    <w:left w:val="single" w:color="auto" w:sz="6" w:space="0"/>
                    <w:bottom w:val="single" w:color="auto" w:sz="6" w:space="0"/>
                    <w:right w:val="single" w:color="auto" w:sz="6" w:space="0"/>
                  </w:tcBorders>
                  <w:vAlign w:val="center"/>
                </w:tcPr>
                <w:p w14:paraId="6149804F">
                  <w:pPr>
                    <w:spacing w:line="240" w:lineRule="auto"/>
                    <w:ind w:firstLine="0" w:firstLineChars="0"/>
                    <w:contextualSpacing/>
                    <w:jc w:val="center"/>
                    <w:rPr>
                      <w:sz w:val="21"/>
                      <w:szCs w:val="22"/>
                    </w:rPr>
                  </w:pPr>
                  <w:r>
                    <w:rPr>
                      <w:sz w:val="21"/>
                      <w:szCs w:val="22"/>
                    </w:rPr>
                    <w:t>UN</w:t>
                  </w:r>
                </w:p>
              </w:tc>
              <w:tc>
                <w:tcPr>
                  <w:tcW w:w="534" w:type="pct"/>
                  <w:tcBorders>
                    <w:top w:val="single" w:color="auto" w:sz="6" w:space="0"/>
                    <w:left w:val="single" w:color="auto" w:sz="6" w:space="0"/>
                    <w:bottom w:val="single" w:color="auto" w:sz="6" w:space="0"/>
                    <w:right w:val="single" w:color="auto" w:sz="6" w:space="0"/>
                  </w:tcBorders>
                  <w:vAlign w:val="center"/>
                </w:tcPr>
                <w:p w14:paraId="5BCC424B">
                  <w:pPr>
                    <w:spacing w:line="240" w:lineRule="auto"/>
                    <w:ind w:firstLine="0" w:firstLineChars="0"/>
                    <w:contextualSpacing/>
                    <w:jc w:val="center"/>
                    <w:rPr>
                      <w:sz w:val="21"/>
                      <w:szCs w:val="22"/>
                    </w:rPr>
                  </w:pPr>
                  <w:r>
                    <w:rPr>
                      <w:sz w:val="21"/>
                      <w:szCs w:val="22"/>
                    </w:rPr>
                    <w:t>/</w:t>
                  </w:r>
                </w:p>
              </w:tc>
              <w:tc>
                <w:tcPr>
                  <w:tcW w:w="1140" w:type="pct"/>
                  <w:gridSpan w:val="2"/>
                  <w:tcBorders>
                    <w:top w:val="single" w:color="auto" w:sz="6" w:space="0"/>
                    <w:left w:val="single" w:color="auto" w:sz="6" w:space="0"/>
                    <w:bottom w:val="single" w:color="auto" w:sz="6" w:space="0"/>
                    <w:right w:val="single" w:color="auto" w:sz="6" w:space="0"/>
                  </w:tcBorders>
                  <w:vAlign w:val="center"/>
                </w:tcPr>
                <w:p w14:paraId="46183128">
                  <w:pPr>
                    <w:spacing w:line="240" w:lineRule="auto"/>
                    <w:ind w:firstLine="0" w:firstLineChars="0"/>
                    <w:contextualSpacing/>
                    <w:jc w:val="center"/>
                    <w:rPr>
                      <w:sz w:val="21"/>
                      <w:szCs w:val="22"/>
                    </w:rPr>
                  </w:pPr>
                  <w:r>
                    <w:rPr>
                      <w:rFonts w:hint="eastAsia"/>
                      <w:sz w:val="21"/>
                      <w:szCs w:val="22"/>
                    </w:rPr>
                    <w:t>危编号</w:t>
                  </w:r>
                </w:p>
              </w:tc>
              <w:tc>
                <w:tcPr>
                  <w:tcW w:w="286" w:type="pct"/>
                  <w:tcBorders>
                    <w:top w:val="single" w:color="auto" w:sz="6" w:space="0"/>
                    <w:left w:val="single" w:color="auto" w:sz="6" w:space="0"/>
                    <w:bottom w:val="single" w:color="auto" w:sz="6" w:space="0"/>
                    <w:right w:val="single" w:color="auto" w:sz="12" w:space="0"/>
                  </w:tcBorders>
                  <w:vAlign w:val="center"/>
                </w:tcPr>
                <w:p w14:paraId="29229350">
                  <w:pPr>
                    <w:spacing w:line="240" w:lineRule="auto"/>
                    <w:ind w:firstLine="0" w:firstLineChars="0"/>
                    <w:contextualSpacing/>
                    <w:jc w:val="center"/>
                    <w:rPr>
                      <w:sz w:val="21"/>
                      <w:szCs w:val="22"/>
                    </w:rPr>
                  </w:pPr>
                  <w:r>
                    <w:rPr>
                      <w:sz w:val="21"/>
                      <w:szCs w:val="22"/>
                    </w:rPr>
                    <w:t>/</w:t>
                  </w:r>
                </w:p>
              </w:tc>
            </w:tr>
            <w:tr w14:paraId="16647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90" w:type="pct"/>
                  <w:tcBorders>
                    <w:top w:val="single" w:color="auto" w:sz="6" w:space="0"/>
                    <w:left w:val="single" w:color="auto" w:sz="12" w:space="0"/>
                    <w:bottom w:val="single" w:color="auto" w:sz="6" w:space="0"/>
                    <w:right w:val="single" w:color="auto" w:sz="6" w:space="0"/>
                  </w:tcBorders>
                  <w:vAlign w:val="center"/>
                </w:tcPr>
                <w:p w14:paraId="22B6D7D1">
                  <w:pPr>
                    <w:spacing w:line="240" w:lineRule="auto"/>
                    <w:ind w:firstLine="0" w:firstLineChars="0"/>
                    <w:contextualSpacing/>
                    <w:jc w:val="center"/>
                    <w:rPr>
                      <w:sz w:val="21"/>
                      <w:szCs w:val="22"/>
                    </w:rPr>
                  </w:pPr>
                  <w:r>
                    <w:rPr>
                      <w:rFonts w:hint="eastAsia"/>
                      <w:sz w:val="21"/>
                      <w:szCs w:val="22"/>
                    </w:rPr>
                    <w:t>中文名称</w:t>
                  </w: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5B822D96">
                  <w:pPr>
                    <w:spacing w:line="240" w:lineRule="auto"/>
                    <w:ind w:firstLine="0" w:firstLineChars="0"/>
                    <w:contextualSpacing/>
                    <w:jc w:val="center"/>
                    <w:rPr>
                      <w:sz w:val="21"/>
                      <w:szCs w:val="22"/>
                    </w:rPr>
                  </w:pPr>
                  <w:r>
                    <w:rPr>
                      <w:rFonts w:hint="eastAsia"/>
                      <w:sz w:val="21"/>
                      <w:szCs w:val="22"/>
                    </w:rPr>
                    <w:t>柴油（</w:t>
                  </w:r>
                  <w:r>
                    <w:rPr>
                      <w:sz w:val="21"/>
                      <w:szCs w:val="22"/>
                    </w:rPr>
                    <w:t>0#</w:t>
                  </w:r>
                  <w:r>
                    <w:rPr>
                      <w:rFonts w:hint="eastAsia"/>
                      <w:sz w:val="21"/>
                      <w:szCs w:val="22"/>
                    </w:rPr>
                    <w:t>普通柴油、车用柴油）</w:t>
                  </w:r>
                </w:p>
              </w:tc>
              <w:tc>
                <w:tcPr>
                  <w:tcW w:w="347" w:type="pct"/>
                  <w:vMerge w:val="restart"/>
                  <w:tcBorders>
                    <w:top w:val="single" w:color="auto" w:sz="6" w:space="0"/>
                    <w:left w:val="single" w:color="auto" w:sz="6" w:space="0"/>
                    <w:bottom w:val="single" w:color="auto" w:sz="6" w:space="0"/>
                    <w:right w:val="single" w:color="auto" w:sz="6" w:space="0"/>
                  </w:tcBorders>
                  <w:vAlign w:val="center"/>
                </w:tcPr>
                <w:p w14:paraId="2C1BCA54">
                  <w:pPr>
                    <w:spacing w:line="240" w:lineRule="auto"/>
                    <w:ind w:firstLine="0" w:firstLineChars="0"/>
                    <w:contextualSpacing/>
                    <w:jc w:val="center"/>
                    <w:rPr>
                      <w:sz w:val="21"/>
                      <w:szCs w:val="22"/>
                    </w:rPr>
                  </w:pPr>
                  <w:r>
                    <w:rPr>
                      <w:rFonts w:hint="eastAsia"/>
                      <w:sz w:val="21"/>
                      <w:szCs w:val="22"/>
                    </w:rPr>
                    <w:t>理化性质</w:t>
                  </w: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412DD580">
                  <w:pPr>
                    <w:spacing w:line="240" w:lineRule="auto"/>
                    <w:ind w:firstLine="0" w:firstLineChars="0"/>
                    <w:contextualSpacing/>
                    <w:jc w:val="center"/>
                    <w:rPr>
                      <w:sz w:val="21"/>
                      <w:szCs w:val="22"/>
                    </w:rPr>
                  </w:pPr>
                  <w:r>
                    <w:rPr>
                      <w:rFonts w:hint="eastAsia"/>
                      <w:sz w:val="21"/>
                      <w:szCs w:val="22"/>
                    </w:rPr>
                    <w:t>外观及性状：稍有粘性的棕色液体。</w:t>
                  </w:r>
                </w:p>
              </w:tc>
            </w:tr>
            <w:tr w14:paraId="67AEE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90" w:type="pct"/>
                  <w:tcBorders>
                    <w:top w:val="single" w:color="auto" w:sz="6" w:space="0"/>
                    <w:left w:val="single" w:color="auto" w:sz="12" w:space="0"/>
                    <w:bottom w:val="single" w:color="auto" w:sz="6" w:space="0"/>
                    <w:right w:val="single" w:color="auto" w:sz="6" w:space="0"/>
                  </w:tcBorders>
                  <w:vAlign w:val="center"/>
                </w:tcPr>
                <w:p w14:paraId="278E44BC">
                  <w:pPr>
                    <w:spacing w:line="240" w:lineRule="auto"/>
                    <w:ind w:firstLine="0" w:firstLineChars="0"/>
                    <w:contextualSpacing/>
                    <w:jc w:val="center"/>
                    <w:rPr>
                      <w:sz w:val="21"/>
                      <w:szCs w:val="22"/>
                    </w:rPr>
                  </w:pPr>
                  <w:r>
                    <w:rPr>
                      <w:rFonts w:hint="eastAsia"/>
                      <w:sz w:val="21"/>
                      <w:szCs w:val="22"/>
                    </w:rPr>
                    <w:t>英文名称</w:t>
                  </w: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17EF97E5">
                  <w:pPr>
                    <w:spacing w:line="240" w:lineRule="auto"/>
                    <w:ind w:firstLine="0" w:firstLineChars="0"/>
                    <w:contextualSpacing/>
                    <w:jc w:val="center"/>
                    <w:rPr>
                      <w:sz w:val="21"/>
                      <w:szCs w:val="22"/>
                    </w:rPr>
                  </w:pPr>
                  <w:r>
                    <w:rPr>
                      <w:sz w:val="21"/>
                      <w:szCs w:val="22"/>
                    </w:rPr>
                    <w:t>Dieseloil</w:t>
                  </w:r>
                  <w:r>
                    <w:rPr>
                      <w:rFonts w:hint="eastAsia"/>
                      <w:sz w:val="21"/>
                      <w:szCs w:val="22"/>
                    </w:rPr>
                    <w:t>；</w:t>
                  </w:r>
                  <w:r>
                    <w:rPr>
                      <w:sz w:val="21"/>
                      <w:szCs w:val="22"/>
                    </w:rPr>
                    <w:t>Dieselfuel</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5DA2FD7D">
                  <w:pPr>
                    <w:widowControl/>
                    <w:spacing w:line="240" w:lineRule="auto"/>
                    <w:ind w:firstLine="0" w:firstLineChars="0"/>
                    <w:jc w:val="left"/>
                    <w:rPr>
                      <w:sz w:val="21"/>
                      <w:szCs w:val="22"/>
                    </w:rPr>
                  </w:pPr>
                </w:p>
              </w:tc>
              <w:tc>
                <w:tcPr>
                  <w:tcW w:w="534" w:type="pct"/>
                  <w:vMerge w:val="restart"/>
                  <w:tcBorders>
                    <w:top w:val="single" w:color="auto" w:sz="6" w:space="0"/>
                    <w:left w:val="single" w:color="auto" w:sz="6" w:space="0"/>
                    <w:bottom w:val="single" w:color="auto" w:sz="6" w:space="0"/>
                    <w:right w:val="single" w:color="auto" w:sz="6" w:space="0"/>
                  </w:tcBorders>
                  <w:vAlign w:val="center"/>
                </w:tcPr>
                <w:p w14:paraId="50E38152">
                  <w:pPr>
                    <w:spacing w:line="240" w:lineRule="auto"/>
                    <w:ind w:firstLine="0" w:firstLineChars="0"/>
                    <w:contextualSpacing/>
                    <w:jc w:val="center"/>
                    <w:rPr>
                      <w:sz w:val="21"/>
                      <w:szCs w:val="22"/>
                    </w:rPr>
                  </w:pPr>
                  <w:r>
                    <w:rPr>
                      <w:rFonts w:hint="eastAsia"/>
                      <w:sz w:val="21"/>
                      <w:szCs w:val="22"/>
                    </w:rPr>
                    <w:t>溶解度：不溶</w:t>
                  </w:r>
                </w:p>
              </w:tc>
              <w:tc>
                <w:tcPr>
                  <w:tcW w:w="1426" w:type="pct"/>
                  <w:gridSpan w:val="3"/>
                  <w:tcBorders>
                    <w:top w:val="single" w:color="auto" w:sz="6" w:space="0"/>
                    <w:left w:val="single" w:color="auto" w:sz="6" w:space="0"/>
                    <w:bottom w:val="single" w:color="auto" w:sz="6" w:space="0"/>
                    <w:right w:val="single" w:color="auto" w:sz="12" w:space="0"/>
                  </w:tcBorders>
                  <w:vAlign w:val="center"/>
                </w:tcPr>
                <w:p w14:paraId="42E5099F">
                  <w:pPr>
                    <w:spacing w:line="240" w:lineRule="auto"/>
                    <w:ind w:firstLine="0" w:firstLineChars="0"/>
                    <w:contextualSpacing/>
                    <w:jc w:val="center"/>
                    <w:rPr>
                      <w:sz w:val="21"/>
                      <w:szCs w:val="22"/>
                    </w:rPr>
                  </w:pPr>
                  <w:r>
                    <w:rPr>
                      <w:rFonts w:hint="eastAsia"/>
                      <w:sz w:val="21"/>
                      <w:szCs w:val="22"/>
                    </w:rPr>
                    <w:t>蒸气压：无资料</w:t>
                  </w:r>
                </w:p>
              </w:tc>
            </w:tr>
            <w:tr w14:paraId="37A98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90" w:type="pct"/>
                  <w:tcBorders>
                    <w:top w:val="single" w:color="auto" w:sz="6" w:space="0"/>
                    <w:left w:val="single" w:color="auto" w:sz="12" w:space="0"/>
                    <w:bottom w:val="single" w:color="auto" w:sz="6" w:space="0"/>
                    <w:right w:val="single" w:color="auto" w:sz="6" w:space="0"/>
                  </w:tcBorders>
                  <w:vAlign w:val="center"/>
                </w:tcPr>
                <w:p w14:paraId="3B398B2A">
                  <w:pPr>
                    <w:spacing w:line="240" w:lineRule="auto"/>
                    <w:ind w:firstLine="0" w:firstLineChars="0"/>
                    <w:contextualSpacing/>
                    <w:jc w:val="center"/>
                    <w:rPr>
                      <w:sz w:val="21"/>
                      <w:szCs w:val="22"/>
                    </w:rPr>
                  </w:pPr>
                  <w:r>
                    <w:rPr>
                      <w:rFonts w:hint="eastAsia"/>
                      <w:sz w:val="21"/>
                      <w:szCs w:val="22"/>
                    </w:rPr>
                    <w:t>分子式</w:t>
                  </w: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299C9F14">
                  <w:pPr>
                    <w:spacing w:line="240" w:lineRule="auto"/>
                    <w:ind w:firstLine="0" w:firstLineChars="0"/>
                    <w:contextualSpacing/>
                    <w:jc w:val="center"/>
                    <w:rPr>
                      <w:sz w:val="21"/>
                      <w:szCs w:val="22"/>
                    </w:rPr>
                  </w:pPr>
                  <w:r>
                    <w:rPr>
                      <w:sz w:val="21"/>
                      <w:szCs w:val="22"/>
                    </w:rPr>
                    <w:t>C4</w:t>
                  </w:r>
                  <w:r>
                    <w:rPr>
                      <w:rFonts w:eastAsia="微软雅黑"/>
                      <w:sz w:val="21"/>
                      <w:szCs w:val="22"/>
                    </w:rPr>
                    <w:t>−</w:t>
                  </w:r>
                  <w:r>
                    <w:rPr>
                      <w:sz w:val="21"/>
                      <w:szCs w:val="22"/>
                    </w:rPr>
                    <w:t>C12(</w:t>
                  </w:r>
                  <w:r>
                    <w:rPr>
                      <w:rFonts w:hint="eastAsia"/>
                      <w:sz w:val="21"/>
                      <w:szCs w:val="22"/>
                    </w:rPr>
                    <w:t>脂肪烃和环烃</w:t>
                  </w:r>
                  <w:r>
                    <w:rPr>
                      <w:sz w:val="21"/>
                      <w:szCs w:val="22"/>
                    </w:rPr>
                    <w:t>)</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788F8D6A">
                  <w:pPr>
                    <w:widowControl/>
                    <w:spacing w:line="240" w:lineRule="auto"/>
                    <w:ind w:firstLine="0" w:firstLineChars="0"/>
                    <w:jc w:val="left"/>
                    <w:rPr>
                      <w:sz w:val="21"/>
                      <w:szCs w:val="22"/>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363122D4">
                  <w:pPr>
                    <w:widowControl/>
                    <w:spacing w:line="240" w:lineRule="auto"/>
                    <w:ind w:firstLine="0" w:firstLineChars="0"/>
                    <w:jc w:val="left"/>
                    <w:rPr>
                      <w:sz w:val="21"/>
                      <w:szCs w:val="22"/>
                    </w:rPr>
                  </w:pPr>
                </w:p>
              </w:tc>
              <w:tc>
                <w:tcPr>
                  <w:tcW w:w="657" w:type="pct"/>
                  <w:vMerge w:val="restart"/>
                  <w:tcBorders>
                    <w:top w:val="single" w:color="auto" w:sz="6" w:space="0"/>
                    <w:left w:val="single" w:color="auto" w:sz="6" w:space="0"/>
                    <w:bottom w:val="single" w:color="auto" w:sz="6" w:space="0"/>
                    <w:right w:val="single" w:color="auto" w:sz="6" w:space="0"/>
                  </w:tcBorders>
                  <w:vAlign w:val="center"/>
                </w:tcPr>
                <w:p w14:paraId="1611FAA8">
                  <w:pPr>
                    <w:spacing w:line="240" w:lineRule="auto"/>
                    <w:ind w:firstLine="0" w:firstLineChars="0"/>
                    <w:contextualSpacing/>
                    <w:jc w:val="center"/>
                    <w:rPr>
                      <w:sz w:val="21"/>
                      <w:szCs w:val="22"/>
                    </w:rPr>
                  </w:pPr>
                  <w:r>
                    <w:rPr>
                      <w:rFonts w:hint="eastAsia"/>
                      <w:sz w:val="21"/>
                      <w:szCs w:val="22"/>
                    </w:rPr>
                    <w:t>相对密度</w:t>
                  </w:r>
                </w:p>
              </w:tc>
              <w:tc>
                <w:tcPr>
                  <w:tcW w:w="769" w:type="pct"/>
                  <w:gridSpan w:val="2"/>
                  <w:tcBorders>
                    <w:top w:val="single" w:color="auto" w:sz="6" w:space="0"/>
                    <w:left w:val="single" w:color="auto" w:sz="6" w:space="0"/>
                    <w:bottom w:val="single" w:color="auto" w:sz="6" w:space="0"/>
                    <w:right w:val="single" w:color="auto" w:sz="12" w:space="0"/>
                  </w:tcBorders>
                  <w:vAlign w:val="center"/>
                </w:tcPr>
                <w:p w14:paraId="4AC9B820">
                  <w:pPr>
                    <w:spacing w:line="240" w:lineRule="auto"/>
                    <w:ind w:firstLine="0" w:firstLineChars="0"/>
                    <w:contextualSpacing/>
                    <w:jc w:val="center"/>
                    <w:rPr>
                      <w:sz w:val="21"/>
                      <w:szCs w:val="22"/>
                    </w:rPr>
                  </w:pPr>
                  <w:r>
                    <w:rPr>
                      <w:rFonts w:hint="eastAsia"/>
                      <w:sz w:val="21"/>
                      <w:szCs w:val="22"/>
                    </w:rPr>
                    <w:t>空气：无资料</w:t>
                  </w:r>
                </w:p>
              </w:tc>
            </w:tr>
            <w:tr w14:paraId="3D78D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90" w:type="pct"/>
                  <w:vMerge w:val="restart"/>
                  <w:tcBorders>
                    <w:top w:val="single" w:color="auto" w:sz="6" w:space="0"/>
                    <w:left w:val="single" w:color="auto" w:sz="12" w:space="0"/>
                    <w:bottom w:val="single" w:color="auto" w:sz="6" w:space="0"/>
                    <w:right w:val="single" w:color="auto" w:sz="6" w:space="0"/>
                  </w:tcBorders>
                  <w:vAlign w:val="center"/>
                </w:tcPr>
                <w:p w14:paraId="7E9AB4BE">
                  <w:pPr>
                    <w:spacing w:line="240" w:lineRule="auto"/>
                    <w:ind w:firstLine="0" w:firstLineChars="0"/>
                    <w:contextualSpacing/>
                    <w:jc w:val="center"/>
                    <w:rPr>
                      <w:sz w:val="21"/>
                      <w:szCs w:val="22"/>
                    </w:rPr>
                  </w:pPr>
                  <w:r>
                    <w:rPr>
                      <w:rFonts w:hint="eastAsia"/>
                      <w:sz w:val="21"/>
                      <w:szCs w:val="22"/>
                    </w:rPr>
                    <w:t>燃烧爆炸危险性</w:t>
                  </w:r>
                </w:p>
              </w:tc>
              <w:tc>
                <w:tcPr>
                  <w:tcW w:w="939" w:type="pct"/>
                  <w:gridSpan w:val="2"/>
                  <w:tcBorders>
                    <w:top w:val="single" w:color="auto" w:sz="6" w:space="0"/>
                    <w:left w:val="single" w:color="auto" w:sz="6" w:space="0"/>
                    <w:bottom w:val="single" w:color="auto" w:sz="6" w:space="0"/>
                    <w:right w:val="single" w:color="auto" w:sz="6" w:space="0"/>
                  </w:tcBorders>
                  <w:vAlign w:val="center"/>
                </w:tcPr>
                <w:p w14:paraId="1014C75A">
                  <w:pPr>
                    <w:spacing w:line="240" w:lineRule="auto"/>
                    <w:ind w:firstLine="0" w:firstLineChars="0"/>
                    <w:contextualSpacing/>
                    <w:jc w:val="center"/>
                    <w:rPr>
                      <w:sz w:val="21"/>
                      <w:szCs w:val="22"/>
                    </w:rPr>
                  </w:pPr>
                  <w:r>
                    <w:rPr>
                      <w:rFonts w:hint="eastAsia"/>
                      <w:sz w:val="21"/>
                      <w:szCs w:val="22"/>
                    </w:rPr>
                    <w:t>闪点：</w:t>
                  </w:r>
                  <w:r>
                    <w:rPr>
                      <w:sz w:val="21"/>
                      <w:szCs w:val="22"/>
                    </w:rPr>
                    <w:t>62</w:t>
                  </w:r>
                  <w:r>
                    <w:rPr>
                      <w:rFonts w:hint="eastAsia"/>
                      <w:sz w:val="21"/>
                      <w:szCs w:val="22"/>
                    </w:rPr>
                    <w:t>～</w:t>
                  </w:r>
                  <w:r>
                    <w:rPr>
                      <w:sz w:val="21"/>
                      <w:szCs w:val="22"/>
                    </w:rPr>
                    <w:t>63℃</w:t>
                  </w:r>
                </w:p>
              </w:tc>
              <w:tc>
                <w:tcPr>
                  <w:tcW w:w="1163" w:type="pct"/>
                  <w:gridSpan w:val="2"/>
                  <w:tcBorders>
                    <w:top w:val="single" w:color="auto" w:sz="6" w:space="0"/>
                    <w:left w:val="single" w:color="auto" w:sz="6" w:space="0"/>
                    <w:bottom w:val="single" w:color="auto" w:sz="6" w:space="0"/>
                    <w:right w:val="single" w:color="auto" w:sz="6" w:space="0"/>
                  </w:tcBorders>
                  <w:vAlign w:val="center"/>
                </w:tcPr>
                <w:p w14:paraId="08307195">
                  <w:pPr>
                    <w:spacing w:line="240" w:lineRule="auto"/>
                    <w:ind w:firstLine="0" w:firstLineChars="0"/>
                    <w:contextualSpacing/>
                    <w:jc w:val="center"/>
                    <w:rPr>
                      <w:sz w:val="21"/>
                      <w:szCs w:val="22"/>
                    </w:rPr>
                  </w:pPr>
                  <w:r>
                    <w:rPr>
                      <w:rFonts w:hint="eastAsia"/>
                      <w:sz w:val="21"/>
                      <w:szCs w:val="22"/>
                    </w:rPr>
                    <w:t>引燃温度</w:t>
                  </w:r>
                  <w:r>
                    <w:rPr>
                      <w:sz w:val="21"/>
                      <w:szCs w:val="22"/>
                    </w:rPr>
                    <w:t>(℃)</w:t>
                  </w:r>
                  <w:r>
                    <w:rPr>
                      <w:rFonts w:hint="eastAsia"/>
                      <w:sz w:val="21"/>
                      <w:szCs w:val="22"/>
                    </w:rPr>
                    <w:t>：</w:t>
                  </w:r>
                  <w:r>
                    <w:rPr>
                      <w:sz w:val="21"/>
                      <w:szCs w:val="22"/>
                    </w:rPr>
                    <w:t>257℃</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45822936">
                  <w:pPr>
                    <w:widowControl/>
                    <w:spacing w:line="240" w:lineRule="auto"/>
                    <w:ind w:firstLine="0" w:firstLineChars="0"/>
                    <w:jc w:val="left"/>
                    <w:rPr>
                      <w:sz w:val="21"/>
                      <w:szCs w:val="22"/>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2D73CC6B">
                  <w:pPr>
                    <w:widowControl/>
                    <w:spacing w:line="240" w:lineRule="auto"/>
                    <w:ind w:firstLine="0" w:firstLineChars="0"/>
                    <w:jc w:val="left"/>
                    <w:rPr>
                      <w:sz w:val="21"/>
                      <w:szCs w:val="22"/>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4E75E981">
                  <w:pPr>
                    <w:widowControl/>
                    <w:spacing w:line="240" w:lineRule="auto"/>
                    <w:ind w:firstLine="0" w:firstLineChars="0"/>
                    <w:jc w:val="left"/>
                    <w:rPr>
                      <w:sz w:val="21"/>
                      <w:szCs w:val="22"/>
                    </w:rPr>
                  </w:pPr>
                </w:p>
              </w:tc>
              <w:tc>
                <w:tcPr>
                  <w:tcW w:w="769" w:type="pct"/>
                  <w:gridSpan w:val="2"/>
                  <w:tcBorders>
                    <w:top w:val="single" w:color="auto" w:sz="6" w:space="0"/>
                    <w:left w:val="single" w:color="auto" w:sz="6" w:space="0"/>
                    <w:bottom w:val="single" w:color="auto" w:sz="6" w:space="0"/>
                    <w:right w:val="single" w:color="auto" w:sz="12" w:space="0"/>
                  </w:tcBorders>
                  <w:vAlign w:val="center"/>
                </w:tcPr>
                <w:p w14:paraId="1C8BE264">
                  <w:pPr>
                    <w:spacing w:line="240" w:lineRule="auto"/>
                    <w:ind w:firstLine="0" w:firstLineChars="0"/>
                    <w:contextualSpacing/>
                    <w:jc w:val="center"/>
                    <w:rPr>
                      <w:sz w:val="21"/>
                      <w:szCs w:val="22"/>
                    </w:rPr>
                  </w:pPr>
                  <w:r>
                    <w:rPr>
                      <w:rFonts w:hint="eastAsia"/>
                      <w:sz w:val="21"/>
                      <w:szCs w:val="22"/>
                    </w:rPr>
                    <w:t>水：</w:t>
                  </w:r>
                  <w:r>
                    <w:rPr>
                      <w:sz w:val="21"/>
                      <w:szCs w:val="22"/>
                    </w:rPr>
                    <w:t>0.9</w:t>
                  </w:r>
                </w:p>
              </w:tc>
            </w:tr>
            <w:tr w14:paraId="7DC33B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601EBBC5">
                  <w:pPr>
                    <w:widowControl/>
                    <w:spacing w:line="240" w:lineRule="auto"/>
                    <w:ind w:firstLine="0" w:firstLineChars="0"/>
                    <w:jc w:val="left"/>
                    <w:rPr>
                      <w:sz w:val="21"/>
                      <w:szCs w:val="22"/>
                    </w:rPr>
                  </w:pPr>
                </w:p>
              </w:tc>
              <w:tc>
                <w:tcPr>
                  <w:tcW w:w="939" w:type="pct"/>
                  <w:gridSpan w:val="2"/>
                  <w:tcBorders>
                    <w:top w:val="single" w:color="auto" w:sz="6" w:space="0"/>
                    <w:left w:val="single" w:color="auto" w:sz="6" w:space="0"/>
                    <w:bottom w:val="single" w:color="auto" w:sz="6" w:space="0"/>
                    <w:right w:val="single" w:color="auto" w:sz="6" w:space="0"/>
                  </w:tcBorders>
                  <w:vAlign w:val="center"/>
                </w:tcPr>
                <w:p w14:paraId="161665DC">
                  <w:pPr>
                    <w:spacing w:line="240" w:lineRule="auto"/>
                    <w:ind w:firstLine="0" w:firstLineChars="0"/>
                    <w:contextualSpacing/>
                    <w:jc w:val="center"/>
                    <w:rPr>
                      <w:sz w:val="21"/>
                      <w:szCs w:val="22"/>
                    </w:rPr>
                  </w:pPr>
                  <w:r>
                    <w:rPr>
                      <w:rFonts w:hint="eastAsia"/>
                      <w:sz w:val="21"/>
                      <w:szCs w:val="22"/>
                    </w:rPr>
                    <w:t>自燃点：约</w:t>
                  </w:r>
                  <w:r>
                    <w:rPr>
                      <w:sz w:val="21"/>
                      <w:szCs w:val="22"/>
                    </w:rPr>
                    <w:t>250℃</w:t>
                  </w:r>
                </w:p>
              </w:tc>
              <w:tc>
                <w:tcPr>
                  <w:tcW w:w="1163" w:type="pct"/>
                  <w:gridSpan w:val="2"/>
                  <w:tcBorders>
                    <w:top w:val="single" w:color="auto" w:sz="6" w:space="0"/>
                    <w:left w:val="single" w:color="auto" w:sz="6" w:space="0"/>
                    <w:bottom w:val="single" w:color="auto" w:sz="6" w:space="0"/>
                    <w:right w:val="single" w:color="auto" w:sz="6" w:space="0"/>
                  </w:tcBorders>
                  <w:vAlign w:val="center"/>
                </w:tcPr>
                <w:p w14:paraId="744E74F9">
                  <w:pPr>
                    <w:spacing w:line="240" w:lineRule="auto"/>
                    <w:ind w:firstLine="0" w:firstLineChars="0"/>
                    <w:contextualSpacing/>
                    <w:jc w:val="center"/>
                    <w:rPr>
                      <w:sz w:val="21"/>
                      <w:szCs w:val="22"/>
                    </w:rPr>
                  </w:pPr>
                  <w:r>
                    <w:rPr>
                      <w:rFonts w:hint="eastAsia"/>
                      <w:sz w:val="21"/>
                      <w:szCs w:val="22"/>
                    </w:rPr>
                    <w:t>火灾危险性分类：乙</w:t>
                  </w:r>
                  <w:r>
                    <w:rPr>
                      <w:sz w:val="21"/>
                      <w:szCs w:val="22"/>
                    </w:rPr>
                    <w:t>B</w:t>
                  </w:r>
                </w:p>
              </w:tc>
              <w:tc>
                <w:tcPr>
                  <w:tcW w:w="347" w:type="pct"/>
                  <w:vMerge w:val="restart"/>
                  <w:tcBorders>
                    <w:top w:val="single" w:color="auto" w:sz="6" w:space="0"/>
                    <w:left w:val="single" w:color="auto" w:sz="6" w:space="0"/>
                    <w:bottom w:val="single" w:color="auto" w:sz="6" w:space="0"/>
                    <w:right w:val="single" w:color="auto" w:sz="6" w:space="0"/>
                  </w:tcBorders>
                  <w:vAlign w:val="center"/>
                </w:tcPr>
                <w:p w14:paraId="00EA5C50">
                  <w:pPr>
                    <w:spacing w:line="240" w:lineRule="auto"/>
                    <w:ind w:firstLine="0" w:firstLineChars="0"/>
                    <w:contextualSpacing/>
                    <w:jc w:val="center"/>
                    <w:rPr>
                      <w:sz w:val="21"/>
                      <w:szCs w:val="22"/>
                    </w:rPr>
                  </w:pPr>
                  <w:r>
                    <w:rPr>
                      <w:rFonts w:hint="eastAsia"/>
                      <w:sz w:val="21"/>
                      <w:szCs w:val="22"/>
                    </w:rPr>
                    <w:t>毒害性及健康危害</w:t>
                  </w: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39E4133F">
                  <w:pPr>
                    <w:spacing w:line="240" w:lineRule="auto"/>
                    <w:ind w:firstLine="0" w:firstLineChars="0"/>
                    <w:contextualSpacing/>
                    <w:jc w:val="center"/>
                    <w:rPr>
                      <w:sz w:val="21"/>
                      <w:szCs w:val="22"/>
                    </w:rPr>
                  </w:pPr>
                  <w:r>
                    <w:rPr>
                      <w:rFonts w:hint="eastAsia"/>
                      <w:sz w:val="21"/>
                      <w:szCs w:val="22"/>
                    </w:rPr>
                    <w:t>职业性接触毒物危害程度分级：无资料</w:t>
                  </w:r>
                </w:p>
              </w:tc>
            </w:tr>
            <w:tr w14:paraId="54A836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45DB983F">
                  <w:pPr>
                    <w:widowControl/>
                    <w:spacing w:line="240" w:lineRule="auto"/>
                    <w:ind w:firstLine="0" w:firstLineChars="0"/>
                    <w:jc w:val="left"/>
                    <w:rPr>
                      <w:sz w:val="21"/>
                      <w:szCs w:val="22"/>
                    </w:rPr>
                  </w:pPr>
                </w:p>
              </w:tc>
              <w:tc>
                <w:tcPr>
                  <w:tcW w:w="2102" w:type="pct"/>
                  <w:gridSpan w:val="4"/>
                  <w:vMerge w:val="restart"/>
                  <w:tcBorders>
                    <w:top w:val="single" w:color="auto" w:sz="6" w:space="0"/>
                    <w:left w:val="single" w:color="auto" w:sz="6" w:space="0"/>
                    <w:bottom w:val="single" w:color="auto" w:sz="6" w:space="0"/>
                    <w:right w:val="single" w:color="auto" w:sz="6" w:space="0"/>
                  </w:tcBorders>
                  <w:vAlign w:val="center"/>
                </w:tcPr>
                <w:p w14:paraId="146C8D85">
                  <w:pPr>
                    <w:spacing w:line="240" w:lineRule="auto"/>
                    <w:ind w:firstLine="0" w:firstLineChars="0"/>
                    <w:contextualSpacing/>
                    <w:jc w:val="center"/>
                    <w:rPr>
                      <w:sz w:val="21"/>
                      <w:szCs w:val="22"/>
                    </w:rPr>
                  </w:pPr>
                  <w:r>
                    <w:rPr>
                      <w:rFonts w:hint="eastAsia"/>
                      <w:sz w:val="21"/>
                      <w:szCs w:val="22"/>
                    </w:rPr>
                    <w:t>危险特性：遇明火、高热或与氧化剂接触，有引起燃烧爆炸的危险。若遇高热，容器内压增大，有开裂和爆炸的危险。</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237DD89F">
                  <w:pPr>
                    <w:widowControl/>
                    <w:spacing w:line="240" w:lineRule="auto"/>
                    <w:ind w:firstLine="0" w:firstLineChars="0"/>
                    <w:jc w:val="left"/>
                    <w:rPr>
                      <w:sz w:val="21"/>
                      <w:szCs w:val="22"/>
                    </w:rPr>
                  </w:pP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2DEC132B">
                  <w:pPr>
                    <w:spacing w:line="240" w:lineRule="auto"/>
                    <w:ind w:firstLine="0" w:firstLineChars="0"/>
                    <w:contextualSpacing/>
                    <w:jc w:val="center"/>
                    <w:rPr>
                      <w:sz w:val="21"/>
                      <w:szCs w:val="22"/>
                    </w:rPr>
                  </w:pPr>
                  <w:r>
                    <w:rPr>
                      <w:rFonts w:hint="eastAsia"/>
                      <w:sz w:val="21"/>
                      <w:szCs w:val="22"/>
                    </w:rPr>
                    <w:t>毒性资料：无资料</w:t>
                  </w:r>
                </w:p>
              </w:tc>
            </w:tr>
            <w:tr w14:paraId="01812E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543D03AF">
                  <w:pPr>
                    <w:widowControl/>
                    <w:spacing w:line="240" w:lineRule="auto"/>
                    <w:ind w:firstLine="0" w:firstLineChars="0"/>
                    <w:jc w:val="left"/>
                    <w:rPr>
                      <w:sz w:val="21"/>
                      <w:szCs w:val="22"/>
                    </w:rPr>
                  </w:pPr>
                </w:p>
              </w:tc>
              <w:tc>
                <w:tcPr>
                  <w:tcW w:w="0" w:type="auto"/>
                  <w:gridSpan w:val="4"/>
                  <w:vMerge w:val="continue"/>
                  <w:tcBorders>
                    <w:top w:val="single" w:color="auto" w:sz="6" w:space="0"/>
                    <w:left w:val="single" w:color="auto" w:sz="6" w:space="0"/>
                    <w:bottom w:val="single" w:color="auto" w:sz="6" w:space="0"/>
                    <w:right w:val="single" w:color="auto" w:sz="6" w:space="0"/>
                  </w:tcBorders>
                  <w:vAlign w:val="center"/>
                </w:tcPr>
                <w:p w14:paraId="43C335BA">
                  <w:pPr>
                    <w:widowControl/>
                    <w:spacing w:line="240" w:lineRule="auto"/>
                    <w:ind w:firstLine="0" w:firstLineChars="0"/>
                    <w:jc w:val="left"/>
                    <w:rPr>
                      <w:sz w:val="21"/>
                      <w:szCs w:val="22"/>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32F102A7">
                  <w:pPr>
                    <w:widowControl/>
                    <w:spacing w:line="240" w:lineRule="auto"/>
                    <w:ind w:firstLine="0" w:firstLineChars="0"/>
                    <w:jc w:val="left"/>
                    <w:rPr>
                      <w:sz w:val="21"/>
                      <w:szCs w:val="22"/>
                    </w:rPr>
                  </w:pP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62FF9197">
                  <w:pPr>
                    <w:spacing w:line="240" w:lineRule="auto"/>
                    <w:ind w:firstLine="0" w:firstLineChars="0"/>
                    <w:contextualSpacing/>
                    <w:jc w:val="center"/>
                    <w:rPr>
                      <w:sz w:val="21"/>
                      <w:szCs w:val="22"/>
                    </w:rPr>
                  </w:pPr>
                  <w:r>
                    <w:rPr>
                      <w:rFonts w:hint="eastAsia"/>
                      <w:sz w:val="21"/>
                      <w:szCs w:val="22"/>
                    </w:rPr>
                    <w:t>职业接触限值</w:t>
                  </w:r>
                </w:p>
              </w:tc>
            </w:tr>
            <w:tr w14:paraId="134CB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53D99DF4">
                  <w:pPr>
                    <w:widowControl/>
                    <w:spacing w:line="240" w:lineRule="auto"/>
                    <w:ind w:firstLine="0" w:firstLineChars="0"/>
                    <w:jc w:val="left"/>
                    <w:rPr>
                      <w:sz w:val="21"/>
                      <w:szCs w:val="22"/>
                    </w:rPr>
                  </w:pPr>
                </w:p>
              </w:tc>
              <w:tc>
                <w:tcPr>
                  <w:tcW w:w="0" w:type="auto"/>
                  <w:gridSpan w:val="4"/>
                  <w:vMerge w:val="continue"/>
                  <w:tcBorders>
                    <w:top w:val="single" w:color="auto" w:sz="6" w:space="0"/>
                    <w:left w:val="single" w:color="auto" w:sz="6" w:space="0"/>
                    <w:bottom w:val="single" w:color="auto" w:sz="6" w:space="0"/>
                    <w:right w:val="single" w:color="auto" w:sz="6" w:space="0"/>
                  </w:tcBorders>
                  <w:vAlign w:val="center"/>
                </w:tcPr>
                <w:p w14:paraId="5E8D8802">
                  <w:pPr>
                    <w:widowControl/>
                    <w:spacing w:line="240" w:lineRule="auto"/>
                    <w:ind w:firstLine="0" w:firstLineChars="0"/>
                    <w:jc w:val="left"/>
                    <w:rPr>
                      <w:sz w:val="21"/>
                      <w:szCs w:val="22"/>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76A7AF62">
                  <w:pPr>
                    <w:widowControl/>
                    <w:spacing w:line="240" w:lineRule="auto"/>
                    <w:ind w:firstLine="0" w:firstLineChars="0"/>
                    <w:jc w:val="left"/>
                    <w:rPr>
                      <w:sz w:val="21"/>
                      <w:szCs w:val="22"/>
                    </w:rPr>
                  </w:pP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1A0029B5">
                  <w:pPr>
                    <w:spacing w:line="240" w:lineRule="auto"/>
                    <w:ind w:firstLine="0" w:firstLineChars="0"/>
                    <w:contextualSpacing/>
                    <w:jc w:val="center"/>
                    <w:rPr>
                      <w:sz w:val="21"/>
                      <w:szCs w:val="22"/>
                    </w:rPr>
                  </w:pPr>
                  <w:r>
                    <w:rPr>
                      <w:sz w:val="21"/>
                      <w:szCs w:val="22"/>
                    </w:rPr>
                    <w:t>MAC</w:t>
                  </w:r>
                  <w:r>
                    <w:rPr>
                      <w:rFonts w:hint="eastAsia"/>
                      <w:sz w:val="21"/>
                      <w:szCs w:val="22"/>
                    </w:rPr>
                    <w:t>：无资料</w:t>
                  </w:r>
                </w:p>
              </w:tc>
            </w:tr>
            <w:tr w14:paraId="3ABA26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00E8853F">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734C85B2">
                  <w:pPr>
                    <w:spacing w:line="240" w:lineRule="auto"/>
                    <w:ind w:firstLine="0" w:firstLineChars="0"/>
                    <w:contextualSpacing/>
                    <w:jc w:val="center"/>
                    <w:rPr>
                      <w:sz w:val="21"/>
                      <w:szCs w:val="22"/>
                    </w:rPr>
                  </w:pPr>
                  <w:r>
                    <w:rPr>
                      <w:rFonts w:hint="eastAsia"/>
                      <w:sz w:val="21"/>
                      <w:szCs w:val="22"/>
                    </w:rPr>
                    <w:t>燃烧</w:t>
                  </w:r>
                  <w:r>
                    <w:rPr>
                      <w:sz w:val="21"/>
                      <w:szCs w:val="22"/>
                    </w:rPr>
                    <w:t>(</w:t>
                  </w:r>
                  <w:r>
                    <w:rPr>
                      <w:rFonts w:hint="eastAsia"/>
                      <w:sz w:val="21"/>
                      <w:szCs w:val="22"/>
                    </w:rPr>
                    <w:t>分解</w:t>
                  </w:r>
                  <w:r>
                    <w:rPr>
                      <w:sz w:val="21"/>
                      <w:szCs w:val="22"/>
                    </w:rPr>
                    <w:t>)</w:t>
                  </w:r>
                  <w:r>
                    <w:rPr>
                      <w:rFonts w:hint="eastAsia"/>
                      <w:sz w:val="21"/>
                      <w:szCs w:val="22"/>
                    </w:rPr>
                    <w:t>产物：一氧化碳、二氧化碳。</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59B1E644">
                  <w:pPr>
                    <w:widowControl/>
                    <w:spacing w:line="240" w:lineRule="auto"/>
                    <w:ind w:firstLine="0" w:firstLineChars="0"/>
                    <w:jc w:val="left"/>
                    <w:rPr>
                      <w:sz w:val="21"/>
                      <w:szCs w:val="22"/>
                    </w:rPr>
                  </w:pP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18DB9399">
                  <w:pPr>
                    <w:spacing w:line="240" w:lineRule="auto"/>
                    <w:ind w:firstLine="0" w:firstLineChars="0"/>
                    <w:contextualSpacing/>
                    <w:jc w:val="center"/>
                    <w:rPr>
                      <w:sz w:val="21"/>
                      <w:szCs w:val="22"/>
                    </w:rPr>
                  </w:pPr>
                  <w:r>
                    <w:rPr>
                      <w:sz w:val="21"/>
                      <w:szCs w:val="22"/>
                    </w:rPr>
                    <w:t>PC-TWA</w:t>
                  </w:r>
                  <w:r>
                    <w:rPr>
                      <w:rFonts w:hint="eastAsia"/>
                      <w:sz w:val="21"/>
                      <w:szCs w:val="22"/>
                    </w:rPr>
                    <w:t>：无资料</w:t>
                  </w:r>
                </w:p>
              </w:tc>
            </w:tr>
            <w:tr w14:paraId="4E135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126BA43B">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468820EF">
                  <w:pPr>
                    <w:spacing w:line="240" w:lineRule="auto"/>
                    <w:ind w:firstLine="0" w:firstLineChars="0"/>
                    <w:contextualSpacing/>
                    <w:jc w:val="center"/>
                    <w:rPr>
                      <w:sz w:val="21"/>
                      <w:szCs w:val="22"/>
                    </w:rPr>
                  </w:pPr>
                  <w:r>
                    <w:rPr>
                      <w:rFonts w:hint="eastAsia"/>
                      <w:sz w:val="21"/>
                      <w:szCs w:val="22"/>
                    </w:rPr>
                    <w:t>禁忌物：强氧化剂、卤素。</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6F643ED2">
                  <w:pPr>
                    <w:widowControl/>
                    <w:spacing w:line="240" w:lineRule="auto"/>
                    <w:ind w:firstLine="0" w:firstLineChars="0"/>
                    <w:jc w:val="left"/>
                    <w:rPr>
                      <w:sz w:val="21"/>
                      <w:szCs w:val="22"/>
                    </w:rPr>
                  </w:pP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73CB01DC">
                  <w:pPr>
                    <w:spacing w:line="240" w:lineRule="auto"/>
                    <w:ind w:firstLine="0" w:firstLineChars="0"/>
                    <w:contextualSpacing/>
                    <w:jc w:val="center"/>
                    <w:rPr>
                      <w:sz w:val="21"/>
                      <w:szCs w:val="22"/>
                    </w:rPr>
                  </w:pPr>
                  <w:r>
                    <w:rPr>
                      <w:sz w:val="21"/>
                      <w:szCs w:val="22"/>
                    </w:rPr>
                    <w:t>PC-STEL</w:t>
                  </w:r>
                  <w:r>
                    <w:rPr>
                      <w:rFonts w:hint="eastAsia"/>
                      <w:sz w:val="21"/>
                      <w:szCs w:val="22"/>
                    </w:rPr>
                    <w:t>：无资料</w:t>
                  </w:r>
                </w:p>
              </w:tc>
            </w:tr>
            <w:tr w14:paraId="322BC0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567C00F5">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6E3D9D0E">
                  <w:pPr>
                    <w:spacing w:line="240" w:lineRule="auto"/>
                    <w:ind w:firstLine="0" w:firstLineChars="0"/>
                    <w:contextualSpacing/>
                    <w:jc w:val="center"/>
                    <w:rPr>
                      <w:sz w:val="21"/>
                      <w:szCs w:val="22"/>
                    </w:rPr>
                  </w:pPr>
                  <w:r>
                    <w:rPr>
                      <w:rFonts w:hint="eastAsia"/>
                      <w:sz w:val="21"/>
                      <w:szCs w:val="22"/>
                    </w:rPr>
                    <w:t>避免接触的条件：无资料</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4CBF0B0F">
                  <w:pPr>
                    <w:widowControl/>
                    <w:spacing w:line="240" w:lineRule="auto"/>
                    <w:ind w:firstLine="0" w:firstLineChars="0"/>
                    <w:jc w:val="left"/>
                    <w:rPr>
                      <w:sz w:val="21"/>
                      <w:szCs w:val="22"/>
                    </w:rPr>
                  </w:pP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58182AB8">
                  <w:pPr>
                    <w:spacing w:line="240" w:lineRule="auto"/>
                    <w:ind w:firstLine="0" w:firstLineChars="0"/>
                    <w:contextualSpacing/>
                    <w:jc w:val="center"/>
                    <w:rPr>
                      <w:sz w:val="21"/>
                      <w:szCs w:val="22"/>
                    </w:rPr>
                  </w:pPr>
                  <w:r>
                    <w:rPr>
                      <w:rFonts w:hint="eastAsia"/>
                      <w:sz w:val="21"/>
                      <w:szCs w:val="22"/>
                    </w:rPr>
                    <w:t>侵入途径及健康危害</w:t>
                  </w:r>
                </w:p>
              </w:tc>
            </w:tr>
            <w:tr w14:paraId="364C2D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538E0214">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09F296EE">
                  <w:pPr>
                    <w:spacing w:line="240" w:lineRule="auto"/>
                    <w:ind w:firstLine="0" w:firstLineChars="0"/>
                    <w:contextualSpacing/>
                    <w:rPr>
                      <w:sz w:val="21"/>
                      <w:szCs w:val="22"/>
                    </w:rPr>
                  </w:pPr>
                  <w:r>
                    <w:rPr>
                      <w:rFonts w:hint="eastAsia"/>
                      <w:sz w:val="21"/>
                      <w:szCs w:val="22"/>
                    </w:rPr>
                    <w:t>灭火剂：泡沫、二氧化碳、干粉、砂土。</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3A94DDE3">
                  <w:pPr>
                    <w:widowControl/>
                    <w:spacing w:line="240" w:lineRule="auto"/>
                    <w:ind w:firstLine="0" w:firstLineChars="0"/>
                    <w:jc w:val="left"/>
                    <w:rPr>
                      <w:sz w:val="21"/>
                      <w:szCs w:val="22"/>
                    </w:rPr>
                  </w:pP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7C11147E">
                  <w:pPr>
                    <w:spacing w:line="240" w:lineRule="auto"/>
                    <w:ind w:firstLine="0" w:firstLineChars="0"/>
                    <w:contextualSpacing/>
                    <w:jc w:val="center"/>
                    <w:rPr>
                      <w:sz w:val="21"/>
                      <w:szCs w:val="22"/>
                    </w:rPr>
                  </w:pPr>
                  <w:r>
                    <w:rPr>
                      <w:rFonts w:hint="eastAsia"/>
                      <w:sz w:val="21"/>
                      <w:szCs w:val="22"/>
                    </w:rPr>
                    <w:t>侵入途径：吸入、食入、经皮吸收</w:t>
                  </w:r>
                </w:p>
              </w:tc>
            </w:tr>
            <w:tr w14:paraId="26408F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23792CA3">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7AB22D19">
                  <w:pPr>
                    <w:spacing w:line="240" w:lineRule="auto"/>
                    <w:ind w:firstLine="0" w:firstLineChars="0"/>
                    <w:contextualSpacing/>
                    <w:jc w:val="center"/>
                    <w:rPr>
                      <w:sz w:val="21"/>
                      <w:szCs w:val="22"/>
                    </w:rPr>
                  </w:pPr>
                  <w:r>
                    <w:rPr>
                      <w:rFonts w:hint="eastAsia"/>
                      <w:sz w:val="21"/>
                      <w:szCs w:val="22"/>
                    </w:rPr>
                    <w:t>禁用灭火剂：水</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207907A7">
                  <w:pPr>
                    <w:widowControl/>
                    <w:spacing w:line="240" w:lineRule="auto"/>
                    <w:ind w:firstLine="0" w:firstLineChars="0"/>
                    <w:jc w:val="left"/>
                    <w:rPr>
                      <w:sz w:val="21"/>
                      <w:szCs w:val="22"/>
                    </w:rPr>
                  </w:pPr>
                </w:p>
              </w:tc>
              <w:tc>
                <w:tcPr>
                  <w:tcW w:w="1961" w:type="pct"/>
                  <w:gridSpan w:val="4"/>
                  <w:vMerge w:val="restart"/>
                  <w:tcBorders>
                    <w:top w:val="single" w:color="auto" w:sz="6" w:space="0"/>
                    <w:left w:val="single" w:color="auto" w:sz="6" w:space="0"/>
                    <w:bottom w:val="single" w:color="auto" w:sz="6" w:space="0"/>
                    <w:right w:val="single" w:color="auto" w:sz="12" w:space="0"/>
                  </w:tcBorders>
                  <w:vAlign w:val="center"/>
                </w:tcPr>
                <w:p w14:paraId="5E2756FA">
                  <w:pPr>
                    <w:spacing w:line="240" w:lineRule="auto"/>
                    <w:ind w:firstLine="0" w:firstLineChars="0"/>
                    <w:contextualSpacing/>
                    <w:jc w:val="center"/>
                    <w:rPr>
                      <w:sz w:val="21"/>
                      <w:szCs w:val="22"/>
                    </w:rPr>
                  </w:pPr>
                  <w:r>
                    <w:rPr>
                      <w:rFonts w:hint="eastAsia"/>
                      <w:sz w:val="21"/>
                      <w:szCs w:val="22"/>
                    </w:rPr>
                    <w:t>健康危害：皮肤接触柴油可引起接触性皮炎、油性痤疮，吸入可引起吸入性肺炎。能经胎盘进入胎儿血中。柴油废气可引起眼、鼻刺激症状，头晕及头痛。</w:t>
                  </w:r>
                </w:p>
              </w:tc>
            </w:tr>
            <w:tr w14:paraId="1B5A7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90" w:type="pct"/>
                  <w:vMerge w:val="restart"/>
                  <w:tcBorders>
                    <w:top w:val="single" w:color="auto" w:sz="6" w:space="0"/>
                    <w:left w:val="single" w:color="auto" w:sz="12" w:space="0"/>
                    <w:bottom w:val="single" w:color="auto" w:sz="6" w:space="0"/>
                    <w:right w:val="single" w:color="auto" w:sz="6" w:space="0"/>
                  </w:tcBorders>
                  <w:vAlign w:val="center"/>
                </w:tcPr>
                <w:p w14:paraId="15C799E8">
                  <w:pPr>
                    <w:spacing w:line="240" w:lineRule="auto"/>
                    <w:ind w:firstLine="0" w:firstLineChars="0"/>
                    <w:contextualSpacing/>
                    <w:jc w:val="center"/>
                    <w:rPr>
                      <w:sz w:val="21"/>
                      <w:szCs w:val="22"/>
                    </w:rPr>
                  </w:pPr>
                  <w:r>
                    <w:rPr>
                      <w:rFonts w:hint="eastAsia"/>
                      <w:sz w:val="21"/>
                      <w:szCs w:val="22"/>
                    </w:rPr>
                    <w:t>急救措施</w:t>
                  </w: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25680D95">
                  <w:pPr>
                    <w:spacing w:line="240" w:lineRule="auto"/>
                    <w:ind w:firstLine="0" w:firstLineChars="0"/>
                    <w:contextualSpacing/>
                    <w:jc w:val="center"/>
                    <w:rPr>
                      <w:sz w:val="21"/>
                      <w:szCs w:val="22"/>
                    </w:rPr>
                  </w:pPr>
                  <w:r>
                    <w:rPr>
                      <w:rFonts w:hint="eastAsia"/>
                      <w:sz w:val="21"/>
                      <w:szCs w:val="22"/>
                    </w:rPr>
                    <w:t>皮肤接触：脱去污染的衣着，用肥皂和大量清水清洗污染皮肤。</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23DDDEBA">
                  <w:pPr>
                    <w:widowControl/>
                    <w:spacing w:line="240" w:lineRule="auto"/>
                    <w:ind w:firstLine="0" w:firstLineChars="0"/>
                    <w:jc w:val="left"/>
                    <w:rPr>
                      <w:sz w:val="21"/>
                      <w:szCs w:val="22"/>
                    </w:rPr>
                  </w:pPr>
                </w:p>
              </w:tc>
              <w:tc>
                <w:tcPr>
                  <w:tcW w:w="0" w:type="auto"/>
                  <w:gridSpan w:val="4"/>
                  <w:vMerge w:val="continue"/>
                  <w:tcBorders>
                    <w:top w:val="single" w:color="auto" w:sz="6" w:space="0"/>
                    <w:left w:val="single" w:color="auto" w:sz="6" w:space="0"/>
                    <w:bottom w:val="single" w:color="auto" w:sz="6" w:space="0"/>
                    <w:right w:val="single" w:color="auto" w:sz="12" w:space="0"/>
                  </w:tcBorders>
                  <w:vAlign w:val="center"/>
                </w:tcPr>
                <w:p w14:paraId="11B657FF">
                  <w:pPr>
                    <w:widowControl/>
                    <w:spacing w:line="240" w:lineRule="auto"/>
                    <w:ind w:firstLine="0" w:firstLineChars="0"/>
                    <w:jc w:val="left"/>
                    <w:rPr>
                      <w:sz w:val="21"/>
                      <w:szCs w:val="22"/>
                    </w:rPr>
                  </w:pPr>
                </w:p>
              </w:tc>
            </w:tr>
            <w:tr w14:paraId="26F7A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79920823">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724F1C93">
                  <w:pPr>
                    <w:spacing w:line="240" w:lineRule="auto"/>
                    <w:ind w:firstLine="0" w:firstLineChars="0"/>
                    <w:contextualSpacing/>
                    <w:jc w:val="center"/>
                    <w:rPr>
                      <w:sz w:val="21"/>
                      <w:szCs w:val="22"/>
                    </w:rPr>
                  </w:pPr>
                  <w:r>
                    <w:rPr>
                      <w:rFonts w:hint="eastAsia"/>
                      <w:sz w:val="21"/>
                      <w:szCs w:val="22"/>
                    </w:rPr>
                    <w:t>眼睛接触：无资料</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600828F7">
                  <w:pPr>
                    <w:widowControl/>
                    <w:spacing w:line="240" w:lineRule="auto"/>
                    <w:ind w:firstLine="0" w:firstLineChars="0"/>
                    <w:jc w:val="left"/>
                    <w:rPr>
                      <w:sz w:val="21"/>
                      <w:szCs w:val="22"/>
                    </w:rPr>
                  </w:pPr>
                </w:p>
              </w:tc>
              <w:tc>
                <w:tcPr>
                  <w:tcW w:w="0" w:type="auto"/>
                  <w:gridSpan w:val="4"/>
                  <w:vMerge w:val="continue"/>
                  <w:tcBorders>
                    <w:top w:val="single" w:color="auto" w:sz="6" w:space="0"/>
                    <w:left w:val="single" w:color="auto" w:sz="6" w:space="0"/>
                    <w:bottom w:val="single" w:color="auto" w:sz="6" w:space="0"/>
                    <w:right w:val="single" w:color="auto" w:sz="12" w:space="0"/>
                  </w:tcBorders>
                  <w:vAlign w:val="center"/>
                </w:tcPr>
                <w:p w14:paraId="3418656C">
                  <w:pPr>
                    <w:widowControl/>
                    <w:spacing w:line="240" w:lineRule="auto"/>
                    <w:ind w:firstLine="0" w:firstLineChars="0"/>
                    <w:jc w:val="left"/>
                    <w:rPr>
                      <w:sz w:val="21"/>
                      <w:szCs w:val="22"/>
                    </w:rPr>
                  </w:pPr>
                </w:p>
              </w:tc>
            </w:tr>
            <w:tr w14:paraId="3B6EF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055A42BB">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72BEA70B">
                  <w:pPr>
                    <w:spacing w:line="240" w:lineRule="auto"/>
                    <w:ind w:firstLine="0" w:firstLineChars="0"/>
                    <w:contextualSpacing/>
                    <w:jc w:val="center"/>
                    <w:rPr>
                      <w:sz w:val="21"/>
                      <w:szCs w:val="22"/>
                    </w:rPr>
                  </w:pPr>
                  <w:r>
                    <w:rPr>
                      <w:rFonts w:hint="eastAsia"/>
                      <w:sz w:val="21"/>
                      <w:szCs w:val="22"/>
                    </w:rPr>
                    <w:t>吸入：无资料</w:t>
                  </w:r>
                </w:p>
              </w:tc>
              <w:tc>
                <w:tcPr>
                  <w:tcW w:w="347" w:type="pct"/>
                  <w:vMerge w:val="restart"/>
                  <w:tcBorders>
                    <w:top w:val="single" w:color="auto" w:sz="6" w:space="0"/>
                    <w:left w:val="single" w:color="auto" w:sz="6" w:space="0"/>
                    <w:bottom w:val="single" w:color="auto" w:sz="6" w:space="0"/>
                    <w:right w:val="single" w:color="auto" w:sz="6" w:space="0"/>
                  </w:tcBorders>
                  <w:vAlign w:val="center"/>
                </w:tcPr>
                <w:p w14:paraId="171B4A28">
                  <w:pPr>
                    <w:spacing w:line="240" w:lineRule="auto"/>
                    <w:ind w:firstLine="0" w:firstLineChars="0"/>
                    <w:contextualSpacing/>
                    <w:jc w:val="center"/>
                    <w:rPr>
                      <w:sz w:val="21"/>
                      <w:szCs w:val="22"/>
                    </w:rPr>
                  </w:pPr>
                  <w:r>
                    <w:rPr>
                      <w:rFonts w:hint="eastAsia"/>
                      <w:sz w:val="21"/>
                      <w:szCs w:val="22"/>
                    </w:rPr>
                    <w:t>泄漏处理</w:t>
                  </w:r>
                </w:p>
              </w:tc>
              <w:tc>
                <w:tcPr>
                  <w:tcW w:w="1961" w:type="pct"/>
                  <w:gridSpan w:val="4"/>
                  <w:vMerge w:val="restart"/>
                  <w:tcBorders>
                    <w:top w:val="single" w:color="auto" w:sz="6" w:space="0"/>
                    <w:left w:val="single" w:color="auto" w:sz="6" w:space="0"/>
                    <w:bottom w:val="single" w:color="auto" w:sz="6" w:space="0"/>
                    <w:right w:val="single" w:color="auto" w:sz="12" w:space="0"/>
                  </w:tcBorders>
                  <w:vAlign w:val="center"/>
                </w:tcPr>
                <w:p w14:paraId="0CF8AF6F">
                  <w:pPr>
                    <w:spacing w:line="240" w:lineRule="auto"/>
                    <w:ind w:firstLine="0" w:firstLineChars="0"/>
                    <w:contextualSpacing/>
                    <w:jc w:val="center"/>
                    <w:rPr>
                      <w:sz w:val="21"/>
                      <w:szCs w:val="22"/>
                    </w:rPr>
                  </w:pPr>
                  <w:r>
                    <w:rPr>
                      <w:rFonts w:hint="eastAsia"/>
                      <w:sz w:val="21"/>
                      <w:szCs w:val="22"/>
                    </w:rPr>
                    <w:t>切断火源。应急处理人员戴好防毒面具，穿化学防护服。在确保安全情况下堵漏。用活性炭或其它惰性材料吸收，然后收集运到空旷处焚烧。如大量泄漏，利用围堤收容，然后收集、转移、回收或无害处理后废弃。</w:t>
                  </w:r>
                </w:p>
              </w:tc>
            </w:tr>
            <w:tr w14:paraId="5D0FD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2A6FA06E">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176A59DB">
                  <w:pPr>
                    <w:spacing w:line="240" w:lineRule="auto"/>
                    <w:ind w:firstLine="0" w:firstLineChars="0"/>
                    <w:contextualSpacing/>
                    <w:jc w:val="center"/>
                    <w:rPr>
                      <w:sz w:val="21"/>
                      <w:szCs w:val="22"/>
                    </w:rPr>
                  </w:pPr>
                  <w:r>
                    <w:rPr>
                      <w:rFonts w:hint="eastAsia"/>
                      <w:sz w:val="21"/>
                      <w:szCs w:val="22"/>
                    </w:rPr>
                    <w:t>食入：无资料</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6605DB62">
                  <w:pPr>
                    <w:widowControl/>
                    <w:spacing w:line="240" w:lineRule="auto"/>
                    <w:ind w:firstLine="0" w:firstLineChars="0"/>
                    <w:jc w:val="left"/>
                    <w:rPr>
                      <w:sz w:val="21"/>
                      <w:szCs w:val="22"/>
                    </w:rPr>
                  </w:pPr>
                </w:p>
              </w:tc>
              <w:tc>
                <w:tcPr>
                  <w:tcW w:w="0" w:type="auto"/>
                  <w:gridSpan w:val="4"/>
                  <w:vMerge w:val="continue"/>
                  <w:tcBorders>
                    <w:top w:val="single" w:color="auto" w:sz="6" w:space="0"/>
                    <w:left w:val="single" w:color="auto" w:sz="6" w:space="0"/>
                    <w:bottom w:val="single" w:color="auto" w:sz="6" w:space="0"/>
                    <w:right w:val="single" w:color="auto" w:sz="12" w:space="0"/>
                  </w:tcBorders>
                  <w:vAlign w:val="center"/>
                </w:tcPr>
                <w:p w14:paraId="09BE1A9E">
                  <w:pPr>
                    <w:widowControl/>
                    <w:spacing w:line="240" w:lineRule="auto"/>
                    <w:ind w:firstLine="0" w:firstLineChars="0"/>
                    <w:jc w:val="left"/>
                    <w:rPr>
                      <w:sz w:val="21"/>
                      <w:szCs w:val="22"/>
                    </w:rPr>
                  </w:pPr>
                </w:p>
              </w:tc>
            </w:tr>
            <w:tr w14:paraId="434DF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90" w:type="pct"/>
                  <w:vMerge w:val="restart"/>
                  <w:tcBorders>
                    <w:top w:val="single" w:color="auto" w:sz="6" w:space="0"/>
                    <w:left w:val="single" w:color="auto" w:sz="12" w:space="0"/>
                    <w:bottom w:val="single" w:color="auto" w:sz="6" w:space="0"/>
                    <w:right w:val="single" w:color="auto" w:sz="6" w:space="0"/>
                  </w:tcBorders>
                  <w:vAlign w:val="center"/>
                </w:tcPr>
                <w:p w14:paraId="436A296D">
                  <w:pPr>
                    <w:spacing w:line="240" w:lineRule="auto"/>
                    <w:ind w:firstLine="0" w:firstLineChars="0"/>
                    <w:contextualSpacing/>
                    <w:jc w:val="center"/>
                    <w:rPr>
                      <w:sz w:val="21"/>
                      <w:szCs w:val="22"/>
                    </w:rPr>
                  </w:pPr>
                  <w:r>
                    <w:rPr>
                      <w:rFonts w:hint="eastAsia"/>
                      <w:sz w:val="21"/>
                      <w:szCs w:val="22"/>
                    </w:rPr>
                    <w:t>防护措施</w:t>
                  </w: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5AC413B0">
                  <w:pPr>
                    <w:spacing w:line="240" w:lineRule="auto"/>
                    <w:ind w:firstLine="0" w:firstLineChars="0"/>
                    <w:contextualSpacing/>
                    <w:jc w:val="center"/>
                    <w:rPr>
                      <w:sz w:val="21"/>
                      <w:szCs w:val="22"/>
                    </w:rPr>
                  </w:pPr>
                  <w:r>
                    <w:rPr>
                      <w:rFonts w:hint="eastAsia"/>
                      <w:sz w:val="21"/>
                      <w:szCs w:val="22"/>
                    </w:rPr>
                    <w:t>呼吸系统防护：一般不需特殊防护，但建议特殊情况下，佩戴供气式呼吸器。</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2F341FA7">
                  <w:pPr>
                    <w:widowControl/>
                    <w:spacing w:line="240" w:lineRule="auto"/>
                    <w:ind w:firstLine="0" w:firstLineChars="0"/>
                    <w:jc w:val="left"/>
                    <w:rPr>
                      <w:sz w:val="21"/>
                      <w:szCs w:val="22"/>
                    </w:rPr>
                  </w:pPr>
                </w:p>
              </w:tc>
              <w:tc>
                <w:tcPr>
                  <w:tcW w:w="0" w:type="auto"/>
                  <w:gridSpan w:val="4"/>
                  <w:vMerge w:val="continue"/>
                  <w:tcBorders>
                    <w:top w:val="single" w:color="auto" w:sz="6" w:space="0"/>
                    <w:left w:val="single" w:color="auto" w:sz="6" w:space="0"/>
                    <w:bottom w:val="single" w:color="auto" w:sz="6" w:space="0"/>
                    <w:right w:val="single" w:color="auto" w:sz="12" w:space="0"/>
                  </w:tcBorders>
                  <w:vAlign w:val="center"/>
                </w:tcPr>
                <w:p w14:paraId="7DAF25E7">
                  <w:pPr>
                    <w:widowControl/>
                    <w:spacing w:line="240" w:lineRule="auto"/>
                    <w:ind w:firstLine="0" w:firstLineChars="0"/>
                    <w:jc w:val="left"/>
                    <w:rPr>
                      <w:sz w:val="21"/>
                      <w:szCs w:val="22"/>
                    </w:rPr>
                  </w:pPr>
                </w:p>
              </w:tc>
            </w:tr>
            <w:tr w14:paraId="392AD3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2259A499">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640C435E">
                  <w:pPr>
                    <w:spacing w:line="240" w:lineRule="auto"/>
                    <w:ind w:firstLine="0" w:firstLineChars="0"/>
                    <w:contextualSpacing/>
                    <w:jc w:val="center"/>
                    <w:rPr>
                      <w:sz w:val="21"/>
                      <w:szCs w:val="22"/>
                    </w:rPr>
                  </w:pPr>
                  <w:r>
                    <w:rPr>
                      <w:rFonts w:hint="eastAsia"/>
                      <w:sz w:val="21"/>
                      <w:szCs w:val="22"/>
                    </w:rPr>
                    <w:t>眼睛防护：必要时戴安全防护眼镜。</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4581596B">
                  <w:pPr>
                    <w:widowControl/>
                    <w:spacing w:line="240" w:lineRule="auto"/>
                    <w:ind w:firstLine="0" w:firstLineChars="0"/>
                    <w:jc w:val="left"/>
                    <w:rPr>
                      <w:sz w:val="21"/>
                      <w:szCs w:val="22"/>
                    </w:rPr>
                  </w:pPr>
                </w:p>
              </w:tc>
              <w:tc>
                <w:tcPr>
                  <w:tcW w:w="0" w:type="auto"/>
                  <w:gridSpan w:val="4"/>
                  <w:vMerge w:val="continue"/>
                  <w:tcBorders>
                    <w:top w:val="single" w:color="auto" w:sz="6" w:space="0"/>
                    <w:left w:val="single" w:color="auto" w:sz="6" w:space="0"/>
                    <w:bottom w:val="single" w:color="auto" w:sz="6" w:space="0"/>
                    <w:right w:val="single" w:color="auto" w:sz="12" w:space="0"/>
                  </w:tcBorders>
                  <w:vAlign w:val="center"/>
                </w:tcPr>
                <w:p w14:paraId="0E5049C5">
                  <w:pPr>
                    <w:widowControl/>
                    <w:spacing w:line="240" w:lineRule="auto"/>
                    <w:ind w:firstLine="0" w:firstLineChars="0"/>
                    <w:jc w:val="left"/>
                    <w:rPr>
                      <w:sz w:val="21"/>
                      <w:szCs w:val="22"/>
                    </w:rPr>
                  </w:pPr>
                </w:p>
              </w:tc>
            </w:tr>
            <w:tr w14:paraId="17033E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3B05586C">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571E0305">
                  <w:pPr>
                    <w:spacing w:line="240" w:lineRule="auto"/>
                    <w:ind w:firstLine="0" w:firstLineChars="0"/>
                    <w:contextualSpacing/>
                    <w:jc w:val="center"/>
                    <w:rPr>
                      <w:sz w:val="21"/>
                      <w:szCs w:val="22"/>
                    </w:rPr>
                  </w:pPr>
                  <w:r>
                    <w:rPr>
                      <w:rFonts w:hint="eastAsia"/>
                      <w:sz w:val="21"/>
                      <w:szCs w:val="22"/>
                    </w:rPr>
                    <w:t>手防护：必要时戴防护手套。</w:t>
                  </w:r>
                </w:p>
              </w:tc>
              <w:tc>
                <w:tcPr>
                  <w:tcW w:w="347" w:type="pct"/>
                  <w:vMerge w:val="restart"/>
                  <w:tcBorders>
                    <w:top w:val="single" w:color="auto" w:sz="6" w:space="0"/>
                    <w:left w:val="single" w:color="auto" w:sz="6" w:space="0"/>
                    <w:bottom w:val="single" w:color="auto" w:sz="6" w:space="0"/>
                    <w:right w:val="single" w:color="auto" w:sz="6" w:space="0"/>
                  </w:tcBorders>
                  <w:vAlign w:val="center"/>
                </w:tcPr>
                <w:p w14:paraId="3566C436">
                  <w:pPr>
                    <w:spacing w:line="240" w:lineRule="auto"/>
                    <w:ind w:firstLine="0" w:firstLineChars="0"/>
                    <w:contextualSpacing/>
                    <w:jc w:val="center"/>
                    <w:rPr>
                      <w:sz w:val="21"/>
                      <w:szCs w:val="22"/>
                    </w:rPr>
                  </w:pPr>
                  <w:r>
                    <w:rPr>
                      <w:rFonts w:hint="eastAsia"/>
                      <w:sz w:val="21"/>
                      <w:szCs w:val="22"/>
                    </w:rPr>
                    <w:t>包装</w:t>
                  </w: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42822CF3">
                  <w:pPr>
                    <w:spacing w:line="240" w:lineRule="auto"/>
                    <w:ind w:firstLine="0" w:firstLineChars="0"/>
                    <w:contextualSpacing/>
                    <w:jc w:val="center"/>
                    <w:rPr>
                      <w:sz w:val="21"/>
                      <w:szCs w:val="22"/>
                    </w:rPr>
                  </w:pPr>
                  <w:r>
                    <w:rPr>
                      <w:rFonts w:hint="eastAsia"/>
                      <w:sz w:val="21"/>
                      <w:szCs w:val="22"/>
                    </w:rPr>
                    <w:t>危险性类别：第</w:t>
                  </w:r>
                  <w:r>
                    <w:rPr>
                      <w:sz w:val="21"/>
                      <w:szCs w:val="22"/>
                    </w:rPr>
                    <w:t>3.3</w:t>
                  </w:r>
                  <w:r>
                    <w:rPr>
                      <w:rFonts w:hint="eastAsia"/>
                      <w:sz w:val="21"/>
                      <w:szCs w:val="22"/>
                    </w:rPr>
                    <w:t>类中闪点易燃液体</w:t>
                  </w:r>
                </w:p>
              </w:tc>
            </w:tr>
            <w:tr w14:paraId="2EDEA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14:paraId="7277B3CD">
                  <w:pPr>
                    <w:widowControl/>
                    <w:spacing w:line="240" w:lineRule="auto"/>
                    <w:ind w:firstLine="0" w:firstLineChars="0"/>
                    <w:jc w:val="left"/>
                    <w:rPr>
                      <w:sz w:val="21"/>
                      <w:szCs w:val="22"/>
                    </w:rPr>
                  </w:pPr>
                </w:p>
              </w:tc>
              <w:tc>
                <w:tcPr>
                  <w:tcW w:w="2102" w:type="pct"/>
                  <w:gridSpan w:val="4"/>
                  <w:tcBorders>
                    <w:top w:val="single" w:color="auto" w:sz="6" w:space="0"/>
                    <w:left w:val="single" w:color="auto" w:sz="6" w:space="0"/>
                    <w:bottom w:val="single" w:color="auto" w:sz="6" w:space="0"/>
                    <w:right w:val="single" w:color="auto" w:sz="6" w:space="0"/>
                  </w:tcBorders>
                  <w:vAlign w:val="center"/>
                </w:tcPr>
                <w:p w14:paraId="7539B329">
                  <w:pPr>
                    <w:spacing w:line="240" w:lineRule="auto"/>
                    <w:ind w:firstLine="0" w:firstLineChars="0"/>
                    <w:contextualSpacing/>
                    <w:jc w:val="center"/>
                    <w:rPr>
                      <w:sz w:val="21"/>
                      <w:szCs w:val="22"/>
                    </w:rPr>
                  </w:pPr>
                  <w:r>
                    <w:rPr>
                      <w:rFonts w:hint="eastAsia"/>
                      <w:sz w:val="21"/>
                      <w:szCs w:val="22"/>
                    </w:rPr>
                    <w:t>身体防护：穿防静电工作服；必要时戴防护手套。</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419B171E">
                  <w:pPr>
                    <w:widowControl/>
                    <w:spacing w:line="240" w:lineRule="auto"/>
                    <w:ind w:firstLine="0" w:firstLineChars="0"/>
                    <w:jc w:val="left"/>
                    <w:rPr>
                      <w:sz w:val="21"/>
                      <w:szCs w:val="22"/>
                    </w:rPr>
                  </w:pPr>
                </w:p>
              </w:tc>
              <w:tc>
                <w:tcPr>
                  <w:tcW w:w="1961" w:type="pct"/>
                  <w:gridSpan w:val="4"/>
                  <w:tcBorders>
                    <w:top w:val="single" w:color="auto" w:sz="6" w:space="0"/>
                    <w:left w:val="single" w:color="auto" w:sz="6" w:space="0"/>
                    <w:bottom w:val="single" w:color="auto" w:sz="6" w:space="0"/>
                    <w:right w:val="single" w:color="auto" w:sz="12" w:space="0"/>
                  </w:tcBorders>
                  <w:vAlign w:val="center"/>
                </w:tcPr>
                <w:p w14:paraId="75D2B109">
                  <w:pPr>
                    <w:spacing w:line="240" w:lineRule="auto"/>
                    <w:ind w:firstLine="0" w:firstLineChars="0"/>
                    <w:contextualSpacing/>
                    <w:jc w:val="center"/>
                    <w:rPr>
                      <w:sz w:val="21"/>
                      <w:szCs w:val="22"/>
                    </w:rPr>
                  </w:pPr>
                  <w:r>
                    <w:rPr>
                      <w:rFonts w:hint="eastAsia"/>
                      <w:sz w:val="21"/>
                      <w:szCs w:val="22"/>
                    </w:rPr>
                    <w:t>危险货物包装标志：</w:t>
                  </w:r>
                  <w:r>
                    <w:rPr>
                      <w:sz w:val="21"/>
                      <w:szCs w:val="22"/>
                    </w:rPr>
                    <w:t>7</w:t>
                  </w:r>
                </w:p>
              </w:tc>
            </w:tr>
            <w:tr w14:paraId="13B8A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90" w:type="pct"/>
                  <w:tcBorders>
                    <w:top w:val="single" w:color="auto" w:sz="6" w:space="0"/>
                    <w:left w:val="single" w:color="auto" w:sz="12" w:space="0"/>
                    <w:bottom w:val="single" w:color="auto" w:sz="12" w:space="0"/>
                    <w:right w:val="single" w:color="auto" w:sz="6" w:space="0"/>
                  </w:tcBorders>
                  <w:vAlign w:val="center"/>
                </w:tcPr>
                <w:p w14:paraId="3012515B">
                  <w:pPr>
                    <w:spacing w:line="240" w:lineRule="auto"/>
                    <w:ind w:firstLine="0" w:firstLineChars="0"/>
                    <w:contextualSpacing/>
                    <w:jc w:val="center"/>
                    <w:rPr>
                      <w:sz w:val="21"/>
                      <w:szCs w:val="22"/>
                    </w:rPr>
                  </w:pPr>
                  <w:r>
                    <w:rPr>
                      <w:rFonts w:hint="eastAsia"/>
                      <w:sz w:val="21"/>
                      <w:szCs w:val="22"/>
                    </w:rPr>
                    <w:t>储存</w:t>
                  </w:r>
                </w:p>
              </w:tc>
              <w:tc>
                <w:tcPr>
                  <w:tcW w:w="4410" w:type="pct"/>
                  <w:gridSpan w:val="9"/>
                  <w:tcBorders>
                    <w:top w:val="single" w:color="auto" w:sz="6" w:space="0"/>
                    <w:left w:val="single" w:color="auto" w:sz="6" w:space="0"/>
                    <w:bottom w:val="single" w:color="auto" w:sz="12" w:space="0"/>
                    <w:right w:val="single" w:color="auto" w:sz="12" w:space="0"/>
                  </w:tcBorders>
                  <w:vAlign w:val="center"/>
                </w:tcPr>
                <w:p w14:paraId="49C7DEBC">
                  <w:pPr>
                    <w:spacing w:line="240" w:lineRule="auto"/>
                    <w:ind w:firstLine="0" w:firstLineChars="0"/>
                    <w:contextualSpacing/>
                    <w:jc w:val="center"/>
                    <w:rPr>
                      <w:sz w:val="21"/>
                      <w:szCs w:val="22"/>
                    </w:rPr>
                  </w:pPr>
                  <w:r>
                    <w:rPr>
                      <w:rFonts w:hint="eastAsia"/>
                      <w:sz w:val="21"/>
                      <w:szCs w:val="22"/>
                    </w:rPr>
                    <w:t>储运注意事项：储存于阴凉、通风仓内。远离火种、热源。防止阳光直射。保持容器密封。应与氧化剂分开存放。桶装堆垛不可过大，应留墙距、顶距、柱距及必要的防火检查走道。罐储时要有防火防爆技术措施。禁止使用易产生火花的机械设备和工具。充装要控制流速，注意防止静电积聚。搬运时要轻装轻卸，防止包装及容器损坏。</w:t>
                  </w:r>
                </w:p>
              </w:tc>
            </w:tr>
          </w:tbl>
          <w:p w14:paraId="2D185EC1">
            <w:r>
              <w:rPr>
                <w:rFonts w:hint="eastAsia"/>
              </w:rPr>
              <w:t>（2）</w:t>
            </w:r>
            <w:r>
              <w:t>生产</w:t>
            </w:r>
            <w:r>
              <w:rPr>
                <w:rFonts w:hint="eastAsia"/>
              </w:rPr>
              <w:t>系统危险性识别</w:t>
            </w:r>
          </w:p>
          <w:p w14:paraId="1AF7CEE2">
            <w:r>
              <w:rPr>
                <w:rFonts w:hint="eastAsia"/>
              </w:rPr>
              <w:t>项目生产系统危险因素见表5-5。</w:t>
            </w:r>
          </w:p>
          <w:p w14:paraId="2FC8737E">
            <w:pPr>
              <w:autoSpaceDE w:val="0"/>
              <w:autoSpaceDN w:val="0"/>
              <w:adjustRightInd w:val="0"/>
              <w:spacing w:before="156" w:beforeLines="50" w:line="240" w:lineRule="auto"/>
              <w:ind w:firstLine="0" w:firstLineChars="0"/>
              <w:jc w:val="center"/>
              <w:rPr>
                <w:b/>
                <w:kern w:val="0"/>
                <w:sz w:val="21"/>
                <w:szCs w:val="20"/>
              </w:rPr>
            </w:pPr>
            <w:r>
              <w:rPr>
                <w:b/>
                <w:kern w:val="0"/>
                <w:sz w:val="21"/>
                <w:szCs w:val="20"/>
              </w:rPr>
              <w:t>表</w:t>
            </w:r>
            <w:r>
              <w:rPr>
                <w:rFonts w:hint="eastAsia"/>
                <w:b/>
                <w:kern w:val="0"/>
                <w:sz w:val="21"/>
                <w:szCs w:val="20"/>
              </w:rPr>
              <w:t>5-5</w:t>
            </w:r>
            <w:r>
              <w:rPr>
                <w:b/>
                <w:kern w:val="0"/>
                <w:sz w:val="21"/>
                <w:szCs w:val="20"/>
              </w:rPr>
              <w:t xml:space="preserve">  项目生产过程危害因素分析汇总一览表</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59"/>
              <w:gridCol w:w="1165"/>
              <w:gridCol w:w="1164"/>
              <w:gridCol w:w="1606"/>
              <w:gridCol w:w="3065"/>
            </w:tblGrid>
            <w:tr w14:paraId="4A9B28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489" w:type="pct"/>
                  <w:vAlign w:val="center"/>
                </w:tcPr>
                <w:p w14:paraId="380375E0">
                  <w:pPr>
                    <w:pStyle w:val="36"/>
                  </w:pPr>
                  <w:r>
                    <w:t>序号</w:t>
                  </w:r>
                </w:p>
              </w:tc>
              <w:tc>
                <w:tcPr>
                  <w:tcW w:w="751" w:type="pct"/>
                  <w:vAlign w:val="center"/>
                </w:tcPr>
                <w:p w14:paraId="77CDE8B0">
                  <w:pPr>
                    <w:pStyle w:val="36"/>
                  </w:pPr>
                  <w:r>
                    <w:t>作业特点</w:t>
                  </w:r>
                </w:p>
              </w:tc>
              <w:tc>
                <w:tcPr>
                  <w:tcW w:w="750" w:type="pct"/>
                  <w:vAlign w:val="center"/>
                </w:tcPr>
                <w:p w14:paraId="3164B1BB">
                  <w:pPr>
                    <w:pStyle w:val="36"/>
                  </w:pPr>
                  <w:r>
                    <w:t>物料名称</w:t>
                  </w:r>
                </w:p>
              </w:tc>
              <w:tc>
                <w:tcPr>
                  <w:tcW w:w="1035" w:type="pct"/>
                  <w:vAlign w:val="center"/>
                </w:tcPr>
                <w:p w14:paraId="7F032E45">
                  <w:pPr>
                    <w:pStyle w:val="36"/>
                    <w:ind w:firstLine="210"/>
                  </w:pPr>
                  <w:r>
                    <w:t>危险因素</w:t>
                  </w:r>
                </w:p>
              </w:tc>
              <w:tc>
                <w:tcPr>
                  <w:tcW w:w="1975" w:type="pct"/>
                  <w:vAlign w:val="center"/>
                </w:tcPr>
                <w:p w14:paraId="3812F704">
                  <w:pPr>
                    <w:pStyle w:val="36"/>
                  </w:pPr>
                  <w:r>
                    <w:t>后果</w:t>
                  </w:r>
                </w:p>
              </w:tc>
            </w:tr>
            <w:tr w14:paraId="651271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9" w:type="pct"/>
                  <w:vAlign w:val="center"/>
                </w:tcPr>
                <w:p w14:paraId="3D65CF44">
                  <w:pPr>
                    <w:pStyle w:val="36"/>
                  </w:pPr>
                  <w:r>
                    <w:t>1</w:t>
                  </w:r>
                </w:p>
              </w:tc>
              <w:tc>
                <w:tcPr>
                  <w:tcW w:w="751" w:type="pct"/>
                  <w:vAlign w:val="center"/>
                </w:tcPr>
                <w:p w14:paraId="05CD2D83">
                  <w:pPr>
                    <w:pStyle w:val="36"/>
                  </w:pPr>
                  <w:r>
                    <w:t>泄漏</w:t>
                  </w:r>
                </w:p>
              </w:tc>
              <w:tc>
                <w:tcPr>
                  <w:tcW w:w="750" w:type="pct"/>
                  <w:vAlign w:val="center"/>
                </w:tcPr>
                <w:p w14:paraId="2B57AAD8">
                  <w:pPr>
                    <w:pStyle w:val="36"/>
                  </w:pPr>
                  <w:r>
                    <w:rPr>
                      <w:rFonts w:hint="eastAsia"/>
                    </w:rPr>
                    <w:t>废润滑油、柴油</w:t>
                  </w:r>
                </w:p>
              </w:tc>
              <w:tc>
                <w:tcPr>
                  <w:tcW w:w="1035" w:type="pct"/>
                  <w:vAlign w:val="center"/>
                </w:tcPr>
                <w:p w14:paraId="5D41F968">
                  <w:pPr>
                    <w:pStyle w:val="36"/>
                  </w:pPr>
                  <w:r>
                    <w:t>火灾、爆炸、泄漏</w:t>
                  </w:r>
                </w:p>
              </w:tc>
              <w:tc>
                <w:tcPr>
                  <w:tcW w:w="1975" w:type="pct"/>
                  <w:vAlign w:val="center"/>
                </w:tcPr>
                <w:p w14:paraId="4709FBEC">
                  <w:pPr>
                    <w:pStyle w:val="36"/>
                  </w:pPr>
                  <w:r>
                    <w:t>泄漏、火灾、污染土壤</w:t>
                  </w:r>
                  <w:r>
                    <w:rPr>
                      <w:rFonts w:hint="eastAsia"/>
                    </w:rPr>
                    <w:t>、地下水</w:t>
                  </w:r>
                  <w:r>
                    <w:t>或大气</w:t>
                  </w:r>
                </w:p>
              </w:tc>
            </w:tr>
          </w:tbl>
          <w:p w14:paraId="0F8E14B7">
            <w:r>
              <w:rPr>
                <w:rFonts w:hint="eastAsia"/>
              </w:rPr>
              <w:t>（3）环境风险类型及危害分析</w:t>
            </w:r>
          </w:p>
          <w:p w14:paraId="58BD59C4">
            <w:r>
              <w:rPr>
                <w:rFonts w:hint="eastAsia"/>
              </w:rPr>
              <w:t>根据对项目的物质和生产系统危险性的识别，项目可能发生的突发环境风险事件类型及危害分析见表5-6。</w:t>
            </w:r>
          </w:p>
          <w:p w14:paraId="73299143">
            <w:pPr>
              <w:autoSpaceDE w:val="0"/>
              <w:autoSpaceDN w:val="0"/>
              <w:adjustRightInd w:val="0"/>
              <w:spacing w:before="156" w:beforeLines="50" w:line="240" w:lineRule="auto"/>
              <w:ind w:firstLine="0" w:firstLineChars="0"/>
              <w:jc w:val="center"/>
              <w:rPr>
                <w:b/>
                <w:kern w:val="0"/>
                <w:sz w:val="21"/>
                <w:szCs w:val="20"/>
              </w:rPr>
            </w:pPr>
            <w:r>
              <w:rPr>
                <w:b/>
                <w:kern w:val="0"/>
                <w:sz w:val="21"/>
                <w:szCs w:val="20"/>
              </w:rPr>
              <w:t>表</w:t>
            </w:r>
            <w:r>
              <w:rPr>
                <w:rFonts w:hint="eastAsia"/>
                <w:b/>
                <w:kern w:val="0"/>
                <w:sz w:val="21"/>
                <w:szCs w:val="20"/>
              </w:rPr>
              <w:t>5-6</w:t>
            </w:r>
            <w:r>
              <w:rPr>
                <w:b/>
                <w:kern w:val="0"/>
                <w:sz w:val="21"/>
                <w:szCs w:val="20"/>
              </w:rPr>
              <w:t xml:space="preserve">  项目</w:t>
            </w:r>
            <w:r>
              <w:rPr>
                <w:rFonts w:hint="eastAsia"/>
                <w:b/>
                <w:kern w:val="0"/>
                <w:sz w:val="21"/>
                <w:szCs w:val="20"/>
              </w:rPr>
              <w:t>环境风险类型及危害分析</w:t>
            </w:r>
            <w:r>
              <w:rPr>
                <w:b/>
                <w:kern w:val="0"/>
                <w:sz w:val="21"/>
                <w:szCs w:val="20"/>
              </w:rPr>
              <w:t>一览表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22"/>
              <w:gridCol w:w="1122"/>
              <w:gridCol w:w="1122"/>
              <w:gridCol w:w="1122"/>
              <w:gridCol w:w="3271"/>
            </w:tblGrid>
            <w:tr w14:paraId="711EF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23" w:type="pct"/>
                  <w:vAlign w:val="center"/>
                </w:tcPr>
                <w:p w14:paraId="1CB6A81C">
                  <w:pPr>
                    <w:pStyle w:val="36"/>
                  </w:pPr>
                  <w:r>
                    <w:t>风险单元</w:t>
                  </w:r>
                </w:p>
              </w:tc>
              <w:tc>
                <w:tcPr>
                  <w:tcW w:w="723" w:type="pct"/>
                  <w:vAlign w:val="center"/>
                </w:tcPr>
                <w:p w14:paraId="265BFBE3">
                  <w:pPr>
                    <w:pStyle w:val="36"/>
                  </w:pPr>
                  <w:r>
                    <w:t>危险设备</w:t>
                  </w:r>
                </w:p>
              </w:tc>
              <w:tc>
                <w:tcPr>
                  <w:tcW w:w="723" w:type="pct"/>
                  <w:vAlign w:val="center"/>
                </w:tcPr>
                <w:p w14:paraId="31DAF268">
                  <w:pPr>
                    <w:pStyle w:val="36"/>
                  </w:pPr>
                  <w:r>
                    <w:t>事故种类</w:t>
                  </w:r>
                </w:p>
              </w:tc>
              <w:tc>
                <w:tcPr>
                  <w:tcW w:w="723" w:type="pct"/>
                  <w:vAlign w:val="center"/>
                </w:tcPr>
                <w:p w14:paraId="37924970">
                  <w:pPr>
                    <w:pStyle w:val="36"/>
                  </w:pPr>
                  <w:r>
                    <w:t>产生原因</w:t>
                  </w:r>
                </w:p>
              </w:tc>
              <w:tc>
                <w:tcPr>
                  <w:tcW w:w="2107" w:type="pct"/>
                  <w:vAlign w:val="center"/>
                </w:tcPr>
                <w:p w14:paraId="0218165F">
                  <w:pPr>
                    <w:pStyle w:val="36"/>
                    <w:ind w:firstLine="210"/>
                  </w:pPr>
                  <w:r>
                    <w:t>危害后果分析</w:t>
                  </w:r>
                </w:p>
              </w:tc>
            </w:tr>
            <w:tr w14:paraId="311E6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23" w:type="pct"/>
                  <w:vMerge w:val="restart"/>
                  <w:vAlign w:val="center"/>
                </w:tcPr>
                <w:p w14:paraId="4BB687E9">
                  <w:pPr>
                    <w:pStyle w:val="36"/>
                  </w:pPr>
                  <w:r>
                    <w:t>险废物贮存点</w:t>
                  </w:r>
                </w:p>
              </w:tc>
              <w:tc>
                <w:tcPr>
                  <w:tcW w:w="723" w:type="pct"/>
                  <w:vMerge w:val="restart"/>
                  <w:vAlign w:val="center"/>
                </w:tcPr>
                <w:p w14:paraId="3488D1E2">
                  <w:pPr>
                    <w:pStyle w:val="36"/>
                  </w:pPr>
                  <w:r>
                    <w:t>废润滑油</w:t>
                  </w:r>
                </w:p>
              </w:tc>
              <w:tc>
                <w:tcPr>
                  <w:tcW w:w="723" w:type="pct"/>
                  <w:vAlign w:val="center"/>
                </w:tcPr>
                <w:p w14:paraId="7FE89594">
                  <w:pPr>
                    <w:pStyle w:val="36"/>
                  </w:pPr>
                  <w:r>
                    <w:rPr>
                      <w:color w:val="0F1115"/>
                      <w:shd w:val="clear" w:color="auto" w:fill="FFFFFF"/>
                    </w:rPr>
                    <w:t>泄漏</w:t>
                  </w:r>
                </w:p>
              </w:tc>
              <w:tc>
                <w:tcPr>
                  <w:tcW w:w="723" w:type="pct"/>
                  <w:vAlign w:val="center"/>
                </w:tcPr>
                <w:p w14:paraId="18BF3DBD">
                  <w:pPr>
                    <w:pStyle w:val="36"/>
                  </w:pPr>
                  <w:r>
                    <w:t>油桶老化、破损或操作不当导致容器破损</w:t>
                  </w:r>
                </w:p>
              </w:tc>
              <w:tc>
                <w:tcPr>
                  <w:tcW w:w="2107" w:type="pct"/>
                  <w:vAlign w:val="center"/>
                </w:tcPr>
                <w:p w14:paraId="7BB02F95">
                  <w:pPr>
                    <w:pStyle w:val="36"/>
                  </w:pPr>
                  <w:r>
                    <w:rPr>
                      <w:color w:val="0F1115"/>
                      <w:shd w:val="clear" w:color="auto" w:fill="FFFFFF"/>
                    </w:rPr>
                    <w:t>泄漏的废润滑油若未能有效拦截，可能渗入地下，对土壤及地下水环境造成污染</w:t>
                  </w:r>
                </w:p>
              </w:tc>
            </w:tr>
            <w:tr w14:paraId="7C1A8D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23" w:type="pct"/>
                  <w:vMerge w:val="continue"/>
                  <w:vAlign w:val="center"/>
                </w:tcPr>
                <w:p w14:paraId="251DF06F">
                  <w:pPr>
                    <w:pStyle w:val="36"/>
                  </w:pPr>
                </w:p>
              </w:tc>
              <w:tc>
                <w:tcPr>
                  <w:tcW w:w="723" w:type="pct"/>
                  <w:vMerge w:val="continue"/>
                  <w:vAlign w:val="center"/>
                </w:tcPr>
                <w:p w14:paraId="089D98E9">
                  <w:pPr>
                    <w:pStyle w:val="36"/>
                  </w:pPr>
                </w:p>
              </w:tc>
              <w:tc>
                <w:tcPr>
                  <w:tcW w:w="723" w:type="pct"/>
                  <w:vAlign w:val="center"/>
                </w:tcPr>
                <w:p w14:paraId="20FFDA2B">
                  <w:pPr>
                    <w:pStyle w:val="36"/>
                  </w:pPr>
                  <w:r>
                    <w:t>火灾、爆炸</w:t>
                  </w:r>
                </w:p>
              </w:tc>
              <w:tc>
                <w:tcPr>
                  <w:tcW w:w="723" w:type="pct"/>
                  <w:vAlign w:val="center"/>
                </w:tcPr>
                <w:p w14:paraId="12616DF4">
                  <w:pPr>
                    <w:pStyle w:val="36"/>
                  </w:pPr>
                  <w:r>
                    <w:rPr>
                      <w:color w:val="0F1115"/>
                      <w:shd w:val="clear" w:color="auto" w:fill="FFFFFF"/>
                    </w:rPr>
                    <w:t>遇明火、静电或高温，且现场消防设施失效</w:t>
                  </w:r>
                </w:p>
              </w:tc>
              <w:tc>
                <w:tcPr>
                  <w:tcW w:w="2107" w:type="pct"/>
                  <w:vAlign w:val="center"/>
                </w:tcPr>
                <w:p w14:paraId="3EC3E44F">
                  <w:pPr>
                    <w:pStyle w:val="36"/>
                  </w:pPr>
                  <w:r>
                    <w:rPr>
                      <w:color w:val="0F1115"/>
                      <w:shd w:val="clear" w:color="auto" w:fill="FFFFFF"/>
                    </w:rPr>
                    <w:t>燃烧产生的CO、烟尘等次生/伴生污染物排放至大气，对周边大气环境造成瞬时影响；消防废水若外溢可能污染土壤及地表水</w:t>
                  </w:r>
                </w:p>
              </w:tc>
            </w:tr>
            <w:tr w14:paraId="7E783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23" w:type="pct"/>
                  <w:vMerge w:val="restart"/>
                  <w:vAlign w:val="center"/>
                </w:tcPr>
                <w:p w14:paraId="64B90824">
                  <w:pPr>
                    <w:pStyle w:val="36"/>
                  </w:pPr>
                  <w:r>
                    <w:rPr>
                      <w:rFonts w:hint="eastAsia"/>
                      <w:color w:val="0F1115"/>
                      <w:shd w:val="clear" w:color="auto" w:fill="FFFFFF"/>
                    </w:rPr>
                    <w:t>柴油临时存放点</w:t>
                  </w:r>
                </w:p>
              </w:tc>
              <w:tc>
                <w:tcPr>
                  <w:tcW w:w="723" w:type="pct"/>
                  <w:vMerge w:val="restart"/>
                  <w:vAlign w:val="center"/>
                </w:tcPr>
                <w:p w14:paraId="297A2F9C">
                  <w:pPr>
                    <w:pStyle w:val="36"/>
                  </w:pPr>
                  <w:r>
                    <w:t>柴油</w:t>
                  </w:r>
                </w:p>
              </w:tc>
              <w:tc>
                <w:tcPr>
                  <w:tcW w:w="723" w:type="pct"/>
                  <w:vAlign w:val="center"/>
                </w:tcPr>
                <w:p w14:paraId="4F81480A">
                  <w:pPr>
                    <w:pStyle w:val="36"/>
                  </w:pPr>
                  <w:r>
                    <w:rPr>
                      <w:color w:val="0F1115"/>
                      <w:shd w:val="clear" w:color="auto" w:fill="FFFFFF"/>
                    </w:rPr>
                    <w:t>泄漏</w:t>
                  </w:r>
                </w:p>
              </w:tc>
              <w:tc>
                <w:tcPr>
                  <w:tcW w:w="723" w:type="pct"/>
                  <w:vAlign w:val="center"/>
                </w:tcPr>
                <w:p w14:paraId="2DB595B4">
                  <w:pPr>
                    <w:pStyle w:val="36"/>
                    <w:rPr>
                      <w:color w:val="0F1115"/>
                      <w:shd w:val="clear" w:color="auto" w:fill="FFFFFF"/>
                    </w:rPr>
                  </w:pPr>
                  <w:r>
                    <w:rPr>
                      <w:color w:val="0F1115"/>
                      <w:shd w:val="clear" w:color="auto" w:fill="FFFFFF"/>
                    </w:rPr>
                    <w:t>油桶倾倒、碰撞破损或阀门密封不严</w:t>
                  </w:r>
                </w:p>
              </w:tc>
              <w:tc>
                <w:tcPr>
                  <w:tcW w:w="2107" w:type="pct"/>
                  <w:vAlign w:val="center"/>
                </w:tcPr>
                <w:p w14:paraId="2A3CEDB6">
                  <w:pPr>
                    <w:pStyle w:val="36"/>
                    <w:rPr>
                      <w:color w:val="0F1115"/>
                      <w:shd w:val="clear" w:color="auto" w:fill="FFFFFF"/>
                    </w:rPr>
                  </w:pPr>
                  <w:r>
                    <w:rPr>
                      <w:color w:val="0F1115"/>
                      <w:shd w:val="clear" w:color="auto" w:fill="FFFFFF"/>
                    </w:rPr>
                    <w:t>泄漏柴油下渗，对</w:t>
                  </w:r>
                  <w:r>
                    <w:rPr>
                      <w:rFonts w:hint="eastAsia"/>
                      <w:color w:val="0F1115"/>
                      <w:shd w:val="clear" w:color="auto" w:fill="FFFFFF"/>
                    </w:rPr>
                    <w:t>存放点</w:t>
                  </w:r>
                  <w:r>
                    <w:rPr>
                      <w:color w:val="0F1115"/>
                      <w:shd w:val="clear" w:color="auto" w:fill="FFFFFF"/>
                    </w:rPr>
                    <w:t>局部土壤及下伏地下水环境造成污染风险</w:t>
                  </w:r>
                </w:p>
              </w:tc>
            </w:tr>
            <w:tr w14:paraId="5A0E7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23" w:type="pct"/>
                  <w:vMerge w:val="continue"/>
                  <w:vAlign w:val="center"/>
                </w:tcPr>
                <w:p w14:paraId="01E9CD61">
                  <w:pPr>
                    <w:pStyle w:val="36"/>
                  </w:pPr>
                </w:p>
              </w:tc>
              <w:tc>
                <w:tcPr>
                  <w:tcW w:w="723" w:type="pct"/>
                  <w:vMerge w:val="continue"/>
                  <w:vAlign w:val="center"/>
                </w:tcPr>
                <w:p w14:paraId="0178A469">
                  <w:pPr>
                    <w:pStyle w:val="36"/>
                  </w:pPr>
                </w:p>
              </w:tc>
              <w:tc>
                <w:tcPr>
                  <w:tcW w:w="723" w:type="pct"/>
                  <w:vAlign w:val="center"/>
                </w:tcPr>
                <w:p w14:paraId="0C47FD08">
                  <w:pPr>
                    <w:pStyle w:val="36"/>
                  </w:pPr>
                  <w:r>
                    <w:rPr>
                      <w:color w:val="0F1115"/>
                      <w:shd w:val="clear" w:color="auto" w:fill="FFFFFF"/>
                    </w:rPr>
                    <w:t>火灾、爆炸</w:t>
                  </w:r>
                </w:p>
              </w:tc>
              <w:tc>
                <w:tcPr>
                  <w:tcW w:w="723" w:type="pct"/>
                  <w:vAlign w:val="center"/>
                </w:tcPr>
                <w:p w14:paraId="40C2DED0">
                  <w:pPr>
                    <w:pStyle w:val="36"/>
                    <w:rPr>
                      <w:color w:val="0F1115"/>
                      <w:shd w:val="clear" w:color="auto" w:fill="FFFFFF"/>
                    </w:rPr>
                  </w:pPr>
                  <w:r>
                    <w:rPr>
                      <w:color w:val="0F1115"/>
                      <w:shd w:val="clear" w:color="auto" w:fill="FFFFFF"/>
                    </w:rPr>
                    <w:t>装卸或加油作业过程中产生静电、遭遇明火或高温天气下油桶受热膨胀</w:t>
                  </w:r>
                </w:p>
              </w:tc>
              <w:tc>
                <w:tcPr>
                  <w:tcW w:w="2107" w:type="pct"/>
                  <w:vAlign w:val="center"/>
                </w:tcPr>
                <w:p w14:paraId="0EEAA026">
                  <w:pPr>
                    <w:pStyle w:val="36"/>
                    <w:rPr>
                      <w:color w:val="0F1115"/>
                      <w:shd w:val="clear" w:color="auto" w:fill="FFFFFF"/>
                    </w:rPr>
                  </w:pPr>
                  <w:r>
                    <w:rPr>
                      <w:color w:val="0F1115"/>
                      <w:shd w:val="clear" w:color="auto" w:fill="FFFFFF"/>
                    </w:rPr>
                    <w:t>燃烧产生次生/伴生污染物（CO、NOx、烟尘等），对大气环境造成污染，消防废水漫流可能污染周边土壤</w:t>
                  </w:r>
                </w:p>
              </w:tc>
            </w:tr>
          </w:tbl>
          <w:p w14:paraId="75B9E1B2">
            <w:pPr>
              <w:pStyle w:val="19"/>
            </w:pPr>
            <w:r>
              <w:t>5.9.4</w:t>
            </w:r>
            <w:r>
              <w:rPr>
                <w:rFonts w:hint="eastAsia"/>
              </w:rPr>
              <w:t>环境风险分析</w:t>
            </w:r>
          </w:p>
          <w:p w14:paraId="7714607F">
            <w:r>
              <w:rPr>
                <w:rFonts w:hint="eastAsia"/>
              </w:rPr>
              <w:t>（1）</w:t>
            </w:r>
            <w:r>
              <w:rPr>
                <w:rFonts w:ascii="Helvetica" w:hAnsi="Helvetica"/>
                <w:color w:val="111111"/>
                <w:shd w:val="clear" w:color="auto" w:fill="FFFFFF"/>
              </w:rPr>
              <w:t>泄漏事故</w:t>
            </w:r>
            <w:r>
              <w:rPr>
                <w:rFonts w:hint="eastAsia"/>
              </w:rPr>
              <w:t>对外环境的影响分析</w:t>
            </w:r>
          </w:p>
          <w:p w14:paraId="63C6EBA2">
            <w:r>
              <w:rPr>
                <w:rFonts w:hint="eastAsia"/>
              </w:rPr>
              <w:t>A、环境空气</w:t>
            </w:r>
          </w:p>
          <w:p w14:paraId="614A9DA9">
            <w:r>
              <w:rPr>
                <w:rFonts w:hint="eastAsia"/>
              </w:rPr>
              <w:t>项目危险废物贮存点废润滑油泄漏后，会挥发油气，污染空气；遇到明火可能引起火灾，燃烧产物主要为CO</w:t>
            </w:r>
            <w:r>
              <w:rPr>
                <w:rFonts w:hint="eastAsia"/>
                <w:vertAlign w:val="subscript"/>
              </w:rPr>
              <w:t>2</w:t>
            </w:r>
            <w:r>
              <w:rPr>
                <w:rFonts w:hint="eastAsia"/>
              </w:rPr>
              <w:t>和</w:t>
            </w:r>
            <w:r>
              <w:rPr>
                <w:rFonts w:ascii="Helvetica" w:hAnsi="Helvetica"/>
                <w:color w:val="111111"/>
                <w:shd w:val="clear" w:color="auto" w:fill="FFFFFF"/>
              </w:rPr>
              <w:t>水蒸气</w:t>
            </w:r>
            <w:r>
              <w:rPr>
                <w:rFonts w:hint="eastAsia"/>
              </w:rPr>
              <w:t>，但不完全燃烧的产物中会含有一氧化碳等气体，同时伴随浓烟，挥发至空气中，会造成大气污染，会对人的健康造成危害；局部的燃烧还会进一步引发爆炸，进而扩大事故的危害。由于CO有毒性，当达到一定的浓度时，会影响人的造血功能及神经系统功能。所以发生火灾时，要注意防范对人群的危害。</w:t>
            </w:r>
          </w:p>
          <w:p w14:paraId="2FC793E2">
            <w:r>
              <w:rPr>
                <w:rFonts w:hint="eastAsia"/>
              </w:rPr>
              <w:t>柴油临时存放点及加油作业区若发生柴油泄漏，轻组分烃类物质会挥发产生油气（以非甲烷总烃表征），在通风不良条件下积聚，可能对作业人员健康造成影响；遇点火源易引发火灾爆炸事故，其燃烧产生的CO、NOx、烟尘等次生污染物将对大气环境造成污染。</w:t>
            </w:r>
          </w:p>
          <w:p w14:paraId="068F473F">
            <w:r>
              <w:rPr>
                <w:rFonts w:hint="eastAsia"/>
              </w:rPr>
              <w:t>危险废物及时收集，危险废物贮存点做好防渗措施，由专人负责管理日常检查管理，危险物质发生泄露的可能性较小。</w:t>
            </w:r>
          </w:p>
          <w:p w14:paraId="41ACF01D">
            <w:r>
              <w:rPr>
                <w:rFonts w:hint="eastAsia"/>
              </w:rPr>
              <w:t>B、</w:t>
            </w:r>
            <w:r>
              <w:t>地表水、土壤及地下水</w:t>
            </w:r>
          </w:p>
          <w:p w14:paraId="331A3C28">
            <w:r>
              <w:rPr>
                <w:rFonts w:hint="eastAsia"/>
              </w:rPr>
              <w:t>废润滑油泄漏后，若未能及时收集，可能沿地面漫流，通过裸露地表下渗，对土壤及地下水环境造成污染。本项目危险废物贮存点地面采取防渗措施，并设置围堰或托盘，可将泄漏物控制在贮存点范围内，切断其与外界水环境的联系，对地表水体产生影响的可能性较小。</w:t>
            </w:r>
          </w:p>
          <w:p w14:paraId="7C03038C">
            <w:r>
              <w:rPr>
                <w:rFonts w:hint="eastAsia"/>
              </w:rPr>
              <w:t>柴油临时存放点若发生大量泄漏，柴油可能随地势漫流，对存放点局部土壤造成污染。本项目油桶底部设置防渗托盘，并采取防雨、防晒措施，油桶分类规范摆放，少量滴落时及时采用吸油毡吸附清理。存放区周边设置简易围堰，防止泄漏物在未被及时发现时随雨水漫流，可有效防止泄漏柴油下渗及漫流污染土壤和地下水。</w:t>
            </w:r>
          </w:p>
          <w:p w14:paraId="5488D537">
            <w:r>
              <w:rPr>
                <w:rFonts w:hint="eastAsia"/>
              </w:rPr>
              <w:t>此外，柴油及废润滑油火灾事故产生的消防废水若未及时收集，可能携带油类污染物漫流至周边地表，对区域土壤和地下水造成污染。因此，建议在柴油临时存放点和危险废物贮存点设置应急物资（吸油毡、干粉灭火器等），泄漏事故发生时及时围堵、收集，避免污染物外溢。</w:t>
            </w:r>
          </w:p>
          <w:p w14:paraId="4C72772B">
            <w:r>
              <w:rPr>
                <w:rFonts w:hint="eastAsia"/>
              </w:rPr>
              <w:t>危险废物贮存点及柴油临时存放点由专人负责日常管理，加强巡检维护，油桶破损或泄漏可及时发现并处置。在严格落实上述防控措施的前提下，危险物质发生泄漏并对周边环境造成显著影响的概率较低，环境风险可防可控。</w:t>
            </w:r>
          </w:p>
          <w:p w14:paraId="5E528842">
            <w:r>
              <w:rPr>
                <w:rFonts w:hint="eastAsia"/>
              </w:rPr>
              <w:t>（2）火灾爆炸对环境危害性分析</w:t>
            </w:r>
          </w:p>
          <w:p w14:paraId="1F422B70">
            <w:r>
              <w:rPr>
                <w:rFonts w:hint="eastAsia"/>
              </w:rPr>
              <w:t>危险废物贮存点若要发生火灾及爆炸，必须具备下列条件：</w:t>
            </w:r>
          </w:p>
          <w:p w14:paraId="48892AE6">
            <w:r>
              <w:rPr>
                <w:rFonts w:hint="eastAsia"/>
              </w:rPr>
              <w:t>a、油类泄漏或油气蒸发；</w:t>
            </w:r>
          </w:p>
          <w:p w14:paraId="513F90C5">
            <w:r>
              <w:rPr>
                <w:rFonts w:hint="eastAsia"/>
              </w:rPr>
              <w:t>b、有足够的空气助燃；</w:t>
            </w:r>
          </w:p>
          <w:p w14:paraId="0EA1BFE5">
            <w:r>
              <w:rPr>
                <w:rFonts w:hint="eastAsia"/>
              </w:rPr>
              <w:t>c、油气必须与空气混合，并达到一定的浓度；</w:t>
            </w:r>
          </w:p>
          <w:p w14:paraId="6E4B5E00">
            <w:r>
              <w:rPr>
                <w:rFonts w:hint="eastAsia"/>
              </w:rPr>
              <w:t>d、现场有明火。</w:t>
            </w:r>
          </w:p>
          <w:p w14:paraId="5C620D79">
            <w:r>
              <w:rPr>
                <w:rFonts w:hint="eastAsia"/>
              </w:rPr>
              <w:t>只有以上四个条件同时具备时，才可能发生火灾和爆炸。会造成人员伤亡和财产损失，并且还会造成生态环境的破坏。</w:t>
            </w:r>
          </w:p>
          <w:p w14:paraId="33234FA8">
            <w:pPr>
              <w:pStyle w:val="19"/>
            </w:pPr>
            <w:r>
              <w:t>5.9.5</w:t>
            </w:r>
            <w:r>
              <w:rPr>
                <w:rFonts w:hint="eastAsia"/>
              </w:rPr>
              <w:t>风险防范措施</w:t>
            </w:r>
          </w:p>
          <w:p w14:paraId="6CB3A197">
            <w:r>
              <w:rPr>
                <w:rFonts w:hint="eastAsia"/>
              </w:rPr>
              <w:t>（1）临时堆存弃土溃坝风险防范措施</w:t>
            </w:r>
          </w:p>
          <w:p w14:paraId="424B1B96">
            <w:r>
              <w:rPr>
                <w:rFonts w:hint="eastAsia"/>
              </w:rPr>
              <w:t>1）建设单位应减少表土和废石临时堆存时间，及时进行复垦；</w:t>
            </w:r>
          </w:p>
          <w:p w14:paraId="566E1B8A">
            <w:r>
              <w:rPr>
                <w:rFonts w:hint="eastAsia"/>
              </w:rPr>
              <w:t>2）建设单位在临时弃土堆存时应采用彩条布进行覆盖，避免强暴雨季节雨水冲刷。</w:t>
            </w:r>
          </w:p>
          <w:p w14:paraId="59235300">
            <w:r>
              <w:rPr>
                <w:rFonts w:hint="eastAsia"/>
              </w:rPr>
              <w:t>（2）防火灾措施</w:t>
            </w:r>
          </w:p>
          <w:p w14:paraId="3B3406FC">
            <w:r>
              <w:t>1</w:t>
            </w:r>
            <w:r>
              <w:rPr>
                <w:rFonts w:hint="eastAsia"/>
              </w:rPr>
              <w:t>）健全安全生产和管理检查制度，配备专职人员定期检查，确保易燃物质储存和使用的安全性，避免因管理和使用不当导致的火灾事故发生。</w:t>
            </w:r>
          </w:p>
          <w:p w14:paraId="55FCBF2C">
            <w:r>
              <w:t>2</w:t>
            </w:r>
            <w:r>
              <w:rPr>
                <w:rFonts w:hint="eastAsia"/>
              </w:rPr>
              <w:t>）设立专门的安全和环境管理机构，制定日常管理措施。</w:t>
            </w:r>
          </w:p>
          <w:p w14:paraId="5C3EDBB7">
            <w:r>
              <w:t>3</w:t>
            </w:r>
            <w:r>
              <w:rPr>
                <w:rFonts w:hint="eastAsia"/>
              </w:rPr>
              <w:t>）对工作人员进行火灾事态时的报警和消防培训，平时加强消防知识的宣传和教育。</w:t>
            </w:r>
          </w:p>
          <w:p w14:paraId="727FE86C">
            <w:r>
              <w:rPr>
                <w:rFonts w:hint="eastAsia"/>
              </w:rPr>
              <w:t>4）危险废物贮存点应配置足够量的泡沫、干粉灭火器等消防器材。灭火器应本着分散与集中相结合的原则进行布点。管理人员应懂得防火常识、灭火知识，并能够熟练掌握灭火器。灭火器要经常检查。</w:t>
            </w:r>
          </w:p>
          <w:p w14:paraId="30047B7C">
            <w:r>
              <w:rPr>
                <w:rFonts w:hint="eastAsia"/>
              </w:rPr>
              <w:t>（</w:t>
            </w:r>
            <w:r>
              <w:t>3</w:t>
            </w:r>
            <w:r>
              <w:rPr>
                <w:rFonts w:hint="eastAsia"/>
              </w:rPr>
              <w:t>）防泄漏措施</w:t>
            </w:r>
          </w:p>
          <w:p w14:paraId="37020E74">
            <w:r>
              <w:rPr>
                <w:rFonts w:hint="eastAsia"/>
              </w:rPr>
              <w:t>1）危险废物贮存点应严格落实本次评价提出的防渗措施，加强重点防渗措施。</w:t>
            </w:r>
          </w:p>
          <w:p w14:paraId="64F139C7">
            <w:r>
              <w:rPr>
                <w:rFonts w:hint="eastAsia"/>
              </w:rPr>
              <w:t>2）废润滑油存储容器密封性应良好，放置时须防破碎，在不影响生产的情况下，尽可能减少废润滑油的储存量。</w:t>
            </w:r>
          </w:p>
          <w:p w14:paraId="154265A1">
            <w:r>
              <w:rPr>
                <w:rFonts w:hint="eastAsia"/>
              </w:rPr>
              <w:t>3）搬运、装卸废润滑油时应按照有关规定进行，做到轻装、轻卸。严禁摔、碰、撞、击、拖拉、倾斜和滚动。</w:t>
            </w:r>
          </w:p>
          <w:p w14:paraId="2F419F44">
            <w:r>
              <w:rPr>
                <w:rFonts w:hint="eastAsia"/>
              </w:rPr>
              <w:t>4）在柴油发电机停放位置及维修区域下方放置防漏托盘或油盘。这些托盘应该有足够的容积来收集可能泄漏的油液；将停放和维修区域的地表进行硬化处理，如铺设混凝土或者沥青，并在下面设置防水层以防止油液渗透到土壤中，在停放和维修区域周围设置围堰或挡油坝，用于拦截任何溢出的油液，避免其扩散到更广阔的环境中。</w:t>
            </w:r>
          </w:p>
          <w:p w14:paraId="0387BC03">
            <w:r>
              <w:rPr>
                <w:rFonts w:hint="eastAsia"/>
              </w:rPr>
              <w:t>5）定期对设备进行检查，确保没有泄漏迹象。同时也要经常检查防漏设施的有效性，并及时更换磨损的部件。对员工进行环境保护意识的培训，教育他们如何正确操作设备，以及在发生泄漏时应采取的紧急措施。</w:t>
            </w:r>
          </w:p>
          <w:p w14:paraId="09447D6F">
            <w:r>
              <w:rPr>
                <w:rFonts w:hint="eastAsia"/>
              </w:rPr>
              <w:t>（4）柴油质量控制要求</w:t>
            </w:r>
          </w:p>
          <w:p w14:paraId="238CC399">
            <w:r>
              <w:t>1</w:t>
            </w:r>
            <w:r>
              <w:rPr>
                <w:rFonts w:hint="eastAsia"/>
              </w:rPr>
              <w:t>）</w:t>
            </w:r>
            <w:r>
              <w:t>确保柴油符合国家相关标准，如GB19147《车用柴油》标准。定期检测柴油的各项指标，如硫含量、密度、闪点、黏度、冷滤点等。</w:t>
            </w:r>
          </w:p>
          <w:p w14:paraId="6A3887DE">
            <w:r>
              <w:t>2</w:t>
            </w:r>
            <w:r>
              <w:rPr>
                <w:rFonts w:hint="eastAsia"/>
              </w:rPr>
              <w:t>）</w:t>
            </w:r>
            <w:r>
              <w:t>选择有资质的供应商，确保其提供的柴油质量可靠。定期对供应商进行评估，确保其持续符合质量要求。</w:t>
            </w:r>
          </w:p>
          <w:p w14:paraId="15C12DD6">
            <w:r>
              <w:t>3</w:t>
            </w:r>
            <w:r>
              <w:rPr>
                <w:rFonts w:hint="eastAsia"/>
              </w:rPr>
              <w:t>）</w:t>
            </w:r>
            <w:r>
              <w:t>在运输过程中，确保柴油不受污染，使用专用油罐车运输。在加油过程中应确保油箱清洁，避免杂质进入</w:t>
            </w:r>
            <w:r>
              <w:rPr>
                <w:rFonts w:hint="eastAsia"/>
              </w:rPr>
              <w:t>。</w:t>
            </w:r>
          </w:p>
        </w:tc>
      </w:tr>
      <w:tr w14:paraId="414944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67" w:hRule="atLeast"/>
          <w:jc w:val="center"/>
        </w:trPr>
        <w:tc>
          <w:tcPr>
            <w:tcW w:w="258" w:type="pct"/>
            <w:tcMar>
              <w:left w:w="28" w:type="dxa"/>
              <w:right w:w="28" w:type="dxa"/>
            </w:tcMar>
            <w:vAlign w:val="center"/>
          </w:tcPr>
          <w:p w14:paraId="675666AD">
            <w:pPr>
              <w:ind w:firstLine="0" w:firstLineChars="0"/>
              <w:jc w:val="center"/>
              <w:rPr>
                <w:rFonts w:ascii="宋体" w:hAnsi="宋体"/>
                <w:bCs/>
              </w:rPr>
            </w:pPr>
            <w:r>
              <w:rPr>
                <w:rFonts w:hint="eastAsia"/>
              </w:rPr>
              <w:t>运营期生态环境保护措施</w:t>
            </w:r>
          </w:p>
        </w:tc>
        <w:tc>
          <w:tcPr>
            <w:tcW w:w="4741" w:type="pct"/>
            <w:vAlign w:val="center"/>
          </w:tcPr>
          <w:p w14:paraId="78ADDECD">
            <w:pPr>
              <w:ind w:firstLine="0" w:firstLineChars="0"/>
              <w:jc w:val="center"/>
            </w:pPr>
            <w:r>
              <w:rPr>
                <w:rFonts w:hint="eastAsia"/>
              </w:rPr>
              <w:t>本项目仅涉及勘探施工，不涉及采矿，所以没有运营期。</w:t>
            </w:r>
          </w:p>
        </w:tc>
      </w:tr>
      <w:tr w14:paraId="34FB6A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3" w:hRule="atLeast"/>
          <w:jc w:val="center"/>
        </w:trPr>
        <w:tc>
          <w:tcPr>
            <w:tcW w:w="258" w:type="pct"/>
            <w:tcMar>
              <w:left w:w="28" w:type="dxa"/>
              <w:right w:w="28" w:type="dxa"/>
            </w:tcMar>
            <w:vAlign w:val="center"/>
          </w:tcPr>
          <w:p w14:paraId="32C85260">
            <w:pPr>
              <w:pStyle w:val="32"/>
            </w:pPr>
            <w:r>
              <w:rPr>
                <w:rFonts w:hint="eastAsia"/>
                <w:sz w:val="24"/>
                <w:szCs w:val="28"/>
              </w:rPr>
              <w:t>其他</w:t>
            </w:r>
          </w:p>
        </w:tc>
        <w:tc>
          <w:tcPr>
            <w:tcW w:w="4741" w:type="pct"/>
            <w:vAlign w:val="center"/>
          </w:tcPr>
          <w:p w14:paraId="4A0D0E48">
            <w:pPr>
              <w:pStyle w:val="19"/>
              <w:ind w:firstLine="482" w:firstLineChars="200"/>
            </w:pPr>
            <w:r>
              <w:t>5.10环境管理建议</w:t>
            </w:r>
          </w:p>
          <w:p w14:paraId="71E9BF16">
            <w:r>
              <w:rPr>
                <w:rFonts w:hint="eastAsia"/>
              </w:rPr>
              <w:t>（1）施工期环境保护管理计划</w:t>
            </w:r>
          </w:p>
          <w:p w14:paraId="2F54B484">
            <w:r>
              <w:t>施工期环保管理的中心工作是：在抓好工程施工建设的同时，防止和控制施工活动对环境可能造成的污染或破坏，具体内容是：</w:t>
            </w:r>
          </w:p>
          <w:p w14:paraId="5F9DF9CD">
            <w:r>
              <w:rPr>
                <w:rFonts w:hint="eastAsia"/>
              </w:rPr>
              <w:t>1）严格落实施工期生态保护措施，制定切实可行的恢复植被计划，控制施工占地面积、规定行车路线、限制人为活动范围。</w:t>
            </w:r>
          </w:p>
          <w:p w14:paraId="4A85231C">
            <w:r>
              <w:rPr>
                <w:rFonts w:hint="eastAsia"/>
              </w:rPr>
              <w:t>2）</w:t>
            </w:r>
            <w:r>
              <w:t>制定工程建设过程中的污染防治措施、环保管理措施和实施办法，负责施工过程中的环保工作，督促和检查施工过程中环保措施的执行情况，发现问题，及时解决。</w:t>
            </w:r>
          </w:p>
          <w:p w14:paraId="70A0C9C0">
            <w:r>
              <w:rPr>
                <w:rFonts w:hint="eastAsia"/>
              </w:rPr>
              <w:t>3）</w:t>
            </w:r>
            <w:r>
              <w:t>负责对施工过程中的污染源管理，合理安排施工机械的运行及施工作业时间，最大限度地减少施工作业产生的噪声、扬尘对环境的影响。</w:t>
            </w:r>
          </w:p>
          <w:p w14:paraId="6368D01F">
            <w:r>
              <w:rPr>
                <w:rFonts w:hint="eastAsia"/>
              </w:rPr>
              <w:t>4）</w:t>
            </w:r>
            <w:r>
              <w:t>对施工过程中产生的废料、生活垃圾及生活污水等进行集中统一处置，防止对环境造成不利影响。</w:t>
            </w:r>
          </w:p>
          <w:p w14:paraId="47051B64">
            <w:r>
              <w:rPr>
                <w:rFonts w:hint="eastAsia"/>
              </w:rPr>
              <w:t>5）</w:t>
            </w:r>
            <w:r>
              <w:t>参与施工作业管理及计划安排，防止施工造成长时间的交通中断、交通堵塞，以及公共服务设施如水、电、气、通讯等的中断。</w:t>
            </w:r>
          </w:p>
          <w:p w14:paraId="29F894E9">
            <w:r>
              <w:rPr>
                <w:rFonts w:hint="eastAsia"/>
              </w:rPr>
              <w:t>6）</w:t>
            </w:r>
            <w:r>
              <w:t>参与施工运输作业的管理，防止运输过程中弃土沿途洒落，影响城市环境卫生及产生二次扬尘。</w:t>
            </w:r>
          </w:p>
          <w:p w14:paraId="4075705B">
            <w:r>
              <w:rPr>
                <w:rFonts w:hint="eastAsia"/>
              </w:rPr>
              <w:t>7）施工过程产生的危险废物集中收集后贮存于危险废物贮存点，由专人负责管理。</w:t>
            </w:r>
          </w:p>
          <w:p w14:paraId="7464385C">
            <w:r>
              <w:rPr>
                <w:rFonts w:hint="eastAsia"/>
              </w:rPr>
              <w:t>（2）环境管理任务</w:t>
            </w:r>
          </w:p>
          <w:p w14:paraId="43D31171">
            <w:r>
              <w:rPr>
                <w:rFonts w:hint="eastAsia"/>
              </w:rPr>
              <w:t>1）</w:t>
            </w:r>
            <w:r>
              <w:t>施工筹建期</w:t>
            </w:r>
          </w:p>
          <w:p w14:paraId="1350E4CF">
            <w:r>
              <w:rPr>
                <w:rFonts w:hint="eastAsia" w:ascii="宋体" w:hAnsi="宋体" w:cs="宋体"/>
              </w:rPr>
              <w:t>①</w:t>
            </w:r>
            <w:r>
              <w:t>审核工程环境影响评价成果，保证环境影响报告中有关环境保护的措施列入工程最终设计文件。</w:t>
            </w:r>
          </w:p>
          <w:p w14:paraId="21669AFD">
            <w:r>
              <w:rPr>
                <w:rFonts w:hint="eastAsia" w:ascii="宋体" w:hAnsi="宋体" w:cs="宋体"/>
              </w:rPr>
              <w:t>②</w:t>
            </w:r>
            <w:r>
              <w:t>根据环境影响报告和环境保护设计报告，负责工程招投标文件及合同文件中相关环境保护条款的编制。</w:t>
            </w:r>
          </w:p>
          <w:p w14:paraId="7854A1D1">
            <w:r>
              <w:fldChar w:fldCharType="begin"/>
            </w:r>
            <w:r>
              <w:instrText xml:space="preserve"> = 3 \* GB3 \* MERGEFORMAT </w:instrText>
            </w:r>
            <w:r>
              <w:fldChar w:fldCharType="separate"/>
            </w:r>
            <w:r>
              <w:rPr>
                <w:rFonts w:hint="eastAsia" w:ascii="宋体" w:hAnsi="宋体" w:cs="宋体"/>
              </w:rPr>
              <w:t>③</w:t>
            </w:r>
            <w:r>
              <w:fldChar w:fldCharType="end"/>
            </w:r>
            <w:r>
              <w:t>筹建环境管理机构，进行环境管理人员培训。</w:t>
            </w:r>
          </w:p>
          <w:p w14:paraId="61D0BAD2">
            <w:r>
              <w:rPr>
                <w:rFonts w:hint="eastAsia"/>
              </w:rPr>
              <w:t>2）施工工区环境管理</w:t>
            </w:r>
          </w:p>
          <w:p w14:paraId="1F9BF9B6">
            <w:r>
              <w:rPr>
                <w:rFonts w:hint="eastAsia" w:ascii="宋体" w:hAnsi="宋体" w:cs="宋体"/>
              </w:rPr>
              <w:t>①</w:t>
            </w:r>
            <w:r>
              <w:t>贯彻执行国家有关环境保护方针、政策及法规条例，制订工程环境保护管理具体规定与管理办法。</w:t>
            </w:r>
          </w:p>
          <w:p w14:paraId="3DC7726A">
            <w:r>
              <w:rPr>
                <w:rFonts w:hint="eastAsia" w:ascii="宋体" w:hAnsi="宋体" w:cs="宋体"/>
              </w:rPr>
              <w:t>②</w:t>
            </w:r>
            <w:r>
              <w:t>按照国家有关环境保护法规和工程的环境保护规定，统一管理施工工区环境保护工作。</w:t>
            </w:r>
          </w:p>
          <w:p w14:paraId="277D284C">
            <w:r>
              <w:fldChar w:fldCharType="begin"/>
            </w:r>
            <w:r>
              <w:instrText xml:space="preserve"> = 3 \* GB3 \* MERGEFORMAT </w:instrText>
            </w:r>
            <w:r>
              <w:fldChar w:fldCharType="separate"/>
            </w:r>
            <w:r>
              <w:rPr>
                <w:rFonts w:hint="eastAsia" w:ascii="宋体" w:hAnsi="宋体" w:cs="宋体"/>
              </w:rPr>
              <w:t>③</w:t>
            </w:r>
            <w:r>
              <w:fldChar w:fldCharType="end"/>
            </w:r>
            <w:r>
              <w:t>编制环境管理工作计划，整编监测资料，建立工程的生态与环境信息库，编制工程年度环境质量报告，并报上级主管部门和地方环保部门。</w:t>
            </w:r>
          </w:p>
          <w:p w14:paraId="077FB2A5">
            <w:r>
              <w:fldChar w:fldCharType="begin"/>
            </w:r>
            <w:r>
              <w:instrText xml:space="preserve"> = 4 \* GB3 \* MERGEFORMAT </w:instrText>
            </w:r>
            <w:r>
              <w:fldChar w:fldCharType="separate"/>
            </w:r>
            <w:r>
              <w:rPr>
                <w:rFonts w:hint="eastAsia" w:ascii="宋体" w:hAnsi="宋体" w:cs="宋体"/>
              </w:rPr>
              <w:t>④</w:t>
            </w:r>
            <w:r>
              <w:fldChar w:fldCharType="end"/>
            </w:r>
            <w:r>
              <w:t>加强环境监测管理，制订环境监测计划，委托有相应资质等级的环境、卫生监测等专业部门开展环境监测工作。</w:t>
            </w:r>
          </w:p>
          <w:p w14:paraId="48F51EE9">
            <w:r>
              <w:fldChar w:fldCharType="begin"/>
            </w:r>
            <w:r>
              <w:instrText xml:space="preserve"> = 5 \* GB3 \* MERGEFORMAT </w:instrText>
            </w:r>
            <w:r>
              <w:fldChar w:fldCharType="separate"/>
            </w:r>
            <w:r>
              <w:rPr>
                <w:rFonts w:hint="eastAsia" w:ascii="宋体" w:hAnsi="宋体" w:cs="宋体"/>
              </w:rPr>
              <w:t>⑤</w:t>
            </w:r>
            <w:r>
              <w:fldChar w:fldCharType="end"/>
            </w:r>
            <w:r>
              <w:t>会同地方环保检查、监督工程承包商执行环境保护条款的情况。</w:t>
            </w:r>
          </w:p>
          <w:p w14:paraId="7EAFA89B">
            <w:r>
              <w:fldChar w:fldCharType="begin"/>
            </w:r>
            <w:r>
              <w:instrText xml:space="preserve"> = 6 \* GB3 \* MERGEFORMAT </w:instrText>
            </w:r>
            <w:r>
              <w:fldChar w:fldCharType="separate"/>
            </w:r>
            <w:r>
              <w:rPr>
                <w:rFonts w:hint="eastAsia" w:ascii="宋体" w:hAnsi="宋体" w:cs="宋体"/>
              </w:rPr>
              <w:t>⑥</w:t>
            </w:r>
            <w:r>
              <w:fldChar w:fldCharType="end"/>
            </w:r>
            <w:r>
              <w:t>负责协调处理工程引起的环境纠纷和环境污染事故。</w:t>
            </w:r>
          </w:p>
          <w:p w14:paraId="33E44BF4">
            <w:r>
              <w:fldChar w:fldCharType="begin"/>
            </w:r>
            <w:r>
              <w:instrText xml:space="preserve"> = 7 \* GB3 \* MERGEFORMAT </w:instrText>
            </w:r>
            <w:r>
              <w:fldChar w:fldCharType="separate"/>
            </w:r>
            <w:r>
              <w:rPr>
                <w:rFonts w:hint="eastAsia" w:ascii="宋体" w:hAnsi="宋体" w:cs="宋体"/>
              </w:rPr>
              <w:t>⑦</w:t>
            </w:r>
            <w:r>
              <w:fldChar w:fldCharType="end"/>
            </w:r>
            <w:r>
              <w:t>加强环境保护的宣传教育，负责组织实施环境管理培训工作，提高工程环境管理人员的技术水平。</w:t>
            </w:r>
          </w:p>
          <w:p w14:paraId="58429D0A">
            <w:pPr>
              <w:pStyle w:val="7"/>
              <w:ind w:firstLine="480"/>
            </w:pPr>
            <w:r>
              <w:rPr>
                <w:rFonts w:hint="eastAsia"/>
              </w:rPr>
              <w:t>（3）加强生态保护红线管理与环境监管的综合措施</w:t>
            </w:r>
          </w:p>
          <w:p w14:paraId="0E8F7AD4">
            <w:pPr>
              <w:pStyle w:val="7"/>
              <w:ind w:firstLine="480"/>
              <w:jc w:val="both"/>
            </w:pPr>
            <w:r>
              <w:rPr>
                <w:rFonts w:hint="eastAsia"/>
              </w:rPr>
              <w:t>项目边界距生态保护红线最近约775.57m，虽有一定缓冲空间，但仍需加强施工期环境监管，防范扬尘、噪声、废水等对红线区域产生间接不利影响。为此，提出以下环境管理要求：</w:t>
            </w:r>
          </w:p>
          <w:p w14:paraId="3CCC21F1">
            <w:pPr>
              <w:pStyle w:val="7"/>
              <w:ind w:firstLine="480"/>
            </w:pPr>
            <w:r>
              <w:rPr>
                <w:rFonts w:hint="eastAsia"/>
              </w:rPr>
              <w:t>①严控施工扰动范围</w:t>
            </w:r>
          </w:p>
          <w:p w14:paraId="74C7A157">
            <w:pPr>
              <w:pStyle w:val="7"/>
              <w:ind w:firstLine="480"/>
              <w:jc w:val="both"/>
            </w:pPr>
            <w:r>
              <w:rPr>
                <w:rFonts w:hint="eastAsia"/>
              </w:rPr>
              <w:t>施工前应利用GPS精确标定项目用地边界，确保所有施工作业、物料堆放及临时设施均布置在用地红线以内。严禁向红线方向倾倒渣土、排放废水或堆置废弃物。</w:t>
            </w:r>
          </w:p>
          <w:p w14:paraId="027D3537">
            <w:pPr>
              <w:pStyle w:val="7"/>
              <w:ind w:firstLine="480"/>
            </w:pPr>
            <w:r>
              <w:rPr>
                <w:rFonts w:hint="eastAsia"/>
              </w:rPr>
              <w:t>②加强施工期现场管理</w:t>
            </w:r>
          </w:p>
          <w:p w14:paraId="01D3CD7C">
            <w:pPr>
              <w:pStyle w:val="7"/>
              <w:ind w:firstLine="480"/>
              <w:jc w:val="both"/>
            </w:pPr>
            <w:r>
              <w:rPr>
                <w:rFonts w:hint="eastAsia"/>
              </w:rPr>
              <w:t>施工期间，严格控制扬尘产生量，合理安排施工时间以降低噪声影响，确保废水经处理后回用或达标排放，避免对红线区域造成污染。建立日常巡查制度，发现异常情况（如大风扬尘、设备漏油、废水外溢等）应立即启动应急预案，及时控制污染扩散。</w:t>
            </w:r>
          </w:p>
          <w:p w14:paraId="55FEEC10">
            <w:pPr>
              <w:pStyle w:val="7"/>
              <w:ind w:firstLine="480"/>
            </w:pP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rPr>
                <w:rFonts w:hint="eastAsia"/>
              </w:rPr>
              <w:t>落实生态恢复与补偿措施</w:t>
            </w:r>
          </w:p>
          <w:p w14:paraId="5C515227">
            <w:pPr>
              <w:rPr>
                <w:rFonts w:ascii="宋体" w:hAnsi="宋体" w:cs="宋体"/>
                <w:spacing w:val="-12"/>
              </w:rPr>
            </w:pPr>
            <w:r>
              <w:rPr>
                <w:rFonts w:hint="eastAsia"/>
              </w:rPr>
              <w:t>施工结束后，应及时对临时占地进行清理、平整和植被恢复，确保恢复后区域与周边生态环境协调。禁止在红线范围内设置取土场、弃渣场或施工便道，维护生态保护红线的完整性和生态功能</w:t>
            </w:r>
            <w:r>
              <w:t>。</w:t>
            </w:r>
          </w:p>
          <w:p w14:paraId="36C9878C">
            <w:r>
              <w:rPr>
                <w:rFonts w:hint="eastAsia"/>
              </w:rPr>
              <w:t>（4）勘探期结束后环境管理</w:t>
            </w:r>
          </w:p>
          <w:p w14:paraId="6C61D67B">
            <w:r>
              <w:rPr>
                <w:rFonts w:hint="eastAsia"/>
              </w:rPr>
              <w:t>勘探期结束后，各产污设备将停止运行，“三废”等排放也将停止，基本不存在“三废”等污染问题。主要环境问题为探矿造成的生态环境影响。</w:t>
            </w:r>
            <w:r>
              <w:t>服务期满后环境管理具体要求见表</w:t>
            </w:r>
            <w:r>
              <w:rPr>
                <w:rFonts w:hint="eastAsia"/>
              </w:rPr>
              <w:t>5-</w:t>
            </w:r>
            <w:r>
              <w:t>7。</w:t>
            </w:r>
          </w:p>
          <w:p w14:paraId="006E179C">
            <w:pPr>
              <w:pStyle w:val="34"/>
              <w:spacing w:before="156"/>
              <w:rPr>
                <w:rFonts w:ascii="Times New Roman" w:hAnsi="Times New Roman"/>
              </w:rPr>
            </w:pPr>
            <w:r>
              <w:rPr>
                <w:rFonts w:ascii="Times New Roman" w:hAnsi="Times New Roman"/>
              </w:rPr>
              <w:t>表5-7  勘探期结束后环境管理要求</w:t>
            </w:r>
          </w:p>
          <w:tbl>
            <w:tblPr>
              <w:tblStyle w:val="23"/>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33"/>
              <w:gridCol w:w="5226"/>
            </w:tblGrid>
            <w:tr w14:paraId="541BEF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32" w:type="pct"/>
                  <w:tcBorders>
                    <w:tl2br w:val="nil"/>
                    <w:tr2bl w:val="nil"/>
                  </w:tcBorders>
                  <w:shd w:val="clear" w:color="auto" w:fill="auto"/>
                  <w:vAlign w:val="center"/>
                </w:tcPr>
                <w:p w14:paraId="1A8C76F1">
                  <w:pPr>
                    <w:pStyle w:val="36"/>
                  </w:pPr>
                  <w:r>
                    <w:t>环境影响</w:t>
                  </w:r>
                </w:p>
              </w:tc>
              <w:tc>
                <w:tcPr>
                  <w:tcW w:w="3367" w:type="pct"/>
                  <w:tcBorders>
                    <w:tl2br w:val="nil"/>
                    <w:tr2bl w:val="nil"/>
                  </w:tcBorders>
                  <w:shd w:val="clear" w:color="auto" w:fill="auto"/>
                  <w:vAlign w:val="center"/>
                </w:tcPr>
                <w:p w14:paraId="19BBC908">
                  <w:pPr>
                    <w:pStyle w:val="36"/>
                  </w:pPr>
                  <w:r>
                    <w:t>环境管理具体要求</w:t>
                  </w:r>
                </w:p>
              </w:tc>
            </w:tr>
            <w:tr w14:paraId="2752C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32" w:type="pct"/>
                  <w:tcBorders>
                    <w:tl2br w:val="nil"/>
                    <w:tr2bl w:val="nil"/>
                  </w:tcBorders>
                  <w:shd w:val="clear" w:color="auto" w:fill="auto"/>
                  <w:vAlign w:val="center"/>
                </w:tcPr>
                <w:p w14:paraId="4ECCE894">
                  <w:pPr>
                    <w:pStyle w:val="36"/>
                  </w:pPr>
                  <w:r>
                    <w:rPr>
                      <w:rFonts w:hint="eastAsia"/>
                    </w:rPr>
                    <w:t>废水、废气、噪声、固废</w:t>
                  </w:r>
                </w:p>
              </w:tc>
              <w:tc>
                <w:tcPr>
                  <w:tcW w:w="3367" w:type="pct"/>
                  <w:tcBorders>
                    <w:tl2br w:val="nil"/>
                    <w:tr2bl w:val="nil"/>
                  </w:tcBorders>
                  <w:shd w:val="clear" w:color="auto" w:fill="auto"/>
                  <w:vAlign w:val="center"/>
                </w:tcPr>
                <w:p w14:paraId="26035347">
                  <w:pPr>
                    <w:pStyle w:val="36"/>
                    <w:jc w:val="both"/>
                  </w:pPr>
                  <w:r>
                    <w:rPr>
                      <w:rFonts w:hint="eastAsia"/>
                    </w:rPr>
                    <w:t>1</w:t>
                  </w:r>
                  <w:r>
                    <w:t>）</w:t>
                  </w:r>
                  <w:r>
                    <w:rPr>
                      <w:rFonts w:hint="eastAsia"/>
                    </w:rPr>
                    <w:t>对钻孔的封堵情况进行监督管理；</w:t>
                  </w:r>
                </w:p>
                <w:p w14:paraId="689E98A4">
                  <w:pPr>
                    <w:pStyle w:val="36"/>
                    <w:jc w:val="both"/>
                  </w:pPr>
                  <w:r>
                    <w:rPr>
                      <w:rFonts w:hint="eastAsia"/>
                    </w:rPr>
                    <w:t>2</w:t>
                  </w:r>
                  <w:r>
                    <w:t>）</w:t>
                  </w:r>
                  <w:r>
                    <w:rPr>
                      <w:rFonts w:hint="eastAsia"/>
                    </w:rPr>
                    <w:t>对场内临时工程的拆除及清理情况进行监督管理；</w:t>
                  </w:r>
                </w:p>
              </w:tc>
            </w:tr>
            <w:tr w14:paraId="7C46A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32" w:type="pct"/>
                  <w:tcBorders>
                    <w:tl2br w:val="nil"/>
                    <w:tr2bl w:val="nil"/>
                  </w:tcBorders>
                  <w:shd w:val="clear" w:color="auto" w:fill="auto"/>
                  <w:vAlign w:val="center"/>
                </w:tcPr>
                <w:p w14:paraId="2CCB3B91">
                  <w:pPr>
                    <w:pStyle w:val="36"/>
                  </w:pPr>
                  <w:r>
                    <w:rPr>
                      <w:rFonts w:hint="eastAsia"/>
                    </w:rPr>
                    <w:t>生态环境影响</w:t>
                  </w:r>
                </w:p>
              </w:tc>
              <w:tc>
                <w:tcPr>
                  <w:tcW w:w="3367" w:type="pct"/>
                  <w:tcBorders>
                    <w:tl2br w:val="nil"/>
                    <w:tr2bl w:val="nil"/>
                  </w:tcBorders>
                  <w:shd w:val="clear" w:color="auto" w:fill="auto"/>
                  <w:vAlign w:val="center"/>
                </w:tcPr>
                <w:p w14:paraId="0BB8E253">
                  <w:pPr>
                    <w:pStyle w:val="36"/>
                    <w:jc w:val="both"/>
                  </w:pPr>
                  <w:r>
                    <w:rPr>
                      <w:rFonts w:hint="eastAsia"/>
                    </w:rPr>
                    <w:t>1）对场地生态恢复措施落实情况进行监督管理；</w:t>
                  </w:r>
                </w:p>
                <w:p w14:paraId="4ECF49EA">
                  <w:pPr>
                    <w:pStyle w:val="36"/>
                    <w:jc w:val="both"/>
                  </w:pPr>
                  <w:r>
                    <w:rPr>
                      <w:rFonts w:hint="eastAsia"/>
                    </w:rPr>
                    <w:t>2</w:t>
                  </w:r>
                  <w:r>
                    <w:t>）</w:t>
                  </w:r>
                  <w:r>
                    <w:rPr>
                      <w:rFonts w:hint="eastAsia"/>
                    </w:rPr>
                    <w:t>在勘探期满前的1~2年内落实建闭坑计划的编制情况；</w:t>
                  </w:r>
                </w:p>
                <w:p w14:paraId="015385F4">
                  <w:pPr>
                    <w:pStyle w:val="36"/>
                    <w:jc w:val="both"/>
                  </w:pPr>
                  <w:r>
                    <w:rPr>
                      <w:rFonts w:hint="eastAsia"/>
                    </w:rPr>
                    <w:t>3）严格按照土地复垦要求，对勘查区复垦情况进行监督管理；</w:t>
                  </w:r>
                </w:p>
              </w:tc>
            </w:tr>
            <w:tr w14:paraId="501766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32" w:type="pct"/>
                  <w:tcBorders>
                    <w:tl2br w:val="nil"/>
                    <w:tr2bl w:val="nil"/>
                  </w:tcBorders>
                  <w:shd w:val="clear" w:color="auto" w:fill="auto"/>
                  <w:vAlign w:val="center"/>
                </w:tcPr>
                <w:p w14:paraId="3E739914">
                  <w:pPr>
                    <w:pStyle w:val="36"/>
                  </w:pPr>
                  <w:r>
                    <w:t>文物保护</w:t>
                  </w:r>
                </w:p>
              </w:tc>
              <w:tc>
                <w:tcPr>
                  <w:tcW w:w="3367" w:type="pct"/>
                  <w:tcBorders>
                    <w:tl2br w:val="nil"/>
                    <w:tr2bl w:val="nil"/>
                  </w:tcBorders>
                  <w:shd w:val="clear" w:color="auto" w:fill="auto"/>
                  <w:vAlign w:val="center"/>
                </w:tcPr>
                <w:p w14:paraId="71F2B494">
                  <w:pPr>
                    <w:pStyle w:val="36"/>
                    <w:jc w:val="both"/>
                  </w:pPr>
                  <w:r>
                    <w:rPr>
                      <w:rFonts w:hint="eastAsia"/>
                    </w:rPr>
                    <w:t>1）施工前组织文物保护专项培训；</w:t>
                  </w:r>
                </w:p>
                <w:p w14:paraId="21C18CC7">
                  <w:pPr>
                    <w:pStyle w:val="36"/>
                    <w:jc w:val="both"/>
                  </w:pPr>
                  <w:r>
                    <w:rPr>
                      <w:rFonts w:hint="eastAsia"/>
                    </w:rPr>
                    <w:t>2</w:t>
                  </w:r>
                  <w:r>
                    <w:t>）</w:t>
                  </w:r>
                  <w:r>
                    <w:rPr>
                      <w:rFonts w:hint="eastAsia"/>
                    </w:rPr>
                    <w:t>施工期间安排专人负责文物监护；</w:t>
                  </w:r>
                </w:p>
                <w:p w14:paraId="24821F29">
                  <w:pPr>
                    <w:pStyle w:val="36"/>
                    <w:jc w:val="both"/>
                  </w:pPr>
                  <w:r>
                    <w:rPr>
                      <w:rFonts w:hint="eastAsia"/>
                    </w:rPr>
                    <w:t>3）发现文物立即停工、保护现场、2小时内报告当地文物部门；</w:t>
                  </w:r>
                </w:p>
                <w:p w14:paraId="73C46303">
                  <w:pPr>
                    <w:pStyle w:val="36"/>
                    <w:jc w:val="both"/>
                  </w:pPr>
                  <w:r>
                    <w:rPr>
                      <w:rFonts w:hint="eastAsia"/>
                    </w:rPr>
                    <w:t>4）配合文物部门</w:t>
                  </w:r>
                  <w:r>
                    <w:rPr>
                      <w:rFonts w:ascii="Helvetica" w:hAnsi="Helvetica" w:cs="Helvetica"/>
                      <w:color w:val="111111"/>
                      <w:shd w:val="clear" w:color="auto" w:fill="FFFFFF"/>
                    </w:rPr>
                    <w:t>现场勘查</w:t>
                  </w:r>
                  <w:r>
                    <w:rPr>
                      <w:rFonts w:hint="eastAsia"/>
                    </w:rPr>
                    <w:t>及后续处置；</w:t>
                  </w:r>
                </w:p>
              </w:tc>
            </w:tr>
          </w:tbl>
          <w:p w14:paraId="3CF59900"/>
        </w:tc>
      </w:tr>
      <w:tr w14:paraId="68E11D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46" w:hRule="atLeast"/>
          <w:jc w:val="center"/>
        </w:trPr>
        <w:tc>
          <w:tcPr>
            <w:tcW w:w="258" w:type="pct"/>
            <w:tcMar>
              <w:left w:w="28" w:type="dxa"/>
              <w:right w:w="28" w:type="dxa"/>
            </w:tcMar>
            <w:vAlign w:val="center"/>
          </w:tcPr>
          <w:p w14:paraId="2C25C7CC">
            <w:pPr>
              <w:pStyle w:val="32"/>
              <w:rPr>
                <w:sz w:val="24"/>
                <w:szCs w:val="28"/>
              </w:rPr>
            </w:pPr>
            <w:r>
              <w:rPr>
                <w:rFonts w:hint="eastAsia"/>
                <w:sz w:val="24"/>
                <w:szCs w:val="28"/>
              </w:rPr>
              <w:t>环保</w:t>
            </w:r>
          </w:p>
          <w:p w14:paraId="406EA976">
            <w:pPr>
              <w:pStyle w:val="32"/>
            </w:pPr>
            <w:r>
              <w:rPr>
                <w:rFonts w:hint="eastAsia"/>
                <w:sz w:val="24"/>
                <w:szCs w:val="28"/>
              </w:rPr>
              <w:t>投资</w:t>
            </w:r>
          </w:p>
        </w:tc>
        <w:tc>
          <w:tcPr>
            <w:tcW w:w="4741" w:type="pct"/>
            <w:vAlign w:val="center"/>
          </w:tcPr>
          <w:p w14:paraId="7067F13A">
            <w:pPr>
              <w:rPr>
                <w:b/>
                <w:bCs/>
                <w:szCs w:val="32"/>
              </w:rPr>
            </w:pPr>
            <w:r>
              <w:t>项目环境保护投资总计</w:t>
            </w:r>
            <w:r>
              <w:rPr>
                <w:rFonts w:hint="eastAsia"/>
              </w:rPr>
              <w:t>5</w:t>
            </w:r>
            <w:r>
              <w:t>8万元，占总投资</w:t>
            </w:r>
            <w:r>
              <w:rPr>
                <w:kern w:val="24"/>
              </w:rPr>
              <w:t>500</w:t>
            </w:r>
            <w:r>
              <w:t>万元的11.6%，项目环保措施及投资见</w:t>
            </w:r>
            <w:r>
              <w:rPr>
                <w:rFonts w:hint="eastAsia"/>
              </w:rPr>
              <w:t>下表。</w:t>
            </w:r>
          </w:p>
          <w:p w14:paraId="5E9E2459">
            <w:pPr>
              <w:pStyle w:val="34"/>
              <w:spacing w:before="156"/>
              <w:rPr>
                <w:rFonts w:ascii="Times New Roman" w:hAnsi="Times New Roman"/>
              </w:rPr>
            </w:pPr>
            <w:r>
              <w:rPr>
                <w:rFonts w:ascii="Times New Roman" w:hAnsi="Times New Roman"/>
              </w:rPr>
              <w:t>表5-8  环保措施及投资估算一览表</w:t>
            </w:r>
          </w:p>
          <w:tbl>
            <w:tblPr>
              <w:tblStyle w:val="23"/>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57" w:type="dxa"/>
                <w:left w:w="28" w:type="dxa"/>
                <w:bottom w:w="57" w:type="dxa"/>
                <w:right w:w="28" w:type="dxa"/>
              </w:tblCellMar>
            </w:tblPr>
            <w:tblGrid>
              <w:gridCol w:w="489"/>
              <w:gridCol w:w="1137"/>
              <w:gridCol w:w="5192"/>
              <w:gridCol w:w="938"/>
            </w:tblGrid>
            <w:tr w14:paraId="143C8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28" w:type="dxa"/>
                  <w:bottom w:w="57" w:type="dxa"/>
                  <w:right w:w="28" w:type="dxa"/>
                </w:tblCellMar>
              </w:tblPrEx>
              <w:trPr>
                <w:cantSplit/>
                <w:trHeight w:val="593" w:hRule="atLeast"/>
                <w:tblHeader/>
                <w:jc w:val="center"/>
              </w:trPr>
              <w:tc>
                <w:tcPr>
                  <w:tcW w:w="1048" w:type="pct"/>
                  <w:gridSpan w:val="2"/>
                  <w:tcMar>
                    <w:top w:w="57" w:type="dxa"/>
                    <w:bottom w:w="57" w:type="dxa"/>
                  </w:tcMar>
                  <w:vAlign w:val="center"/>
                </w:tcPr>
                <w:p w14:paraId="73E541EC">
                  <w:pPr>
                    <w:pStyle w:val="32"/>
                  </w:pPr>
                  <w:r>
                    <w:t>项目</w:t>
                  </w:r>
                </w:p>
              </w:tc>
              <w:tc>
                <w:tcPr>
                  <w:tcW w:w="3347" w:type="pct"/>
                  <w:tcMar>
                    <w:top w:w="57" w:type="dxa"/>
                    <w:bottom w:w="57" w:type="dxa"/>
                  </w:tcMar>
                  <w:vAlign w:val="center"/>
                </w:tcPr>
                <w:p w14:paraId="3D1EE189">
                  <w:pPr>
                    <w:pStyle w:val="32"/>
                  </w:pPr>
                  <w:r>
                    <w:t>环保措施</w:t>
                  </w:r>
                </w:p>
              </w:tc>
              <w:tc>
                <w:tcPr>
                  <w:tcW w:w="605" w:type="pct"/>
                  <w:tcMar>
                    <w:top w:w="57" w:type="dxa"/>
                    <w:bottom w:w="57" w:type="dxa"/>
                  </w:tcMar>
                  <w:vAlign w:val="center"/>
                </w:tcPr>
                <w:p w14:paraId="64BF26B3">
                  <w:pPr>
                    <w:pStyle w:val="32"/>
                  </w:pPr>
                  <w:r>
                    <w:t>环保费用</w:t>
                  </w:r>
                  <w:r>
                    <w:rPr>
                      <w:rFonts w:hint="eastAsia"/>
                    </w:rPr>
                    <w:t>（万元）</w:t>
                  </w:r>
                </w:p>
              </w:tc>
            </w:tr>
            <w:tr w14:paraId="6F28D6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28" w:type="dxa"/>
                  <w:bottom w:w="57" w:type="dxa"/>
                  <w:right w:w="28" w:type="dxa"/>
                </w:tblCellMar>
              </w:tblPrEx>
              <w:trPr>
                <w:cantSplit/>
                <w:trHeight w:val="112" w:hRule="atLeast"/>
                <w:jc w:val="center"/>
              </w:trPr>
              <w:tc>
                <w:tcPr>
                  <w:tcW w:w="315" w:type="pct"/>
                  <w:vMerge w:val="restart"/>
                  <w:tcMar>
                    <w:top w:w="57" w:type="dxa"/>
                    <w:bottom w:w="57" w:type="dxa"/>
                  </w:tcMar>
                  <w:vAlign w:val="center"/>
                </w:tcPr>
                <w:p w14:paraId="71956D8C">
                  <w:pPr>
                    <w:pStyle w:val="32"/>
                  </w:pPr>
                  <w:r>
                    <w:t>废气</w:t>
                  </w:r>
                </w:p>
              </w:tc>
              <w:tc>
                <w:tcPr>
                  <w:tcW w:w="733" w:type="pct"/>
                  <w:vAlign w:val="center"/>
                </w:tcPr>
                <w:p w14:paraId="0C988A8D">
                  <w:pPr>
                    <w:pStyle w:val="32"/>
                  </w:pPr>
                  <w:r>
                    <w:rPr>
                      <w:rFonts w:hint="eastAsia"/>
                    </w:rPr>
                    <w:t>扬尘</w:t>
                  </w:r>
                </w:p>
              </w:tc>
              <w:tc>
                <w:tcPr>
                  <w:tcW w:w="3347" w:type="pct"/>
                  <w:tcMar>
                    <w:top w:w="57" w:type="dxa"/>
                    <w:bottom w:w="57" w:type="dxa"/>
                  </w:tcMar>
                  <w:vAlign w:val="center"/>
                </w:tcPr>
                <w:p w14:paraId="5307EBE8">
                  <w:pPr>
                    <w:pStyle w:val="32"/>
                  </w:pPr>
                  <w:r>
                    <w:rPr>
                      <w:rFonts w:hint="eastAsia"/>
                    </w:rPr>
                    <w:t>土石方采用防尘网或篷布覆盖，运输车辆限速行驶，并洒水降尘</w:t>
                  </w:r>
                </w:p>
              </w:tc>
              <w:tc>
                <w:tcPr>
                  <w:tcW w:w="605" w:type="pct"/>
                  <w:tcMar>
                    <w:top w:w="57" w:type="dxa"/>
                    <w:bottom w:w="57" w:type="dxa"/>
                  </w:tcMar>
                  <w:vAlign w:val="center"/>
                </w:tcPr>
                <w:p w14:paraId="71F21552">
                  <w:pPr>
                    <w:pStyle w:val="32"/>
                  </w:pPr>
                  <w:r>
                    <w:t>4</w:t>
                  </w:r>
                </w:p>
              </w:tc>
            </w:tr>
            <w:tr w14:paraId="745489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28" w:type="dxa"/>
                  <w:bottom w:w="57" w:type="dxa"/>
                  <w:right w:w="28" w:type="dxa"/>
                </w:tblCellMar>
              </w:tblPrEx>
              <w:trPr>
                <w:cantSplit/>
                <w:trHeight w:val="134" w:hRule="atLeast"/>
                <w:jc w:val="center"/>
              </w:trPr>
              <w:tc>
                <w:tcPr>
                  <w:tcW w:w="315" w:type="pct"/>
                  <w:vMerge w:val="continue"/>
                  <w:tcMar>
                    <w:top w:w="57" w:type="dxa"/>
                    <w:bottom w:w="57" w:type="dxa"/>
                  </w:tcMar>
                  <w:vAlign w:val="center"/>
                </w:tcPr>
                <w:p w14:paraId="0CACC7FA">
                  <w:pPr>
                    <w:pStyle w:val="32"/>
                  </w:pPr>
                </w:p>
              </w:tc>
              <w:tc>
                <w:tcPr>
                  <w:tcW w:w="733" w:type="pct"/>
                  <w:vAlign w:val="center"/>
                </w:tcPr>
                <w:p w14:paraId="5B8076A5">
                  <w:pPr>
                    <w:pStyle w:val="32"/>
                  </w:pPr>
                  <w:r>
                    <w:rPr>
                      <w:rFonts w:hint="eastAsia"/>
                    </w:rPr>
                    <w:t>燃油废气</w:t>
                  </w:r>
                </w:p>
              </w:tc>
              <w:tc>
                <w:tcPr>
                  <w:tcW w:w="3347" w:type="pct"/>
                  <w:tcMar>
                    <w:top w:w="57" w:type="dxa"/>
                    <w:bottom w:w="57" w:type="dxa"/>
                  </w:tcMar>
                  <w:vAlign w:val="center"/>
                </w:tcPr>
                <w:p w14:paraId="6A5473F3">
                  <w:pPr>
                    <w:pStyle w:val="32"/>
                  </w:pPr>
                  <w:r>
                    <w:rPr>
                      <w:rFonts w:hint="eastAsia"/>
                    </w:rPr>
                    <w:t>对柴油发电机及运输车辆定期维护保养，使用正品燃油，减少尾气排放</w:t>
                  </w:r>
                </w:p>
              </w:tc>
              <w:tc>
                <w:tcPr>
                  <w:tcW w:w="605" w:type="pct"/>
                  <w:tcMar>
                    <w:top w:w="57" w:type="dxa"/>
                    <w:bottom w:w="57" w:type="dxa"/>
                  </w:tcMar>
                  <w:vAlign w:val="center"/>
                </w:tcPr>
                <w:p w14:paraId="44F13394">
                  <w:pPr>
                    <w:pStyle w:val="32"/>
                  </w:pPr>
                  <w:r>
                    <w:t>5</w:t>
                  </w:r>
                </w:p>
              </w:tc>
            </w:tr>
            <w:tr w14:paraId="120D21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28" w:type="dxa"/>
                  <w:bottom w:w="57" w:type="dxa"/>
                  <w:right w:w="28" w:type="dxa"/>
                </w:tblCellMar>
              </w:tblPrEx>
              <w:trPr>
                <w:cantSplit/>
                <w:trHeight w:val="51" w:hRule="atLeast"/>
                <w:jc w:val="center"/>
              </w:trPr>
              <w:tc>
                <w:tcPr>
                  <w:tcW w:w="315" w:type="pct"/>
                  <w:vMerge w:val="restart"/>
                  <w:tcMar>
                    <w:top w:w="57" w:type="dxa"/>
                    <w:bottom w:w="57" w:type="dxa"/>
                  </w:tcMar>
                  <w:vAlign w:val="center"/>
                </w:tcPr>
                <w:p w14:paraId="6A34CA62">
                  <w:pPr>
                    <w:pStyle w:val="32"/>
                  </w:pPr>
                  <w:r>
                    <w:t>废水</w:t>
                  </w:r>
                </w:p>
              </w:tc>
              <w:tc>
                <w:tcPr>
                  <w:tcW w:w="733" w:type="pct"/>
                  <w:vAlign w:val="center"/>
                </w:tcPr>
                <w:p w14:paraId="064510C2">
                  <w:pPr>
                    <w:pStyle w:val="32"/>
                  </w:pPr>
                  <w:r>
                    <w:rPr>
                      <w:rFonts w:hint="eastAsia"/>
                    </w:rPr>
                    <w:t>钻探废水</w:t>
                  </w:r>
                </w:p>
              </w:tc>
              <w:tc>
                <w:tcPr>
                  <w:tcW w:w="3347" w:type="pct"/>
                  <w:tcMar>
                    <w:top w:w="57" w:type="dxa"/>
                    <w:bottom w:w="57" w:type="dxa"/>
                  </w:tcMar>
                  <w:vAlign w:val="center"/>
                </w:tcPr>
                <w:p w14:paraId="22A09F52">
                  <w:pPr>
                    <w:pStyle w:val="32"/>
                  </w:pPr>
                  <w:r>
                    <w:t>每个钻孔设置一座循环沉淀池（5m</w:t>
                  </w:r>
                  <w:r>
                    <w:rPr>
                      <w:vertAlign w:val="superscript"/>
                    </w:rPr>
                    <w:t>3</w:t>
                  </w:r>
                  <w:r>
                    <w:t>），采用防渗膜塑料布及支架组装，循环使用</w:t>
                  </w:r>
                </w:p>
              </w:tc>
              <w:tc>
                <w:tcPr>
                  <w:tcW w:w="605" w:type="pct"/>
                  <w:tcMar>
                    <w:top w:w="57" w:type="dxa"/>
                    <w:bottom w:w="57" w:type="dxa"/>
                  </w:tcMar>
                  <w:vAlign w:val="center"/>
                </w:tcPr>
                <w:p w14:paraId="070CD327">
                  <w:pPr>
                    <w:pStyle w:val="32"/>
                  </w:pPr>
                  <w:r>
                    <w:rPr>
                      <w:rFonts w:hint="eastAsia"/>
                    </w:rPr>
                    <w:t>5</w:t>
                  </w:r>
                </w:p>
              </w:tc>
            </w:tr>
            <w:tr w14:paraId="740A35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28" w:type="dxa"/>
                  <w:bottom w:w="57" w:type="dxa"/>
                  <w:right w:w="28" w:type="dxa"/>
                </w:tblCellMar>
              </w:tblPrEx>
              <w:trPr>
                <w:cantSplit/>
                <w:trHeight w:val="90" w:hRule="atLeast"/>
                <w:jc w:val="center"/>
              </w:trPr>
              <w:tc>
                <w:tcPr>
                  <w:tcW w:w="315" w:type="pct"/>
                  <w:vMerge w:val="continue"/>
                  <w:tcMar>
                    <w:top w:w="57" w:type="dxa"/>
                    <w:bottom w:w="57" w:type="dxa"/>
                  </w:tcMar>
                  <w:vAlign w:val="center"/>
                </w:tcPr>
                <w:p w14:paraId="1CD5F2B7">
                  <w:pPr>
                    <w:pStyle w:val="32"/>
                  </w:pPr>
                </w:p>
              </w:tc>
              <w:tc>
                <w:tcPr>
                  <w:tcW w:w="733" w:type="pct"/>
                  <w:vAlign w:val="center"/>
                </w:tcPr>
                <w:p w14:paraId="56CD1006">
                  <w:pPr>
                    <w:pStyle w:val="32"/>
                  </w:pPr>
                  <w:r>
                    <w:rPr>
                      <w:rFonts w:hint="eastAsia"/>
                    </w:rPr>
                    <w:t>生活废水</w:t>
                  </w:r>
                </w:p>
              </w:tc>
              <w:tc>
                <w:tcPr>
                  <w:tcW w:w="3347" w:type="pct"/>
                  <w:tcMar>
                    <w:top w:w="57" w:type="dxa"/>
                    <w:bottom w:w="57" w:type="dxa"/>
                  </w:tcMar>
                  <w:vAlign w:val="center"/>
                </w:tcPr>
                <w:p w14:paraId="13ECA334">
                  <w:pPr>
                    <w:pStyle w:val="32"/>
                  </w:pPr>
                  <w:r>
                    <w:rPr>
                      <w:color w:val="000000" w:themeColor="text1"/>
                      <w:szCs w:val="21"/>
                      <w14:textFill>
                        <w14:solidFill>
                          <w14:schemeClr w14:val="tx1"/>
                        </w14:solidFill>
                      </w14:textFill>
                    </w:rPr>
                    <w:t>生活污水</w:t>
                  </w:r>
                  <w:r>
                    <w:rPr>
                      <w:rFonts w:hint="eastAsia"/>
                      <w:color w:val="000000" w:themeColor="text1"/>
                      <w:szCs w:val="21"/>
                      <w14:textFill>
                        <w14:solidFill>
                          <w14:schemeClr w14:val="tx1"/>
                        </w14:solidFill>
                      </w14:textFill>
                    </w:rPr>
                    <w:t>排</w:t>
                  </w:r>
                  <w:r>
                    <w:rPr>
                      <w:color w:val="000000" w:themeColor="text1"/>
                      <w:szCs w:val="21"/>
                      <w14:textFill>
                        <w14:solidFill>
                          <w14:schemeClr w14:val="tx1"/>
                        </w14:solidFill>
                      </w14:textFill>
                    </w:rPr>
                    <w:t>入一体化污水处理</w:t>
                  </w:r>
                  <w:r>
                    <w:rPr>
                      <w:rFonts w:hint="eastAsia"/>
                    </w:rPr>
                    <w:t>设备</w:t>
                  </w:r>
                  <w:r>
                    <w:rPr>
                      <w:color w:val="000000" w:themeColor="text1"/>
                      <w:szCs w:val="21"/>
                      <w14:textFill>
                        <w14:solidFill>
                          <w14:schemeClr w14:val="tx1"/>
                        </w14:solidFill>
                      </w14:textFill>
                    </w:rPr>
                    <w:t>处理达标后，用于</w:t>
                  </w:r>
                  <w:r>
                    <w:rPr>
                      <w:rFonts w:hint="eastAsia"/>
                    </w:rPr>
                    <w:t>周边植被绿化</w:t>
                  </w:r>
                </w:p>
              </w:tc>
              <w:tc>
                <w:tcPr>
                  <w:tcW w:w="605" w:type="pct"/>
                  <w:tcMar>
                    <w:top w:w="57" w:type="dxa"/>
                    <w:bottom w:w="57" w:type="dxa"/>
                  </w:tcMar>
                  <w:vAlign w:val="center"/>
                </w:tcPr>
                <w:p w14:paraId="783DC061">
                  <w:pPr>
                    <w:pStyle w:val="32"/>
                  </w:pPr>
                  <w:r>
                    <w:rPr>
                      <w:rFonts w:hint="eastAsia"/>
                    </w:rPr>
                    <w:t>1</w:t>
                  </w:r>
                </w:p>
              </w:tc>
            </w:tr>
            <w:tr w14:paraId="65E39C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28" w:type="dxa"/>
                  <w:bottom w:w="57" w:type="dxa"/>
                  <w:right w:w="28" w:type="dxa"/>
                </w:tblCellMar>
              </w:tblPrEx>
              <w:trPr>
                <w:cantSplit/>
                <w:trHeight w:val="23" w:hRule="atLeast"/>
                <w:jc w:val="center"/>
              </w:trPr>
              <w:tc>
                <w:tcPr>
                  <w:tcW w:w="315" w:type="pct"/>
                  <w:tcMar>
                    <w:top w:w="57" w:type="dxa"/>
                    <w:bottom w:w="57" w:type="dxa"/>
                  </w:tcMar>
                  <w:vAlign w:val="center"/>
                </w:tcPr>
                <w:p w14:paraId="46BF27AE">
                  <w:pPr>
                    <w:pStyle w:val="32"/>
                  </w:pPr>
                  <w:r>
                    <w:t>噪声</w:t>
                  </w:r>
                </w:p>
              </w:tc>
              <w:tc>
                <w:tcPr>
                  <w:tcW w:w="733" w:type="pct"/>
                  <w:vAlign w:val="center"/>
                </w:tcPr>
                <w:p w14:paraId="2E622431">
                  <w:pPr>
                    <w:pStyle w:val="32"/>
                  </w:pPr>
                  <w:r>
                    <w:rPr>
                      <w:rFonts w:hint="eastAsia"/>
                    </w:rPr>
                    <w:t>机械噪声</w:t>
                  </w:r>
                </w:p>
              </w:tc>
              <w:tc>
                <w:tcPr>
                  <w:tcW w:w="3347" w:type="pct"/>
                  <w:tcMar>
                    <w:top w:w="57" w:type="dxa"/>
                    <w:bottom w:w="57" w:type="dxa"/>
                  </w:tcMar>
                  <w:vAlign w:val="center"/>
                </w:tcPr>
                <w:p w14:paraId="06132773">
                  <w:pPr>
                    <w:pStyle w:val="32"/>
                    <w:jc w:val="both"/>
                    <w:rPr>
                      <w:color w:val="FF0000"/>
                    </w:rPr>
                  </w:pPr>
                  <w:r>
                    <w:rPr>
                      <w:rFonts w:hint="eastAsia"/>
                    </w:rPr>
                    <w:t>采用低噪声设备，加强对运输车辆、钻机、柴油发电机设备的维护保养工作，保持其良好工况；空压机、钻机进行基础减震，空压机进行隔声，能减小噪声传播</w:t>
                  </w:r>
                </w:p>
              </w:tc>
              <w:tc>
                <w:tcPr>
                  <w:tcW w:w="605" w:type="pct"/>
                  <w:tcMar>
                    <w:top w:w="57" w:type="dxa"/>
                    <w:bottom w:w="57" w:type="dxa"/>
                  </w:tcMar>
                  <w:vAlign w:val="center"/>
                </w:tcPr>
                <w:p w14:paraId="27DD0A5F">
                  <w:pPr>
                    <w:pStyle w:val="32"/>
                  </w:pPr>
                  <w:r>
                    <w:rPr>
                      <w:rFonts w:hint="eastAsia"/>
                    </w:rPr>
                    <w:t>1</w:t>
                  </w:r>
                </w:p>
              </w:tc>
            </w:tr>
            <w:tr w14:paraId="08D39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28" w:type="dxa"/>
                  <w:bottom w:w="57" w:type="dxa"/>
                  <w:right w:w="28" w:type="dxa"/>
                </w:tblCellMar>
              </w:tblPrEx>
              <w:trPr>
                <w:cantSplit/>
                <w:trHeight w:val="1774" w:hRule="atLeast"/>
                <w:jc w:val="center"/>
              </w:trPr>
              <w:tc>
                <w:tcPr>
                  <w:tcW w:w="1048" w:type="pct"/>
                  <w:gridSpan w:val="2"/>
                  <w:tcMar>
                    <w:top w:w="57" w:type="dxa"/>
                    <w:bottom w:w="57" w:type="dxa"/>
                  </w:tcMar>
                  <w:vAlign w:val="center"/>
                </w:tcPr>
                <w:p w14:paraId="67FF7616">
                  <w:pPr>
                    <w:pStyle w:val="32"/>
                  </w:pPr>
                  <w:r>
                    <w:t>固体废物</w:t>
                  </w:r>
                </w:p>
              </w:tc>
              <w:tc>
                <w:tcPr>
                  <w:tcW w:w="3347" w:type="pct"/>
                  <w:tcMar>
                    <w:top w:w="57" w:type="dxa"/>
                    <w:bottom w:w="57" w:type="dxa"/>
                  </w:tcMar>
                  <w:vAlign w:val="center"/>
                </w:tcPr>
                <w:p w14:paraId="4E621BE2">
                  <w:pPr>
                    <w:pStyle w:val="32"/>
                    <w:jc w:val="both"/>
                  </w:pPr>
                  <w:r>
                    <w:rPr>
                      <w:rFonts w:hint="eastAsia"/>
                    </w:rPr>
                    <w:t>表土单独堆存并分层回填用于复垦，废石优先回填利用，剩余妥善处置，不随意弃置；钻探岩屑人工回填；钻探泥浆待施工结束后统一固化填埋；生活垃圾采用垃圾桶集中收集后运出勘查区由环卫部门统一清运；沉淀池沉渣就地掩埋；大型设备外委维修，不在勘查区内进行。日常保养产生的</w:t>
                  </w:r>
                  <w:r>
                    <w:rPr>
                      <w:rFonts w:hint="eastAsia"/>
                      <w:color w:val="000000"/>
                    </w:rPr>
                    <w:t>废润滑油</w:t>
                  </w:r>
                  <w:r>
                    <w:rPr>
                      <w:rFonts w:hint="eastAsia"/>
                    </w:rPr>
                    <w:t>收集后贮存于危险废物贮存点，交由有危废处置资质的单位处置</w:t>
                  </w:r>
                </w:p>
              </w:tc>
              <w:tc>
                <w:tcPr>
                  <w:tcW w:w="605" w:type="pct"/>
                  <w:tcMar>
                    <w:top w:w="57" w:type="dxa"/>
                    <w:bottom w:w="57" w:type="dxa"/>
                  </w:tcMar>
                  <w:vAlign w:val="center"/>
                </w:tcPr>
                <w:p w14:paraId="24D48A8A">
                  <w:pPr>
                    <w:pStyle w:val="32"/>
                  </w:pPr>
                  <w:r>
                    <w:rPr>
                      <w:rFonts w:hint="eastAsia"/>
                    </w:rPr>
                    <w:t>5</w:t>
                  </w:r>
                </w:p>
              </w:tc>
            </w:tr>
            <w:tr w14:paraId="3D54A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28" w:type="dxa"/>
                  <w:bottom w:w="57" w:type="dxa"/>
                  <w:right w:w="28" w:type="dxa"/>
                </w:tblCellMar>
              </w:tblPrEx>
              <w:trPr>
                <w:cantSplit/>
                <w:trHeight w:val="1311" w:hRule="atLeast"/>
                <w:jc w:val="center"/>
              </w:trPr>
              <w:tc>
                <w:tcPr>
                  <w:tcW w:w="1048" w:type="pct"/>
                  <w:gridSpan w:val="2"/>
                  <w:tcMar>
                    <w:top w:w="57" w:type="dxa"/>
                    <w:bottom w:w="57" w:type="dxa"/>
                  </w:tcMar>
                  <w:vAlign w:val="center"/>
                </w:tcPr>
                <w:p w14:paraId="2D510D32">
                  <w:pPr>
                    <w:pStyle w:val="32"/>
                  </w:pPr>
                  <w:r>
                    <w:rPr>
                      <w:rFonts w:hint="eastAsia"/>
                    </w:rPr>
                    <w:t>生态恢复</w:t>
                  </w:r>
                </w:p>
              </w:tc>
              <w:tc>
                <w:tcPr>
                  <w:tcW w:w="3347" w:type="pct"/>
                  <w:tcMar>
                    <w:top w:w="57" w:type="dxa"/>
                    <w:bottom w:w="57" w:type="dxa"/>
                  </w:tcMar>
                  <w:vAlign w:val="center"/>
                </w:tcPr>
                <w:p w14:paraId="19740A7D">
                  <w:pPr>
                    <w:pStyle w:val="32"/>
                    <w:jc w:val="both"/>
                  </w:pPr>
                  <w:r>
                    <w:rPr>
                      <w:rFonts w:hint="eastAsia"/>
                      <w:szCs w:val="21"/>
                    </w:rPr>
                    <w:t>施工期间加强环境管理，在施工区及临时占地周边设置警示牌、宣传标语等设施，对作业人员开展生态环境保护宣传教育，提高施工人员的环保意识。施工结束后，及时对临时占地进行清理，全面清除沿线的土石方等固体废物；对扰动区域进行土地整治，并选用当地乡土植被进行植被恢复，以达到恢复植被、保护草地、减少植被破坏的目的</w:t>
                  </w:r>
                </w:p>
              </w:tc>
              <w:tc>
                <w:tcPr>
                  <w:tcW w:w="605" w:type="pct"/>
                  <w:tcMar>
                    <w:top w:w="57" w:type="dxa"/>
                    <w:bottom w:w="57" w:type="dxa"/>
                  </w:tcMar>
                  <w:vAlign w:val="center"/>
                </w:tcPr>
                <w:p w14:paraId="13C3104A">
                  <w:pPr>
                    <w:pStyle w:val="32"/>
                  </w:pPr>
                  <w:r>
                    <w:t>37</w:t>
                  </w:r>
                </w:p>
              </w:tc>
            </w:tr>
            <w:tr w14:paraId="5F39B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271" w:hRule="atLeast"/>
                <w:jc w:val="center"/>
              </w:trPr>
              <w:tc>
                <w:tcPr>
                  <w:tcW w:w="4395" w:type="pct"/>
                  <w:gridSpan w:val="3"/>
                </w:tcPr>
                <w:p w14:paraId="739E16FA">
                  <w:pPr>
                    <w:pStyle w:val="32"/>
                  </w:pPr>
                  <w:r>
                    <w:t>合计</w:t>
                  </w:r>
                </w:p>
              </w:tc>
              <w:tc>
                <w:tcPr>
                  <w:tcW w:w="605" w:type="pct"/>
                  <w:tcMar>
                    <w:top w:w="57" w:type="dxa"/>
                    <w:bottom w:w="57" w:type="dxa"/>
                  </w:tcMar>
                  <w:vAlign w:val="center"/>
                </w:tcPr>
                <w:p w14:paraId="12E4666A">
                  <w:pPr>
                    <w:pStyle w:val="32"/>
                  </w:pPr>
                  <w:r>
                    <w:rPr>
                      <w:rFonts w:hint="eastAsia"/>
                    </w:rPr>
                    <w:t>5</w:t>
                  </w:r>
                  <w:r>
                    <w:t>8</w:t>
                  </w:r>
                </w:p>
              </w:tc>
            </w:tr>
          </w:tbl>
          <w:p w14:paraId="437133E8"/>
        </w:tc>
      </w:tr>
    </w:tbl>
    <w:p w14:paraId="1F2935A5"/>
    <w:p w14:paraId="0AFBBCCF">
      <w:pPr>
        <w:pStyle w:val="8"/>
      </w:pPr>
    </w:p>
    <w:p w14:paraId="280508D6"/>
    <w:p w14:paraId="111ADD17"/>
    <w:p w14:paraId="7686F7B6">
      <w:pPr>
        <w:pStyle w:val="2"/>
      </w:pPr>
      <w:r>
        <w:rPr>
          <w:rFonts w:hint="eastAsia"/>
        </w:rPr>
        <w:t>六、生态环境保护措施监督检查清单</w:t>
      </w:r>
    </w:p>
    <w:tbl>
      <w:tblPr>
        <w:tblStyle w:val="23"/>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2171"/>
        <w:gridCol w:w="2457"/>
        <w:gridCol w:w="1472"/>
        <w:gridCol w:w="1094"/>
      </w:tblGrid>
      <w:tr w14:paraId="164B0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78" w:type="pct"/>
            <w:vMerge w:val="restart"/>
            <w:tcBorders>
              <w:top w:val="single" w:color="auto" w:sz="12" w:space="0"/>
              <w:left w:val="single" w:color="auto" w:sz="12" w:space="0"/>
              <w:bottom w:val="single" w:color="auto" w:sz="4" w:space="0"/>
              <w:tl2br w:val="single" w:color="auto" w:sz="4" w:space="0"/>
            </w:tcBorders>
          </w:tcPr>
          <w:p w14:paraId="32D9E8E5">
            <w:pPr>
              <w:pStyle w:val="32"/>
            </w:pPr>
            <w:r>
              <w:rPr>
                <w:rFonts w:hint="eastAsia"/>
              </w:rPr>
              <w:t>内容</w:t>
            </w:r>
          </w:p>
          <w:p w14:paraId="6CC862B2">
            <w:pPr>
              <w:pStyle w:val="32"/>
            </w:pPr>
          </w:p>
          <w:p w14:paraId="5E7F27C5">
            <w:pPr>
              <w:pStyle w:val="32"/>
            </w:pPr>
            <w:r>
              <w:rPr>
                <w:rFonts w:hint="eastAsia"/>
              </w:rPr>
              <w:t>要素</w:t>
            </w:r>
          </w:p>
        </w:tc>
        <w:tc>
          <w:tcPr>
            <w:tcW w:w="2716" w:type="pct"/>
            <w:gridSpan w:val="2"/>
            <w:tcBorders>
              <w:top w:val="single" w:color="auto" w:sz="12" w:space="0"/>
              <w:bottom w:val="single" w:color="auto" w:sz="4" w:space="0"/>
            </w:tcBorders>
            <w:vAlign w:val="center"/>
          </w:tcPr>
          <w:p w14:paraId="4F2599FD">
            <w:pPr>
              <w:pStyle w:val="32"/>
            </w:pPr>
            <w:r>
              <w:rPr>
                <w:rFonts w:hint="eastAsia"/>
              </w:rPr>
              <w:t>施工期</w:t>
            </w:r>
          </w:p>
        </w:tc>
        <w:tc>
          <w:tcPr>
            <w:tcW w:w="1506" w:type="pct"/>
            <w:gridSpan w:val="2"/>
            <w:tcBorders>
              <w:top w:val="single" w:color="auto" w:sz="12" w:space="0"/>
              <w:bottom w:val="single" w:color="auto" w:sz="4" w:space="0"/>
              <w:right w:val="single" w:color="auto" w:sz="12" w:space="0"/>
            </w:tcBorders>
            <w:vAlign w:val="center"/>
          </w:tcPr>
          <w:p w14:paraId="70916E8D">
            <w:pPr>
              <w:pStyle w:val="32"/>
            </w:pPr>
            <w:r>
              <w:rPr>
                <w:rFonts w:hint="eastAsia"/>
              </w:rPr>
              <w:t>运营期</w:t>
            </w:r>
          </w:p>
        </w:tc>
      </w:tr>
      <w:tr w14:paraId="19C0D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78" w:type="pct"/>
            <w:vMerge w:val="continue"/>
            <w:tcBorders>
              <w:top w:val="single" w:color="auto" w:sz="4" w:space="0"/>
              <w:left w:val="single" w:color="auto" w:sz="12" w:space="0"/>
              <w:bottom w:val="single" w:color="auto" w:sz="4" w:space="0"/>
              <w:tl2br w:val="single" w:color="auto" w:sz="4" w:space="0"/>
            </w:tcBorders>
          </w:tcPr>
          <w:p w14:paraId="57C359E1">
            <w:pPr>
              <w:pStyle w:val="32"/>
            </w:pPr>
          </w:p>
        </w:tc>
        <w:tc>
          <w:tcPr>
            <w:tcW w:w="1274" w:type="pct"/>
            <w:tcBorders>
              <w:top w:val="single" w:color="auto" w:sz="4" w:space="0"/>
              <w:bottom w:val="single" w:color="auto" w:sz="4" w:space="0"/>
            </w:tcBorders>
            <w:vAlign w:val="center"/>
          </w:tcPr>
          <w:p w14:paraId="7C5C0239">
            <w:pPr>
              <w:pStyle w:val="32"/>
            </w:pPr>
            <w:r>
              <w:rPr>
                <w:rFonts w:hint="eastAsia"/>
              </w:rPr>
              <w:t>环境保护措施</w:t>
            </w:r>
          </w:p>
        </w:tc>
        <w:tc>
          <w:tcPr>
            <w:tcW w:w="1442" w:type="pct"/>
            <w:tcBorders>
              <w:top w:val="single" w:color="auto" w:sz="4" w:space="0"/>
              <w:bottom w:val="single" w:color="auto" w:sz="4" w:space="0"/>
            </w:tcBorders>
            <w:vAlign w:val="center"/>
          </w:tcPr>
          <w:p w14:paraId="70CE3DB7">
            <w:pPr>
              <w:pStyle w:val="32"/>
            </w:pPr>
            <w:r>
              <w:rPr>
                <w:rFonts w:hint="eastAsia"/>
              </w:rPr>
              <w:t>验收要求</w:t>
            </w:r>
          </w:p>
        </w:tc>
        <w:tc>
          <w:tcPr>
            <w:tcW w:w="864" w:type="pct"/>
            <w:tcBorders>
              <w:top w:val="single" w:color="auto" w:sz="4" w:space="0"/>
              <w:bottom w:val="single" w:color="auto" w:sz="4" w:space="0"/>
            </w:tcBorders>
            <w:vAlign w:val="center"/>
          </w:tcPr>
          <w:p w14:paraId="33227CCF">
            <w:pPr>
              <w:pStyle w:val="32"/>
            </w:pPr>
            <w:r>
              <w:rPr>
                <w:rFonts w:hint="eastAsia"/>
              </w:rPr>
              <w:t>环境保护措施</w:t>
            </w:r>
          </w:p>
        </w:tc>
        <w:tc>
          <w:tcPr>
            <w:tcW w:w="642" w:type="pct"/>
            <w:tcBorders>
              <w:top w:val="single" w:color="auto" w:sz="4" w:space="0"/>
              <w:bottom w:val="single" w:color="auto" w:sz="4" w:space="0"/>
              <w:right w:val="single" w:color="auto" w:sz="12" w:space="0"/>
            </w:tcBorders>
            <w:vAlign w:val="center"/>
          </w:tcPr>
          <w:p w14:paraId="4D1AD742">
            <w:pPr>
              <w:pStyle w:val="32"/>
            </w:pPr>
            <w:r>
              <w:rPr>
                <w:rFonts w:hint="eastAsia"/>
              </w:rPr>
              <w:t>验收要求</w:t>
            </w:r>
          </w:p>
        </w:tc>
      </w:tr>
      <w:tr w14:paraId="328337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15564698">
            <w:pPr>
              <w:pStyle w:val="32"/>
            </w:pPr>
            <w:r>
              <w:rPr>
                <w:rFonts w:hint="eastAsia"/>
              </w:rPr>
              <w:t>陆生生态</w:t>
            </w:r>
          </w:p>
        </w:tc>
        <w:tc>
          <w:tcPr>
            <w:tcW w:w="1274" w:type="pct"/>
            <w:tcBorders>
              <w:top w:val="single" w:color="auto" w:sz="4" w:space="0"/>
              <w:bottom w:val="single" w:color="auto" w:sz="4" w:space="0"/>
            </w:tcBorders>
            <w:vAlign w:val="center"/>
          </w:tcPr>
          <w:p w14:paraId="29DEED44">
            <w:pPr>
              <w:pStyle w:val="32"/>
            </w:pPr>
            <w:r>
              <w:t>施工期间在项目用地范围内施工，严禁超范围施工，注意对</w:t>
            </w:r>
            <w:r>
              <w:rPr>
                <w:rFonts w:hint="eastAsia"/>
              </w:rPr>
              <w:t>项目周围</w:t>
            </w:r>
            <w:r>
              <w:t>植被的保护，施工结束后及时采取工程和植物措施对临时用地进行迹地恢复</w:t>
            </w:r>
          </w:p>
        </w:tc>
        <w:tc>
          <w:tcPr>
            <w:tcW w:w="1442" w:type="pct"/>
            <w:tcBorders>
              <w:top w:val="single" w:color="auto" w:sz="4" w:space="0"/>
              <w:bottom w:val="single" w:color="auto" w:sz="4" w:space="0"/>
            </w:tcBorders>
            <w:vAlign w:val="center"/>
          </w:tcPr>
          <w:p w14:paraId="68411E72">
            <w:pPr>
              <w:pStyle w:val="32"/>
              <w:rPr>
                <w:rFonts w:cs="宋体"/>
              </w:rPr>
            </w:pPr>
            <w:r>
              <w:t>严格限制施工作业范围，禁止破坏施工作业外的地表植被，临时占地复垦到原状态</w:t>
            </w:r>
          </w:p>
        </w:tc>
        <w:tc>
          <w:tcPr>
            <w:tcW w:w="864" w:type="pct"/>
            <w:tcBorders>
              <w:top w:val="single" w:color="auto" w:sz="4" w:space="0"/>
              <w:bottom w:val="single" w:color="auto" w:sz="4" w:space="0"/>
            </w:tcBorders>
            <w:vAlign w:val="center"/>
          </w:tcPr>
          <w:p w14:paraId="2539E5F7">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3937F372">
            <w:pPr>
              <w:pStyle w:val="32"/>
            </w:pPr>
            <w:r>
              <w:rPr>
                <w:rFonts w:hint="eastAsia"/>
              </w:rPr>
              <w:t>/</w:t>
            </w:r>
          </w:p>
        </w:tc>
      </w:tr>
      <w:tr w14:paraId="53BCF1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6EF60B16">
            <w:pPr>
              <w:pStyle w:val="32"/>
            </w:pPr>
            <w:r>
              <w:rPr>
                <w:rFonts w:hint="eastAsia"/>
              </w:rPr>
              <w:t>水生生态</w:t>
            </w:r>
          </w:p>
        </w:tc>
        <w:tc>
          <w:tcPr>
            <w:tcW w:w="1274" w:type="pct"/>
            <w:tcBorders>
              <w:top w:val="single" w:color="auto" w:sz="4" w:space="0"/>
              <w:bottom w:val="single" w:color="auto" w:sz="4" w:space="0"/>
            </w:tcBorders>
            <w:vAlign w:val="center"/>
          </w:tcPr>
          <w:p w14:paraId="70142B0C">
            <w:pPr>
              <w:pStyle w:val="32"/>
            </w:pPr>
            <w:r>
              <w:rPr>
                <w:rFonts w:hint="eastAsia"/>
              </w:rPr>
              <w:t>/</w:t>
            </w:r>
          </w:p>
        </w:tc>
        <w:tc>
          <w:tcPr>
            <w:tcW w:w="1442" w:type="pct"/>
            <w:tcBorders>
              <w:top w:val="single" w:color="auto" w:sz="4" w:space="0"/>
              <w:bottom w:val="single" w:color="auto" w:sz="4" w:space="0"/>
            </w:tcBorders>
            <w:vAlign w:val="center"/>
          </w:tcPr>
          <w:p w14:paraId="50C46677">
            <w:pPr>
              <w:pStyle w:val="32"/>
            </w:pPr>
            <w:r>
              <w:rPr>
                <w:rFonts w:hint="eastAsia"/>
              </w:rPr>
              <w:t>/</w:t>
            </w:r>
          </w:p>
        </w:tc>
        <w:tc>
          <w:tcPr>
            <w:tcW w:w="864" w:type="pct"/>
            <w:tcBorders>
              <w:top w:val="single" w:color="auto" w:sz="4" w:space="0"/>
              <w:bottom w:val="single" w:color="auto" w:sz="4" w:space="0"/>
            </w:tcBorders>
            <w:vAlign w:val="center"/>
          </w:tcPr>
          <w:p w14:paraId="199BCDDB">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0935103F">
            <w:pPr>
              <w:pStyle w:val="32"/>
            </w:pPr>
            <w:r>
              <w:rPr>
                <w:rFonts w:hint="eastAsia"/>
              </w:rPr>
              <w:t>/</w:t>
            </w:r>
          </w:p>
        </w:tc>
      </w:tr>
      <w:tr w14:paraId="2B0EE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128A2A60">
            <w:pPr>
              <w:pStyle w:val="32"/>
            </w:pPr>
            <w:r>
              <w:rPr>
                <w:rFonts w:hint="eastAsia"/>
              </w:rPr>
              <w:t>地表水环境</w:t>
            </w:r>
          </w:p>
        </w:tc>
        <w:tc>
          <w:tcPr>
            <w:tcW w:w="1274" w:type="pct"/>
            <w:tcBorders>
              <w:top w:val="single" w:color="auto" w:sz="4" w:space="0"/>
              <w:bottom w:val="single" w:color="auto" w:sz="4" w:space="0"/>
            </w:tcBorders>
          </w:tcPr>
          <w:p w14:paraId="59885B0C">
            <w:pPr>
              <w:pStyle w:val="32"/>
              <w:jc w:val="both"/>
              <w:rPr>
                <w:rFonts w:ascii="宋体" w:hAnsi="宋体" w:cs="宋体"/>
              </w:rPr>
            </w:pPr>
            <w:r>
              <w:rPr>
                <w:szCs w:val="21"/>
              </w:rPr>
              <w:t>生产废水经</w:t>
            </w:r>
            <w:r>
              <w:rPr>
                <w:color w:val="000000" w:themeColor="text1"/>
                <w:szCs w:val="21"/>
                <w14:textFill>
                  <w14:solidFill>
                    <w14:schemeClr w14:val="tx1"/>
                  </w14:solidFill>
                </w14:textFill>
              </w:rPr>
              <w:t>沉淀池</w:t>
            </w:r>
            <w:r>
              <w:rPr>
                <w:rFonts w:hint="eastAsia"/>
                <w:color w:val="000000" w:themeColor="text1"/>
                <w:szCs w:val="21"/>
                <w14:textFill>
                  <w14:solidFill>
                    <w14:schemeClr w14:val="tx1"/>
                  </w14:solidFill>
                </w14:textFill>
              </w:rPr>
              <w:t>（5m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沉淀后</w:t>
            </w:r>
            <w:r>
              <w:rPr>
                <w:rFonts w:hint="eastAsia"/>
                <w:color w:val="000000" w:themeColor="text1"/>
                <w:szCs w:val="21"/>
                <w14:textFill>
                  <w14:solidFill>
                    <w14:schemeClr w14:val="tx1"/>
                  </w14:solidFill>
                </w14:textFill>
              </w:rPr>
              <w:t>回用于钻探</w:t>
            </w:r>
            <w:r>
              <w:rPr>
                <w:color w:val="000000" w:themeColor="text1"/>
                <w:szCs w:val="21"/>
                <w14:textFill>
                  <w14:solidFill>
                    <w14:schemeClr w14:val="tx1"/>
                  </w14:solidFill>
                </w14:textFill>
              </w:rPr>
              <w:t>，不外排；生活污水</w:t>
            </w:r>
            <w:r>
              <w:rPr>
                <w:rFonts w:hint="eastAsia"/>
                <w:color w:val="000000" w:themeColor="text1"/>
                <w:szCs w:val="21"/>
                <w14:textFill>
                  <w14:solidFill>
                    <w14:schemeClr w14:val="tx1"/>
                  </w14:solidFill>
                </w14:textFill>
              </w:rPr>
              <w:t>排</w:t>
            </w:r>
            <w:r>
              <w:rPr>
                <w:color w:val="000000" w:themeColor="text1"/>
                <w:szCs w:val="21"/>
                <w14:textFill>
                  <w14:solidFill>
                    <w14:schemeClr w14:val="tx1"/>
                  </w14:solidFill>
                </w14:textFill>
              </w:rPr>
              <w:t>入一体化污水处理</w:t>
            </w:r>
            <w:r>
              <w:rPr>
                <w:rFonts w:hint="eastAsia"/>
                <w:color w:val="000000" w:themeColor="text1"/>
                <w:szCs w:val="21"/>
                <w14:textFill>
                  <w14:solidFill>
                    <w14:schemeClr w14:val="tx1"/>
                  </w14:solidFill>
                </w14:textFill>
              </w:rPr>
              <w:t>设备</w:t>
            </w:r>
            <w:r>
              <w:rPr>
                <w:color w:val="000000" w:themeColor="text1"/>
                <w:szCs w:val="21"/>
                <w14:textFill>
                  <w14:solidFill>
                    <w14:schemeClr w14:val="tx1"/>
                  </w14:solidFill>
                </w14:textFill>
              </w:rPr>
              <w:t>处理达标后，用于</w:t>
            </w:r>
            <w:r>
              <w:rPr>
                <w:rFonts w:hint="eastAsia"/>
              </w:rPr>
              <w:t>周边植被绿化</w:t>
            </w:r>
            <w:r>
              <w:rPr>
                <w:color w:val="000000" w:themeColor="text1"/>
                <w:szCs w:val="21"/>
                <w14:textFill>
                  <w14:solidFill>
                    <w14:schemeClr w14:val="tx1"/>
                  </w14:solidFill>
                </w14:textFill>
              </w:rPr>
              <w:t>，不外排</w:t>
            </w:r>
          </w:p>
        </w:tc>
        <w:tc>
          <w:tcPr>
            <w:tcW w:w="1442" w:type="pct"/>
            <w:tcBorders>
              <w:top w:val="single" w:color="auto" w:sz="4" w:space="0"/>
              <w:bottom w:val="single" w:color="auto" w:sz="4" w:space="0"/>
            </w:tcBorders>
          </w:tcPr>
          <w:p w14:paraId="5F19C1B6">
            <w:pPr>
              <w:pStyle w:val="32"/>
              <w:jc w:val="both"/>
              <w:rPr>
                <w:rFonts w:ascii="宋体" w:hAnsi="宋体" w:cs="宋体"/>
              </w:rPr>
            </w:pPr>
            <w:r>
              <w:rPr>
                <w:szCs w:val="21"/>
              </w:rPr>
              <w:t>生产废水经</w:t>
            </w:r>
            <w:r>
              <w:rPr>
                <w:color w:val="000000" w:themeColor="text1"/>
                <w:szCs w:val="21"/>
                <w14:textFill>
                  <w14:solidFill>
                    <w14:schemeClr w14:val="tx1"/>
                  </w14:solidFill>
                </w14:textFill>
              </w:rPr>
              <w:t>沉淀池</w:t>
            </w:r>
            <w:r>
              <w:rPr>
                <w:rFonts w:hint="eastAsia"/>
                <w:color w:val="000000" w:themeColor="text1"/>
                <w:szCs w:val="21"/>
                <w14:textFill>
                  <w14:solidFill>
                    <w14:schemeClr w14:val="tx1"/>
                  </w14:solidFill>
                </w14:textFill>
              </w:rPr>
              <w:t>（5m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沉淀后</w:t>
            </w:r>
            <w:r>
              <w:rPr>
                <w:rFonts w:hint="eastAsia"/>
                <w:color w:val="000000" w:themeColor="text1"/>
                <w:szCs w:val="21"/>
                <w14:textFill>
                  <w14:solidFill>
                    <w14:schemeClr w14:val="tx1"/>
                  </w14:solidFill>
                </w14:textFill>
              </w:rPr>
              <w:t>回用于钻探</w:t>
            </w:r>
            <w:r>
              <w:rPr>
                <w:color w:val="000000" w:themeColor="text1"/>
                <w:szCs w:val="21"/>
                <w14:textFill>
                  <w14:solidFill>
                    <w14:schemeClr w14:val="tx1"/>
                  </w14:solidFill>
                </w14:textFill>
              </w:rPr>
              <w:t>，不外排；生活污水</w:t>
            </w:r>
            <w:r>
              <w:rPr>
                <w:rFonts w:hint="eastAsia"/>
                <w:color w:val="000000" w:themeColor="text1"/>
                <w:szCs w:val="21"/>
                <w14:textFill>
                  <w14:solidFill>
                    <w14:schemeClr w14:val="tx1"/>
                  </w14:solidFill>
                </w14:textFill>
              </w:rPr>
              <w:t>排</w:t>
            </w:r>
            <w:r>
              <w:rPr>
                <w:color w:val="000000" w:themeColor="text1"/>
                <w:szCs w:val="21"/>
                <w14:textFill>
                  <w14:solidFill>
                    <w14:schemeClr w14:val="tx1"/>
                  </w14:solidFill>
                </w14:textFill>
              </w:rPr>
              <w:t>入一体化污水处理</w:t>
            </w:r>
            <w:r>
              <w:rPr>
                <w:rFonts w:hint="eastAsia"/>
                <w:color w:val="000000" w:themeColor="text1"/>
                <w:szCs w:val="21"/>
                <w14:textFill>
                  <w14:solidFill>
                    <w14:schemeClr w14:val="tx1"/>
                  </w14:solidFill>
                </w14:textFill>
              </w:rPr>
              <w:t>设备</w:t>
            </w:r>
            <w:r>
              <w:rPr>
                <w:color w:val="000000" w:themeColor="text1"/>
                <w:szCs w:val="21"/>
                <w14:textFill>
                  <w14:solidFill>
                    <w14:schemeClr w14:val="tx1"/>
                  </w14:solidFill>
                </w14:textFill>
              </w:rPr>
              <w:t>处理达标后，用于</w:t>
            </w:r>
            <w:r>
              <w:rPr>
                <w:rFonts w:hint="eastAsia"/>
              </w:rPr>
              <w:t>周边植被绿化</w:t>
            </w:r>
            <w:r>
              <w:rPr>
                <w:color w:val="000000" w:themeColor="text1"/>
                <w:szCs w:val="21"/>
                <w14:textFill>
                  <w14:solidFill>
                    <w14:schemeClr w14:val="tx1"/>
                  </w14:solidFill>
                </w14:textFill>
              </w:rPr>
              <w:t>，不外排</w:t>
            </w:r>
          </w:p>
        </w:tc>
        <w:tc>
          <w:tcPr>
            <w:tcW w:w="864" w:type="pct"/>
            <w:tcBorders>
              <w:top w:val="single" w:color="auto" w:sz="4" w:space="0"/>
              <w:bottom w:val="single" w:color="auto" w:sz="4" w:space="0"/>
            </w:tcBorders>
            <w:vAlign w:val="center"/>
          </w:tcPr>
          <w:p w14:paraId="7A294199">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1BC68CA9">
            <w:pPr>
              <w:pStyle w:val="32"/>
            </w:pPr>
            <w:r>
              <w:rPr>
                <w:rFonts w:hint="eastAsia"/>
              </w:rPr>
              <w:t>/</w:t>
            </w:r>
          </w:p>
        </w:tc>
      </w:tr>
      <w:tr w14:paraId="5361CA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770540F4">
            <w:pPr>
              <w:pStyle w:val="32"/>
            </w:pPr>
            <w:r>
              <w:rPr>
                <w:rFonts w:hint="eastAsia"/>
              </w:rPr>
              <w:t>地下水及土壤环境</w:t>
            </w:r>
          </w:p>
        </w:tc>
        <w:tc>
          <w:tcPr>
            <w:tcW w:w="1274" w:type="pct"/>
            <w:tcBorders>
              <w:top w:val="single" w:color="auto" w:sz="4" w:space="0"/>
              <w:bottom w:val="single" w:color="auto" w:sz="4" w:space="0"/>
            </w:tcBorders>
            <w:vAlign w:val="center"/>
          </w:tcPr>
          <w:p w14:paraId="1F99CE99">
            <w:pPr>
              <w:pStyle w:val="32"/>
            </w:pPr>
            <w:r>
              <w:rPr>
                <w:rFonts w:hint="eastAsia"/>
              </w:rPr>
              <w:t>/</w:t>
            </w:r>
          </w:p>
        </w:tc>
        <w:tc>
          <w:tcPr>
            <w:tcW w:w="1442" w:type="pct"/>
            <w:tcBorders>
              <w:top w:val="single" w:color="auto" w:sz="4" w:space="0"/>
              <w:bottom w:val="single" w:color="auto" w:sz="4" w:space="0"/>
            </w:tcBorders>
            <w:vAlign w:val="center"/>
          </w:tcPr>
          <w:p w14:paraId="6A978418">
            <w:pPr>
              <w:pStyle w:val="32"/>
            </w:pPr>
            <w:r>
              <w:rPr>
                <w:rFonts w:hint="eastAsia"/>
              </w:rPr>
              <w:t>/</w:t>
            </w:r>
          </w:p>
        </w:tc>
        <w:tc>
          <w:tcPr>
            <w:tcW w:w="864" w:type="pct"/>
            <w:tcBorders>
              <w:top w:val="single" w:color="auto" w:sz="4" w:space="0"/>
              <w:bottom w:val="single" w:color="auto" w:sz="4" w:space="0"/>
            </w:tcBorders>
            <w:vAlign w:val="center"/>
          </w:tcPr>
          <w:p w14:paraId="51B3759E">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6CB413A0">
            <w:pPr>
              <w:pStyle w:val="32"/>
            </w:pPr>
          </w:p>
        </w:tc>
      </w:tr>
      <w:tr w14:paraId="58DADF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6995ED4C">
            <w:pPr>
              <w:pStyle w:val="32"/>
            </w:pPr>
            <w:r>
              <w:rPr>
                <w:rFonts w:hint="eastAsia"/>
              </w:rPr>
              <w:t>声环境</w:t>
            </w:r>
          </w:p>
        </w:tc>
        <w:tc>
          <w:tcPr>
            <w:tcW w:w="1274" w:type="pct"/>
            <w:tcBorders>
              <w:top w:val="single" w:color="auto" w:sz="4" w:space="0"/>
              <w:bottom w:val="single" w:color="auto" w:sz="4" w:space="0"/>
            </w:tcBorders>
            <w:vAlign w:val="center"/>
          </w:tcPr>
          <w:p w14:paraId="37BD6B5B">
            <w:pPr>
              <w:pStyle w:val="32"/>
              <w:jc w:val="both"/>
              <w:rPr>
                <w:rFonts w:ascii="宋体" w:hAnsi="宋体" w:cs="宋体"/>
              </w:rPr>
            </w:pPr>
            <w:r>
              <w:rPr>
                <w:rFonts w:hint="eastAsia"/>
              </w:rPr>
              <w:t>夜间应禁止施工作业；合理进行施工总平布置；采用低噪声设备并做好施工机械的保养和维护；对高噪声设备采取隔声措施</w:t>
            </w:r>
          </w:p>
        </w:tc>
        <w:tc>
          <w:tcPr>
            <w:tcW w:w="1442" w:type="pct"/>
            <w:tcBorders>
              <w:top w:val="single" w:color="auto" w:sz="4" w:space="0"/>
              <w:bottom w:val="single" w:color="auto" w:sz="4" w:space="0"/>
            </w:tcBorders>
            <w:vAlign w:val="center"/>
          </w:tcPr>
          <w:p w14:paraId="78CC475D">
            <w:pPr>
              <w:pStyle w:val="32"/>
              <w:jc w:val="both"/>
              <w:rPr>
                <w:rFonts w:ascii="宋体" w:hAnsi="宋体" w:cs="宋体"/>
              </w:rPr>
            </w:pPr>
            <w:r>
              <w:rPr>
                <w:szCs w:val="21"/>
              </w:rPr>
              <w:t>《</w:t>
            </w:r>
            <w:r>
              <w:rPr>
                <w:rFonts w:hint="eastAsia"/>
                <w:szCs w:val="21"/>
              </w:rPr>
              <w:t>建筑施工噪声排放标准</w:t>
            </w:r>
            <w:r>
              <w:rPr>
                <w:szCs w:val="21"/>
              </w:rPr>
              <w:t>》（GB12523-</w:t>
            </w:r>
            <w:r>
              <w:rPr>
                <w:rFonts w:hint="eastAsia"/>
                <w:szCs w:val="21"/>
              </w:rPr>
              <w:t>2025</w:t>
            </w:r>
            <w:r>
              <w:rPr>
                <w:szCs w:val="21"/>
              </w:rPr>
              <w:t>）</w:t>
            </w:r>
            <w:r>
              <w:rPr>
                <w:rFonts w:hint="eastAsia"/>
                <w:szCs w:val="21"/>
              </w:rPr>
              <w:t>排放限值</w:t>
            </w:r>
          </w:p>
        </w:tc>
        <w:tc>
          <w:tcPr>
            <w:tcW w:w="864" w:type="pct"/>
            <w:tcBorders>
              <w:top w:val="single" w:color="auto" w:sz="4" w:space="0"/>
              <w:bottom w:val="single" w:color="auto" w:sz="4" w:space="0"/>
            </w:tcBorders>
            <w:vAlign w:val="center"/>
          </w:tcPr>
          <w:p w14:paraId="4FDABBA9">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155E2C6C">
            <w:pPr>
              <w:pStyle w:val="32"/>
            </w:pPr>
            <w:r>
              <w:rPr>
                <w:rFonts w:hint="eastAsia"/>
              </w:rPr>
              <w:t>/</w:t>
            </w:r>
          </w:p>
        </w:tc>
      </w:tr>
      <w:tr w14:paraId="3498E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5FBE5C5D">
            <w:pPr>
              <w:pStyle w:val="32"/>
            </w:pPr>
            <w:r>
              <w:rPr>
                <w:rFonts w:hint="eastAsia"/>
              </w:rPr>
              <w:t>振动</w:t>
            </w:r>
          </w:p>
        </w:tc>
        <w:tc>
          <w:tcPr>
            <w:tcW w:w="1274" w:type="pct"/>
            <w:tcBorders>
              <w:top w:val="single" w:color="auto" w:sz="4" w:space="0"/>
              <w:bottom w:val="single" w:color="auto" w:sz="4" w:space="0"/>
            </w:tcBorders>
            <w:vAlign w:val="center"/>
          </w:tcPr>
          <w:p w14:paraId="24EA5492">
            <w:pPr>
              <w:pStyle w:val="32"/>
            </w:pPr>
            <w:r>
              <w:rPr>
                <w:rFonts w:hint="eastAsia"/>
              </w:rPr>
              <w:t>/</w:t>
            </w:r>
          </w:p>
        </w:tc>
        <w:tc>
          <w:tcPr>
            <w:tcW w:w="1442" w:type="pct"/>
            <w:tcBorders>
              <w:top w:val="single" w:color="auto" w:sz="4" w:space="0"/>
              <w:bottom w:val="single" w:color="auto" w:sz="4" w:space="0"/>
            </w:tcBorders>
            <w:vAlign w:val="center"/>
          </w:tcPr>
          <w:p w14:paraId="4CBB3763">
            <w:pPr>
              <w:pStyle w:val="32"/>
            </w:pPr>
            <w:r>
              <w:rPr>
                <w:rFonts w:hint="eastAsia"/>
              </w:rPr>
              <w:t>/</w:t>
            </w:r>
          </w:p>
        </w:tc>
        <w:tc>
          <w:tcPr>
            <w:tcW w:w="864" w:type="pct"/>
            <w:tcBorders>
              <w:top w:val="single" w:color="auto" w:sz="4" w:space="0"/>
              <w:bottom w:val="single" w:color="auto" w:sz="4" w:space="0"/>
            </w:tcBorders>
            <w:vAlign w:val="center"/>
          </w:tcPr>
          <w:p w14:paraId="45489C58">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0DA2AB79">
            <w:pPr>
              <w:pStyle w:val="32"/>
            </w:pPr>
            <w:r>
              <w:rPr>
                <w:rFonts w:hint="eastAsia"/>
              </w:rPr>
              <w:t>/</w:t>
            </w:r>
          </w:p>
        </w:tc>
      </w:tr>
      <w:tr w14:paraId="34B72A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vMerge w:val="restart"/>
            <w:tcBorders>
              <w:top w:val="single" w:color="auto" w:sz="4" w:space="0"/>
              <w:left w:val="single" w:color="auto" w:sz="12" w:space="0"/>
              <w:bottom w:val="single" w:color="auto" w:sz="4" w:space="0"/>
            </w:tcBorders>
            <w:vAlign w:val="center"/>
          </w:tcPr>
          <w:p w14:paraId="694B0A7D">
            <w:pPr>
              <w:pStyle w:val="32"/>
            </w:pPr>
            <w:r>
              <w:rPr>
                <w:rFonts w:hint="eastAsia"/>
              </w:rPr>
              <w:t>大气环境</w:t>
            </w:r>
          </w:p>
        </w:tc>
        <w:tc>
          <w:tcPr>
            <w:tcW w:w="1274" w:type="pct"/>
            <w:tcBorders>
              <w:top w:val="single" w:color="auto" w:sz="4" w:space="0"/>
              <w:bottom w:val="single" w:color="auto" w:sz="4" w:space="0"/>
            </w:tcBorders>
            <w:vAlign w:val="center"/>
          </w:tcPr>
          <w:p w14:paraId="7EDE44A8">
            <w:pPr>
              <w:pStyle w:val="32"/>
            </w:pPr>
            <w:r>
              <w:rPr>
                <w:rFonts w:hint="eastAsia"/>
              </w:rPr>
              <w:t>施工扬尘设置围挡、洒水降尘</w:t>
            </w:r>
          </w:p>
        </w:tc>
        <w:tc>
          <w:tcPr>
            <w:tcW w:w="1442" w:type="pct"/>
            <w:tcBorders>
              <w:top w:val="single" w:color="auto" w:sz="4" w:space="0"/>
              <w:bottom w:val="single" w:color="auto" w:sz="4" w:space="0"/>
            </w:tcBorders>
            <w:vAlign w:val="center"/>
          </w:tcPr>
          <w:p w14:paraId="2FFCECC6">
            <w:pPr>
              <w:pStyle w:val="32"/>
            </w:pPr>
            <w:r>
              <w:rPr>
                <w:rFonts w:hint="eastAsia"/>
              </w:rPr>
              <w:t>《大气污染物综合排放标准》（GB16297-1996）中表2的无组织排放监控浓度限值</w:t>
            </w:r>
          </w:p>
        </w:tc>
        <w:tc>
          <w:tcPr>
            <w:tcW w:w="864" w:type="pct"/>
            <w:tcBorders>
              <w:top w:val="single" w:color="auto" w:sz="4" w:space="0"/>
              <w:bottom w:val="single" w:color="auto" w:sz="4" w:space="0"/>
            </w:tcBorders>
            <w:vAlign w:val="center"/>
          </w:tcPr>
          <w:p w14:paraId="151438A1">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43CD4404">
            <w:pPr>
              <w:pStyle w:val="32"/>
            </w:pPr>
            <w:r>
              <w:rPr>
                <w:rFonts w:hint="eastAsia"/>
              </w:rPr>
              <w:t>/</w:t>
            </w:r>
          </w:p>
        </w:tc>
      </w:tr>
      <w:tr w14:paraId="66CA26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vMerge w:val="continue"/>
            <w:tcBorders>
              <w:top w:val="single" w:color="auto" w:sz="4" w:space="0"/>
              <w:left w:val="single" w:color="auto" w:sz="12" w:space="0"/>
              <w:bottom w:val="single" w:color="auto" w:sz="4" w:space="0"/>
            </w:tcBorders>
            <w:vAlign w:val="center"/>
          </w:tcPr>
          <w:p w14:paraId="71F533B5">
            <w:pPr>
              <w:pStyle w:val="32"/>
            </w:pPr>
          </w:p>
        </w:tc>
        <w:tc>
          <w:tcPr>
            <w:tcW w:w="1274" w:type="pct"/>
            <w:tcBorders>
              <w:top w:val="single" w:color="auto" w:sz="4" w:space="0"/>
              <w:bottom w:val="single" w:color="auto" w:sz="4" w:space="0"/>
            </w:tcBorders>
            <w:vAlign w:val="center"/>
          </w:tcPr>
          <w:p w14:paraId="66CDA083">
            <w:pPr>
              <w:pStyle w:val="32"/>
            </w:pPr>
            <w:r>
              <w:rPr>
                <w:rFonts w:hint="eastAsia"/>
              </w:rPr>
              <w:t>施工机械尾气自然扩散</w:t>
            </w:r>
          </w:p>
        </w:tc>
        <w:tc>
          <w:tcPr>
            <w:tcW w:w="1442" w:type="pct"/>
            <w:tcBorders>
              <w:top w:val="single" w:color="auto" w:sz="4" w:space="0"/>
              <w:bottom w:val="single" w:color="auto" w:sz="4" w:space="0"/>
            </w:tcBorders>
            <w:vAlign w:val="center"/>
          </w:tcPr>
          <w:p w14:paraId="7993A1DF">
            <w:pPr>
              <w:pStyle w:val="32"/>
              <w:jc w:val="both"/>
            </w:pPr>
            <w:r>
              <w:rPr>
                <w:rFonts w:hint="eastAsia"/>
              </w:rPr>
              <w:t>《非道路移动机械用柴油机排气污染物排放限值及测量方法（中国第三、四阶段）》（GB20891-2014）修改单以及《非道路柴油移动机械污染物排放控制技术要求》（HJ1014-2020）</w:t>
            </w:r>
          </w:p>
        </w:tc>
        <w:tc>
          <w:tcPr>
            <w:tcW w:w="864" w:type="pct"/>
            <w:tcBorders>
              <w:top w:val="single" w:color="auto" w:sz="4" w:space="0"/>
              <w:bottom w:val="single" w:color="auto" w:sz="4" w:space="0"/>
            </w:tcBorders>
            <w:vAlign w:val="center"/>
          </w:tcPr>
          <w:p w14:paraId="2FB5D183">
            <w:pPr>
              <w:pStyle w:val="32"/>
            </w:pPr>
          </w:p>
        </w:tc>
        <w:tc>
          <w:tcPr>
            <w:tcW w:w="642" w:type="pct"/>
            <w:tcBorders>
              <w:top w:val="single" w:color="auto" w:sz="4" w:space="0"/>
              <w:bottom w:val="single" w:color="auto" w:sz="4" w:space="0"/>
              <w:right w:val="single" w:color="auto" w:sz="12" w:space="0"/>
            </w:tcBorders>
            <w:vAlign w:val="center"/>
          </w:tcPr>
          <w:p w14:paraId="6D335ED6">
            <w:pPr>
              <w:pStyle w:val="32"/>
            </w:pPr>
          </w:p>
        </w:tc>
      </w:tr>
      <w:tr w14:paraId="10F060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7427CF62">
            <w:pPr>
              <w:pStyle w:val="32"/>
            </w:pPr>
            <w:r>
              <w:rPr>
                <w:rFonts w:hint="eastAsia"/>
              </w:rPr>
              <w:t>固体废物</w:t>
            </w:r>
          </w:p>
        </w:tc>
        <w:tc>
          <w:tcPr>
            <w:tcW w:w="1274" w:type="pct"/>
            <w:tcBorders>
              <w:top w:val="single" w:color="auto" w:sz="4" w:space="0"/>
              <w:bottom w:val="single" w:color="auto" w:sz="4" w:space="0"/>
            </w:tcBorders>
            <w:vAlign w:val="center"/>
          </w:tcPr>
          <w:p w14:paraId="364BDB89">
            <w:pPr>
              <w:pStyle w:val="32"/>
              <w:jc w:val="both"/>
              <w:rPr>
                <w:rFonts w:ascii="宋体" w:hAnsi="宋体" w:cs="宋体"/>
              </w:rPr>
            </w:pPr>
            <w:r>
              <w:rPr>
                <w:rFonts w:hint="eastAsia" w:ascii="TimesNewRomanPSMT" w:hAnsi="TimesNewRomanPSMT"/>
                <w:color w:val="000000"/>
                <w:szCs w:val="21"/>
              </w:rPr>
              <w:t>表土单独堆存并分层回填用于复垦，废石优先回填利用，剩余妥善处置，不随意弃置；钻探岩屑人工回填；钻探泥浆待施工结束后统一固化填埋；生活垃圾采用垃圾桶集中收集后运出勘查区由环卫部门统一清运；沉淀池沉渣就地掩埋；大型设备外委维修，不在勘查区内进行。</w:t>
            </w:r>
            <w:r>
              <w:rPr>
                <w:rFonts w:hint="eastAsia"/>
              </w:rPr>
              <w:t>日常保养产生的</w:t>
            </w:r>
            <w:r>
              <w:rPr>
                <w:rFonts w:hint="eastAsia"/>
                <w:color w:val="000000"/>
              </w:rPr>
              <w:t>废润滑油</w:t>
            </w:r>
            <w:r>
              <w:rPr>
                <w:rFonts w:hint="eastAsia"/>
              </w:rPr>
              <w:t>收集后贮存于危险废物贮存点，交由有危废处置资质的单位处置</w:t>
            </w:r>
          </w:p>
        </w:tc>
        <w:tc>
          <w:tcPr>
            <w:tcW w:w="1442" w:type="pct"/>
            <w:tcBorders>
              <w:top w:val="single" w:color="auto" w:sz="4" w:space="0"/>
              <w:bottom w:val="single" w:color="auto" w:sz="4" w:space="0"/>
            </w:tcBorders>
            <w:vAlign w:val="center"/>
          </w:tcPr>
          <w:p w14:paraId="1731F734">
            <w:pPr>
              <w:pStyle w:val="32"/>
              <w:rPr>
                <w:rFonts w:ascii="宋体" w:hAnsi="宋体" w:cs="宋体"/>
              </w:rPr>
            </w:pPr>
            <w:r>
              <w:t>施工期的固废妥善的处理</w:t>
            </w:r>
            <w:r>
              <w:rPr>
                <w:rFonts w:hint="eastAsia"/>
              </w:rPr>
              <w:t>，不随意堆弃</w:t>
            </w:r>
          </w:p>
        </w:tc>
        <w:tc>
          <w:tcPr>
            <w:tcW w:w="864" w:type="pct"/>
            <w:tcBorders>
              <w:top w:val="single" w:color="auto" w:sz="4" w:space="0"/>
              <w:bottom w:val="single" w:color="auto" w:sz="4" w:space="0"/>
            </w:tcBorders>
            <w:vAlign w:val="center"/>
          </w:tcPr>
          <w:p w14:paraId="72E556F6">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634609BC">
            <w:pPr>
              <w:pStyle w:val="32"/>
            </w:pPr>
            <w:r>
              <w:rPr>
                <w:rFonts w:hint="eastAsia"/>
              </w:rPr>
              <w:t>/</w:t>
            </w:r>
          </w:p>
        </w:tc>
      </w:tr>
      <w:tr w14:paraId="704734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70B56A66">
            <w:pPr>
              <w:pStyle w:val="32"/>
            </w:pPr>
            <w:r>
              <w:rPr>
                <w:rFonts w:hint="eastAsia"/>
              </w:rPr>
              <w:t>电磁环境</w:t>
            </w:r>
          </w:p>
        </w:tc>
        <w:tc>
          <w:tcPr>
            <w:tcW w:w="1274" w:type="pct"/>
            <w:tcBorders>
              <w:top w:val="single" w:color="auto" w:sz="4" w:space="0"/>
              <w:bottom w:val="single" w:color="auto" w:sz="4" w:space="0"/>
            </w:tcBorders>
            <w:vAlign w:val="center"/>
          </w:tcPr>
          <w:p w14:paraId="7ABFAF15">
            <w:pPr>
              <w:pStyle w:val="32"/>
            </w:pPr>
            <w:r>
              <w:rPr>
                <w:rFonts w:hint="eastAsia"/>
              </w:rPr>
              <w:t>/</w:t>
            </w:r>
          </w:p>
        </w:tc>
        <w:tc>
          <w:tcPr>
            <w:tcW w:w="1442" w:type="pct"/>
            <w:tcBorders>
              <w:top w:val="single" w:color="auto" w:sz="4" w:space="0"/>
              <w:bottom w:val="single" w:color="auto" w:sz="4" w:space="0"/>
            </w:tcBorders>
            <w:vAlign w:val="center"/>
          </w:tcPr>
          <w:p w14:paraId="26ACA55A">
            <w:pPr>
              <w:pStyle w:val="32"/>
            </w:pPr>
            <w:r>
              <w:rPr>
                <w:rFonts w:hint="eastAsia"/>
              </w:rPr>
              <w:t>/</w:t>
            </w:r>
          </w:p>
        </w:tc>
        <w:tc>
          <w:tcPr>
            <w:tcW w:w="864" w:type="pct"/>
            <w:tcBorders>
              <w:top w:val="single" w:color="auto" w:sz="4" w:space="0"/>
              <w:bottom w:val="single" w:color="auto" w:sz="4" w:space="0"/>
            </w:tcBorders>
            <w:vAlign w:val="center"/>
          </w:tcPr>
          <w:p w14:paraId="485036C0">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48514169">
            <w:pPr>
              <w:pStyle w:val="32"/>
            </w:pPr>
            <w:r>
              <w:rPr>
                <w:rFonts w:hint="eastAsia"/>
              </w:rPr>
              <w:t>/</w:t>
            </w:r>
          </w:p>
        </w:tc>
      </w:tr>
      <w:tr w14:paraId="4C8797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76C67BDA">
            <w:pPr>
              <w:pStyle w:val="32"/>
            </w:pPr>
            <w:r>
              <w:rPr>
                <w:rFonts w:hint="eastAsia"/>
              </w:rPr>
              <w:t>环境风险</w:t>
            </w:r>
          </w:p>
        </w:tc>
        <w:tc>
          <w:tcPr>
            <w:tcW w:w="1274" w:type="pct"/>
            <w:tcBorders>
              <w:top w:val="single" w:color="auto" w:sz="4" w:space="0"/>
              <w:bottom w:val="single" w:color="auto" w:sz="4" w:space="0"/>
            </w:tcBorders>
            <w:vAlign w:val="center"/>
          </w:tcPr>
          <w:p w14:paraId="378A61E4">
            <w:pPr>
              <w:pStyle w:val="32"/>
            </w:pPr>
            <w:r>
              <w:rPr>
                <w:rFonts w:hint="eastAsia"/>
                <w:color w:val="000000"/>
              </w:rPr>
              <w:t>加强柴油、废润滑油风险管理</w:t>
            </w:r>
          </w:p>
        </w:tc>
        <w:tc>
          <w:tcPr>
            <w:tcW w:w="1442" w:type="pct"/>
            <w:tcBorders>
              <w:top w:val="single" w:color="auto" w:sz="4" w:space="0"/>
              <w:bottom w:val="single" w:color="auto" w:sz="4" w:space="0"/>
            </w:tcBorders>
            <w:vAlign w:val="center"/>
          </w:tcPr>
          <w:p w14:paraId="52DA3FDE">
            <w:pPr>
              <w:pStyle w:val="32"/>
            </w:pPr>
            <w:r>
              <w:rPr>
                <w:rFonts w:hint="eastAsia"/>
                <w:color w:val="000000"/>
              </w:rPr>
              <w:t>勘探期间不得发生重大环境事故</w:t>
            </w:r>
          </w:p>
        </w:tc>
        <w:tc>
          <w:tcPr>
            <w:tcW w:w="864" w:type="pct"/>
            <w:tcBorders>
              <w:top w:val="single" w:color="auto" w:sz="4" w:space="0"/>
              <w:bottom w:val="single" w:color="auto" w:sz="4" w:space="0"/>
            </w:tcBorders>
            <w:vAlign w:val="center"/>
          </w:tcPr>
          <w:p w14:paraId="19D111E6">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04A86DC3">
            <w:pPr>
              <w:pStyle w:val="32"/>
            </w:pPr>
            <w:r>
              <w:rPr>
                <w:rFonts w:hint="eastAsia"/>
              </w:rPr>
              <w:t>/</w:t>
            </w:r>
          </w:p>
        </w:tc>
      </w:tr>
      <w:tr w14:paraId="02ABC1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4" w:space="0"/>
            </w:tcBorders>
            <w:vAlign w:val="center"/>
          </w:tcPr>
          <w:p w14:paraId="08BB8773">
            <w:pPr>
              <w:pStyle w:val="32"/>
            </w:pPr>
            <w:r>
              <w:rPr>
                <w:rFonts w:hint="eastAsia"/>
              </w:rPr>
              <w:t>环境监测</w:t>
            </w:r>
          </w:p>
        </w:tc>
        <w:tc>
          <w:tcPr>
            <w:tcW w:w="1274" w:type="pct"/>
            <w:tcBorders>
              <w:top w:val="single" w:color="auto" w:sz="4" w:space="0"/>
              <w:bottom w:val="single" w:color="auto" w:sz="4" w:space="0"/>
            </w:tcBorders>
            <w:vAlign w:val="center"/>
          </w:tcPr>
          <w:p w14:paraId="1D480E90">
            <w:pPr>
              <w:pStyle w:val="32"/>
            </w:pPr>
            <w:r>
              <w:rPr>
                <w:rFonts w:hint="eastAsia"/>
              </w:rPr>
              <w:t>/</w:t>
            </w:r>
          </w:p>
        </w:tc>
        <w:tc>
          <w:tcPr>
            <w:tcW w:w="1442" w:type="pct"/>
            <w:tcBorders>
              <w:top w:val="single" w:color="auto" w:sz="4" w:space="0"/>
              <w:bottom w:val="single" w:color="auto" w:sz="4" w:space="0"/>
            </w:tcBorders>
            <w:vAlign w:val="center"/>
          </w:tcPr>
          <w:p w14:paraId="70635E3C">
            <w:pPr>
              <w:pStyle w:val="32"/>
            </w:pPr>
            <w:r>
              <w:rPr>
                <w:rFonts w:hint="eastAsia"/>
              </w:rPr>
              <w:t>/</w:t>
            </w:r>
          </w:p>
        </w:tc>
        <w:tc>
          <w:tcPr>
            <w:tcW w:w="864" w:type="pct"/>
            <w:tcBorders>
              <w:top w:val="single" w:color="auto" w:sz="4" w:space="0"/>
              <w:bottom w:val="single" w:color="auto" w:sz="4" w:space="0"/>
            </w:tcBorders>
            <w:vAlign w:val="center"/>
          </w:tcPr>
          <w:p w14:paraId="2F231F48">
            <w:pPr>
              <w:pStyle w:val="32"/>
            </w:pPr>
            <w:r>
              <w:rPr>
                <w:rFonts w:hint="eastAsia"/>
              </w:rPr>
              <w:t>/</w:t>
            </w:r>
          </w:p>
        </w:tc>
        <w:tc>
          <w:tcPr>
            <w:tcW w:w="642" w:type="pct"/>
            <w:tcBorders>
              <w:top w:val="single" w:color="auto" w:sz="4" w:space="0"/>
              <w:bottom w:val="single" w:color="auto" w:sz="4" w:space="0"/>
              <w:right w:val="single" w:color="auto" w:sz="12" w:space="0"/>
            </w:tcBorders>
            <w:vAlign w:val="center"/>
          </w:tcPr>
          <w:p w14:paraId="7173CDD1">
            <w:pPr>
              <w:pStyle w:val="32"/>
            </w:pPr>
            <w:r>
              <w:rPr>
                <w:rFonts w:hint="eastAsia"/>
              </w:rPr>
              <w:t>/</w:t>
            </w:r>
          </w:p>
        </w:tc>
      </w:tr>
      <w:tr w14:paraId="43F88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78" w:type="pct"/>
            <w:tcBorders>
              <w:top w:val="single" w:color="auto" w:sz="4" w:space="0"/>
              <w:left w:val="single" w:color="auto" w:sz="12" w:space="0"/>
              <w:bottom w:val="single" w:color="auto" w:sz="12" w:space="0"/>
            </w:tcBorders>
            <w:vAlign w:val="center"/>
          </w:tcPr>
          <w:p w14:paraId="123532FB">
            <w:pPr>
              <w:pStyle w:val="32"/>
            </w:pPr>
            <w:r>
              <w:rPr>
                <w:rFonts w:hint="eastAsia"/>
              </w:rPr>
              <w:t>其他</w:t>
            </w:r>
          </w:p>
        </w:tc>
        <w:tc>
          <w:tcPr>
            <w:tcW w:w="1274" w:type="pct"/>
            <w:tcBorders>
              <w:top w:val="single" w:color="auto" w:sz="4" w:space="0"/>
              <w:bottom w:val="single" w:color="auto" w:sz="12" w:space="0"/>
            </w:tcBorders>
            <w:vAlign w:val="center"/>
          </w:tcPr>
          <w:p w14:paraId="1DF17232">
            <w:pPr>
              <w:pStyle w:val="32"/>
            </w:pPr>
            <w:r>
              <w:rPr>
                <w:rFonts w:hint="eastAsia"/>
              </w:rPr>
              <w:t>/</w:t>
            </w:r>
          </w:p>
        </w:tc>
        <w:tc>
          <w:tcPr>
            <w:tcW w:w="1442" w:type="pct"/>
            <w:tcBorders>
              <w:top w:val="single" w:color="auto" w:sz="4" w:space="0"/>
              <w:bottom w:val="single" w:color="auto" w:sz="12" w:space="0"/>
            </w:tcBorders>
            <w:vAlign w:val="center"/>
          </w:tcPr>
          <w:p w14:paraId="52B6BCAF">
            <w:pPr>
              <w:pStyle w:val="32"/>
            </w:pPr>
            <w:r>
              <w:rPr>
                <w:rFonts w:hint="eastAsia"/>
              </w:rPr>
              <w:t>/</w:t>
            </w:r>
          </w:p>
        </w:tc>
        <w:tc>
          <w:tcPr>
            <w:tcW w:w="864" w:type="pct"/>
            <w:tcBorders>
              <w:top w:val="single" w:color="auto" w:sz="4" w:space="0"/>
              <w:bottom w:val="single" w:color="auto" w:sz="12" w:space="0"/>
            </w:tcBorders>
            <w:vAlign w:val="center"/>
          </w:tcPr>
          <w:p w14:paraId="47715B38">
            <w:pPr>
              <w:pStyle w:val="32"/>
            </w:pPr>
            <w:r>
              <w:rPr>
                <w:rFonts w:hint="eastAsia"/>
              </w:rPr>
              <w:t>/</w:t>
            </w:r>
          </w:p>
        </w:tc>
        <w:tc>
          <w:tcPr>
            <w:tcW w:w="642" w:type="pct"/>
            <w:tcBorders>
              <w:top w:val="single" w:color="auto" w:sz="4" w:space="0"/>
              <w:bottom w:val="single" w:color="auto" w:sz="12" w:space="0"/>
              <w:right w:val="single" w:color="auto" w:sz="12" w:space="0"/>
            </w:tcBorders>
            <w:vAlign w:val="center"/>
          </w:tcPr>
          <w:p w14:paraId="62C53E6C">
            <w:pPr>
              <w:pStyle w:val="32"/>
            </w:pPr>
            <w:r>
              <w:rPr>
                <w:rFonts w:hint="eastAsia"/>
              </w:rPr>
              <w:t>/</w:t>
            </w:r>
          </w:p>
        </w:tc>
      </w:tr>
    </w:tbl>
    <w:p w14:paraId="319B5D51">
      <w:pPr>
        <w:pStyle w:val="2"/>
      </w:pPr>
      <w:r>
        <w:rPr>
          <w:rFonts w:hint="eastAsia"/>
        </w:rPr>
        <w:t>七、结论</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F7425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08" w:hRule="atLeast"/>
          <w:jc w:val="center"/>
        </w:trPr>
        <w:tc>
          <w:tcPr>
            <w:tcW w:w="5000" w:type="pct"/>
          </w:tcPr>
          <w:p w14:paraId="3057BD93">
            <w:pPr>
              <w:ind w:firstLine="482"/>
              <w:rPr>
                <w:b/>
                <w:bCs/>
              </w:rPr>
            </w:pPr>
            <w:r>
              <w:rPr>
                <w:rFonts w:hint="eastAsia"/>
                <w:b/>
                <w:bCs/>
                <w:szCs w:val="32"/>
              </w:rPr>
              <w:t>1、建设项目环境可行性结论</w:t>
            </w:r>
          </w:p>
          <w:p w14:paraId="31107F61">
            <w:r>
              <w:rPr>
                <w:rFonts w:hint="eastAsia"/>
              </w:rPr>
              <w:t>本项目符合国家产业政策。探矿权范围内不涉及自然保护区、风景名胜区、饮用水水源保护区等敏感区域，不会对当地城镇发展规划造成影响。项目拟采取的三废治理措施及环境风险防范措施均有效可行。在落实各项风险防范措施后，环境风险可控，达到可接受水平。</w:t>
            </w:r>
          </w:p>
          <w:p w14:paraId="60F370F2">
            <w:r>
              <w:rPr>
                <w:rFonts w:hint="eastAsia"/>
              </w:rPr>
              <w:t>综上所述，在施工过程中强化环保管理，落实各项环保措施，保证各项设施正常运行，从环境保护角度分析，本项目建设是可行的。</w:t>
            </w:r>
          </w:p>
          <w:p w14:paraId="7640E368">
            <w:pPr>
              <w:pStyle w:val="19"/>
              <w:ind w:firstLine="482" w:firstLineChars="200"/>
              <w:jc w:val="both"/>
            </w:pPr>
            <w:r>
              <w:t>2</w:t>
            </w:r>
            <w:r>
              <w:rPr>
                <w:rFonts w:hint="eastAsia"/>
              </w:rPr>
              <w:t>、建议</w:t>
            </w:r>
          </w:p>
          <w:p w14:paraId="3260F169">
            <w:r>
              <w:rPr>
                <w:rFonts w:hint="eastAsia"/>
              </w:rPr>
              <w:t>（</w:t>
            </w:r>
            <w:r>
              <w:t>1</w:t>
            </w:r>
            <w:r>
              <w:rPr>
                <w:rFonts w:hint="eastAsia"/>
              </w:rPr>
              <w:t>）认真落实各项污染防治及生态保护措施，确保钻探废水经沉淀后回用于钻探，不外排，生活污水处理达标后用于周边植被绿化，固体废物分类妥善处置，施工噪声有效控制，施工结束后及时完成临时占地植被恢复，将环境影响降至最低。</w:t>
            </w:r>
          </w:p>
          <w:p w14:paraId="4C1A20E3">
            <w:r>
              <w:rPr>
                <w:rFonts w:hint="eastAsia"/>
              </w:rPr>
              <w:t>（</w:t>
            </w:r>
            <w:r>
              <w:t>2</w:t>
            </w:r>
            <w:r>
              <w:rPr>
                <w:rFonts w:hint="eastAsia"/>
              </w:rPr>
              <w:t>）加强废水、固体废物储运过程管理，建立相应的管理制度。</w:t>
            </w:r>
          </w:p>
          <w:p w14:paraId="216C72D8"/>
          <w:p w14:paraId="587E7BCB"/>
          <w:p w14:paraId="076004D9"/>
          <w:p w14:paraId="09A6B41B"/>
          <w:p w14:paraId="5B5816EB"/>
          <w:p w14:paraId="5D742E87"/>
          <w:p w14:paraId="4D29E63B"/>
          <w:p w14:paraId="5B724291"/>
          <w:p w14:paraId="4970AC69"/>
          <w:p w14:paraId="02931C07"/>
          <w:p w14:paraId="60A6F0E3">
            <w:pPr>
              <w:ind w:firstLine="0" w:firstLineChars="0"/>
            </w:pPr>
          </w:p>
        </w:tc>
      </w:tr>
    </w:tbl>
    <w:p w14:paraId="25BF87B3">
      <w:pPr>
        <w:ind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CE4DD">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79A11">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5812F">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435440"/>
    </w:sdtPr>
    <w:sdtContent>
      <w:p w14:paraId="073539BC">
        <w:pPr>
          <w:pStyle w:val="12"/>
          <w:ind w:firstLine="360"/>
          <w:jc w:val="center"/>
        </w:pPr>
        <w:r>
          <w:fldChar w:fldCharType="begin"/>
        </w:r>
        <w:r>
          <w:instrText xml:space="preserve">PAGE   \* MERGEFORMAT</w:instrText>
        </w:r>
        <w:r>
          <w:fldChar w:fldCharType="separate"/>
        </w:r>
        <w:r>
          <w:rPr>
            <w:lang w:val="zh-CN"/>
          </w:rPr>
          <w:t>2</w:t>
        </w:r>
        <w:r>
          <w:fldChar w:fldCharType="end"/>
        </w:r>
      </w:p>
    </w:sdtContent>
  </w:sdt>
  <w:p w14:paraId="1FF49693">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B675D">
    <w:pPr>
      <w:pStyle w:val="13"/>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5FD43">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C5F2C">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0FEB84"/>
    <w:multiLevelType w:val="singleLevel"/>
    <w:tmpl w:val="070FEB84"/>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1">
    <w:nsid w:val="0882F582"/>
    <w:multiLevelType w:val="singleLevel"/>
    <w:tmpl w:val="0882F582"/>
    <w:lvl w:ilvl="0" w:tentative="0">
      <w:start w:val="4"/>
      <w:numFmt w:val="decimal"/>
      <w:suff w:val="nothing"/>
      <w:lvlText w:val="（%1）"/>
      <w:lvlJc w:val="left"/>
    </w:lvl>
  </w:abstractNum>
  <w:abstractNum w:abstractNumId="2">
    <w:nsid w:val="50DDF1D6"/>
    <w:multiLevelType w:val="singleLevel"/>
    <w:tmpl w:val="50DDF1D6"/>
    <w:lvl w:ilvl="0" w:tentative="0">
      <w:start w:val="3"/>
      <w:numFmt w:val="decimal"/>
      <w:suff w:val="nothing"/>
      <w:lvlText w:val="%1、"/>
      <w:lvlJc w:val="left"/>
    </w:lvl>
  </w:abstractNum>
  <w:abstractNum w:abstractNumId="3">
    <w:nsid w:val="561E173D"/>
    <w:multiLevelType w:val="multilevel"/>
    <w:tmpl w:val="561E173D"/>
    <w:lvl w:ilvl="0" w:tentative="0">
      <w:start w:val="1"/>
      <w:numFmt w:val="decimal"/>
      <w:suff w:val="space"/>
      <w:lvlText w:val="%1"/>
      <w:lvlJc w:val="left"/>
      <w:pPr>
        <w:tabs>
          <w:tab w:val="left" w:pos="0"/>
        </w:tabs>
        <w:ind w:left="0" w:firstLine="0"/>
      </w:pPr>
      <w:rPr>
        <w:rFonts w:hint="default" w:ascii="Times New Roman" w:hAnsi="Times New Roman" w:eastAsia="宋体" w:cs="宋体"/>
      </w:rPr>
    </w:lvl>
    <w:lvl w:ilvl="1" w:tentative="0">
      <w:start w:val="1"/>
      <w:numFmt w:val="decimal"/>
      <w:suff w:val="space"/>
      <w:lvlText w:val="%1.%2"/>
      <w:lvlJc w:val="left"/>
      <w:pPr>
        <w:tabs>
          <w:tab w:val="left" w:pos="0"/>
        </w:tabs>
        <w:ind w:left="0" w:firstLine="0"/>
      </w:pPr>
      <w:rPr>
        <w:rFonts w:hint="default" w:ascii="Times New Roman" w:hAnsi="Times New Roman" w:eastAsia="宋体" w:cs="宋体"/>
      </w:rPr>
    </w:lvl>
    <w:lvl w:ilvl="2" w:tentative="0">
      <w:start w:val="1"/>
      <w:numFmt w:val="decimal"/>
      <w:suff w:val="space"/>
      <w:lvlText w:val="%1.%2.%3"/>
      <w:lvlJc w:val="left"/>
      <w:pPr>
        <w:tabs>
          <w:tab w:val="left" w:pos="0"/>
        </w:tabs>
        <w:ind w:left="0" w:firstLine="0"/>
      </w:pPr>
      <w:rPr>
        <w:rFonts w:hint="default" w:ascii="Times New Roman" w:hAnsi="Times New Roman" w:eastAsia="宋体" w:cs="宋体"/>
      </w:rPr>
    </w:lvl>
    <w:lvl w:ilvl="3" w:tentative="0">
      <w:start w:val="1"/>
      <w:numFmt w:val="decimal"/>
      <w:suff w:val="space"/>
      <w:lvlText w:val="%1.%2.%3.%4"/>
      <w:lvlJc w:val="left"/>
      <w:pPr>
        <w:tabs>
          <w:tab w:val="left" w:pos="0"/>
        </w:tabs>
        <w:ind w:left="0" w:firstLine="0"/>
      </w:pPr>
      <w:rPr>
        <w:rFonts w:hint="default" w:ascii="Times New Roman" w:hAnsi="Times New Roman" w:eastAsia="宋体" w:cs="宋体"/>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1"/>
        </w:tabs>
        <w:ind w:left="1151" w:hanging="1151"/>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3"/>
        </w:tabs>
        <w:ind w:left="1583" w:hanging="1583"/>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mZGQ1YjY3YWE4ZjQxNzM3Mjc0MGM1ZTljYWMwNWUifQ=="/>
    <w:docVar w:name="KSO_WPS_MARK_KEY" w:val="aea58b2c-c1a0-4abd-abd3-756cc749d8cb"/>
  </w:docVars>
  <w:rsids>
    <w:rsidRoot w:val="005735F7"/>
    <w:rsid w:val="0000594E"/>
    <w:rsid w:val="000061C2"/>
    <w:rsid w:val="0001101C"/>
    <w:rsid w:val="00014F53"/>
    <w:rsid w:val="00017565"/>
    <w:rsid w:val="00022367"/>
    <w:rsid w:val="00022438"/>
    <w:rsid w:val="00023B22"/>
    <w:rsid w:val="00030E15"/>
    <w:rsid w:val="000311A4"/>
    <w:rsid w:val="00033F0F"/>
    <w:rsid w:val="00042D20"/>
    <w:rsid w:val="0004628B"/>
    <w:rsid w:val="00046B10"/>
    <w:rsid w:val="00052E96"/>
    <w:rsid w:val="000616CA"/>
    <w:rsid w:val="00071942"/>
    <w:rsid w:val="00071D33"/>
    <w:rsid w:val="00074DEF"/>
    <w:rsid w:val="0007550F"/>
    <w:rsid w:val="000765EF"/>
    <w:rsid w:val="00077BD6"/>
    <w:rsid w:val="00083B68"/>
    <w:rsid w:val="00087B0D"/>
    <w:rsid w:val="000918C9"/>
    <w:rsid w:val="0009251F"/>
    <w:rsid w:val="0009399D"/>
    <w:rsid w:val="00095F14"/>
    <w:rsid w:val="000965A5"/>
    <w:rsid w:val="000A051B"/>
    <w:rsid w:val="000A242F"/>
    <w:rsid w:val="000A5493"/>
    <w:rsid w:val="000A77DB"/>
    <w:rsid w:val="000A7EF2"/>
    <w:rsid w:val="000B2D47"/>
    <w:rsid w:val="000B61F4"/>
    <w:rsid w:val="000B739D"/>
    <w:rsid w:val="000C2433"/>
    <w:rsid w:val="000C25B8"/>
    <w:rsid w:val="000C53D3"/>
    <w:rsid w:val="000C6B0B"/>
    <w:rsid w:val="000D2CDF"/>
    <w:rsid w:val="000D7998"/>
    <w:rsid w:val="000E1410"/>
    <w:rsid w:val="000E1D09"/>
    <w:rsid w:val="000E3206"/>
    <w:rsid w:val="000E377F"/>
    <w:rsid w:val="000E5410"/>
    <w:rsid w:val="000F2C7B"/>
    <w:rsid w:val="000F7164"/>
    <w:rsid w:val="001059EA"/>
    <w:rsid w:val="00114196"/>
    <w:rsid w:val="0011473E"/>
    <w:rsid w:val="00115C51"/>
    <w:rsid w:val="00117324"/>
    <w:rsid w:val="001216A3"/>
    <w:rsid w:val="00121AA4"/>
    <w:rsid w:val="001263DA"/>
    <w:rsid w:val="001270AA"/>
    <w:rsid w:val="00127FE0"/>
    <w:rsid w:val="00134B14"/>
    <w:rsid w:val="00134D95"/>
    <w:rsid w:val="00140CC6"/>
    <w:rsid w:val="00142FB9"/>
    <w:rsid w:val="001430F1"/>
    <w:rsid w:val="0015152E"/>
    <w:rsid w:val="00151813"/>
    <w:rsid w:val="00154828"/>
    <w:rsid w:val="00155D66"/>
    <w:rsid w:val="00160107"/>
    <w:rsid w:val="00162CC9"/>
    <w:rsid w:val="0016750E"/>
    <w:rsid w:val="00170935"/>
    <w:rsid w:val="001721D7"/>
    <w:rsid w:val="001737E2"/>
    <w:rsid w:val="00174D8D"/>
    <w:rsid w:val="00182689"/>
    <w:rsid w:val="0019062F"/>
    <w:rsid w:val="0019206B"/>
    <w:rsid w:val="001942D9"/>
    <w:rsid w:val="00194B31"/>
    <w:rsid w:val="001961DE"/>
    <w:rsid w:val="001969E6"/>
    <w:rsid w:val="001A0B8C"/>
    <w:rsid w:val="001A5E76"/>
    <w:rsid w:val="001B1D29"/>
    <w:rsid w:val="001B32BD"/>
    <w:rsid w:val="001B45EB"/>
    <w:rsid w:val="001B4640"/>
    <w:rsid w:val="001D25EC"/>
    <w:rsid w:val="001D475C"/>
    <w:rsid w:val="001E3A4E"/>
    <w:rsid w:val="001E6250"/>
    <w:rsid w:val="001E7CEA"/>
    <w:rsid w:val="001F612C"/>
    <w:rsid w:val="001F69DB"/>
    <w:rsid w:val="001F7323"/>
    <w:rsid w:val="001F76FC"/>
    <w:rsid w:val="001F77F2"/>
    <w:rsid w:val="002013DD"/>
    <w:rsid w:val="00205D74"/>
    <w:rsid w:val="00207417"/>
    <w:rsid w:val="002112BF"/>
    <w:rsid w:val="00211C86"/>
    <w:rsid w:val="00217C38"/>
    <w:rsid w:val="00220C5C"/>
    <w:rsid w:val="00220F54"/>
    <w:rsid w:val="0022257E"/>
    <w:rsid w:val="00223777"/>
    <w:rsid w:val="0023125D"/>
    <w:rsid w:val="002329D4"/>
    <w:rsid w:val="00233C47"/>
    <w:rsid w:val="00240A68"/>
    <w:rsid w:val="002439BC"/>
    <w:rsid w:val="0024726C"/>
    <w:rsid w:val="00257A93"/>
    <w:rsid w:val="002620D0"/>
    <w:rsid w:val="002653F9"/>
    <w:rsid w:val="002667B6"/>
    <w:rsid w:val="00273FDA"/>
    <w:rsid w:val="00274365"/>
    <w:rsid w:val="00287096"/>
    <w:rsid w:val="00292842"/>
    <w:rsid w:val="00292C13"/>
    <w:rsid w:val="002942CB"/>
    <w:rsid w:val="002958B3"/>
    <w:rsid w:val="002961C2"/>
    <w:rsid w:val="002976CF"/>
    <w:rsid w:val="002A408D"/>
    <w:rsid w:val="002A61EF"/>
    <w:rsid w:val="002A7317"/>
    <w:rsid w:val="002B0132"/>
    <w:rsid w:val="002B1728"/>
    <w:rsid w:val="002B2338"/>
    <w:rsid w:val="002B5A0A"/>
    <w:rsid w:val="002B6B49"/>
    <w:rsid w:val="002C3925"/>
    <w:rsid w:val="002C5BC2"/>
    <w:rsid w:val="002C77B5"/>
    <w:rsid w:val="002D0446"/>
    <w:rsid w:val="002D4EDA"/>
    <w:rsid w:val="002E075C"/>
    <w:rsid w:val="002E0E4F"/>
    <w:rsid w:val="002F0074"/>
    <w:rsid w:val="002F0D6F"/>
    <w:rsid w:val="002F2293"/>
    <w:rsid w:val="002F39DB"/>
    <w:rsid w:val="002F4C4E"/>
    <w:rsid w:val="002F62D7"/>
    <w:rsid w:val="002F7129"/>
    <w:rsid w:val="002F7EAA"/>
    <w:rsid w:val="00300401"/>
    <w:rsid w:val="00302B36"/>
    <w:rsid w:val="0030514A"/>
    <w:rsid w:val="00314596"/>
    <w:rsid w:val="00321B84"/>
    <w:rsid w:val="00324033"/>
    <w:rsid w:val="003248F9"/>
    <w:rsid w:val="00330057"/>
    <w:rsid w:val="00334D28"/>
    <w:rsid w:val="00335399"/>
    <w:rsid w:val="00335F62"/>
    <w:rsid w:val="0033700B"/>
    <w:rsid w:val="00344F32"/>
    <w:rsid w:val="00345122"/>
    <w:rsid w:val="003477A6"/>
    <w:rsid w:val="00351568"/>
    <w:rsid w:val="00355772"/>
    <w:rsid w:val="00361C8A"/>
    <w:rsid w:val="00364E70"/>
    <w:rsid w:val="00365F36"/>
    <w:rsid w:val="003661BA"/>
    <w:rsid w:val="003730D9"/>
    <w:rsid w:val="00380305"/>
    <w:rsid w:val="00381A0E"/>
    <w:rsid w:val="00383204"/>
    <w:rsid w:val="00384D70"/>
    <w:rsid w:val="003876DC"/>
    <w:rsid w:val="003951E4"/>
    <w:rsid w:val="003976A8"/>
    <w:rsid w:val="003A33DA"/>
    <w:rsid w:val="003A38AD"/>
    <w:rsid w:val="003B0AB7"/>
    <w:rsid w:val="003B14C4"/>
    <w:rsid w:val="003B5DEE"/>
    <w:rsid w:val="003B71A5"/>
    <w:rsid w:val="003C25CD"/>
    <w:rsid w:val="003C6672"/>
    <w:rsid w:val="003D228A"/>
    <w:rsid w:val="003D29FE"/>
    <w:rsid w:val="003D3831"/>
    <w:rsid w:val="003D42A1"/>
    <w:rsid w:val="003D43A7"/>
    <w:rsid w:val="003D65B5"/>
    <w:rsid w:val="003E14E9"/>
    <w:rsid w:val="003E2F8A"/>
    <w:rsid w:val="003E4F88"/>
    <w:rsid w:val="003E5C18"/>
    <w:rsid w:val="003E5E46"/>
    <w:rsid w:val="003E73BF"/>
    <w:rsid w:val="003F3E94"/>
    <w:rsid w:val="003F6466"/>
    <w:rsid w:val="003F7C77"/>
    <w:rsid w:val="00401ED9"/>
    <w:rsid w:val="00404454"/>
    <w:rsid w:val="00404BDE"/>
    <w:rsid w:val="00406137"/>
    <w:rsid w:val="004070F8"/>
    <w:rsid w:val="00412D02"/>
    <w:rsid w:val="0042232C"/>
    <w:rsid w:val="00422C95"/>
    <w:rsid w:val="004302E3"/>
    <w:rsid w:val="0043063F"/>
    <w:rsid w:val="00437F82"/>
    <w:rsid w:val="00441A4D"/>
    <w:rsid w:val="0044399D"/>
    <w:rsid w:val="00455C76"/>
    <w:rsid w:val="00455CBE"/>
    <w:rsid w:val="0046647C"/>
    <w:rsid w:val="004677C4"/>
    <w:rsid w:val="00470D40"/>
    <w:rsid w:val="00473A0C"/>
    <w:rsid w:val="00474C77"/>
    <w:rsid w:val="004758C0"/>
    <w:rsid w:val="00477C08"/>
    <w:rsid w:val="0048120C"/>
    <w:rsid w:val="004818EC"/>
    <w:rsid w:val="0048574C"/>
    <w:rsid w:val="00487704"/>
    <w:rsid w:val="00492648"/>
    <w:rsid w:val="00497A3C"/>
    <w:rsid w:val="00497A8C"/>
    <w:rsid w:val="004A5FEB"/>
    <w:rsid w:val="004B2878"/>
    <w:rsid w:val="004B4D24"/>
    <w:rsid w:val="004B4F2A"/>
    <w:rsid w:val="004B5471"/>
    <w:rsid w:val="004B73C1"/>
    <w:rsid w:val="004C1338"/>
    <w:rsid w:val="004C34A0"/>
    <w:rsid w:val="004C388D"/>
    <w:rsid w:val="004D0EB5"/>
    <w:rsid w:val="004D1B35"/>
    <w:rsid w:val="004D5BB9"/>
    <w:rsid w:val="004D694F"/>
    <w:rsid w:val="004E2B0A"/>
    <w:rsid w:val="004E4B41"/>
    <w:rsid w:val="004F3A8A"/>
    <w:rsid w:val="00501594"/>
    <w:rsid w:val="005040D1"/>
    <w:rsid w:val="005073A7"/>
    <w:rsid w:val="005077E1"/>
    <w:rsid w:val="0051213D"/>
    <w:rsid w:val="005155C2"/>
    <w:rsid w:val="00515FF0"/>
    <w:rsid w:val="005233FA"/>
    <w:rsid w:val="00523FB2"/>
    <w:rsid w:val="005355FC"/>
    <w:rsid w:val="005368A9"/>
    <w:rsid w:val="00540CD0"/>
    <w:rsid w:val="0054160B"/>
    <w:rsid w:val="00541C58"/>
    <w:rsid w:val="00543850"/>
    <w:rsid w:val="00543FC3"/>
    <w:rsid w:val="00546C19"/>
    <w:rsid w:val="005472B2"/>
    <w:rsid w:val="00547E00"/>
    <w:rsid w:val="0055434E"/>
    <w:rsid w:val="00557084"/>
    <w:rsid w:val="00561875"/>
    <w:rsid w:val="0056239F"/>
    <w:rsid w:val="005642F8"/>
    <w:rsid w:val="005712CE"/>
    <w:rsid w:val="0057166B"/>
    <w:rsid w:val="005735F7"/>
    <w:rsid w:val="00574415"/>
    <w:rsid w:val="00582EC9"/>
    <w:rsid w:val="005835C4"/>
    <w:rsid w:val="00591468"/>
    <w:rsid w:val="00591739"/>
    <w:rsid w:val="00595007"/>
    <w:rsid w:val="0059525D"/>
    <w:rsid w:val="005A14DA"/>
    <w:rsid w:val="005A4809"/>
    <w:rsid w:val="005B5A18"/>
    <w:rsid w:val="005B5FE6"/>
    <w:rsid w:val="005B7AFA"/>
    <w:rsid w:val="005B7E92"/>
    <w:rsid w:val="005C5488"/>
    <w:rsid w:val="005C59CA"/>
    <w:rsid w:val="005C6283"/>
    <w:rsid w:val="005D1299"/>
    <w:rsid w:val="005D34CD"/>
    <w:rsid w:val="005D3A42"/>
    <w:rsid w:val="005D4253"/>
    <w:rsid w:val="005D437D"/>
    <w:rsid w:val="005E1390"/>
    <w:rsid w:val="005E1532"/>
    <w:rsid w:val="005E3CE3"/>
    <w:rsid w:val="005E4FB6"/>
    <w:rsid w:val="005E6CC6"/>
    <w:rsid w:val="005F2EE5"/>
    <w:rsid w:val="005F4114"/>
    <w:rsid w:val="005F587C"/>
    <w:rsid w:val="005F5E18"/>
    <w:rsid w:val="005F7737"/>
    <w:rsid w:val="00604828"/>
    <w:rsid w:val="00605214"/>
    <w:rsid w:val="006065E0"/>
    <w:rsid w:val="0061078D"/>
    <w:rsid w:val="00612780"/>
    <w:rsid w:val="00617F5D"/>
    <w:rsid w:val="00631B04"/>
    <w:rsid w:val="00636569"/>
    <w:rsid w:val="0064164D"/>
    <w:rsid w:val="0064187D"/>
    <w:rsid w:val="00641B33"/>
    <w:rsid w:val="006432E5"/>
    <w:rsid w:val="00643EED"/>
    <w:rsid w:val="00644093"/>
    <w:rsid w:val="006444ED"/>
    <w:rsid w:val="0064708A"/>
    <w:rsid w:val="00650598"/>
    <w:rsid w:val="00651AC6"/>
    <w:rsid w:val="0065360C"/>
    <w:rsid w:val="006540F4"/>
    <w:rsid w:val="00654552"/>
    <w:rsid w:val="00655024"/>
    <w:rsid w:val="00656043"/>
    <w:rsid w:val="006577DF"/>
    <w:rsid w:val="00660A96"/>
    <w:rsid w:val="00663786"/>
    <w:rsid w:val="00664EC9"/>
    <w:rsid w:val="00666FDF"/>
    <w:rsid w:val="00667388"/>
    <w:rsid w:val="0067033D"/>
    <w:rsid w:val="00674771"/>
    <w:rsid w:val="00677098"/>
    <w:rsid w:val="00685C14"/>
    <w:rsid w:val="00690C45"/>
    <w:rsid w:val="00696604"/>
    <w:rsid w:val="0069752C"/>
    <w:rsid w:val="006A6005"/>
    <w:rsid w:val="006B2A1A"/>
    <w:rsid w:val="006B365A"/>
    <w:rsid w:val="006B6C2F"/>
    <w:rsid w:val="006C7923"/>
    <w:rsid w:val="006D1611"/>
    <w:rsid w:val="006D53E3"/>
    <w:rsid w:val="006F0CD6"/>
    <w:rsid w:val="006F5157"/>
    <w:rsid w:val="006F56A2"/>
    <w:rsid w:val="006F5D51"/>
    <w:rsid w:val="006F61E1"/>
    <w:rsid w:val="006F73C3"/>
    <w:rsid w:val="00701C73"/>
    <w:rsid w:val="00706A7E"/>
    <w:rsid w:val="00706F85"/>
    <w:rsid w:val="00713705"/>
    <w:rsid w:val="00716280"/>
    <w:rsid w:val="0072299D"/>
    <w:rsid w:val="00723DE7"/>
    <w:rsid w:val="00724A53"/>
    <w:rsid w:val="00727FB5"/>
    <w:rsid w:val="007314F9"/>
    <w:rsid w:val="007318AB"/>
    <w:rsid w:val="0073623B"/>
    <w:rsid w:val="007365CE"/>
    <w:rsid w:val="00740177"/>
    <w:rsid w:val="00742CE2"/>
    <w:rsid w:val="00747ACB"/>
    <w:rsid w:val="007500A6"/>
    <w:rsid w:val="00750672"/>
    <w:rsid w:val="00753E4F"/>
    <w:rsid w:val="00755423"/>
    <w:rsid w:val="0075588E"/>
    <w:rsid w:val="00760115"/>
    <w:rsid w:val="007635DE"/>
    <w:rsid w:val="00764AE6"/>
    <w:rsid w:val="00766106"/>
    <w:rsid w:val="007678EF"/>
    <w:rsid w:val="00770830"/>
    <w:rsid w:val="007725E4"/>
    <w:rsid w:val="00772912"/>
    <w:rsid w:val="007745B4"/>
    <w:rsid w:val="0077546D"/>
    <w:rsid w:val="00775802"/>
    <w:rsid w:val="007816F3"/>
    <w:rsid w:val="00782AED"/>
    <w:rsid w:val="00791131"/>
    <w:rsid w:val="00791650"/>
    <w:rsid w:val="00791800"/>
    <w:rsid w:val="007A01B6"/>
    <w:rsid w:val="007A1D5A"/>
    <w:rsid w:val="007A1F5C"/>
    <w:rsid w:val="007A2139"/>
    <w:rsid w:val="007A4BBF"/>
    <w:rsid w:val="007A4BE4"/>
    <w:rsid w:val="007A7D54"/>
    <w:rsid w:val="007B5262"/>
    <w:rsid w:val="007B73CE"/>
    <w:rsid w:val="007C238B"/>
    <w:rsid w:val="007C4C38"/>
    <w:rsid w:val="007C5910"/>
    <w:rsid w:val="007C6EEB"/>
    <w:rsid w:val="007D595D"/>
    <w:rsid w:val="007F5D45"/>
    <w:rsid w:val="00803473"/>
    <w:rsid w:val="00804E76"/>
    <w:rsid w:val="00805994"/>
    <w:rsid w:val="00806B96"/>
    <w:rsid w:val="00810D92"/>
    <w:rsid w:val="00811B64"/>
    <w:rsid w:val="00817C02"/>
    <w:rsid w:val="008245B0"/>
    <w:rsid w:val="00825F53"/>
    <w:rsid w:val="0082759D"/>
    <w:rsid w:val="00827CD3"/>
    <w:rsid w:val="00834A15"/>
    <w:rsid w:val="0083505D"/>
    <w:rsid w:val="00840EE8"/>
    <w:rsid w:val="008420AF"/>
    <w:rsid w:val="00843A8F"/>
    <w:rsid w:val="008452AE"/>
    <w:rsid w:val="00850A92"/>
    <w:rsid w:val="008524AB"/>
    <w:rsid w:val="00854419"/>
    <w:rsid w:val="008639F5"/>
    <w:rsid w:val="00866A3E"/>
    <w:rsid w:val="008737FF"/>
    <w:rsid w:val="008738AC"/>
    <w:rsid w:val="008739DE"/>
    <w:rsid w:val="0087605B"/>
    <w:rsid w:val="0087715E"/>
    <w:rsid w:val="00891DA0"/>
    <w:rsid w:val="008939DF"/>
    <w:rsid w:val="00895FB8"/>
    <w:rsid w:val="008A2FD1"/>
    <w:rsid w:val="008A3C6B"/>
    <w:rsid w:val="008A40D1"/>
    <w:rsid w:val="008B3DAD"/>
    <w:rsid w:val="008B4FE4"/>
    <w:rsid w:val="008B502F"/>
    <w:rsid w:val="008C0D62"/>
    <w:rsid w:val="008C310F"/>
    <w:rsid w:val="008C4297"/>
    <w:rsid w:val="008D0626"/>
    <w:rsid w:val="008D1F69"/>
    <w:rsid w:val="008D3B7E"/>
    <w:rsid w:val="008D7D4C"/>
    <w:rsid w:val="008E2C4E"/>
    <w:rsid w:val="008E3880"/>
    <w:rsid w:val="008E525D"/>
    <w:rsid w:val="008E5A92"/>
    <w:rsid w:val="008E68DF"/>
    <w:rsid w:val="008E7726"/>
    <w:rsid w:val="008F4A28"/>
    <w:rsid w:val="008F55D7"/>
    <w:rsid w:val="008F653D"/>
    <w:rsid w:val="008F7C7E"/>
    <w:rsid w:val="00903B6F"/>
    <w:rsid w:val="00906D83"/>
    <w:rsid w:val="00910F23"/>
    <w:rsid w:val="0091264A"/>
    <w:rsid w:val="009131AE"/>
    <w:rsid w:val="00913277"/>
    <w:rsid w:val="00915C88"/>
    <w:rsid w:val="00920407"/>
    <w:rsid w:val="0092279A"/>
    <w:rsid w:val="00926644"/>
    <w:rsid w:val="00927C99"/>
    <w:rsid w:val="0093079F"/>
    <w:rsid w:val="00931D6D"/>
    <w:rsid w:val="00933E92"/>
    <w:rsid w:val="00935E1D"/>
    <w:rsid w:val="00940D3B"/>
    <w:rsid w:val="00946371"/>
    <w:rsid w:val="00947B33"/>
    <w:rsid w:val="009517C9"/>
    <w:rsid w:val="0095317B"/>
    <w:rsid w:val="00953682"/>
    <w:rsid w:val="009537F2"/>
    <w:rsid w:val="00954481"/>
    <w:rsid w:val="00963AEF"/>
    <w:rsid w:val="00965B38"/>
    <w:rsid w:val="00970197"/>
    <w:rsid w:val="0098600F"/>
    <w:rsid w:val="009970A0"/>
    <w:rsid w:val="009A4BE3"/>
    <w:rsid w:val="009A4D52"/>
    <w:rsid w:val="009A549B"/>
    <w:rsid w:val="009A6CC1"/>
    <w:rsid w:val="009B0602"/>
    <w:rsid w:val="009B14BA"/>
    <w:rsid w:val="009B3CA9"/>
    <w:rsid w:val="009C0ED8"/>
    <w:rsid w:val="009C1DBB"/>
    <w:rsid w:val="009C4CF4"/>
    <w:rsid w:val="009C59F5"/>
    <w:rsid w:val="009C6A4A"/>
    <w:rsid w:val="009C7211"/>
    <w:rsid w:val="009D1190"/>
    <w:rsid w:val="009D295F"/>
    <w:rsid w:val="009E277E"/>
    <w:rsid w:val="009E4E08"/>
    <w:rsid w:val="009E5A02"/>
    <w:rsid w:val="009F036A"/>
    <w:rsid w:val="009F0548"/>
    <w:rsid w:val="009F48E2"/>
    <w:rsid w:val="009F4C08"/>
    <w:rsid w:val="00A03448"/>
    <w:rsid w:val="00A12D1B"/>
    <w:rsid w:val="00A139E9"/>
    <w:rsid w:val="00A16753"/>
    <w:rsid w:val="00A24FB0"/>
    <w:rsid w:val="00A30E10"/>
    <w:rsid w:val="00A3391D"/>
    <w:rsid w:val="00A33C96"/>
    <w:rsid w:val="00A34954"/>
    <w:rsid w:val="00A37B7E"/>
    <w:rsid w:val="00A40596"/>
    <w:rsid w:val="00A45F07"/>
    <w:rsid w:val="00A4688F"/>
    <w:rsid w:val="00A47C42"/>
    <w:rsid w:val="00A47CA9"/>
    <w:rsid w:val="00A51D79"/>
    <w:rsid w:val="00A5484A"/>
    <w:rsid w:val="00A54ED6"/>
    <w:rsid w:val="00A55E37"/>
    <w:rsid w:val="00A57EAA"/>
    <w:rsid w:val="00A6383B"/>
    <w:rsid w:val="00A67B5E"/>
    <w:rsid w:val="00A70FC1"/>
    <w:rsid w:val="00A72013"/>
    <w:rsid w:val="00A807A2"/>
    <w:rsid w:val="00A81A54"/>
    <w:rsid w:val="00A86444"/>
    <w:rsid w:val="00A866BC"/>
    <w:rsid w:val="00A87F58"/>
    <w:rsid w:val="00A939DC"/>
    <w:rsid w:val="00A95643"/>
    <w:rsid w:val="00AA01BA"/>
    <w:rsid w:val="00AA283A"/>
    <w:rsid w:val="00AA444D"/>
    <w:rsid w:val="00AA73A4"/>
    <w:rsid w:val="00AB0097"/>
    <w:rsid w:val="00AC1D00"/>
    <w:rsid w:val="00AC273E"/>
    <w:rsid w:val="00AC37B7"/>
    <w:rsid w:val="00AC3C87"/>
    <w:rsid w:val="00AC3E3E"/>
    <w:rsid w:val="00AC6A65"/>
    <w:rsid w:val="00AD50C5"/>
    <w:rsid w:val="00AE3755"/>
    <w:rsid w:val="00AE4C0F"/>
    <w:rsid w:val="00AE534C"/>
    <w:rsid w:val="00AE6847"/>
    <w:rsid w:val="00AF0C5D"/>
    <w:rsid w:val="00AF3301"/>
    <w:rsid w:val="00AF562D"/>
    <w:rsid w:val="00AF61F3"/>
    <w:rsid w:val="00B00775"/>
    <w:rsid w:val="00B04333"/>
    <w:rsid w:val="00B1101E"/>
    <w:rsid w:val="00B11139"/>
    <w:rsid w:val="00B117DE"/>
    <w:rsid w:val="00B13C64"/>
    <w:rsid w:val="00B15850"/>
    <w:rsid w:val="00B167EF"/>
    <w:rsid w:val="00B20DB1"/>
    <w:rsid w:val="00B3569E"/>
    <w:rsid w:val="00B36360"/>
    <w:rsid w:val="00B37DDD"/>
    <w:rsid w:val="00B45CC8"/>
    <w:rsid w:val="00B4658D"/>
    <w:rsid w:val="00B542C1"/>
    <w:rsid w:val="00B657E2"/>
    <w:rsid w:val="00B668FB"/>
    <w:rsid w:val="00B75669"/>
    <w:rsid w:val="00B768BC"/>
    <w:rsid w:val="00B77C7D"/>
    <w:rsid w:val="00B866E3"/>
    <w:rsid w:val="00B86DE3"/>
    <w:rsid w:val="00B86EAA"/>
    <w:rsid w:val="00B870AC"/>
    <w:rsid w:val="00B92986"/>
    <w:rsid w:val="00B93C96"/>
    <w:rsid w:val="00B945CF"/>
    <w:rsid w:val="00BA4FD3"/>
    <w:rsid w:val="00BA7997"/>
    <w:rsid w:val="00BA7D19"/>
    <w:rsid w:val="00BA7D99"/>
    <w:rsid w:val="00BA7F3E"/>
    <w:rsid w:val="00BB1D8A"/>
    <w:rsid w:val="00BB4B44"/>
    <w:rsid w:val="00BC23D0"/>
    <w:rsid w:val="00BC4C83"/>
    <w:rsid w:val="00BC658D"/>
    <w:rsid w:val="00BD2C60"/>
    <w:rsid w:val="00BD591F"/>
    <w:rsid w:val="00BD78AF"/>
    <w:rsid w:val="00BE14AB"/>
    <w:rsid w:val="00BE1F13"/>
    <w:rsid w:val="00BE715E"/>
    <w:rsid w:val="00BF3DCD"/>
    <w:rsid w:val="00BF5403"/>
    <w:rsid w:val="00C0528C"/>
    <w:rsid w:val="00C0655C"/>
    <w:rsid w:val="00C11C02"/>
    <w:rsid w:val="00C12B2E"/>
    <w:rsid w:val="00C13EC6"/>
    <w:rsid w:val="00C141BF"/>
    <w:rsid w:val="00C207D0"/>
    <w:rsid w:val="00C23A40"/>
    <w:rsid w:val="00C26BCF"/>
    <w:rsid w:val="00C27451"/>
    <w:rsid w:val="00C27562"/>
    <w:rsid w:val="00C33BE5"/>
    <w:rsid w:val="00C413A9"/>
    <w:rsid w:val="00C44039"/>
    <w:rsid w:val="00C53289"/>
    <w:rsid w:val="00C553D3"/>
    <w:rsid w:val="00C57BD1"/>
    <w:rsid w:val="00C624D3"/>
    <w:rsid w:val="00C62896"/>
    <w:rsid w:val="00C6458D"/>
    <w:rsid w:val="00C64C5E"/>
    <w:rsid w:val="00C64F24"/>
    <w:rsid w:val="00C6717F"/>
    <w:rsid w:val="00C743F8"/>
    <w:rsid w:val="00C744B9"/>
    <w:rsid w:val="00C7630C"/>
    <w:rsid w:val="00C76600"/>
    <w:rsid w:val="00C76715"/>
    <w:rsid w:val="00C77931"/>
    <w:rsid w:val="00C86B53"/>
    <w:rsid w:val="00C87566"/>
    <w:rsid w:val="00C91D6A"/>
    <w:rsid w:val="00C93745"/>
    <w:rsid w:val="00C9691B"/>
    <w:rsid w:val="00C9698E"/>
    <w:rsid w:val="00CA1DCF"/>
    <w:rsid w:val="00CA1FCE"/>
    <w:rsid w:val="00CA6127"/>
    <w:rsid w:val="00CB0A5F"/>
    <w:rsid w:val="00CB25D2"/>
    <w:rsid w:val="00CB2835"/>
    <w:rsid w:val="00CB35BA"/>
    <w:rsid w:val="00CC066C"/>
    <w:rsid w:val="00CC0D62"/>
    <w:rsid w:val="00CD003B"/>
    <w:rsid w:val="00CD2A1B"/>
    <w:rsid w:val="00CD2EDC"/>
    <w:rsid w:val="00CD43F2"/>
    <w:rsid w:val="00CD55D6"/>
    <w:rsid w:val="00CE4CBB"/>
    <w:rsid w:val="00CE5AC4"/>
    <w:rsid w:val="00D06D7C"/>
    <w:rsid w:val="00D07C57"/>
    <w:rsid w:val="00D109A6"/>
    <w:rsid w:val="00D15E71"/>
    <w:rsid w:val="00D2080A"/>
    <w:rsid w:val="00D2433D"/>
    <w:rsid w:val="00D336C9"/>
    <w:rsid w:val="00D3627E"/>
    <w:rsid w:val="00D37E70"/>
    <w:rsid w:val="00D471E8"/>
    <w:rsid w:val="00D50F7B"/>
    <w:rsid w:val="00D56686"/>
    <w:rsid w:val="00D601C4"/>
    <w:rsid w:val="00D653C5"/>
    <w:rsid w:val="00D65F1A"/>
    <w:rsid w:val="00D67F6C"/>
    <w:rsid w:val="00D741E3"/>
    <w:rsid w:val="00D764BB"/>
    <w:rsid w:val="00D76E69"/>
    <w:rsid w:val="00D77666"/>
    <w:rsid w:val="00D80D0E"/>
    <w:rsid w:val="00D872DF"/>
    <w:rsid w:val="00D907D0"/>
    <w:rsid w:val="00D90B1F"/>
    <w:rsid w:val="00D939D9"/>
    <w:rsid w:val="00D956B0"/>
    <w:rsid w:val="00DB2F88"/>
    <w:rsid w:val="00DB3082"/>
    <w:rsid w:val="00DB35CF"/>
    <w:rsid w:val="00DB4770"/>
    <w:rsid w:val="00DC1815"/>
    <w:rsid w:val="00DC1872"/>
    <w:rsid w:val="00DC675A"/>
    <w:rsid w:val="00DD0660"/>
    <w:rsid w:val="00DD3367"/>
    <w:rsid w:val="00DD468D"/>
    <w:rsid w:val="00DD56FA"/>
    <w:rsid w:val="00DE1308"/>
    <w:rsid w:val="00DE219B"/>
    <w:rsid w:val="00DE33C0"/>
    <w:rsid w:val="00DE3473"/>
    <w:rsid w:val="00DE5327"/>
    <w:rsid w:val="00DE65F1"/>
    <w:rsid w:val="00DF28BB"/>
    <w:rsid w:val="00DF350B"/>
    <w:rsid w:val="00DF49E1"/>
    <w:rsid w:val="00E00E84"/>
    <w:rsid w:val="00E03D6C"/>
    <w:rsid w:val="00E16A6A"/>
    <w:rsid w:val="00E220FE"/>
    <w:rsid w:val="00E25435"/>
    <w:rsid w:val="00E26F81"/>
    <w:rsid w:val="00E31701"/>
    <w:rsid w:val="00E33DC0"/>
    <w:rsid w:val="00E368D2"/>
    <w:rsid w:val="00E37ED5"/>
    <w:rsid w:val="00E44457"/>
    <w:rsid w:val="00E4477A"/>
    <w:rsid w:val="00E46399"/>
    <w:rsid w:val="00E47374"/>
    <w:rsid w:val="00E55DDE"/>
    <w:rsid w:val="00E56D76"/>
    <w:rsid w:val="00E571B0"/>
    <w:rsid w:val="00E640B1"/>
    <w:rsid w:val="00E64873"/>
    <w:rsid w:val="00E65881"/>
    <w:rsid w:val="00E66126"/>
    <w:rsid w:val="00E728BF"/>
    <w:rsid w:val="00E814B3"/>
    <w:rsid w:val="00E87F97"/>
    <w:rsid w:val="00E934C0"/>
    <w:rsid w:val="00E95461"/>
    <w:rsid w:val="00E96615"/>
    <w:rsid w:val="00EA3053"/>
    <w:rsid w:val="00EA3469"/>
    <w:rsid w:val="00EA76B4"/>
    <w:rsid w:val="00EB3B32"/>
    <w:rsid w:val="00EC37A7"/>
    <w:rsid w:val="00EC3FEA"/>
    <w:rsid w:val="00EC5F48"/>
    <w:rsid w:val="00EC7B97"/>
    <w:rsid w:val="00ED3A57"/>
    <w:rsid w:val="00ED7CA3"/>
    <w:rsid w:val="00EE0154"/>
    <w:rsid w:val="00EE17B5"/>
    <w:rsid w:val="00EE5409"/>
    <w:rsid w:val="00EE60AE"/>
    <w:rsid w:val="00EE6B3C"/>
    <w:rsid w:val="00EE7761"/>
    <w:rsid w:val="00EF1A87"/>
    <w:rsid w:val="00EF4764"/>
    <w:rsid w:val="00EF6834"/>
    <w:rsid w:val="00F002D2"/>
    <w:rsid w:val="00F04E3C"/>
    <w:rsid w:val="00F06D23"/>
    <w:rsid w:val="00F1315F"/>
    <w:rsid w:val="00F1500A"/>
    <w:rsid w:val="00F159A4"/>
    <w:rsid w:val="00F17CF7"/>
    <w:rsid w:val="00F24D97"/>
    <w:rsid w:val="00F2768E"/>
    <w:rsid w:val="00F35B61"/>
    <w:rsid w:val="00F35D5E"/>
    <w:rsid w:val="00F378AB"/>
    <w:rsid w:val="00F401FF"/>
    <w:rsid w:val="00F43CA0"/>
    <w:rsid w:val="00F46839"/>
    <w:rsid w:val="00F52A55"/>
    <w:rsid w:val="00F53E52"/>
    <w:rsid w:val="00F63E44"/>
    <w:rsid w:val="00F6456F"/>
    <w:rsid w:val="00F67976"/>
    <w:rsid w:val="00F7237A"/>
    <w:rsid w:val="00F72BA6"/>
    <w:rsid w:val="00F72D61"/>
    <w:rsid w:val="00F73BF8"/>
    <w:rsid w:val="00F839A3"/>
    <w:rsid w:val="00F8744A"/>
    <w:rsid w:val="00F91655"/>
    <w:rsid w:val="00F922F4"/>
    <w:rsid w:val="00F935CF"/>
    <w:rsid w:val="00F95DF7"/>
    <w:rsid w:val="00F97C7D"/>
    <w:rsid w:val="00FA17A2"/>
    <w:rsid w:val="00FA4F07"/>
    <w:rsid w:val="00FA5374"/>
    <w:rsid w:val="00FB15EC"/>
    <w:rsid w:val="00FB484D"/>
    <w:rsid w:val="00FB49C9"/>
    <w:rsid w:val="00FB6048"/>
    <w:rsid w:val="00FC0171"/>
    <w:rsid w:val="00FC084A"/>
    <w:rsid w:val="00FC0A18"/>
    <w:rsid w:val="00FC2C0A"/>
    <w:rsid w:val="00FC3FF4"/>
    <w:rsid w:val="00FC573D"/>
    <w:rsid w:val="00FC5C3A"/>
    <w:rsid w:val="00FD02D9"/>
    <w:rsid w:val="00FD54F5"/>
    <w:rsid w:val="00FE17F6"/>
    <w:rsid w:val="00FE327A"/>
    <w:rsid w:val="00FE5C73"/>
    <w:rsid w:val="00FF0622"/>
    <w:rsid w:val="00FF5BDA"/>
    <w:rsid w:val="01EC3E90"/>
    <w:rsid w:val="03B21F3A"/>
    <w:rsid w:val="046823FD"/>
    <w:rsid w:val="05640CAD"/>
    <w:rsid w:val="06CF3FC2"/>
    <w:rsid w:val="06F84D7D"/>
    <w:rsid w:val="088926C9"/>
    <w:rsid w:val="09521A1D"/>
    <w:rsid w:val="0CFB142B"/>
    <w:rsid w:val="0DAF3C6D"/>
    <w:rsid w:val="0E0C0901"/>
    <w:rsid w:val="0F184516"/>
    <w:rsid w:val="0F396F30"/>
    <w:rsid w:val="0F6B1D96"/>
    <w:rsid w:val="1057502E"/>
    <w:rsid w:val="12045226"/>
    <w:rsid w:val="13315BA7"/>
    <w:rsid w:val="14A46B46"/>
    <w:rsid w:val="164817EB"/>
    <w:rsid w:val="1751474F"/>
    <w:rsid w:val="17F07564"/>
    <w:rsid w:val="18F422C9"/>
    <w:rsid w:val="1A143B2C"/>
    <w:rsid w:val="1AE43477"/>
    <w:rsid w:val="1B5A1A13"/>
    <w:rsid w:val="1BCC4B3F"/>
    <w:rsid w:val="1C7D0FBA"/>
    <w:rsid w:val="1D300C7D"/>
    <w:rsid w:val="22CC475F"/>
    <w:rsid w:val="265B67D9"/>
    <w:rsid w:val="27016BDE"/>
    <w:rsid w:val="277224AF"/>
    <w:rsid w:val="28243AD4"/>
    <w:rsid w:val="29DC6CCA"/>
    <w:rsid w:val="2F3F1E09"/>
    <w:rsid w:val="2FEA6A07"/>
    <w:rsid w:val="317815BA"/>
    <w:rsid w:val="318A0130"/>
    <w:rsid w:val="32B77059"/>
    <w:rsid w:val="337E4093"/>
    <w:rsid w:val="36C22E36"/>
    <w:rsid w:val="38083D4D"/>
    <w:rsid w:val="386771E8"/>
    <w:rsid w:val="38873DD9"/>
    <w:rsid w:val="39B0258C"/>
    <w:rsid w:val="3B62421A"/>
    <w:rsid w:val="3BAD3AAC"/>
    <w:rsid w:val="3BE63123"/>
    <w:rsid w:val="3CB627D0"/>
    <w:rsid w:val="3CE235D8"/>
    <w:rsid w:val="3CEC1573"/>
    <w:rsid w:val="3E04515C"/>
    <w:rsid w:val="3E382DAB"/>
    <w:rsid w:val="3F2D7226"/>
    <w:rsid w:val="4105168F"/>
    <w:rsid w:val="42505981"/>
    <w:rsid w:val="428A0D8A"/>
    <w:rsid w:val="42A71725"/>
    <w:rsid w:val="43A55671"/>
    <w:rsid w:val="440C1E39"/>
    <w:rsid w:val="450E5003"/>
    <w:rsid w:val="45442C68"/>
    <w:rsid w:val="45763401"/>
    <w:rsid w:val="4824570C"/>
    <w:rsid w:val="48881584"/>
    <w:rsid w:val="48F514CA"/>
    <w:rsid w:val="49690EEF"/>
    <w:rsid w:val="497D7419"/>
    <w:rsid w:val="4A3E412A"/>
    <w:rsid w:val="4A7E6C1C"/>
    <w:rsid w:val="4B2D3B8F"/>
    <w:rsid w:val="4BB323CE"/>
    <w:rsid w:val="4BCB0E1A"/>
    <w:rsid w:val="4D020758"/>
    <w:rsid w:val="4E2E3340"/>
    <w:rsid w:val="4FB1539E"/>
    <w:rsid w:val="4FD6242D"/>
    <w:rsid w:val="51350F36"/>
    <w:rsid w:val="5334256E"/>
    <w:rsid w:val="53736631"/>
    <w:rsid w:val="56804167"/>
    <w:rsid w:val="57BC67DC"/>
    <w:rsid w:val="582A4570"/>
    <w:rsid w:val="58D40E8A"/>
    <w:rsid w:val="59A55F73"/>
    <w:rsid w:val="59CD1026"/>
    <w:rsid w:val="5A4C726B"/>
    <w:rsid w:val="5B0C73AD"/>
    <w:rsid w:val="5B483314"/>
    <w:rsid w:val="5CD821BC"/>
    <w:rsid w:val="5D1F7DEB"/>
    <w:rsid w:val="5DFB0858"/>
    <w:rsid w:val="5E315CFA"/>
    <w:rsid w:val="5E9C42C6"/>
    <w:rsid w:val="5EDF4223"/>
    <w:rsid w:val="6004641A"/>
    <w:rsid w:val="600F36D2"/>
    <w:rsid w:val="60AD576B"/>
    <w:rsid w:val="6202108D"/>
    <w:rsid w:val="622B1A37"/>
    <w:rsid w:val="625B7347"/>
    <w:rsid w:val="629152E7"/>
    <w:rsid w:val="644F5459"/>
    <w:rsid w:val="65073B5D"/>
    <w:rsid w:val="67101E1A"/>
    <w:rsid w:val="675346C6"/>
    <w:rsid w:val="69874162"/>
    <w:rsid w:val="6A220D5D"/>
    <w:rsid w:val="6A7C70E7"/>
    <w:rsid w:val="6B4C645A"/>
    <w:rsid w:val="6B947BF6"/>
    <w:rsid w:val="6BDC7BEE"/>
    <w:rsid w:val="6C2C6882"/>
    <w:rsid w:val="6C8D2FC3"/>
    <w:rsid w:val="6EA03307"/>
    <w:rsid w:val="6EB505AF"/>
    <w:rsid w:val="6EDA2DAE"/>
    <w:rsid w:val="6F360455"/>
    <w:rsid w:val="6F637B21"/>
    <w:rsid w:val="706918F6"/>
    <w:rsid w:val="70A97237"/>
    <w:rsid w:val="71D47B1E"/>
    <w:rsid w:val="727732B0"/>
    <w:rsid w:val="7447614D"/>
    <w:rsid w:val="74B324EB"/>
    <w:rsid w:val="74CB08D5"/>
    <w:rsid w:val="767D65C0"/>
    <w:rsid w:val="774825DE"/>
    <w:rsid w:val="79473E41"/>
    <w:rsid w:val="7E882C95"/>
    <w:rsid w:val="7F1F2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nhideWhenUsed="0" w:uiPriority="0" w:semiHidden="0" w:name="heading 4" w:locked="1"/>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ocked="1"/>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48"/>
    <w:qFormat/>
    <w:uiPriority w:val="0"/>
    <w:pPr>
      <w:keepNext/>
      <w:keepLines/>
      <w:spacing w:line="240" w:lineRule="auto"/>
      <w:ind w:firstLine="562"/>
      <w:jc w:val="center"/>
      <w:outlineLvl w:val="0"/>
    </w:pPr>
    <w:rPr>
      <w:b/>
      <w:kern w:val="44"/>
      <w:sz w:val="28"/>
    </w:rPr>
  </w:style>
  <w:style w:type="paragraph" w:styleId="3">
    <w:name w:val="heading 2"/>
    <w:basedOn w:val="1"/>
    <w:next w:val="1"/>
    <w:unhideWhenUsed/>
    <w:qFormat/>
    <w:uiPriority w:val="0"/>
    <w:pPr>
      <w:spacing w:line="520" w:lineRule="exact"/>
      <w:ind w:firstLine="0" w:firstLineChars="0"/>
      <w:jc w:val="left"/>
      <w:outlineLvl w:val="1"/>
    </w:pPr>
  </w:style>
  <w:style w:type="paragraph" w:styleId="4">
    <w:name w:val="heading 3"/>
    <w:basedOn w:val="1"/>
    <w:next w:val="1"/>
    <w:unhideWhenUsed/>
    <w:qFormat/>
    <w:uiPriority w:val="9"/>
    <w:pPr>
      <w:ind w:firstLine="420"/>
      <w:jc w:val="left"/>
      <w:outlineLvl w:val="2"/>
    </w:pPr>
    <w:rPr>
      <w:color w:val="000000" w:themeColor="text1"/>
      <w:sz w:val="21"/>
      <w:szCs w:val="21"/>
      <w14:textFill>
        <w14:solidFill>
          <w14:schemeClr w14:val="tx1"/>
        </w14:solidFill>
      </w14:textFill>
    </w:rPr>
  </w:style>
  <w:style w:type="paragraph" w:styleId="5">
    <w:name w:val="heading 4"/>
    <w:basedOn w:val="1"/>
    <w:next w:val="1"/>
    <w:qFormat/>
    <w:locked/>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99"/>
    <w:pPr>
      <w:adjustRightInd w:val="0"/>
      <w:snapToGrid w:val="0"/>
      <w:ind w:firstLine="200"/>
      <w:jc w:val="left"/>
    </w:pPr>
  </w:style>
  <w:style w:type="paragraph" w:styleId="7">
    <w:name w:val="annotation text"/>
    <w:basedOn w:val="1"/>
    <w:link w:val="43"/>
    <w:qFormat/>
    <w:uiPriority w:val="0"/>
    <w:pPr>
      <w:ind w:firstLine="420"/>
      <w:jc w:val="left"/>
    </w:pPr>
  </w:style>
  <w:style w:type="paragraph" w:styleId="8">
    <w:name w:val="Body Text"/>
    <w:basedOn w:val="1"/>
    <w:next w:val="9"/>
    <w:qFormat/>
    <w:uiPriority w:val="0"/>
    <w:pPr>
      <w:spacing w:after="120" w:line="240" w:lineRule="auto"/>
      <w:ind w:firstLine="0" w:firstLineChars="0"/>
    </w:pPr>
    <w:rPr>
      <w:sz w:val="21"/>
    </w:rPr>
  </w:style>
  <w:style w:type="paragraph" w:styleId="9">
    <w:name w:val="List Bullet 5"/>
    <w:basedOn w:val="1"/>
    <w:qFormat/>
    <w:uiPriority w:val="0"/>
    <w:pPr>
      <w:numPr>
        <w:ilvl w:val="0"/>
        <w:numId w:val="1"/>
      </w:numPr>
    </w:pPr>
  </w:style>
  <w:style w:type="paragraph" w:styleId="10">
    <w:name w:val="Body Text Indent"/>
    <w:basedOn w:val="1"/>
    <w:link w:val="31"/>
    <w:qFormat/>
    <w:uiPriority w:val="0"/>
    <w:pPr>
      <w:spacing w:after="120"/>
      <w:ind w:left="420" w:leftChars="200"/>
    </w:pPr>
    <w:rPr>
      <w:kern w:val="0"/>
      <w:szCs w:val="20"/>
    </w:rPr>
  </w:style>
  <w:style w:type="paragraph" w:styleId="11">
    <w:name w:val="toc 8"/>
    <w:basedOn w:val="1"/>
    <w:next w:val="1"/>
    <w:qFormat/>
    <w:uiPriority w:val="0"/>
    <w:pPr>
      <w:spacing w:line="240" w:lineRule="auto"/>
      <w:ind w:left="1470" w:firstLine="0" w:firstLineChars="0"/>
      <w:jc w:val="left"/>
    </w:pPr>
    <w:rPr>
      <w:rFonts w:eastAsia="仿宋_GB2312"/>
      <w:sz w:val="18"/>
      <w:szCs w:val="18"/>
    </w:rPr>
  </w:style>
  <w:style w:type="paragraph" w:styleId="12">
    <w:name w:val="footer"/>
    <w:basedOn w:val="1"/>
    <w:link w:val="42"/>
    <w:qFormat/>
    <w:uiPriority w:val="99"/>
    <w:pPr>
      <w:tabs>
        <w:tab w:val="center" w:pos="4153"/>
        <w:tab w:val="right" w:pos="8306"/>
      </w:tabs>
      <w:snapToGrid w:val="0"/>
      <w:spacing w:line="240" w:lineRule="auto"/>
      <w:jc w:val="left"/>
    </w:pPr>
    <w:rPr>
      <w:sz w:val="18"/>
      <w:szCs w:val="18"/>
    </w:rPr>
  </w:style>
  <w:style w:type="paragraph" w:styleId="13">
    <w:name w:val="header"/>
    <w:basedOn w:val="1"/>
    <w:next w:val="1"/>
    <w:link w:val="4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4">
    <w:name w:val="List"/>
    <w:basedOn w:val="1"/>
    <w:qFormat/>
    <w:uiPriority w:val="99"/>
    <w:pPr>
      <w:ind w:left="200" w:hanging="200" w:hangingChars="200"/>
      <w:contextualSpacing/>
    </w:pPr>
  </w:style>
  <w:style w:type="paragraph" w:styleId="15">
    <w:name w:val="Body Text Indent 3"/>
    <w:basedOn w:val="1"/>
    <w:link w:val="58"/>
    <w:qFormat/>
    <w:uiPriority w:val="99"/>
    <w:pPr>
      <w:spacing w:line="480" w:lineRule="exact"/>
      <w:ind w:firstLine="588" w:firstLineChars="210"/>
    </w:pPr>
    <w:rPr>
      <w:rFonts w:ascii="仿宋_GB2312" w:hAnsi="宋体" w:eastAsia="仿宋_GB2312"/>
      <w:sz w:val="28"/>
    </w:rPr>
  </w:style>
  <w:style w:type="paragraph" w:styleId="16">
    <w:name w:val="toc 2"/>
    <w:basedOn w:val="1"/>
    <w:next w:val="1"/>
    <w:autoRedefine/>
    <w:qFormat/>
    <w:uiPriority w:val="0"/>
    <w:pPr>
      <w:spacing w:before="156" w:line="240" w:lineRule="auto"/>
      <w:ind w:left="480" w:leftChars="200" w:firstLine="422"/>
      <w:jc w:val="center"/>
    </w:pPr>
    <w:rPr>
      <w:b/>
      <w:bCs/>
      <w:sz w:val="21"/>
      <w:szCs w:val="21"/>
    </w:rPr>
  </w:style>
  <w:style w:type="paragraph" w:styleId="17">
    <w:name w:val="toc 9"/>
    <w:basedOn w:val="1"/>
    <w:next w:val="1"/>
    <w:autoRedefine/>
    <w:qFormat/>
    <w:uiPriority w:val="0"/>
    <w:pPr>
      <w:ind w:left="3360" w:leftChars="1600"/>
    </w:pPr>
  </w:style>
  <w:style w:type="paragraph" w:styleId="18">
    <w:name w:val="Normal (Web)"/>
    <w:basedOn w:val="1"/>
    <w:qFormat/>
    <w:uiPriority w:val="99"/>
    <w:pPr>
      <w:spacing w:beforeAutospacing="1" w:afterAutospacing="1"/>
      <w:jc w:val="left"/>
    </w:pPr>
    <w:rPr>
      <w:kern w:val="0"/>
    </w:rPr>
  </w:style>
  <w:style w:type="paragraph" w:styleId="19">
    <w:name w:val="Title"/>
    <w:basedOn w:val="1"/>
    <w:next w:val="1"/>
    <w:link w:val="40"/>
    <w:qFormat/>
    <w:uiPriority w:val="0"/>
    <w:pPr>
      <w:spacing w:before="120" w:after="120" w:line="240" w:lineRule="auto"/>
      <w:ind w:firstLine="0" w:firstLineChars="0"/>
      <w:jc w:val="left"/>
      <w:outlineLvl w:val="1"/>
    </w:pPr>
    <w:rPr>
      <w:b/>
      <w:bCs/>
      <w:szCs w:val="32"/>
    </w:rPr>
  </w:style>
  <w:style w:type="paragraph" w:styleId="20">
    <w:name w:val="annotation subject"/>
    <w:basedOn w:val="7"/>
    <w:next w:val="7"/>
    <w:link w:val="44"/>
    <w:qFormat/>
    <w:uiPriority w:val="0"/>
    <w:rPr>
      <w:b/>
      <w:bCs/>
    </w:rPr>
  </w:style>
  <w:style w:type="paragraph" w:styleId="21">
    <w:name w:val="Body Text First Indent"/>
    <w:basedOn w:val="8"/>
    <w:next w:val="1"/>
    <w:qFormat/>
    <w:uiPriority w:val="0"/>
    <w:pPr>
      <w:ind w:firstLine="420" w:firstLineChars="100"/>
    </w:pPr>
  </w:style>
  <w:style w:type="paragraph" w:styleId="22">
    <w:name w:val="Body Text First Indent 2"/>
    <w:basedOn w:val="10"/>
    <w:next w:val="1"/>
    <w:link w:val="30"/>
    <w:qFormat/>
    <w:locked/>
    <w:uiPriority w:val="99"/>
    <w:pPr>
      <w:ind w:left="0" w:leftChars="0" w:firstLine="420"/>
    </w:pPr>
    <w:rPr>
      <w:kern w:val="2"/>
      <w:sz w:val="21"/>
      <w:szCs w:val="24"/>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annotation reference"/>
    <w:basedOn w:val="25"/>
    <w:qFormat/>
    <w:uiPriority w:val="0"/>
    <w:rPr>
      <w:sz w:val="21"/>
      <w:szCs w:val="21"/>
    </w:rPr>
  </w:style>
  <w:style w:type="paragraph" w:customStyle="1" w:styleId="28">
    <w:name w:val="Default"/>
    <w:basedOn w:val="29"/>
    <w:qFormat/>
    <w:uiPriority w:val="0"/>
    <w:pPr>
      <w:autoSpaceDE w:val="0"/>
      <w:autoSpaceDN w:val="0"/>
      <w:adjustRightInd w:val="0"/>
    </w:pPr>
    <w:rPr>
      <w:rFonts w:hAnsi="Times New Roman"/>
      <w:color w:val="000000"/>
      <w:szCs w:val="24"/>
    </w:rPr>
  </w:style>
  <w:style w:type="paragraph" w:customStyle="1" w:styleId="29">
    <w:name w:val="纯文本1"/>
    <w:qFormat/>
    <w:uiPriority w:val="0"/>
    <w:pPr>
      <w:widowControl w:val="0"/>
      <w:spacing w:line="360" w:lineRule="auto"/>
      <w:ind w:firstLine="200" w:firstLineChars="200"/>
    </w:pPr>
    <w:rPr>
      <w:rFonts w:ascii="宋体" w:hAnsi="Courier New" w:eastAsia="宋体" w:cs="Times New Roman"/>
      <w:kern w:val="2"/>
      <w:sz w:val="24"/>
      <w:szCs w:val="21"/>
      <w:lang w:val="en-US" w:eastAsia="zh-CN" w:bidi="ar-SA"/>
    </w:rPr>
  </w:style>
  <w:style w:type="character" w:customStyle="1" w:styleId="30">
    <w:name w:val="正文文本首行缩进 2 字符"/>
    <w:basedOn w:val="31"/>
    <w:link w:val="22"/>
    <w:qFormat/>
    <w:uiPriority w:val="99"/>
    <w:rPr>
      <w:rFonts w:ascii="Times New Roman" w:hAnsi="Times New Roman" w:eastAsia="宋体" w:cs="Times New Roman"/>
      <w:kern w:val="2"/>
      <w:sz w:val="21"/>
      <w:szCs w:val="24"/>
    </w:rPr>
  </w:style>
  <w:style w:type="character" w:customStyle="1" w:styleId="31">
    <w:name w:val="正文文本缩进 字符"/>
    <w:link w:val="10"/>
    <w:semiHidden/>
    <w:qFormat/>
    <w:locked/>
    <w:uiPriority w:val="0"/>
    <w:rPr>
      <w:rFonts w:ascii="Times New Roman" w:hAnsi="Times New Roman" w:eastAsia="宋体"/>
      <w:sz w:val="24"/>
    </w:rPr>
  </w:style>
  <w:style w:type="paragraph" w:styleId="32">
    <w:name w:val="No Spacing"/>
    <w:basedOn w:val="14"/>
    <w:next w:val="1"/>
    <w:link w:val="56"/>
    <w:qFormat/>
    <w:uiPriority w:val="1"/>
    <w:pPr>
      <w:spacing w:line="240" w:lineRule="auto"/>
      <w:ind w:left="0" w:firstLine="0" w:firstLineChars="0"/>
      <w:jc w:val="center"/>
      <w:textAlignment w:val="center"/>
    </w:pPr>
    <w:rPr>
      <w:sz w:val="21"/>
      <w:szCs w:val="22"/>
    </w:rPr>
  </w:style>
  <w:style w:type="paragraph" w:customStyle="1" w:styleId="33">
    <w:name w:val="p0"/>
    <w:basedOn w:val="1"/>
    <w:qFormat/>
    <w:uiPriority w:val="0"/>
    <w:pPr>
      <w:widowControl/>
      <w:spacing w:before="100" w:beforeAutospacing="1" w:after="100" w:afterAutospacing="1" w:line="240" w:lineRule="auto"/>
      <w:ind w:firstLine="0" w:firstLineChars="0"/>
      <w:jc w:val="center"/>
    </w:pPr>
    <w:rPr>
      <w:rFonts w:ascii="宋体" w:hAnsi="宋体" w:cs="宋体"/>
      <w:kern w:val="0"/>
    </w:rPr>
  </w:style>
  <w:style w:type="paragraph" w:customStyle="1" w:styleId="34">
    <w:name w:val="表头"/>
    <w:basedOn w:val="35"/>
    <w:next w:val="1"/>
    <w:qFormat/>
    <w:uiPriority w:val="0"/>
    <w:pPr>
      <w:spacing w:before="50" w:beforeLines="50" w:line="240" w:lineRule="auto"/>
      <w:ind w:firstLine="0" w:firstLineChars="0"/>
      <w:jc w:val="center"/>
    </w:pPr>
    <w:rPr>
      <w:b/>
      <w:sz w:val="21"/>
      <w:szCs w:val="20"/>
    </w:rPr>
  </w:style>
  <w:style w:type="paragraph" w:customStyle="1" w:styleId="35">
    <w:name w:val="正文1"/>
    <w:basedOn w:val="6"/>
    <w:next w:val="6"/>
    <w:qFormat/>
    <w:uiPriority w:val="0"/>
    <w:pPr>
      <w:spacing w:line="520" w:lineRule="exact"/>
      <w:ind w:firstLine="584"/>
      <w:textAlignment w:val="baseline"/>
    </w:pPr>
    <w:rPr>
      <w:rFonts w:ascii="宋体" w:hAnsi="宋体"/>
      <w:snapToGrid w:val="0"/>
      <w:color w:val="000000"/>
      <w:spacing w:val="6"/>
      <w:kern w:val="0"/>
      <w:sz w:val="28"/>
    </w:rPr>
  </w:style>
  <w:style w:type="paragraph" w:customStyle="1" w:styleId="36">
    <w:name w:val="表格5号居中"/>
    <w:basedOn w:val="1"/>
    <w:qFormat/>
    <w:uiPriority w:val="0"/>
    <w:pPr>
      <w:tabs>
        <w:tab w:val="left" w:pos="5400"/>
      </w:tabs>
      <w:adjustRightInd w:val="0"/>
      <w:spacing w:line="240" w:lineRule="auto"/>
      <w:ind w:firstLine="0" w:firstLineChars="0"/>
      <w:jc w:val="center"/>
      <w:textAlignment w:val="baseline"/>
    </w:pPr>
    <w:rPr>
      <w:iCs/>
      <w:spacing w:val="-6"/>
      <w:kern w:val="0"/>
      <w:sz w:val="21"/>
      <w:szCs w:val="21"/>
    </w:rPr>
  </w:style>
  <w:style w:type="paragraph" w:customStyle="1" w:styleId="37">
    <w:name w:val="正文格式"/>
    <w:basedOn w:val="21"/>
    <w:next w:val="38"/>
    <w:qFormat/>
    <w:uiPriority w:val="0"/>
    <w:pPr>
      <w:adjustRightInd w:val="0"/>
      <w:spacing w:line="360" w:lineRule="auto"/>
      <w:ind w:firstLine="560"/>
    </w:pPr>
    <w:rPr>
      <w:color w:val="000000"/>
      <w:lang w:val="zh-CN"/>
    </w:rPr>
  </w:style>
  <w:style w:type="paragraph" w:customStyle="1" w:styleId="38">
    <w:name w:val="_Style 5"/>
    <w:basedOn w:val="1"/>
    <w:qFormat/>
    <w:uiPriority w:val="0"/>
    <w:pPr>
      <w:ind w:firstLine="420"/>
    </w:pPr>
    <w:rPr>
      <w:rFonts w:ascii="Calibri" w:hAnsi="Calibri"/>
      <w:szCs w:val="22"/>
    </w:rPr>
  </w:style>
  <w:style w:type="paragraph" w:customStyle="1" w:styleId="39">
    <w:name w:val="表格"/>
    <w:basedOn w:val="1"/>
    <w:next w:val="1"/>
    <w:qFormat/>
    <w:uiPriority w:val="0"/>
    <w:pPr>
      <w:adjustRightInd w:val="0"/>
      <w:snapToGrid w:val="0"/>
      <w:spacing w:line="240" w:lineRule="auto"/>
      <w:ind w:firstLine="0" w:firstLineChars="0"/>
      <w:jc w:val="center"/>
    </w:pPr>
    <w:rPr>
      <w:kern w:val="0"/>
      <w:sz w:val="21"/>
      <w:szCs w:val="20"/>
    </w:rPr>
  </w:style>
  <w:style w:type="character" w:customStyle="1" w:styleId="40">
    <w:name w:val="标题 字符"/>
    <w:link w:val="19"/>
    <w:qFormat/>
    <w:uiPriority w:val="0"/>
    <w:rPr>
      <w:rFonts w:ascii="Times New Roman" w:hAnsi="Times New Roman" w:eastAsia="宋体" w:cs="Times New Roman"/>
      <w:b/>
      <w:bCs/>
      <w:szCs w:val="32"/>
    </w:rPr>
  </w:style>
  <w:style w:type="character" w:customStyle="1" w:styleId="41">
    <w:name w:val="页眉 字符"/>
    <w:basedOn w:val="25"/>
    <w:link w:val="13"/>
    <w:qFormat/>
    <w:uiPriority w:val="0"/>
    <w:rPr>
      <w:rFonts w:ascii="Times New Roman" w:hAnsi="Times New Roman" w:eastAsia="宋体" w:cs="Times New Roman"/>
      <w:kern w:val="2"/>
      <w:sz w:val="18"/>
      <w:szCs w:val="18"/>
    </w:rPr>
  </w:style>
  <w:style w:type="character" w:customStyle="1" w:styleId="42">
    <w:name w:val="页脚 字符"/>
    <w:basedOn w:val="25"/>
    <w:link w:val="12"/>
    <w:qFormat/>
    <w:uiPriority w:val="99"/>
    <w:rPr>
      <w:rFonts w:ascii="Times New Roman" w:hAnsi="Times New Roman" w:eastAsia="宋体" w:cs="Times New Roman"/>
      <w:kern w:val="2"/>
      <w:sz w:val="18"/>
      <w:szCs w:val="18"/>
    </w:rPr>
  </w:style>
  <w:style w:type="character" w:customStyle="1" w:styleId="43">
    <w:name w:val="批注文字 字符"/>
    <w:basedOn w:val="25"/>
    <w:link w:val="7"/>
    <w:qFormat/>
    <w:uiPriority w:val="0"/>
    <w:rPr>
      <w:kern w:val="2"/>
      <w:sz w:val="24"/>
      <w:szCs w:val="24"/>
    </w:rPr>
  </w:style>
  <w:style w:type="character" w:customStyle="1" w:styleId="44">
    <w:name w:val="批注主题 字符"/>
    <w:basedOn w:val="43"/>
    <w:link w:val="20"/>
    <w:qFormat/>
    <w:uiPriority w:val="0"/>
    <w:rPr>
      <w:rFonts w:ascii="Times New Roman" w:hAnsi="Times New Roman" w:eastAsia="宋体" w:cs="Times New Roman"/>
      <w:b/>
      <w:bCs/>
      <w:kern w:val="2"/>
      <w:sz w:val="24"/>
      <w:szCs w:val="24"/>
    </w:rPr>
  </w:style>
  <w:style w:type="paragraph" w:customStyle="1" w:styleId="45">
    <w:name w:val="修订1"/>
    <w:hidden/>
    <w:semiHidden/>
    <w:qFormat/>
    <w:uiPriority w:val="99"/>
    <w:rPr>
      <w:rFonts w:ascii="Times New Roman" w:hAnsi="Times New Roman" w:eastAsia="宋体" w:cs="Times New Roman"/>
      <w:kern w:val="2"/>
      <w:sz w:val="24"/>
      <w:szCs w:val="24"/>
      <w:lang w:val="en-US" w:eastAsia="zh-CN" w:bidi="ar-SA"/>
    </w:rPr>
  </w:style>
  <w:style w:type="paragraph" w:styleId="46">
    <w:name w:val="List Paragraph"/>
    <w:basedOn w:val="1"/>
    <w:qFormat/>
    <w:uiPriority w:val="99"/>
    <w:pPr>
      <w:ind w:firstLine="420"/>
    </w:pPr>
  </w:style>
  <w:style w:type="paragraph" w:customStyle="1" w:styleId="47">
    <w:name w:val="表中"/>
    <w:basedOn w:val="1"/>
    <w:qFormat/>
    <w:uiPriority w:val="0"/>
    <w:pPr>
      <w:widowControl/>
      <w:spacing w:line="240" w:lineRule="auto"/>
      <w:ind w:firstLine="0" w:firstLineChars="0"/>
      <w:jc w:val="center"/>
      <w:textAlignment w:val="center"/>
    </w:pPr>
    <w:rPr>
      <w:rFonts w:hint="eastAsia"/>
      <w:bCs/>
      <w:color w:val="000000"/>
      <w:kern w:val="0"/>
      <w:sz w:val="18"/>
      <w:szCs w:val="22"/>
    </w:rPr>
  </w:style>
  <w:style w:type="character" w:customStyle="1" w:styleId="48">
    <w:name w:val="标题 1 字符"/>
    <w:link w:val="2"/>
    <w:qFormat/>
    <w:uiPriority w:val="0"/>
    <w:rPr>
      <w:b/>
      <w:kern w:val="44"/>
      <w:sz w:val="28"/>
      <w:szCs w:val="24"/>
    </w:rPr>
  </w:style>
  <w:style w:type="paragraph" w:customStyle="1" w:styleId="49">
    <w:name w:val="修订2"/>
    <w:hidden/>
    <w:semiHidden/>
    <w:qFormat/>
    <w:uiPriority w:val="99"/>
    <w:rPr>
      <w:rFonts w:ascii="Times New Roman" w:hAnsi="Times New Roman" w:eastAsia="宋体" w:cs="Times New Roman"/>
      <w:kern w:val="2"/>
      <w:sz w:val="24"/>
      <w:szCs w:val="24"/>
      <w:lang w:val="en-US" w:eastAsia="zh-CN" w:bidi="ar-SA"/>
    </w:rPr>
  </w:style>
  <w:style w:type="paragraph" w:customStyle="1" w:styleId="50">
    <w:name w:val="修订3"/>
    <w:hidden/>
    <w:unhideWhenUsed/>
    <w:qFormat/>
    <w:uiPriority w:val="99"/>
    <w:rPr>
      <w:rFonts w:ascii="Times New Roman" w:hAnsi="Times New Roman" w:eastAsia="宋体" w:cs="Times New Roman"/>
      <w:kern w:val="2"/>
      <w:sz w:val="24"/>
      <w:szCs w:val="24"/>
      <w:lang w:val="en-US" w:eastAsia="zh-CN" w:bidi="ar-SA"/>
    </w:rPr>
  </w:style>
  <w:style w:type="paragraph" w:customStyle="1" w:styleId="51">
    <w:name w:val="表内两端"/>
    <w:autoRedefine/>
    <w:qFormat/>
    <w:uiPriority w:val="0"/>
    <w:pPr>
      <w:adjustRightInd w:val="0"/>
      <w:snapToGrid w:val="0"/>
      <w:jc w:val="both"/>
    </w:pPr>
    <w:rPr>
      <w:rFonts w:ascii="宋体" w:hAnsi="Times New Roman" w:eastAsia="宋体" w:cs="Times New Roman"/>
      <w:sz w:val="21"/>
      <w:lang w:val="en-US" w:eastAsia="zh-CN" w:bidi="ar-SA"/>
    </w:rPr>
  </w:style>
  <w:style w:type="paragraph" w:customStyle="1" w:styleId="52">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ascii="宋体" w:hAnsi="宋体" w:cs="宋体"/>
      <w:snapToGrid w:val="0"/>
      <w:color w:val="000000"/>
      <w:kern w:val="0"/>
      <w:sz w:val="27"/>
      <w:szCs w:val="27"/>
      <w:lang w:eastAsia="en-US"/>
    </w:rPr>
  </w:style>
  <w:style w:type="paragraph" w:customStyle="1" w:styleId="53">
    <w:name w:val="表题"/>
    <w:basedOn w:val="1"/>
    <w:next w:val="1"/>
    <w:autoRedefine/>
    <w:qFormat/>
    <w:uiPriority w:val="0"/>
    <w:pPr>
      <w:spacing w:before="50" w:beforeLines="50" w:line="240" w:lineRule="auto"/>
      <w:ind w:firstLine="0" w:firstLineChars="0"/>
      <w:jc w:val="center"/>
      <w:textAlignment w:val="center"/>
    </w:pPr>
    <w:rPr>
      <w:rFonts w:cstheme="minorBidi"/>
      <w:b/>
      <w:sz w:val="21"/>
      <w:szCs w:val="22"/>
    </w:rPr>
  </w:style>
  <w:style w:type="paragraph" w:customStyle="1" w:styleId="54">
    <w:name w:val="表格字体"/>
    <w:basedOn w:val="1"/>
    <w:autoRedefine/>
    <w:qFormat/>
    <w:uiPriority w:val="99"/>
    <w:pPr>
      <w:adjustRightInd w:val="0"/>
      <w:spacing w:line="240" w:lineRule="auto"/>
      <w:ind w:firstLine="0" w:firstLineChars="0"/>
    </w:pPr>
    <w:rPr>
      <w:sz w:val="21"/>
      <w:szCs w:val="21"/>
    </w:rPr>
  </w:style>
  <w:style w:type="paragraph" w:customStyle="1" w:styleId="55">
    <w:name w:val="表格标题"/>
    <w:basedOn w:val="1"/>
    <w:qFormat/>
    <w:uiPriority w:val="0"/>
    <w:pPr>
      <w:widowControl/>
      <w:spacing w:line="240" w:lineRule="auto"/>
      <w:ind w:firstLine="0" w:firstLineChars="0"/>
      <w:jc w:val="center"/>
    </w:pPr>
    <w:rPr>
      <w:rFonts w:ascii="宋体" w:hAnsi="黑体" w:cs="Calibri Light"/>
      <w:b/>
      <w:kern w:val="0"/>
      <w:sz w:val="21"/>
      <w:szCs w:val="21"/>
    </w:rPr>
  </w:style>
  <w:style w:type="character" w:customStyle="1" w:styleId="56">
    <w:name w:val="无间隔 字符"/>
    <w:link w:val="32"/>
    <w:qFormat/>
    <w:locked/>
    <w:uiPriority w:val="1"/>
    <w:rPr>
      <w:kern w:val="2"/>
      <w:sz w:val="21"/>
      <w:szCs w:val="22"/>
    </w:rPr>
  </w:style>
  <w:style w:type="paragraph" w:customStyle="1" w:styleId="57">
    <w:name w:val="修订4"/>
    <w:unhideWhenUsed/>
    <w:qFormat/>
    <w:uiPriority w:val="99"/>
    <w:rPr>
      <w:rFonts w:ascii="Times New Roman" w:hAnsi="Times New Roman" w:eastAsia="仿宋_GB2312" w:cs="Times New Roman"/>
      <w:kern w:val="2"/>
      <w:sz w:val="24"/>
      <w:szCs w:val="21"/>
      <w:lang w:val="en-US" w:eastAsia="zh-CN" w:bidi="ar-SA"/>
    </w:rPr>
  </w:style>
  <w:style w:type="character" w:customStyle="1" w:styleId="58">
    <w:name w:val="正文文本缩进 3 字符"/>
    <w:basedOn w:val="25"/>
    <w:link w:val="15"/>
    <w:qFormat/>
    <w:uiPriority w:val="99"/>
    <w:rPr>
      <w:rFonts w:ascii="仿宋_GB2312" w:hAnsi="宋体" w:eastAsia="仿宋_GB2312"/>
      <w:kern w:val="2"/>
      <w:sz w:val="28"/>
      <w:szCs w:val="24"/>
    </w:rPr>
  </w:style>
  <w:style w:type="paragraph" w:customStyle="1" w:styleId="59">
    <w:name w:val="表中文字"/>
    <w:basedOn w:val="1"/>
    <w:link w:val="60"/>
    <w:qFormat/>
    <w:uiPriority w:val="0"/>
    <w:pPr>
      <w:tabs>
        <w:tab w:val="left" w:pos="2700"/>
      </w:tabs>
      <w:adjustRightInd w:val="0"/>
      <w:snapToGrid w:val="0"/>
      <w:spacing w:line="240" w:lineRule="auto"/>
      <w:ind w:firstLine="0" w:firstLineChars="0"/>
      <w:jc w:val="center"/>
      <w:textAlignment w:val="center"/>
    </w:pPr>
    <w:rPr>
      <w:rFonts w:cstheme="minorBidi"/>
      <w:sz w:val="21"/>
      <w:szCs w:val="21"/>
    </w:rPr>
  </w:style>
  <w:style w:type="character" w:customStyle="1" w:styleId="60">
    <w:name w:val="表中文字 Char"/>
    <w:link w:val="59"/>
    <w:qFormat/>
    <w:uiPriority w:val="0"/>
    <w:rPr>
      <w:rFonts w:cstheme="minorBidi"/>
      <w:kern w:val="2"/>
      <w:sz w:val="21"/>
      <w:szCs w:val="21"/>
    </w:rPr>
  </w:style>
  <w:style w:type="paragraph" w:customStyle="1" w:styleId="61">
    <w:name w:val="表头啊啊啊啊"/>
    <w:basedOn w:val="1"/>
    <w:link w:val="62"/>
    <w:qFormat/>
    <w:uiPriority w:val="0"/>
    <w:pPr>
      <w:adjustRightInd w:val="0"/>
      <w:snapToGrid w:val="0"/>
      <w:spacing w:line="240" w:lineRule="auto"/>
      <w:ind w:firstLine="0" w:firstLineChars="0"/>
      <w:jc w:val="center"/>
    </w:pPr>
    <w:rPr>
      <w:rFonts w:cs="宋体"/>
      <w:b/>
      <w:sz w:val="21"/>
      <w:szCs w:val="21"/>
    </w:rPr>
  </w:style>
  <w:style w:type="character" w:customStyle="1" w:styleId="62">
    <w:name w:val="表头啊啊啊啊 Char"/>
    <w:link w:val="61"/>
    <w:qFormat/>
    <w:uiPriority w:val="0"/>
    <w:rPr>
      <w:rFonts w:cs="宋体"/>
      <w:b/>
      <w:kern w:val="2"/>
      <w:sz w:val="21"/>
      <w:szCs w:val="21"/>
    </w:rPr>
  </w:style>
  <w:style w:type="paragraph" w:customStyle="1" w:styleId="63">
    <w:name w:val="表格里面啊啊啊啊"/>
    <w:basedOn w:val="1"/>
    <w:qFormat/>
    <w:uiPriority w:val="0"/>
    <w:pPr>
      <w:spacing w:line="240" w:lineRule="auto"/>
      <w:ind w:firstLine="0" w:firstLineChars="0"/>
      <w:jc w:val="center"/>
    </w:pPr>
    <w:rPr>
      <w:sz w:val="21"/>
      <w:szCs w:val="21"/>
    </w:rPr>
  </w:style>
  <w:style w:type="character" w:customStyle="1" w:styleId="64">
    <w:name w:val="mord"/>
    <w:basedOn w:val="25"/>
    <w:qFormat/>
    <w:uiPriority w:val="0"/>
  </w:style>
  <w:style w:type="character" w:customStyle="1" w:styleId="65">
    <w:name w:val="vlist-s"/>
    <w:basedOn w:val="25"/>
    <w:qFormat/>
    <w:uiPriority w:val="0"/>
  </w:style>
  <w:style w:type="character" w:customStyle="1" w:styleId="66">
    <w:name w:val="mopen"/>
    <w:basedOn w:val="25"/>
    <w:qFormat/>
    <w:uiPriority w:val="0"/>
  </w:style>
  <w:style w:type="character" w:customStyle="1" w:styleId="67">
    <w:name w:val="mbin"/>
    <w:basedOn w:val="25"/>
    <w:qFormat/>
    <w:uiPriority w:val="0"/>
  </w:style>
  <w:style w:type="character" w:customStyle="1" w:styleId="68">
    <w:name w:val="mclose"/>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numbering" Target="numbering.xml"/><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028918af-5588-44bc-a68c-7f633b3cfb87</errorID>
      <errorWord>新疆自治区</errorWord>
      <group>L1_Other</group>
      <groupName>其他问题</groupName>
      <ability>L2_UserTypo</ability>
      <abilityName>自定义错误</abilityName>
      <candidateList>
        <item>新疆维吾尔自治区</item>
      </candidateList>
      <explain>来自自定义错词库。</explain>
      <paraID>273B3496</paraID>
      <start>141</start>
      <end>149</end>
      <status>modified</status>
      <modifiedWord>新疆维吾尔自治区</modifiedWord>
      <trackRevisions>false</trackRevisions>
    </reviewItem>
    <reviewItem>
      <errorID>3411da06-bd20-46e3-b5a7-aadc7982212e</errorID>
      <errorWord>新疆自治区</errorWord>
      <group>L1_Other</group>
      <groupName>其他问题</groupName>
      <ability>L2_UserTypo</ability>
      <abilityName>自定义错误</abilityName>
      <candidateList>
        <item>新疆维吾尔自治区</item>
      </candidateList>
      <explain>来自自定义错词库。</explain>
      <paraID>41CC8DEC</paraID>
      <start>105</start>
      <end>113</end>
      <status>modified</status>
      <modifiedWord>新疆维吾尔自治区</modifiedWord>
      <trackRevisions>false</trackRevisions>
    </reviewItem>
  </reviewItems>
  <config/>
</contractReview>
</file>

<file path=customXml/itemProps1.xml><?xml version="1.0" encoding="utf-8"?>
<ds:datastoreItem xmlns:ds="http://schemas.openxmlformats.org/officeDocument/2006/customXml" ds:itemID="{4a6ae884-f45f-423a-bb88-738759c6cfb2}">
  <ds:schemaRefs/>
</ds:datastoreItem>
</file>

<file path=docProps/app.xml><?xml version="1.0" encoding="utf-8"?>
<Properties xmlns="http://schemas.openxmlformats.org/officeDocument/2006/extended-properties" xmlns:vt="http://schemas.openxmlformats.org/officeDocument/2006/docPropsVTypes">
  <Template>Normal</Template>
  <Pages>90</Pages>
  <Words>120</Words>
  <Characters>123</Characters>
  <Lines>457</Lines>
  <Paragraphs>128</Paragraphs>
  <TotalTime>1472</TotalTime>
  <ScaleCrop>false</ScaleCrop>
  <LinksUpToDate>false</LinksUpToDate>
  <CharactersWithSpaces>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2024-04-01T03:47:00Z</dcterms:created>
  <dc:creator>MyPC</dc:creator>
  <cp:lastModifiedBy>龍</cp:lastModifiedBy>
  <cp:lastPrinted>2025-08-15T08:45:00Z</cp:lastPrinted>
  <dcterms:modified xsi:type="dcterms:W3CDTF">2026-08-20T12:22:57Z</dcterms:modified>
  <cp:revision>667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9B840414BC5849E2884BE3AAAC5986D0_13</vt:lpwstr>
  </property>
  <property fmtid="{D5CDD505-2E9C-101B-9397-08002B2CF9AE}" pid="4" name="KSOTemplateDocerSaveRecord">
    <vt:lpwstr>eyJoZGlkIjoiZDgzOTEyM2U4NGI3OTQzNDVkNDU2OTY3NjAzZTQxYTMiLCJ1c2VySWQiOiIzMTAyNzg2NTYifQ==</vt:lpwstr>
  </property>
</Properties>
</file>