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仿宋_GB2312" w:cs="Times New Roman"/>
          <w:color w:val="auto"/>
          <w:sz w:val="21"/>
          <w:szCs w:val="21"/>
        </w:rPr>
      </w:pPr>
    </w:p>
    <w:p>
      <w:pPr>
        <w:rPr>
          <w:rFonts w:hint="default" w:ascii="Times New Roman" w:hAnsi="Times New Roman" w:eastAsia="仿宋_GB2312" w:cs="Times New Roman"/>
          <w:color w:val="auto"/>
          <w:sz w:val="21"/>
          <w:szCs w:val="21"/>
        </w:rPr>
      </w:pPr>
    </w:p>
    <w:p>
      <w:pPr>
        <w:rPr>
          <w:rFonts w:hint="default" w:ascii="Times New Roman" w:hAnsi="Times New Roman" w:eastAsia="仿宋_GB2312" w:cs="Times New Roman"/>
          <w:color w:val="auto"/>
          <w:sz w:val="21"/>
          <w:szCs w:val="21"/>
        </w:rPr>
      </w:pPr>
    </w:p>
    <w:p>
      <w:pPr>
        <w:rPr>
          <w:rFonts w:hint="default" w:ascii="Times New Roman" w:hAnsi="Times New Roman" w:eastAsia="仿宋_GB2312" w:cs="Times New Roman"/>
          <w:color w:val="auto"/>
          <w:sz w:val="21"/>
          <w:szCs w:val="21"/>
        </w:rPr>
      </w:pPr>
    </w:p>
    <w:p>
      <w:pPr>
        <w:rPr>
          <w:rFonts w:hint="default" w:ascii="Times New Roman" w:hAnsi="Times New Roman" w:eastAsia="仿宋_GB2312" w:cs="Times New Roman"/>
          <w:color w:val="auto"/>
          <w:sz w:val="21"/>
          <w:szCs w:val="21"/>
        </w:rPr>
      </w:pPr>
    </w:p>
    <w:p>
      <w:pPr>
        <w:adjustRightInd w:val="0"/>
        <w:snapToGrid w:val="0"/>
        <w:jc w:val="center"/>
        <w:outlineLvl w:val="0"/>
        <w:rPr>
          <w:rFonts w:hint="default" w:ascii="Times New Roman" w:hAnsi="Times New Roman" w:eastAsia="方正小标宋_GBK" w:cs="Times New Roman"/>
          <w:bCs/>
          <w:color w:val="auto"/>
          <w:sz w:val="72"/>
          <w:szCs w:val="72"/>
        </w:rPr>
      </w:pPr>
      <w:r>
        <w:rPr>
          <w:rFonts w:hint="default" w:ascii="Times New Roman" w:hAnsi="Times New Roman" w:eastAsia="方正小标宋_GBK" w:cs="Times New Roman"/>
          <w:bCs/>
          <w:color w:val="auto"/>
          <w:sz w:val="72"/>
          <w:szCs w:val="72"/>
        </w:rPr>
        <w:t>建设项目环境影响报告表</w:t>
      </w:r>
    </w:p>
    <w:p>
      <w:pPr>
        <w:adjustRightInd w:val="0"/>
        <w:snapToGrid w:val="0"/>
        <w:spacing w:before="192" w:beforeLines="80"/>
        <w:jc w:val="center"/>
        <w:rPr>
          <w:rFonts w:hint="default" w:ascii="Times New Roman" w:hAnsi="Times New Roman" w:eastAsia="楷体_GB2312" w:cs="Times New Roman"/>
          <w:bCs/>
          <w:color w:val="auto"/>
          <w:sz w:val="48"/>
          <w:szCs w:val="48"/>
        </w:rPr>
      </w:pPr>
      <w:r>
        <w:rPr>
          <w:rFonts w:hint="default" w:ascii="Times New Roman" w:hAnsi="Times New Roman" w:eastAsia="楷体_GB2312" w:cs="Times New Roman"/>
          <w:bCs/>
          <w:color w:val="auto"/>
          <w:sz w:val="48"/>
          <w:szCs w:val="48"/>
        </w:rPr>
        <w:t>（污染影响类）</w:t>
      </w:r>
    </w:p>
    <w:p>
      <w:pPr>
        <w:bidi w:val="0"/>
        <w:rPr>
          <w:rFonts w:hint="default" w:ascii="Times New Roman" w:hAnsi="Times New Roman" w:cs="Times New Roman"/>
          <w:color w:val="auto"/>
          <w:lang w:eastAsia="zh-CN"/>
        </w:rPr>
      </w:pPr>
    </w:p>
    <w:p>
      <w:pPr>
        <w:jc w:val="center"/>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6"/>
          <w:szCs w:val="36"/>
          <w:lang w:val="en-US" w:eastAsia="zh-CN"/>
        </w:rPr>
        <w:t>（报批稿）</w:t>
      </w:r>
    </w:p>
    <w:p>
      <w:pPr>
        <w:ind w:firstLine="1040"/>
        <w:rPr>
          <w:rFonts w:hint="default" w:ascii="Times New Roman" w:hAnsi="Times New Roman" w:eastAsia="仿宋" w:cs="Times New Roman"/>
          <w:color w:val="auto"/>
          <w:sz w:val="21"/>
          <w:szCs w:val="21"/>
        </w:rPr>
      </w:pPr>
    </w:p>
    <w:p>
      <w:pPr>
        <w:ind w:firstLine="1040"/>
        <w:rPr>
          <w:rFonts w:hint="default" w:ascii="Times New Roman" w:hAnsi="Times New Roman" w:eastAsia="仿宋" w:cs="Times New Roman"/>
          <w:color w:val="auto"/>
          <w:sz w:val="21"/>
          <w:szCs w:val="21"/>
        </w:rPr>
      </w:pPr>
    </w:p>
    <w:p>
      <w:pPr>
        <w:ind w:firstLine="1040"/>
        <w:rPr>
          <w:rFonts w:hint="default" w:ascii="Times New Roman" w:hAnsi="Times New Roman" w:eastAsia="仿宋" w:cs="Times New Roman"/>
          <w:color w:val="auto"/>
          <w:sz w:val="21"/>
          <w:szCs w:val="21"/>
        </w:rPr>
      </w:pPr>
    </w:p>
    <w:p>
      <w:pPr>
        <w:ind w:firstLine="1040"/>
        <w:rPr>
          <w:rFonts w:hint="default" w:ascii="Times New Roman" w:hAnsi="Times New Roman" w:eastAsia="仿宋" w:cs="Times New Roman"/>
          <w:color w:val="auto"/>
          <w:sz w:val="21"/>
          <w:szCs w:val="21"/>
        </w:rPr>
      </w:pPr>
    </w:p>
    <w:p>
      <w:pPr>
        <w:spacing w:line="360" w:lineRule="auto"/>
        <w:jc w:val="center"/>
        <w:rPr>
          <w:rFonts w:hint="default" w:ascii="Times New Roman" w:hAnsi="Times New Roman" w:eastAsia="仿宋_GB2312" w:cs="Times New Roman"/>
          <w:color w:val="auto"/>
          <w:sz w:val="36"/>
          <w:szCs w:val="36"/>
          <w:u w:val="single"/>
          <w:lang w:val="en-US" w:eastAsia="zh-CN"/>
        </w:rPr>
      </w:pPr>
    </w:p>
    <w:p>
      <w:pPr>
        <w:spacing w:line="360" w:lineRule="auto"/>
        <w:jc w:val="center"/>
        <w:rPr>
          <w:rFonts w:hint="default" w:ascii="Times New Roman" w:hAnsi="Times New Roman" w:eastAsia="仿宋_GB2312" w:cs="Times New Roman"/>
          <w:color w:val="auto"/>
          <w:sz w:val="36"/>
          <w:szCs w:val="36"/>
          <w:u w:val="single"/>
          <w:lang w:val="en-US" w:eastAsia="zh-CN"/>
        </w:rPr>
      </w:pPr>
    </w:p>
    <w:p>
      <w:pPr>
        <w:spacing w:line="360" w:lineRule="auto"/>
        <w:jc w:val="center"/>
        <w:rPr>
          <w:rFonts w:hint="default" w:ascii="Times New Roman" w:hAnsi="Times New Roman" w:eastAsia="仿宋_GB2312" w:cs="Times New Roman"/>
          <w:color w:val="auto"/>
          <w:sz w:val="36"/>
          <w:szCs w:val="36"/>
          <w:u w:val="single"/>
          <w:lang w:val="en-US" w:eastAsia="zh-CN"/>
        </w:rPr>
      </w:pPr>
    </w:p>
    <w:p>
      <w:pPr>
        <w:spacing w:line="360" w:lineRule="auto"/>
        <w:ind w:firstLine="720" w:firstLineChars="200"/>
        <w:rPr>
          <w:rFonts w:hint="default" w:ascii="Times New Roman" w:hAnsi="Times New Roman" w:eastAsia="仿宋_GB2312" w:cs="Times New Roman"/>
          <w:color w:val="auto"/>
          <w:sz w:val="36"/>
          <w:szCs w:val="36"/>
          <w:u w:val="single"/>
          <w:lang w:val="en-US" w:eastAsia="zh-CN"/>
        </w:rPr>
      </w:pPr>
      <w:r>
        <w:rPr>
          <w:rFonts w:hint="default" w:ascii="Times New Roman" w:hAnsi="Times New Roman" w:eastAsia="仿宋_GB2312" w:cs="Times New Roman"/>
          <w:color w:val="auto"/>
          <w:sz w:val="36"/>
          <w:szCs w:val="36"/>
          <w:u w:val="none"/>
          <w:lang w:val="en-US" w:eastAsia="zh-CN"/>
        </w:rPr>
        <w:t>项目名称：</w:t>
      </w:r>
      <w:r>
        <w:rPr>
          <w:rFonts w:hint="default" w:ascii="Times New Roman" w:hAnsi="Times New Roman" w:eastAsia="仿宋_GB2312" w:cs="Times New Roman"/>
          <w:color w:val="auto"/>
          <w:sz w:val="36"/>
          <w:szCs w:val="36"/>
          <w:u w:val="single"/>
          <w:lang w:val="en-US" w:eastAsia="zh-CN"/>
        </w:rPr>
        <w:t>且末县邦泰矿业投资有限公司新疆且末县屈库勒克东金锑矿450</w:t>
      </w:r>
      <w:r>
        <w:rPr>
          <w:rFonts w:hint="eastAsia" w:eastAsia="仿宋_GB2312" w:cs="Times New Roman"/>
          <w:color w:val="auto"/>
          <w:sz w:val="36"/>
          <w:szCs w:val="36"/>
          <w:u w:val="single"/>
          <w:lang w:val="en-US" w:eastAsia="zh-CN"/>
        </w:rPr>
        <w:t>d</w:t>
      </w:r>
      <w:r>
        <w:rPr>
          <w:rFonts w:hint="default" w:ascii="Times New Roman" w:hAnsi="Times New Roman" w:eastAsia="仿宋_GB2312" w:cs="Times New Roman"/>
          <w:color w:val="auto"/>
          <w:sz w:val="36"/>
          <w:szCs w:val="36"/>
          <w:u w:val="single"/>
          <w:lang w:val="en-US" w:eastAsia="zh-CN"/>
        </w:rPr>
        <w:t>/</w:t>
      </w:r>
      <w:r>
        <w:rPr>
          <w:rFonts w:hint="eastAsia" w:eastAsia="仿宋_GB2312" w:cs="Times New Roman"/>
          <w:color w:val="auto"/>
          <w:sz w:val="36"/>
          <w:szCs w:val="36"/>
          <w:u w:val="single"/>
          <w:lang w:val="en-US" w:eastAsia="zh-CN"/>
        </w:rPr>
        <w:t>t</w:t>
      </w:r>
      <w:r>
        <w:rPr>
          <w:rFonts w:hint="default" w:ascii="Times New Roman" w:hAnsi="Times New Roman" w:eastAsia="仿宋_GB2312" w:cs="Times New Roman"/>
          <w:color w:val="auto"/>
          <w:sz w:val="36"/>
          <w:szCs w:val="36"/>
          <w:u w:val="single"/>
          <w:lang w:val="en-US" w:eastAsia="zh-CN"/>
        </w:rPr>
        <w:t>选矿厂尾矿库回采</w:t>
      </w:r>
      <w:r>
        <w:rPr>
          <w:rFonts w:hint="eastAsia" w:eastAsia="仿宋_GB2312" w:cs="Times New Roman"/>
          <w:color w:val="auto"/>
          <w:sz w:val="36"/>
          <w:szCs w:val="36"/>
          <w:u w:val="single"/>
          <w:lang w:val="en-US" w:eastAsia="zh-CN"/>
        </w:rPr>
        <w:t>项目</w:t>
      </w:r>
    </w:p>
    <w:p>
      <w:pPr>
        <w:spacing w:line="360" w:lineRule="auto"/>
        <w:ind w:firstLine="720" w:firstLineChars="200"/>
        <w:rPr>
          <w:rFonts w:hint="default" w:ascii="Times New Roman" w:hAnsi="Times New Roman" w:eastAsia="仿宋_GB2312" w:cs="Times New Roman"/>
          <w:color w:val="auto"/>
          <w:sz w:val="36"/>
          <w:szCs w:val="36"/>
          <w:u w:val="single"/>
          <w:lang w:val="en-US" w:eastAsia="zh-CN"/>
        </w:rPr>
      </w:pPr>
      <w:r>
        <w:rPr>
          <w:rFonts w:hint="default" w:ascii="Times New Roman" w:hAnsi="Times New Roman" w:eastAsia="仿宋_GB2312" w:cs="Times New Roman"/>
          <w:color w:val="auto"/>
          <w:sz w:val="36"/>
          <w:szCs w:val="36"/>
          <w:u w:val="none"/>
          <w:lang w:val="en-US" w:eastAsia="zh-CN"/>
        </w:rPr>
        <w:t>建设单位（盖章）：</w:t>
      </w:r>
      <w:r>
        <w:rPr>
          <w:rFonts w:hint="default" w:ascii="Times New Roman" w:hAnsi="Times New Roman" w:eastAsia="仿宋_GB2312" w:cs="Times New Roman"/>
          <w:color w:val="auto"/>
          <w:sz w:val="36"/>
          <w:szCs w:val="36"/>
          <w:u w:val="single"/>
          <w:lang w:val="en-US" w:eastAsia="zh-CN"/>
        </w:rPr>
        <w:t>且末县邦泰矿业投资有限公司</w:t>
      </w:r>
    </w:p>
    <w:p>
      <w:pPr>
        <w:spacing w:line="360" w:lineRule="auto"/>
        <w:ind w:firstLine="720" w:firstLineChars="200"/>
        <w:jc w:val="both"/>
        <w:rPr>
          <w:rFonts w:hint="default" w:ascii="Times New Roman" w:hAnsi="Times New Roman" w:eastAsia="仿宋_GB2312" w:cs="Times New Roman"/>
          <w:color w:val="auto"/>
          <w:sz w:val="21"/>
          <w:szCs w:val="21"/>
          <w:u w:val="single"/>
          <w:lang w:val="en-US"/>
        </w:rPr>
      </w:pPr>
      <w:bookmarkStart w:id="0" w:name="_Hlk57884087"/>
      <w:r>
        <w:rPr>
          <w:rFonts w:hint="default" w:ascii="Times New Roman" w:hAnsi="Times New Roman" w:eastAsia="仿宋_GB2312" w:cs="Times New Roman"/>
          <w:color w:val="auto"/>
          <w:sz w:val="36"/>
          <w:szCs w:val="36"/>
          <w:u w:val="none"/>
          <w:lang w:val="en-US" w:eastAsia="zh-CN"/>
        </w:rPr>
        <w:t>编制日期：</w:t>
      </w:r>
      <w:r>
        <w:rPr>
          <w:rFonts w:hint="default" w:ascii="Times New Roman" w:hAnsi="Times New Roman" w:eastAsia="仿宋_GB2312" w:cs="Times New Roman"/>
          <w:color w:val="auto"/>
          <w:sz w:val="36"/>
          <w:szCs w:val="36"/>
          <w:u w:val="single"/>
          <w:lang w:val="en-US" w:eastAsia="zh-CN"/>
        </w:rPr>
        <w:t xml:space="preserve">         2026年</w:t>
      </w:r>
      <w:r>
        <w:rPr>
          <w:rFonts w:hint="eastAsia" w:eastAsia="仿宋_GB2312" w:cs="Times New Roman"/>
          <w:color w:val="auto"/>
          <w:sz w:val="36"/>
          <w:szCs w:val="36"/>
          <w:u w:val="single"/>
          <w:lang w:val="en-US" w:eastAsia="zh-CN"/>
        </w:rPr>
        <w:t>7</w:t>
      </w:r>
      <w:r>
        <w:rPr>
          <w:rFonts w:hint="default" w:ascii="Times New Roman" w:hAnsi="Times New Roman" w:eastAsia="仿宋_GB2312" w:cs="Times New Roman"/>
          <w:color w:val="auto"/>
          <w:sz w:val="36"/>
          <w:szCs w:val="36"/>
          <w:u w:val="single"/>
          <w:lang w:val="en-US" w:eastAsia="zh-CN"/>
        </w:rPr>
        <w:t xml:space="preserve">月               </w:t>
      </w:r>
    </w:p>
    <w:p>
      <w:pPr>
        <w:adjustRightInd w:val="0"/>
        <w:snapToGrid w:val="0"/>
        <w:spacing w:line="288" w:lineRule="auto"/>
        <w:ind w:firstLine="1040"/>
        <w:rPr>
          <w:rFonts w:hint="default" w:ascii="Times New Roman" w:hAnsi="Times New Roman" w:eastAsia="仿宋_GB2312" w:cs="Times New Roman"/>
          <w:color w:val="auto"/>
          <w:sz w:val="21"/>
          <w:szCs w:val="21"/>
        </w:rPr>
      </w:pPr>
    </w:p>
    <w:p>
      <w:pPr>
        <w:adjustRightInd w:val="0"/>
        <w:snapToGrid w:val="0"/>
        <w:spacing w:line="288" w:lineRule="auto"/>
        <w:jc w:val="both"/>
        <w:rPr>
          <w:rFonts w:hint="default" w:ascii="Times New Roman" w:hAnsi="Times New Roman" w:eastAsia="楷体_GB2312" w:cs="Times New Roman"/>
          <w:color w:val="auto"/>
          <w:sz w:val="21"/>
          <w:szCs w:val="21"/>
        </w:rPr>
      </w:pPr>
    </w:p>
    <w:bookmarkEnd w:id="0"/>
    <w:p>
      <w:pPr>
        <w:adjustRightInd w:val="0"/>
        <w:snapToGrid w:val="0"/>
        <w:spacing w:line="288" w:lineRule="auto"/>
        <w:jc w:val="center"/>
        <w:rPr>
          <w:rFonts w:hint="default" w:ascii="Times New Roman" w:hAnsi="Times New Roman" w:eastAsia="楷体_GB2312" w:cs="Times New Roman"/>
          <w:color w:val="auto"/>
          <w:sz w:val="36"/>
          <w:szCs w:val="36"/>
        </w:rPr>
      </w:pPr>
    </w:p>
    <w:p>
      <w:pPr>
        <w:adjustRightInd w:val="0"/>
        <w:snapToGrid w:val="0"/>
        <w:spacing w:line="288" w:lineRule="auto"/>
        <w:jc w:val="center"/>
        <w:rPr>
          <w:rFonts w:hint="default" w:ascii="Times New Roman" w:hAnsi="Times New Roman" w:eastAsia="楷体_GB2312" w:cs="Times New Roman"/>
          <w:color w:val="auto"/>
          <w:sz w:val="36"/>
          <w:szCs w:val="36"/>
        </w:rPr>
      </w:pPr>
    </w:p>
    <w:p>
      <w:pPr>
        <w:adjustRightInd w:val="0"/>
        <w:snapToGrid w:val="0"/>
        <w:spacing w:line="288" w:lineRule="auto"/>
        <w:jc w:val="center"/>
        <w:rPr>
          <w:rFonts w:hint="default" w:ascii="Times New Roman" w:hAnsi="Times New Roman" w:eastAsia="楷体_GB2312" w:cs="Times New Roman"/>
          <w:color w:val="auto"/>
          <w:sz w:val="36"/>
          <w:szCs w:val="36"/>
        </w:rPr>
      </w:pPr>
    </w:p>
    <w:p>
      <w:pPr>
        <w:adjustRightInd w:val="0"/>
        <w:snapToGrid w:val="0"/>
        <w:spacing w:line="288" w:lineRule="auto"/>
        <w:jc w:val="center"/>
        <w:rPr>
          <w:rFonts w:hint="default" w:ascii="Times New Roman" w:hAnsi="Times New Roman" w:eastAsia="楷体_GB2312" w:cs="Times New Roman"/>
          <w:color w:val="auto"/>
          <w:sz w:val="36"/>
          <w:szCs w:val="36"/>
        </w:rPr>
      </w:pPr>
    </w:p>
    <w:p>
      <w:pPr>
        <w:adjustRightInd w:val="0"/>
        <w:snapToGrid w:val="0"/>
        <w:spacing w:line="288" w:lineRule="auto"/>
        <w:jc w:val="center"/>
        <w:rPr>
          <w:rFonts w:hint="default" w:ascii="Times New Roman" w:hAnsi="Times New Roman" w:eastAsia="楷体_GB2312" w:cs="Times New Roman"/>
          <w:color w:val="auto"/>
          <w:sz w:val="36"/>
          <w:szCs w:val="36"/>
        </w:rPr>
      </w:pPr>
      <w:r>
        <w:rPr>
          <w:rFonts w:hint="default" w:ascii="Times New Roman" w:hAnsi="Times New Roman" w:eastAsia="楷体_GB2312" w:cs="Times New Roman"/>
          <w:color w:val="auto"/>
          <w:sz w:val="36"/>
          <w:szCs w:val="36"/>
        </w:rPr>
        <w:t>中华人民共和国生态环境部制</w:t>
      </w:r>
    </w:p>
    <w:p>
      <w:pPr>
        <w:pStyle w:val="13"/>
        <w:numPr>
          <w:ilvl w:val="0"/>
          <w:numId w:val="0"/>
        </w:numPr>
        <w:rPr>
          <w:rFonts w:hint="default" w:ascii="Times New Roman" w:hAnsi="Times New Roman" w:cs="Times New Roman"/>
          <w:color w:val="auto"/>
          <w:sz w:val="21"/>
          <w:szCs w:val="21"/>
        </w:rPr>
        <w:sectPr>
          <w:footerReference r:id="rId3"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p>
    <w:p>
      <w:pPr>
        <w:pStyle w:val="13"/>
        <w:numPr>
          <w:ilvl w:val="0"/>
          <w:numId w:val="0"/>
        </w:numPr>
        <w:rPr>
          <w:rFonts w:hint="default" w:ascii="Times New Roman" w:hAnsi="Times New Roman" w:cs="Times New Roman"/>
          <w:color w:val="auto"/>
          <w:sz w:val="21"/>
          <w:szCs w:val="21"/>
        </w:rPr>
        <w:sectPr>
          <w:pgSz w:w="11906" w:h="16838"/>
          <w:pgMar w:top="1701" w:right="1531" w:bottom="1701"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p>
    <w:p>
      <w:pPr>
        <w:pStyle w:val="27"/>
        <w:jc w:val="center"/>
        <w:outlineLvl w:val="0"/>
        <w:rPr>
          <w:rFonts w:hint="default" w:ascii="Times New Roman" w:hAnsi="Times New Roman" w:eastAsia="黑体" w:cs="Times New Roman"/>
          <w:snapToGrid w:val="0"/>
          <w:color w:val="auto"/>
          <w:sz w:val="30"/>
          <w:szCs w:val="30"/>
        </w:rPr>
      </w:pPr>
      <w:r>
        <w:rPr>
          <w:rFonts w:hint="default" w:ascii="Times New Roman" w:hAnsi="Times New Roman" w:eastAsia="黑体" w:cs="Times New Roman"/>
          <w:snapToGrid w:val="0"/>
          <w:color w:val="auto"/>
          <w:sz w:val="30"/>
          <w:szCs w:val="30"/>
        </w:rPr>
        <w:t>一、建设项目基本情况</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839"/>
        <w:gridCol w:w="2162"/>
        <w:gridCol w:w="1879"/>
        <w:gridCol w:w="299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3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建设项目名称</w:t>
            </w:r>
          </w:p>
        </w:tc>
        <w:tc>
          <w:tcPr>
            <w:tcW w:w="7031" w:type="dxa"/>
            <w:gridSpan w:val="3"/>
            <w:noWrap w:val="0"/>
            <w:vAlign w:val="center"/>
          </w:tcPr>
          <w:p>
            <w:pPr>
              <w:adjustRightInd w:val="0"/>
              <w:snapToGrid w:val="0"/>
              <w:jc w:val="center"/>
              <w:rPr>
                <w:rFonts w:hint="eastAsia" w:ascii="Times New Roman" w:hAnsi="Times New Roman" w:eastAsia="宋体" w:cs="Times New Roman"/>
                <w:color w:val="auto"/>
                <w:sz w:val="24"/>
                <w:szCs w:val="24"/>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3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项目代码</w:t>
            </w:r>
          </w:p>
        </w:tc>
        <w:tc>
          <w:tcPr>
            <w:tcW w:w="7031" w:type="dxa"/>
            <w:gridSpan w:val="3"/>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3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建设单位联系人</w:t>
            </w:r>
          </w:p>
        </w:tc>
        <w:tc>
          <w:tcPr>
            <w:tcW w:w="2162" w:type="dxa"/>
            <w:noWrap w:val="0"/>
            <w:vAlign w:val="center"/>
          </w:tcPr>
          <w:p>
            <w:pPr>
              <w:adjustRightInd w:val="0"/>
              <w:snapToGrid w:val="0"/>
              <w:jc w:val="center"/>
              <w:rPr>
                <w:rFonts w:hint="default" w:ascii="Times New Roman" w:hAnsi="Times New Roman" w:cs="Times New Roman"/>
                <w:color w:val="auto"/>
                <w:sz w:val="24"/>
                <w:szCs w:val="24"/>
                <w:lang w:val="en-US"/>
              </w:rPr>
            </w:pPr>
          </w:p>
        </w:tc>
        <w:tc>
          <w:tcPr>
            <w:tcW w:w="1879" w:type="dxa"/>
            <w:noWrap w:val="0"/>
            <w:vAlign w:val="center"/>
          </w:tcPr>
          <w:p>
            <w:pPr>
              <w:adjustRightInd w:val="0"/>
              <w:snapToGrid w:val="0"/>
              <w:jc w:val="center"/>
              <w:rPr>
                <w:rFonts w:hint="default" w:ascii="Times New Roman" w:hAnsi="Times New Roman" w:cs="Times New Roman"/>
                <w:color w:val="auto"/>
                <w:sz w:val="24"/>
                <w:szCs w:val="24"/>
              </w:rPr>
            </w:pPr>
          </w:p>
        </w:tc>
        <w:tc>
          <w:tcPr>
            <w:tcW w:w="2990"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3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建设地点</w:t>
            </w:r>
          </w:p>
        </w:tc>
        <w:tc>
          <w:tcPr>
            <w:tcW w:w="7031" w:type="dxa"/>
            <w:gridSpan w:val="3"/>
            <w:noWrap w:val="0"/>
            <w:vAlign w:val="center"/>
          </w:tcPr>
          <w:p>
            <w:pPr>
              <w:adjustRightInd w:val="0"/>
              <w:snapToGrid w:val="0"/>
              <w:jc w:val="center"/>
              <w:rPr>
                <w:rFonts w:hint="default" w:ascii="Times New Roman" w:hAnsi="Times New Roman" w:cs="Times New Roman"/>
                <w:color w:val="auto"/>
                <w:sz w:val="24"/>
                <w:szCs w:val="24"/>
                <w:lang w:val="en-US"/>
              </w:rPr>
            </w:pPr>
            <w:bookmarkStart w:id="18" w:name="_GoBack"/>
            <w:bookmarkEnd w:id="18"/>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3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地理坐标</w:t>
            </w:r>
          </w:p>
        </w:tc>
        <w:tc>
          <w:tcPr>
            <w:tcW w:w="7031" w:type="dxa"/>
            <w:gridSpan w:val="3"/>
            <w:noWrap w:val="0"/>
            <w:vAlign w:val="center"/>
          </w:tcPr>
          <w:p>
            <w:pPr>
              <w:jc w:val="center"/>
              <w:rPr>
                <w:rFonts w:hint="default" w:ascii="Times New Roman" w:hAnsi="Times New Roman" w:cs="Times New Roman"/>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83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国民经济</w:t>
            </w:r>
          </w:p>
          <w:p>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行业类别</w:t>
            </w:r>
          </w:p>
        </w:tc>
        <w:tc>
          <w:tcPr>
            <w:tcW w:w="2162" w:type="dxa"/>
            <w:noWrap w:val="0"/>
            <w:vAlign w:val="center"/>
          </w:tcPr>
          <w:p>
            <w:pPr>
              <w:adjustRightInd w:val="0"/>
              <w:snapToGrid w:val="0"/>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N7723固体废物治理</w:t>
            </w:r>
          </w:p>
        </w:tc>
        <w:tc>
          <w:tcPr>
            <w:tcW w:w="1879" w:type="dxa"/>
            <w:noWrap w:val="0"/>
            <w:vAlign w:val="center"/>
          </w:tcPr>
          <w:p>
            <w:pPr>
              <w:adjustRightInd w:val="0"/>
              <w:snapToGrid w:val="0"/>
              <w:jc w:val="center"/>
              <w:rPr>
                <w:rFonts w:hint="default" w:ascii="Times New Roman" w:hAnsi="Times New Roman" w:cs="Times New Roman"/>
                <w:color w:val="auto"/>
                <w:sz w:val="24"/>
                <w:szCs w:val="24"/>
              </w:rPr>
            </w:pPr>
            <w:bookmarkStart w:id="1" w:name="_Hlk49843745"/>
            <w:r>
              <w:rPr>
                <w:rFonts w:hint="default" w:ascii="Times New Roman" w:hAnsi="Times New Roman" w:cs="Times New Roman"/>
                <w:color w:val="auto"/>
                <w:sz w:val="24"/>
                <w:szCs w:val="24"/>
              </w:rPr>
              <w:t>建设项目</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行业类别</w:t>
            </w:r>
            <w:bookmarkEnd w:id="1"/>
          </w:p>
        </w:tc>
        <w:tc>
          <w:tcPr>
            <w:tcW w:w="2990" w:type="dxa"/>
            <w:noWrap w:val="0"/>
            <w:vAlign w:val="center"/>
          </w:tcPr>
          <w:p>
            <w:pPr>
              <w:numPr>
                <w:ilvl w:val="0"/>
                <w:numId w:val="0"/>
              </w:numPr>
              <w:adjustRightInd w:val="0"/>
              <w:snapToGrid w:val="0"/>
              <w:ind w:leftChars="0"/>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四十七、 生态保护和环境治理业103、一般工业固体废物（含污水处理污泥）、建筑施工废弃物处置及综合利用</w:t>
            </w:r>
            <w:r>
              <w:rPr>
                <w:rFonts w:hint="default" w:ascii="Times New Roman" w:hAnsi="Times New Roman" w:cs="Times New Roman"/>
                <w:color w:val="auto"/>
                <w:sz w:val="24"/>
                <w:szCs w:val="24"/>
                <w:lang w:val="en-US" w:eastAsia="zh-CN"/>
              </w:rPr>
              <w:t>-其他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83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建设性质</w:t>
            </w:r>
          </w:p>
        </w:tc>
        <w:tc>
          <w:tcPr>
            <w:tcW w:w="2162" w:type="dxa"/>
            <w:noWrap w:val="0"/>
            <w:vAlign w:val="center"/>
          </w:tcPr>
          <w:p>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新建（迁建）</w:t>
            </w:r>
          </w:p>
          <w:p>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改建</w:t>
            </w:r>
          </w:p>
          <w:p>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扩建</w:t>
            </w:r>
          </w:p>
          <w:p>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技术改造</w:t>
            </w:r>
          </w:p>
        </w:tc>
        <w:tc>
          <w:tcPr>
            <w:tcW w:w="1879"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建设项目</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申报情形</w:t>
            </w:r>
          </w:p>
        </w:tc>
        <w:tc>
          <w:tcPr>
            <w:tcW w:w="2990" w:type="dxa"/>
            <w:noWrap w:val="0"/>
            <w:vAlign w:val="center"/>
          </w:tcPr>
          <w:p>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首次申报项目</w:t>
            </w:r>
          </w:p>
          <w:p>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□不予批准后再次申报项目</w:t>
            </w:r>
          </w:p>
          <w:p>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超五年重新审核项目</w:t>
            </w:r>
          </w:p>
          <w:p>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83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项目审批（核准/备案）部门（选填）</w:t>
            </w:r>
          </w:p>
        </w:tc>
        <w:tc>
          <w:tcPr>
            <w:tcW w:w="2162" w:type="dxa"/>
            <w:noWrap w:val="0"/>
            <w:vAlign w:val="center"/>
          </w:tcPr>
          <w:p>
            <w:pPr>
              <w:adjustRightInd w:val="0"/>
              <w:snapToGrid w:val="0"/>
              <w:jc w:val="center"/>
              <w:rPr>
                <w:rFonts w:hint="default" w:ascii="Times New Roman" w:hAnsi="Times New Roman" w:cs="Times New Roman"/>
                <w:color w:val="auto"/>
                <w:sz w:val="24"/>
                <w:szCs w:val="24"/>
                <w:lang w:val="en-US"/>
              </w:rPr>
            </w:pPr>
            <w:r>
              <w:rPr>
                <w:rFonts w:hint="default" w:ascii="Times New Roman" w:hAnsi="Times New Roman" w:cs="Times New Roman"/>
                <w:color w:val="auto"/>
                <w:sz w:val="24"/>
                <w:szCs w:val="24"/>
                <w:lang w:val="en-US"/>
              </w:rPr>
              <w:t>且末县商务和工业信息化局</w:t>
            </w:r>
          </w:p>
        </w:tc>
        <w:tc>
          <w:tcPr>
            <w:tcW w:w="1879"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项目审批（核准/</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备案）文号（选填）</w:t>
            </w:r>
          </w:p>
        </w:tc>
        <w:tc>
          <w:tcPr>
            <w:tcW w:w="2990" w:type="dxa"/>
            <w:noWrap w:val="0"/>
            <w:vAlign w:val="center"/>
          </w:tcPr>
          <w:p>
            <w:pPr>
              <w:adjustRightInd w:val="0"/>
              <w:snapToGrid w:val="0"/>
              <w:jc w:val="center"/>
              <w:rPr>
                <w:rFonts w:hint="default" w:ascii="Times New Roman" w:hAnsi="Times New Roman" w:cs="Times New Roman"/>
                <w:color w:val="auto"/>
                <w:sz w:val="24"/>
                <w:szCs w:val="24"/>
                <w:lang w:val="en-US"/>
              </w:rPr>
            </w:pPr>
            <w:r>
              <w:rPr>
                <w:rFonts w:hint="default" w:ascii="Times New Roman" w:hAnsi="Times New Roman" w:cs="Times New Roman"/>
                <w:color w:val="auto"/>
                <w:sz w:val="24"/>
                <w:szCs w:val="24"/>
                <w:lang w:val="en-US"/>
              </w:rPr>
              <w:t>且商工技改-202501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3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总投资（万元）</w:t>
            </w:r>
          </w:p>
        </w:tc>
        <w:tc>
          <w:tcPr>
            <w:tcW w:w="2162"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1000</w:t>
            </w:r>
          </w:p>
        </w:tc>
        <w:tc>
          <w:tcPr>
            <w:tcW w:w="187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环保投资（万元）</w:t>
            </w:r>
          </w:p>
        </w:tc>
        <w:tc>
          <w:tcPr>
            <w:tcW w:w="2990" w:type="dxa"/>
            <w:noWrap w:val="0"/>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70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3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环保投资占比（%）</w:t>
            </w:r>
          </w:p>
        </w:tc>
        <w:tc>
          <w:tcPr>
            <w:tcW w:w="2162" w:type="dxa"/>
            <w:noWrap w:val="0"/>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7</w:t>
            </w:r>
          </w:p>
        </w:tc>
        <w:tc>
          <w:tcPr>
            <w:tcW w:w="187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施工工期</w:t>
            </w:r>
          </w:p>
        </w:tc>
        <w:tc>
          <w:tcPr>
            <w:tcW w:w="2990"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6个月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38" w:hRule="atLeast"/>
          <w:jc w:val="center"/>
        </w:trPr>
        <w:tc>
          <w:tcPr>
            <w:tcW w:w="183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是否开工建设</w:t>
            </w:r>
          </w:p>
        </w:tc>
        <w:tc>
          <w:tcPr>
            <w:tcW w:w="2162" w:type="dxa"/>
            <w:noWrap w:val="0"/>
            <w:vAlign w:val="center"/>
          </w:tcPr>
          <w:p>
            <w:pPr>
              <w:adjustRightInd w:val="0"/>
              <w:snapToGrid w:val="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否</w:t>
            </w:r>
          </w:p>
          <w:p>
            <w:pPr>
              <w:adjustRightInd w:val="0"/>
              <w:snapToGrid w:val="0"/>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是：</w:t>
            </w:r>
            <w:r>
              <w:rPr>
                <w:rFonts w:hint="default" w:ascii="Times New Roman" w:hAnsi="Times New Roman" w:cs="Times New Roman"/>
                <w:color w:val="auto"/>
                <w:sz w:val="24"/>
                <w:szCs w:val="24"/>
                <w:highlight w:val="none"/>
              </w:rPr>
              <w:t>项目于2026年1月开工建设</w:t>
            </w:r>
            <w:r>
              <w:rPr>
                <w:rFonts w:hint="default" w:ascii="Times New Roman" w:hAnsi="Times New Roman" w:cs="Times New Roman"/>
                <w:color w:val="auto"/>
                <w:sz w:val="24"/>
                <w:szCs w:val="24"/>
                <w:highlight w:val="none"/>
                <w:lang w:eastAsia="zh-CN"/>
              </w:rPr>
              <w:t>，截至目前，彩钢结构厂房已建成，设备尚未安装完成</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项目已于2026年5月停工。生态环境主管部门</w:t>
            </w:r>
            <w:r>
              <w:rPr>
                <w:rFonts w:hint="default" w:ascii="Times New Roman" w:hAnsi="Times New Roman" w:cs="Times New Roman"/>
                <w:color w:val="auto"/>
                <w:sz w:val="24"/>
                <w:szCs w:val="24"/>
                <w:highlight w:val="none"/>
                <w:lang w:eastAsia="zh-CN"/>
              </w:rPr>
              <w:t>正在履行处罚及核查程序</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详见未批先建整改情况专节</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w:t>
            </w:r>
          </w:p>
        </w:tc>
        <w:tc>
          <w:tcPr>
            <w:tcW w:w="187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用地（用海）</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pacing w:val="-6"/>
                <w:sz w:val="24"/>
                <w:szCs w:val="24"/>
              </w:rPr>
              <w:t>面积（m</w:t>
            </w:r>
            <w:r>
              <w:rPr>
                <w:rFonts w:hint="default" w:ascii="Times New Roman" w:hAnsi="Times New Roman" w:cs="Times New Roman"/>
                <w:color w:val="auto"/>
                <w:spacing w:val="-6"/>
                <w:sz w:val="24"/>
                <w:szCs w:val="24"/>
                <w:vertAlign w:val="superscript"/>
              </w:rPr>
              <w:t>2</w:t>
            </w:r>
            <w:r>
              <w:rPr>
                <w:rFonts w:hint="default" w:ascii="Times New Roman" w:hAnsi="Times New Roman" w:cs="Times New Roman"/>
                <w:color w:val="auto"/>
                <w:spacing w:val="-6"/>
                <w:sz w:val="24"/>
                <w:szCs w:val="24"/>
              </w:rPr>
              <w:t>）</w:t>
            </w:r>
          </w:p>
        </w:tc>
        <w:tc>
          <w:tcPr>
            <w:tcW w:w="2990"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en-US" w:eastAsia="zh-CN"/>
              </w:rPr>
              <w:t>（不新增占地）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39" w:type="dxa"/>
            <w:noWrap w:val="0"/>
            <w:vAlign w:val="center"/>
          </w:tcPr>
          <w:p>
            <w:pPr>
              <w:autoSpaceDE w:val="0"/>
              <w:autoSpaceDN w:val="0"/>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专项评价设置情况</w:t>
            </w:r>
          </w:p>
        </w:tc>
        <w:tc>
          <w:tcPr>
            <w:tcW w:w="7031" w:type="dxa"/>
            <w:gridSpan w:val="3"/>
            <w:noWrap w:val="0"/>
            <w:vAlign w:val="center"/>
          </w:tcPr>
          <w:p>
            <w:pPr>
              <w:autoSpaceDE w:val="0"/>
              <w:autoSpaceDN w:val="0"/>
              <w:adjustRightInd w:val="0"/>
              <w:snapToGrid w:val="0"/>
              <w:jc w:val="center"/>
              <w:rPr>
                <w:rFonts w:hint="default" w:ascii="Times New Roman" w:hAnsi="Times New Roman" w:eastAsia="宋体" w:cs="Times New Roman"/>
                <w:color w:val="auto"/>
                <w:kern w:val="0"/>
                <w:sz w:val="24"/>
                <w:szCs w:val="24"/>
                <w:lang w:eastAsia="zh-CN"/>
              </w:rPr>
            </w:pPr>
            <w:r>
              <w:rPr>
                <w:rFonts w:hint="default" w:ascii="Times New Roman" w:hAnsi="Times New Roman" w:cs="Times New Roman"/>
                <w:color w:val="auto"/>
                <w:kern w:val="0"/>
                <w:sz w:val="24"/>
                <w:szCs w:val="24"/>
                <w:lang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839" w:type="dxa"/>
            <w:noWrap w:val="0"/>
            <w:vAlign w:val="center"/>
          </w:tcPr>
          <w:p>
            <w:pPr>
              <w:autoSpaceDE w:val="0"/>
              <w:autoSpaceDN w:val="0"/>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规划情况</w:t>
            </w:r>
          </w:p>
        </w:tc>
        <w:tc>
          <w:tcPr>
            <w:tcW w:w="7031" w:type="dxa"/>
            <w:gridSpan w:val="3"/>
            <w:noWrap w:val="0"/>
            <w:vAlign w:val="center"/>
          </w:tcPr>
          <w:p>
            <w:pPr>
              <w:autoSpaceDE w:val="0"/>
              <w:autoSpaceDN w:val="0"/>
              <w:adjustRightInd w:val="0"/>
              <w:snapToGrid w:val="0"/>
              <w:spacing w:line="360" w:lineRule="auto"/>
              <w:jc w:val="center"/>
              <w:rPr>
                <w:rFonts w:hint="default" w:ascii="Times New Roman" w:hAnsi="Times New Roman" w:eastAsia="宋体" w:cs="Times New Roman"/>
                <w:color w:val="auto"/>
                <w:kern w:val="0"/>
                <w:sz w:val="24"/>
                <w:szCs w:val="24"/>
                <w:highlight w:val="yellow"/>
                <w:lang w:val="en-US" w:eastAsia="zh-CN"/>
              </w:rPr>
            </w:pPr>
            <w:r>
              <w:rPr>
                <w:rFonts w:hint="default" w:ascii="Times New Roman" w:hAnsi="Times New Roman" w:cs="Times New Roman"/>
                <w:color w:val="auto"/>
                <w:kern w:val="0"/>
                <w:sz w:val="24"/>
                <w:szCs w:val="24"/>
                <w:lang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839" w:type="dxa"/>
            <w:noWrap w:val="0"/>
            <w:vAlign w:val="center"/>
          </w:tcPr>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规划环境影响评价情况</w:t>
            </w:r>
          </w:p>
        </w:tc>
        <w:tc>
          <w:tcPr>
            <w:tcW w:w="7031" w:type="dxa"/>
            <w:gridSpan w:val="3"/>
            <w:noWrap w:val="0"/>
            <w:vAlign w:val="center"/>
          </w:tcPr>
          <w:p>
            <w:pPr>
              <w:autoSpaceDE w:val="0"/>
              <w:autoSpaceDN w:val="0"/>
              <w:adjustRightInd w:val="0"/>
              <w:snapToGrid w:val="0"/>
              <w:spacing w:line="360" w:lineRule="auto"/>
              <w:jc w:val="center"/>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39" w:type="dxa"/>
            <w:noWrap w:val="0"/>
            <w:vAlign w:val="center"/>
          </w:tcPr>
          <w:p>
            <w:pPr>
              <w:autoSpaceDE w:val="0"/>
              <w:autoSpaceDN w:val="0"/>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规划及规划环境影响评价符合性分析</w:t>
            </w:r>
          </w:p>
        </w:tc>
        <w:tc>
          <w:tcPr>
            <w:tcW w:w="7031" w:type="dxa"/>
            <w:gridSpan w:val="3"/>
            <w:noWrap w:val="0"/>
            <w:vAlign w:val="center"/>
          </w:tcPr>
          <w:p>
            <w:pPr>
              <w:autoSpaceDE w:val="0"/>
              <w:autoSpaceDN w:val="0"/>
              <w:adjustRightInd w:val="0"/>
              <w:snapToGrid w:val="0"/>
              <w:spacing w:line="360" w:lineRule="auto"/>
              <w:jc w:val="center"/>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39" w:type="dxa"/>
            <w:noWrap w:val="0"/>
            <w:vAlign w:val="center"/>
          </w:tcPr>
          <w:p>
            <w:pPr>
              <w:autoSpaceDE w:val="0"/>
              <w:autoSpaceDN w:val="0"/>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其他符合性分析</w:t>
            </w:r>
          </w:p>
        </w:tc>
        <w:tc>
          <w:tcPr>
            <w:tcW w:w="7031"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color w:val="auto"/>
                <w:sz w:val="24"/>
                <w:szCs w:val="24"/>
                <w:lang w:eastAsia="zh-CN"/>
              </w:rPr>
            </w:pPr>
            <w:r>
              <w:rPr>
                <w:rFonts w:hint="default" w:ascii="Times New Roman" w:hAnsi="Times New Roman" w:eastAsia="宋体" w:cs="Times New Roman"/>
                <w:b/>
                <w:bCs/>
                <w:color w:val="auto"/>
                <w:kern w:val="2"/>
                <w:sz w:val="24"/>
                <w:szCs w:val="24"/>
                <w:lang w:val="en-US" w:eastAsia="zh-CN" w:bidi="ar-SA"/>
              </w:rPr>
              <w:t>1、</w:t>
            </w:r>
            <w:r>
              <w:rPr>
                <w:rFonts w:hint="default" w:ascii="Times New Roman" w:hAnsi="Times New Roman" w:eastAsia="宋体" w:cs="Times New Roman"/>
                <w:b/>
                <w:bCs/>
                <w:color w:val="auto"/>
                <w:sz w:val="24"/>
                <w:szCs w:val="24"/>
                <w:lang w:eastAsia="zh-CN"/>
              </w:rPr>
              <w:t>产业政策符合性</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color w:val="auto"/>
                <w:sz w:val="24"/>
                <w:szCs w:val="32"/>
              </w:rPr>
              <w:t>对照《产业结构调整指导目录（2024年本）》，</w:t>
            </w:r>
            <w:r>
              <w:rPr>
                <w:rFonts w:hint="default" w:ascii="Times New Roman" w:hAnsi="Times New Roman" w:eastAsia="宋体" w:cs="Times New Roman"/>
                <w:color w:val="auto"/>
                <w:sz w:val="24"/>
                <w:szCs w:val="24"/>
                <w:highlight w:val="none"/>
                <w:lang w:val="en-US" w:eastAsia="zh-CN"/>
              </w:rPr>
              <w:t>本项目属于“鼓励类”第四十二项-8、煤矸石、粉煤灰、</w:t>
            </w:r>
            <w:r>
              <w:rPr>
                <w:rFonts w:hint="default" w:ascii="Times New Roman" w:hAnsi="Times New Roman" w:eastAsia="宋体" w:cs="Times New Roman"/>
                <w:b/>
                <w:bCs/>
                <w:color w:val="auto"/>
                <w:sz w:val="24"/>
                <w:szCs w:val="24"/>
                <w:highlight w:val="none"/>
                <w:lang w:val="en-US" w:eastAsia="zh-CN"/>
              </w:rPr>
              <w:t>尾矿</w:t>
            </w:r>
            <w:r>
              <w:rPr>
                <w:rFonts w:hint="default" w:ascii="Times New Roman" w:hAnsi="Times New Roman" w:eastAsia="宋体" w:cs="Times New Roman"/>
                <w:color w:val="auto"/>
                <w:sz w:val="24"/>
                <w:szCs w:val="24"/>
                <w:highlight w:val="none"/>
                <w:lang w:val="en-US" w:eastAsia="zh-CN"/>
              </w:rPr>
              <w:t>（共伴生矿）、冶炼渣、工业副产石膏、赤泥、建筑垃圾等工业废弃物循环利用</w:t>
            </w:r>
            <w:r>
              <w:rPr>
                <w:rFonts w:hint="default" w:ascii="Times New Roman" w:hAnsi="Times New Roman" w:eastAsia="宋体" w:cs="Times New Roman"/>
                <w:color w:val="auto"/>
                <w:sz w:val="24"/>
                <w:szCs w:val="24"/>
                <w:highlight w:val="none"/>
              </w:rPr>
              <w:t>，因此本项目符合国家产业政策。</w:t>
            </w:r>
          </w:p>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2、生态环境分区管控符合性分析</w:t>
            </w:r>
          </w:p>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（1）与《新疆维吾尔自治区生态环境分区管控动态更新成果》的</w:t>
            </w:r>
            <w:r>
              <w:rPr>
                <w:rFonts w:hint="eastAsia" w:cs="Times New Roman"/>
                <w:b/>
                <w:bCs/>
                <w:color w:val="auto"/>
                <w:sz w:val="24"/>
                <w:szCs w:val="24"/>
                <w:lang w:val="en-US" w:eastAsia="zh-CN"/>
              </w:rPr>
              <w:t>符合</w:t>
            </w:r>
            <w:r>
              <w:rPr>
                <w:rFonts w:hint="default" w:ascii="Times New Roman" w:hAnsi="Times New Roman" w:eastAsia="宋体" w:cs="Times New Roman"/>
                <w:b/>
                <w:bCs/>
                <w:color w:val="auto"/>
                <w:sz w:val="24"/>
                <w:szCs w:val="24"/>
                <w:lang w:val="en-US" w:eastAsia="zh-CN"/>
              </w:rPr>
              <w:t>性</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32"/>
                <w:lang w:val="en-US" w:eastAsia="zh-CN"/>
              </w:rPr>
            </w:pPr>
            <w:r>
              <w:rPr>
                <w:rFonts w:hint="default" w:ascii="Times New Roman" w:hAnsi="Times New Roman" w:eastAsia="宋体" w:cs="Times New Roman"/>
                <w:color w:val="auto"/>
                <w:sz w:val="24"/>
                <w:szCs w:val="32"/>
                <w:lang w:val="en-US" w:eastAsia="zh-CN"/>
              </w:rPr>
              <w:t>根据新疆维吾尔自治区生态环境分区管控动态更新成果，新疆维吾尔自治区共划定1777个环境管控单元，分为优先保护单元925个、重点管控单元713个、一般管控单元139个三类，实施分类管控。本项目区位于一般管控单元，单元编号为ZH65282530001。符合性分析内容见表1-1。</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表1-1自治区生态环境分区管控方案动态更新成果</w:t>
            </w:r>
            <w:r>
              <w:rPr>
                <w:rFonts w:hint="eastAsia" w:cs="Times New Roman"/>
                <w:b/>
                <w:bCs w:val="0"/>
                <w:color w:val="auto"/>
                <w:sz w:val="21"/>
                <w:szCs w:val="21"/>
                <w:lang w:val="en-US" w:eastAsia="zh-CN"/>
              </w:rPr>
              <w:t>要求一览表</w:t>
            </w:r>
          </w:p>
          <w:tbl>
            <w:tblPr>
              <w:tblStyle w:val="29"/>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349"/>
              <w:gridCol w:w="715"/>
              <w:gridCol w:w="3292"/>
              <w:gridCol w:w="1836"/>
              <w:gridCol w:w="58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211" w:type="pct"/>
                  <w:gridSpan w:val="3"/>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管控要求</w:t>
                  </w:r>
                </w:p>
              </w:tc>
              <w:tc>
                <w:tcPr>
                  <w:tcW w:w="1353"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w:t>
                  </w:r>
                </w:p>
              </w:tc>
              <w:tc>
                <w:tcPr>
                  <w:tcW w:w="434"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8" w:type="pct"/>
                  <w:vMerge w:val="restar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A1空间布局约束</w:t>
                  </w:r>
                </w:p>
              </w:tc>
              <w:tc>
                <w:tcPr>
                  <w:tcW w:w="527" w:type="pct"/>
                  <w:vMerge w:val="restar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A1.1禁止开发建设的活动</w:t>
                  </w:r>
                </w:p>
              </w:tc>
              <w:tc>
                <w:tcPr>
                  <w:tcW w:w="2424"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【A1.1-1】禁止新建、扩建《产业结构调整指导目录（2024年本）》中淘汰类项目。禁止引入《市场准入负面清单（2022年版）》禁止准入类事项。</w:t>
                  </w:r>
                </w:p>
              </w:tc>
              <w:tc>
                <w:tcPr>
                  <w:tcW w:w="1353"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根据《产业结构调整指导目录（2024年本）》，本项目属于鼓励类项目，符合国家当前产业政策要求；不属于《市场准入负面清单（202</w:t>
                  </w:r>
                  <w:r>
                    <w:rPr>
                      <w:rFonts w:hint="default" w:ascii="Times New Roman" w:hAnsi="Times New Roman" w:eastAsia="宋体"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年版）</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中禁止准入类项目</w:t>
                  </w:r>
                </w:p>
              </w:tc>
              <w:tc>
                <w:tcPr>
                  <w:tcW w:w="434"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8"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p>
              </w:tc>
              <w:tc>
                <w:tcPr>
                  <w:tcW w:w="527"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p>
              </w:tc>
              <w:tc>
                <w:tcPr>
                  <w:tcW w:w="2424"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【A1.1-2】禁止建设不符合国家和自治区环境保护标准的项目。</w:t>
                  </w:r>
                </w:p>
              </w:tc>
              <w:tc>
                <w:tcPr>
                  <w:tcW w:w="1353"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本项目执行标准符合国家和自治区环境保护标准</w:t>
                  </w:r>
                </w:p>
              </w:tc>
              <w:tc>
                <w:tcPr>
                  <w:tcW w:w="434"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8" w:type="pct"/>
                  <w:vMerge w:val="restar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A1空间布局约束</w:t>
                  </w:r>
                </w:p>
              </w:tc>
              <w:tc>
                <w:tcPr>
                  <w:tcW w:w="527" w:type="pct"/>
                  <w:vMerge w:val="restar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A1.1禁止开发建设的活动</w:t>
                  </w:r>
                </w:p>
              </w:tc>
              <w:tc>
                <w:tcPr>
                  <w:tcW w:w="2424"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【A1.1-6】禁止在自治区行政区域内引进能(水)耗不符合相关国家标准中准入值要求且污染物排放和环境风险防控不符合国家(地方)标准及有关产业准入条件的高污染(排放)、高能(水)耗、高环境风险的工业项目。</w:t>
                  </w:r>
                </w:p>
              </w:tc>
              <w:tc>
                <w:tcPr>
                  <w:tcW w:w="1353"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本项目不属于高污染(排放)、高能(水)耗、高环境风险的工业项目。</w:t>
                  </w:r>
                </w:p>
              </w:tc>
              <w:tc>
                <w:tcPr>
                  <w:tcW w:w="434"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8"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p>
              </w:tc>
              <w:tc>
                <w:tcPr>
                  <w:tcW w:w="527"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p>
              </w:tc>
              <w:tc>
                <w:tcPr>
                  <w:tcW w:w="2424"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【A1.1-7】①坚决遏制高耗能高排放低水平项目盲目发展。严把高耗能高排放低水平项目准入关口，严格落实污染物排放区域削减要求，对不符合规定的项目坚决停批停建。依法依规淘汰落后产能和化解过剩产能。</w:t>
                  </w:r>
                </w:p>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②重点行业企业纳入重污染天气绩效分级，制定“一厂一策”应急减排清单，实现应纳尽纳；引导重点企业在秋冬季安排停产检修计划，减少冬季和采暖期排放。推进重点行业深度治理实施全工况脱硫脱硝提标改造，加大无组织排放治理力度，深度开展工业炉窑综合整治，全面提升电解铝、活性炭、硅冶炼、纯碱、电石、聚氯乙烯、石化等行业污染治理水平。</w:t>
                  </w:r>
                </w:p>
              </w:tc>
              <w:tc>
                <w:tcPr>
                  <w:tcW w:w="1353"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本项目不属于高耗能高排放低水平项目。</w:t>
                  </w:r>
                  <w:r>
                    <w:rPr>
                      <w:rFonts w:hint="default" w:ascii="Times New Roman" w:hAnsi="Times New Roman" w:eastAsia="宋体" w:cs="Times New Roman"/>
                      <w:color w:val="auto"/>
                      <w:sz w:val="21"/>
                      <w:szCs w:val="21"/>
                      <w:highlight w:val="none"/>
                      <w:lang w:val="en-US" w:eastAsia="zh-CN"/>
                    </w:rPr>
                    <w:t>尾矿回采及磨矿均为湿法工艺，大气污染物主要为成品装卸、尾矿干滩粉尘。</w:t>
                  </w:r>
                </w:p>
              </w:tc>
              <w:tc>
                <w:tcPr>
                  <w:tcW w:w="434"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8"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p>
              </w:tc>
              <w:tc>
                <w:tcPr>
                  <w:tcW w:w="527" w:type="pct"/>
                  <w:vMerge w:val="restar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A1.2限制开发建设的活动</w:t>
                  </w:r>
                </w:p>
              </w:tc>
              <w:tc>
                <w:tcPr>
                  <w:tcW w:w="2424"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【A1.2-1】严格控制缺水地区、水污染严重区域和敏感区域高耗水高污染行业发展。</w:t>
                  </w:r>
                </w:p>
              </w:tc>
              <w:tc>
                <w:tcPr>
                  <w:tcW w:w="1353"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本项目不属于高耗水高污染项目</w:t>
                  </w:r>
                  <w:r>
                    <w:rPr>
                      <w:rFonts w:hint="default" w:ascii="Times New Roman" w:hAnsi="Times New Roman" w:eastAsia="宋体" w:cs="Times New Roman"/>
                      <w:color w:val="auto"/>
                      <w:sz w:val="21"/>
                      <w:szCs w:val="21"/>
                      <w:highlight w:val="none"/>
                      <w:lang w:eastAsia="zh-CN"/>
                    </w:rPr>
                    <w:t>。</w:t>
                  </w:r>
                </w:p>
              </w:tc>
              <w:tc>
                <w:tcPr>
                  <w:tcW w:w="434"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8"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p>
              </w:tc>
              <w:tc>
                <w:tcPr>
                  <w:tcW w:w="527"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p>
              </w:tc>
              <w:tc>
                <w:tcPr>
                  <w:tcW w:w="2424"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1.2-2】建设项目用地原则上不得占用永久基本农田，确需占用永久基本农田的建设项目须符合《中华人民共和国基本农田保护条例》中相关要求，占用耕地、林地或草地的建设项目须按照国家、自治区相关补偿要求进行补偿。</w:t>
                  </w:r>
                </w:p>
              </w:tc>
              <w:tc>
                <w:tcPr>
                  <w:tcW w:w="1353"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本项目</w:t>
                  </w:r>
                  <w:r>
                    <w:rPr>
                      <w:rFonts w:hint="default" w:ascii="Times New Roman" w:hAnsi="Times New Roman" w:eastAsia="宋体" w:cs="Times New Roman"/>
                      <w:color w:val="auto"/>
                      <w:sz w:val="21"/>
                      <w:szCs w:val="21"/>
                      <w:highlight w:val="none"/>
                      <w:lang w:val="en-US" w:eastAsia="zh-CN"/>
                    </w:rPr>
                    <w:t>为选矿厂扩建项目，</w:t>
                  </w:r>
                  <w:r>
                    <w:rPr>
                      <w:rFonts w:hint="default" w:ascii="Times New Roman" w:hAnsi="Times New Roman" w:eastAsia="宋体" w:cs="Times New Roman"/>
                      <w:color w:val="auto"/>
                      <w:sz w:val="21"/>
                      <w:szCs w:val="21"/>
                      <w:highlight w:val="none"/>
                    </w:rPr>
                    <w:t>用地为工业用地，</w:t>
                  </w:r>
                  <w:r>
                    <w:rPr>
                      <w:rFonts w:hint="default" w:ascii="Times New Roman" w:hAnsi="Times New Roman" w:eastAsia="宋体" w:cs="Times New Roman"/>
                      <w:color w:val="auto"/>
                      <w:sz w:val="21"/>
                      <w:szCs w:val="21"/>
                      <w:highlight w:val="none"/>
                      <w:lang w:val="en-US" w:eastAsia="zh-CN"/>
                    </w:rPr>
                    <w:t>不新增占地，</w:t>
                  </w:r>
                  <w:r>
                    <w:rPr>
                      <w:rFonts w:hint="default" w:ascii="Times New Roman" w:hAnsi="Times New Roman" w:eastAsia="宋体" w:cs="Times New Roman"/>
                      <w:color w:val="auto"/>
                      <w:sz w:val="21"/>
                      <w:szCs w:val="21"/>
                      <w:highlight w:val="none"/>
                    </w:rPr>
                    <w:t>不占用基本农田</w:t>
                  </w:r>
                  <w:r>
                    <w:rPr>
                      <w:rFonts w:hint="default" w:ascii="Times New Roman" w:hAnsi="Times New Roman" w:eastAsia="宋体" w:cs="Times New Roman"/>
                      <w:color w:val="auto"/>
                      <w:sz w:val="21"/>
                      <w:szCs w:val="21"/>
                      <w:highlight w:val="none"/>
                      <w:lang w:eastAsia="zh-CN"/>
                    </w:rPr>
                    <w:t>。</w:t>
                  </w:r>
                </w:p>
              </w:tc>
              <w:tc>
                <w:tcPr>
                  <w:tcW w:w="434"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8"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p>
              </w:tc>
              <w:tc>
                <w:tcPr>
                  <w:tcW w:w="527"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p>
              </w:tc>
              <w:tc>
                <w:tcPr>
                  <w:tcW w:w="2424"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【A1.3-2】对不符合国家产业政策、严重污染水环境的生产项目全部予以取缔。</w:t>
                  </w:r>
                </w:p>
              </w:tc>
              <w:tc>
                <w:tcPr>
                  <w:tcW w:w="1353"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本项目不属于严重污染水环境的生产项目</w:t>
                  </w:r>
                  <w:r>
                    <w:rPr>
                      <w:rFonts w:hint="default" w:ascii="Times New Roman" w:hAnsi="Times New Roman" w:eastAsia="宋体" w:cs="Times New Roman"/>
                      <w:color w:val="auto"/>
                      <w:sz w:val="21"/>
                      <w:szCs w:val="21"/>
                      <w:highlight w:val="none"/>
                      <w:lang w:eastAsia="zh-CN"/>
                    </w:rPr>
                    <w:t>。</w:t>
                  </w:r>
                </w:p>
              </w:tc>
              <w:tc>
                <w:tcPr>
                  <w:tcW w:w="434"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8"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p>
              </w:tc>
              <w:tc>
                <w:tcPr>
                  <w:tcW w:w="527"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A1.4其它布局要求</w:t>
                  </w:r>
                </w:p>
              </w:tc>
              <w:tc>
                <w:tcPr>
                  <w:tcW w:w="2424"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1.4-1】一切开发建设活动应符合国家、自治区主体功能区规划自治区和各地颁布实施的生态环境功能区划、国民经济发展规划、产业发展规划、国土空间规划等相关规划及重点生态功能区负面清单要求，符合区域或产业规划环评要求。</w:t>
                  </w:r>
                </w:p>
              </w:tc>
              <w:tc>
                <w:tcPr>
                  <w:tcW w:w="1353"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本项目与区域主体功能区划目标相协调，符合规划及规划环评要求</w:t>
                  </w:r>
                  <w:r>
                    <w:rPr>
                      <w:rFonts w:hint="default" w:ascii="Times New Roman" w:hAnsi="Times New Roman" w:eastAsia="宋体" w:cs="Times New Roman"/>
                      <w:color w:val="auto"/>
                      <w:sz w:val="21"/>
                      <w:szCs w:val="21"/>
                      <w:highlight w:val="none"/>
                      <w:lang w:eastAsia="zh-CN"/>
                    </w:rPr>
                    <w:t>。</w:t>
                  </w:r>
                </w:p>
              </w:tc>
              <w:tc>
                <w:tcPr>
                  <w:tcW w:w="434"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8" w:type="pct"/>
                  <w:vMerge w:val="restar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A2污染物排放管控</w:t>
                  </w:r>
                </w:p>
              </w:tc>
              <w:tc>
                <w:tcPr>
                  <w:tcW w:w="527" w:type="pct"/>
                  <w:vMerge w:val="restar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A2.1污染物削减/替代要求</w:t>
                  </w:r>
                </w:p>
              </w:tc>
              <w:tc>
                <w:tcPr>
                  <w:tcW w:w="2424"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2.1-1】新、改、扩建重点行业建设项目应符合“三线一单”、产业政策、区域环评、规划环评和行业环境准入管控要求。重点区域的新、改、扩建重点行业建设项目应遵循重点重金属污染物排放“减量替代”原则。</w:t>
                  </w:r>
                </w:p>
              </w:tc>
              <w:tc>
                <w:tcPr>
                  <w:tcW w:w="1353"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本项目符合“三线一单”、产业政策和行业环境准入管控要求。</w:t>
                  </w:r>
                </w:p>
              </w:tc>
              <w:tc>
                <w:tcPr>
                  <w:tcW w:w="434"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8"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p>
              </w:tc>
              <w:tc>
                <w:tcPr>
                  <w:tcW w:w="527"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p>
              </w:tc>
              <w:tc>
                <w:tcPr>
                  <w:tcW w:w="2424"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【A2.2-4】强化用水定额管理。推进地下水超采综合治理。开展河湖生态流量</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水量</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确定工作，强化生态用水保障。</w:t>
                  </w:r>
                </w:p>
              </w:tc>
              <w:tc>
                <w:tcPr>
                  <w:tcW w:w="1353"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w:t>
                  </w:r>
                  <w:r>
                    <w:rPr>
                      <w:rFonts w:hint="default" w:ascii="Times New Roman" w:hAnsi="Times New Roman" w:eastAsia="宋体" w:cs="Times New Roman"/>
                      <w:color w:val="auto"/>
                      <w:sz w:val="21"/>
                      <w:szCs w:val="21"/>
                      <w:highlight w:val="none"/>
                      <w:lang w:val="en-US" w:eastAsia="zh-CN"/>
                    </w:rPr>
                    <w:t>用水依托选矿厂现有供水设施，选矿厂用水来源于喀拉米兰河，不取用地下水。</w:t>
                  </w:r>
                </w:p>
              </w:tc>
              <w:tc>
                <w:tcPr>
                  <w:tcW w:w="434"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8"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p>
              </w:tc>
              <w:tc>
                <w:tcPr>
                  <w:tcW w:w="527"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A2.2污染控制措施要求</w:t>
                  </w:r>
                </w:p>
              </w:tc>
              <w:tc>
                <w:tcPr>
                  <w:tcW w:w="2424"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2.2-6】推进地表水与地下水协同防治。以傍河型地下水饮用水水源为重点，防范受污染河段侧渗和垂直补给对地下水污染。加强化学品生产企业、工业聚集区、矿山开采区等污染源的地表、地下协同防治与环境风险管控。加强工业污染防治。推动重点行业、重点企业绿色发展，严格落实水污染物排放标准和排污许可制度。加强农副食品加工、化工、印染、棉浆粕、粘胶纤维、制糖等企业综合治理和清洁化改造。支持企业积极实施节水技术改造，加强工业园区污水集中处理设施运行管理，加快再生水回用设施建设，提升园区水资源循环利用水平。</w:t>
                  </w:r>
                </w:p>
              </w:tc>
              <w:tc>
                <w:tcPr>
                  <w:tcW w:w="1353"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w:t>
                  </w:r>
                  <w:r>
                    <w:rPr>
                      <w:rFonts w:hint="default" w:ascii="Times New Roman" w:hAnsi="Times New Roman" w:eastAsia="宋体" w:cs="Times New Roman"/>
                      <w:color w:val="auto"/>
                      <w:sz w:val="21"/>
                      <w:szCs w:val="21"/>
                      <w:highlight w:val="none"/>
                      <w:lang w:val="en-US" w:eastAsia="zh-CN"/>
                    </w:rPr>
                    <w:t>不涉及矿山开采，厂区采取分区防渗，</w:t>
                  </w:r>
                  <w:r>
                    <w:rPr>
                      <w:rFonts w:hint="default" w:ascii="Times New Roman" w:hAnsi="Times New Roman" w:eastAsia="宋体" w:cs="Times New Roman"/>
                      <w:color w:val="auto"/>
                      <w:sz w:val="21"/>
                      <w:szCs w:val="21"/>
                      <w:highlight w:val="none"/>
                    </w:rPr>
                    <w:t>选矿工艺废水实现“闭路循环”，</w:t>
                  </w:r>
                  <w:r>
                    <w:rPr>
                      <w:rFonts w:hint="default" w:ascii="Times New Roman" w:hAnsi="Times New Roman" w:eastAsia="宋体" w:cs="Times New Roman"/>
                      <w:color w:val="auto"/>
                      <w:sz w:val="21"/>
                      <w:szCs w:val="21"/>
                      <w:highlight w:val="none"/>
                      <w:lang w:val="en-US" w:eastAsia="zh-CN"/>
                    </w:rPr>
                    <w:t>不外排，与南侧地表水无水力联系。</w:t>
                  </w:r>
                </w:p>
              </w:tc>
              <w:tc>
                <w:tcPr>
                  <w:tcW w:w="434"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8" w:type="pct"/>
                  <w:vMerge w:val="restar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A3环境风险防控</w:t>
                  </w:r>
                </w:p>
              </w:tc>
              <w:tc>
                <w:tcPr>
                  <w:tcW w:w="527" w:type="pct"/>
                  <w:vMerge w:val="restar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A3.2</w:t>
                  </w: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联防联控要求</w:t>
                  </w:r>
                </w:p>
              </w:tc>
              <w:tc>
                <w:tcPr>
                  <w:tcW w:w="2424"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3.2-4】加强环境风险预警防控。加强涉危险物企业、涉重金属企业、化工园区、集中式饮用水水源地及重点流域环境风险调查评估，实施分类分级风险管控，协同推进重点区域、流域生态环境污染综合防治、风险防控与生态修复。</w:t>
                  </w:r>
                </w:p>
              </w:tc>
              <w:tc>
                <w:tcPr>
                  <w:tcW w:w="1353" w:type="pct"/>
                  <w:vMerge w:val="restar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本项目已提出一系列环境风险防范措施及应急要求，本项目将</w:t>
                  </w:r>
                  <w:r>
                    <w:rPr>
                      <w:rFonts w:hint="default" w:ascii="Times New Roman" w:hAnsi="Times New Roman" w:eastAsia="宋体" w:cs="Times New Roman"/>
                      <w:color w:val="auto"/>
                      <w:sz w:val="21"/>
                      <w:szCs w:val="21"/>
                      <w:highlight w:val="none"/>
                      <w:lang w:val="en-US" w:eastAsia="zh-CN"/>
                    </w:rPr>
                    <w:t>修编</w:t>
                  </w:r>
                  <w:r>
                    <w:rPr>
                      <w:rFonts w:hint="default" w:ascii="Times New Roman" w:hAnsi="Times New Roman" w:eastAsia="宋体" w:cs="Times New Roman"/>
                      <w:color w:val="auto"/>
                      <w:sz w:val="21"/>
                      <w:szCs w:val="21"/>
                      <w:highlight w:val="none"/>
                    </w:rPr>
                    <w:t>应急预案，后续将按照应急预案内容进行应急演练，逐步提高应急演练范围与级别，出现风险事故时能够及时应对</w:t>
                  </w:r>
                  <w:r>
                    <w:rPr>
                      <w:rFonts w:hint="default" w:ascii="Times New Roman" w:hAnsi="Times New Roman" w:cs="Times New Roman"/>
                      <w:color w:val="auto"/>
                      <w:sz w:val="21"/>
                      <w:szCs w:val="21"/>
                      <w:highlight w:val="none"/>
                      <w:lang w:val="en-US" w:eastAsia="zh-CN"/>
                    </w:rPr>
                    <w:t>。</w:t>
                  </w:r>
                </w:p>
              </w:tc>
              <w:tc>
                <w:tcPr>
                  <w:tcW w:w="434"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8"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p>
              </w:tc>
              <w:tc>
                <w:tcPr>
                  <w:tcW w:w="527"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p>
              </w:tc>
              <w:tc>
                <w:tcPr>
                  <w:tcW w:w="2424"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tc>
              <w:tc>
                <w:tcPr>
                  <w:tcW w:w="1353" w:type="pct"/>
                  <w:vMerge w:val="continue"/>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p>
              </w:tc>
              <w:tc>
                <w:tcPr>
                  <w:tcW w:w="434"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8" w:type="pct"/>
                  <w:vMerge w:val="restar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A4资源利用要求</w:t>
                  </w:r>
                </w:p>
              </w:tc>
              <w:tc>
                <w:tcPr>
                  <w:tcW w:w="527" w:type="pct"/>
                  <w:vMerge w:val="restar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A4.1</w:t>
                  </w: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水资源</w:t>
                  </w:r>
                </w:p>
              </w:tc>
              <w:tc>
                <w:tcPr>
                  <w:tcW w:w="2424"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【A4.1-1】自治区用水总量2025年、2030年控制在国家下达的指标内。</w:t>
                  </w:r>
                </w:p>
              </w:tc>
              <w:tc>
                <w:tcPr>
                  <w:tcW w:w="1353"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本项目选矿工艺废水实现“闭路循环”，提高了资源利用率。</w:t>
                  </w:r>
                </w:p>
              </w:tc>
              <w:tc>
                <w:tcPr>
                  <w:tcW w:w="434"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8"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p>
              </w:tc>
              <w:tc>
                <w:tcPr>
                  <w:tcW w:w="527"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p>
              </w:tc>
              <w:tc>
                <w:tcPr>
                  <w:tcW w:w="2424"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【A4.1-3】地下水资源利用实行总量控制和水位控制。取用地下水资源，应当按照国家和自治区有关规定申请取水许可。地下水利用应当以浅层地下水为主。</w:t>
                  </w:r>
                </w:p>
              </w:tc>
              <w:tc>
                <w:tcPr>
                  <w:tcW w:w="1353"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w:t>
                  </w:r>
                  <w:r>
                    <w:rPr>
                      <w:rFonts w:hint="default" w:ascii="Times New Roman" w:hAnsi="Times New Roman" w:eastAsia="宋体" w:cs="Times New Roman"/>
                      <w:color w:val="auto"/>
                      <w:sz w:val="21"/>
                      <w:szCs w:val="21"/>
                      <w:highlight w:val="none"/>
                      <w:lang w:val="en-US" w:eastAsia="zh-CN"/>
                    </w:rPr>
                    <w:t>用水依托选矿厂现有供水设施，选矿厂用水来源于喀拉米兰河，不取用地下水。</w:t>
                  </w:r>
                </w:p>
              </w:tc>
              <w:tc>
                <w:tcPr>
                  <w:tcW w:w="434"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8"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p>
              </w:tc>
              <w:tc>
                <w:tcPr>
                  <w:tcW w:w="527"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A4.2土地资源</w:t>
                  </w:r>
                </w:p>
              </w:tc>
              <w:tc>
                <w:tcPr>
                  <w:tcW w:w="2424"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【A4.2-1】土地资源上线指标控制在最终批复的国土空间规划控制指标内。</w:t>
                  </w:r>
                </w:p>
              </w:tc>
              <w:tc>
                <w:tcPr>
                  <w:tcW w:w="1353"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w:t>
                  </w:r>
                  <w:r>
                    <w:rPr>
                      <w:rFonts w:hint="default" w:ascii="Times New Roman" w:hAnsi="Times New Roman" w:eastAsia="宋体" w:cs="Times New Roman"/>
                      <w:color w:val="auto"/>
                      <w:sz w:val="21"/>
                      <w:szCs w:val="21"/>
                      <w:highlight w:val="none"/>
                      <w:lang w:val="en-US" w:eastAsia="zh-CN"/>
                    </w:rPr>
                    <w:t>利用厂区内空地建设，</w:t>
                  </w:r>
                  <w:r>
                    <w:rPr>
                      <w:rFonts w:hint="default" w:ascii="Times New Roman" w:hAnsi="Times New Roman" w:eastAsia="宋体" w:cs="Times New Roman"/>
                      <w:color w:val="auto"/>
                      <w:sz w:val="21"/>
                      <w:szCs w:val="21"/>
                      <w:highlight w:val="none"/>
                    </w:rPr>
                    <w:t>对土地资源占用较少，土地资源消耗符合要求</w:t>
                  </w:r>
                </w:p>
              </w:tc>
              <w:tc>
                <w:tcPr>
                  <w:tcW w:w="434"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8"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p>
              </w:tc>
              <w:tc>
                <w:tcPr>
                  <w:tcW w:w="527" w:type="pct"/>
                  <w:vMerge w:val="restar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A4.5资源综合利用</w:t>
                  </w:r>
                </w:p>
              </w:tc>
              <w:tc>
                <w:tcPr>
                  <w:tcW w:w="2424"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4.5-1】加强固体废物源头减量、资源化利用和无害化处置，最大限度减少填埋量。推进工业固体废物精细化、名录化环境管理，促进大宗工业固废综合利用、主要农业废弃物全量利用。加快构建废旧物资回收和循环利用体系，健全强制报废制度和废旧家电、消费电子等耐用消费品回收处理体系，推行生产企业“逆向回收”模式。以尾矿和共伴生矿、煤矸石、炉渣、粉煤灰、脱硫石膏、冶炼渣、建筑垃圾等为重点，持续推进固体废物综合利用和环境整治不断提高大宗固体废物资源化利用水平。推行生活垃圾分类，加快建设县</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市</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生活垃圾处理设施，到2025年，全疆城市生活垃圾无害化处理率达到99%以上。</w:t>
                  </w:r>
                </w:p>
              </w:tc>
              <w:tc>
                <w:tcPr>
                  <w:tcW w:w="1353" w:type="pct"/>
                  <w:vMerge w:val="restar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w:t>
                  </w:r>
                  <w:r>
                    <w:rPr>
                      <w:rFonts w:hint="default" w:ascii="Times New Roman" w:hAnsi="Times New Roman" w:eastAsia="宋体" w:cs="Times New Roman"/>
                      <w:color w:val="auto"/>
                      <w:sz w:val="21"/>
                      <w:szCs w:val="21"/>
                      <w:highlight w:val="none"/>
                      <w:lang w:val="en-US" w:eastAsia="zh-CN"/>
                    </w:rPr>
                    <w:t>为尾矿回采提取金精矿项目，</w:t>
                  </w:r>
                  <w:r>
                    <w:rPr>
                      <w:rFonts w:hint="default" w:ascii="Times New Roman" w:hAnsi="Times New Roman" w:eastAsia="宋体" w:cs="Times New Roman"/>
                      <w:color w:val="auto"/>
                      <w:sz w:val="21"/>
                      <w:szCs w:val="21"/>
                      <w:highlight w:val="none"/>
                    </w:rPr>
                    <w:t>促进</w:t>
                  </w:r>
                  <w:r>
                    <w:rPr>
                      <w:rFonts w:hint="default" w:ascii="Times New Roman" w:hAnsi="Times New Roman" w:eastAsia="宋体" w:cs="Times New Roman"/>
                      <w:color w:val="auto"/>
                      <w:sz w:val="21"/>
                      <w:szCs w:val="21"/>
                      <w:highlight w:val="none"/>
                      <w:lang w:val="en-US" w:eastAsia="zh-CN"/>
                    </w:rPr>
                    <w:t>了</w:t>
                  </w:r>
                  <w:r>
                    <w:rPr>
                      <w:rFonts w:hint="default" w:ascii="Times New Roman" w:hAnsi="Times New Roman" w:eastAsia="宋体" w:cs="Times New Roman"/>
                      <w:color w:val="auto"/>
                      <w:sz w:val="21"/>
                      <w:szCs w:val="21"/>
                      <w:highlight w:val="none"/>
                    </w:rPr>
                    <w:t>大宗工业固废综合利用</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提高</w:t>
                  </w:r>
                  <w:r>
                    <w:rPr>
                      <w:rFonts w:hint="default" w:ascii="Times New Roman" w:hAnsi="Times New Roman" w:eastAsia="宋体" w:cs="Times New Roman"/>
                      <w:color w:val="auto"/>
                      <w:sz w:val="21"/>
                      <w:szCs w:val="21"/>
                      <w:highlight w:val="none"/>
                      <w:lang w:val="en-US" w:eastAsia="zh-CN"/>
                    </w:rPr>
                    <w:t>了</w:t>
                  </w:r>
                  <w:r>
                    <w:rPr>
                      <w:rFonts w:hint="default" w:ascii="Times New Roman" w:hAnsi="Times New Roman" w:eastAsia="宋体" w:cs="Times New Roman"/>
                      <w:color w:val="auto"/>
                      <w:sz w:val="21"/>
                      <w:szCs w:val="21"/>
                      <w:highlight w:val="none"/>
                    </w:rPr>
                    <w:t>大宗固体废物资源化利用水平</w:t>
                  </w:r>
                  <w:r>
                    <w:rPr>
                      <w:rFonts w:hint="default" w:ascii="Times New Roman" w:hAnsi="Times New Roman" w:eastAsia="宋体" w:cs="Times New Roman"/>
                      <w:color w:val="auto"/>
                      <w:sz w:val="21"/>
                      <w:szCs w:val="21"/>
                      <w:highlight w:val="none"/>
                      <w:lang w:eastAsia="zh-CN"/>
                    </w:rPr>
                    <w:t>。</w:t>
                  </w:r>
                </w:p>
              </w:tc>
              <w:tc>
                <w:tcPr>
                  <w:tcW w:w="434"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8"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p>
              </w:tc>
              <w:tc>
                <w:tcPr>
                  <w:tcW w:w="527"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p>
              </w:tc>
              <w:tc>
                <w:tcPr>
                  <w:tcW w:w="2424"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【A4.5-2】推动工业固废按元素价值综合开发利用，加快推进尾矿</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共伴生矿</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粉煤灰、煤矸石、冶炼渣、工业副产石膏、赤泥、化工废渣等工业固废在有价组分提取、建材生产、市政设施建设、井下充填、生态修复、土壤治理等领域的规模化利用。着力提升工业固废在生产纤维材料、微晶玻璃、超细化填料、低碳水泥、固废基高性能混凝土、预制件、节能型建筑材料等领域的高值化利用水平。</w:t>
                  </w:r>
                </w:p>
              </w:tc>
              <w:tc>
                <w:tcPr>
                  <w:tcW w:w="1353" w:type="pct"/>
                  <w:vMerge w:val="continue"/>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p>
              </w:tc>
              <w:tc>
                <w:tcPr>
                  <w:tcW w:w="434"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8"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p>
              </w:tc>
              <w:tc>
                <w:tcPr>
                  <w:tcW w:w="527"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p>
              </w:tc>
              <w:tc>
                <w:tcPr>
                  <w:tcW w:w="2424" w:type="pct"/>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4.5-3】结合工业领域减污降碳要求，加快探索钢铁、有色、化工、建材等重点行业工业固体废物减量化路径，全面推行清洁生产全面推进绿色矿山、“无废”矿区建设，推广尾矿等大宗工业固体废物环境友好型井下充填回填，减少尾矿库贮存量。推动大宗工业固体废物在提取有价组分、生产建材、筑路、生态修复、土壤治理等领域的规模化利用。</w:t>
                  </w:r>
                </w:p>
              </w:tc>
              <w:tc>
                <w:tcPr>
                  <w:tcW w:w="1353" w:type="pct"/>
                  <w:vMerge w:val="continue"/>
                  <w:noWrap w:val="0"/>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p>
              </w:tc>
              <w:tc>
                <w:tcPr>
                  <w:tcW w:w="434"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bl>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综上，本项目符合《新疆维吾尔自治区生态环境分区管控动态更新成果》要求。</w:t>
            </w:r>
          </w:p>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（2）与《巴音郭楞蒙古自治州“三线一单”生态环境分区管控动态更新成果（2023年）》符合性</w:t>
            </w:r>
          </w:p>
          <w:p>
            <w:pPr>
              <w:pStyle w:val="78"/>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z w:val="24"/>
                <w:szCs w:val="24"/>
                <w:highlight w:val="none"/>
              </w:rPr>
              <w:t>本项目区位于</w:t>
            </w:r>
            <w:r>
              <w:rPr>
                <w:rFonts w:hint="default" w:ascii="Times New Roman" w:hAnsi="Times New Roman" w:eastAsia="宋体" w:cs="Times New Roman"/>
                <w:color w:val="auto"/>
                <w:sz w:val="24"/>
                <w:szCs w:val="24"/>
                <w:highlight w:val="none"/>
                <w:lang w:val="en-US" w:eastAsia="zh-CN"/>
              </w:rPr>
              <w:t>且末县一般管控单元</w:t>
            </w:r>
            <w:r>
              <w:rPr>
                <w:rFonts w:hint="default" w:ascii="Times New Roman" w:hAnsi="Times New Roman" w:eastAsia="宋体" w:cs="Times New Roman"/>
                <w:color w:val="auto"/>
                <w:sz w:val="24"/>
                <w:szCs w:val="24"/>
                <w:highlight w:val="none"/>
              </w:rPr>
              <w:t>，单元编号为</w:t>
            </w:r>
            <w:r>
              <w:rPr>
                <w:rFonts w:hint="default" w:ascii="Times New Roman" w:hAnsi="Times New Roman" w:eastAsia="宋体" w:cs="Times New Roman"/>
                <w:color w:val="auto"/>
                <w:sz w:val="24"/>
                <w:szCs w:val="24"/>
                <w:highlight w:val="none"/>
                <w:lang w:val="en-US" w:eastAsia="zh-CN"/>
              </w:rPr>
              <w:t>ZH65282530001</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highlight w:val="none"/>
                <w:lang w:val="en-US" w:eastAsia="zh-CN"/>
              </w:rPr>
              <w:t>具体见表1-2与表1-3，具体见附图1项目与巴音郭楞蒙古自治州生态环境管控分区图中位置关系，附图2项目与生态保护红线位置关系分布图。</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表1-2   巴音郭楞蒙古自治州总体管控要求</w:t>
            </w:r>
            <w:r>
              <w:rPr>
                <w:rFonts w:hint="eastAsia" w:cs="Times New Roman"/>
                <w:b/>
                <w:bCs w:val="0"/>
                <w:color w:val="auto"/>
                <w:sz w:val="21"/>
                <w:szCs w:val="21"/>
                <w:lang w:val="en-US" w:eastAsia="zh-CN"/>
              </w:rPr>
              <w:t>一览表</w:t>
            </w:r>
          </w:p>
          <w:tbl>
            <w:tblPr>
              <w:tblStyle w:val="29"/>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28" w:type="dxa"/>
                <w:left w:w="85" w:type="dxa"/>
                <w:bottom w:w="28" w:type="dxa"/>
                <w:right w:w="85" w:type="dxa"/>
              </w:tblCellMar>
            </w:tblPr>
            <w:tblGrid>
              <w:gridCol w:w="599"/>
              <w:gridCol w:w="4078"/>
              <w:gridCol w:w="1561"/>
              <w:gridCol w:w="54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85" w:type="dxa"/>
                  <w:bottom w:w="28" w:type="dxa"/>
                  <w:right w:w="85" w:type="dxa"/>
                </w:tblCellMar>
              </w:tblPrEx>
              <w:trPr>
                <w:trHeight w:val="312" w:hRule="atLeast"/>
                <w:tblHeader/>
                <w:jc w:val="center"/>
              </w:trPr>
              <w:tc>
                <w:tcPr>
                  <w:tcW w:w="442"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管控类别</w:t>
                  </w:r>
                </w:p>
              </w:tc>
              <w:tc>
                <w:tcPr>
                  <w:tcW w:w="3005"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总体管控要求</w:t>
                  </w:r>
                </w:p>
              </w:tc>
              <w:tc>
                <w:tcPr>
                  <w:tcW w:w="1150" w:type="pct"/>
                  <w:noWrap w:val="0"/>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color w:val="auto"/>
                      <w:sz w:val="21"/>
                      <w:szCs w:val="21"/>
                      <w:highlight w:val="none"/>
                      <w:lang w:eastAsia="zh-CN"/>
                    </w:rPr>
                  </w:pPr>
                  <w:r>
                    <w:rPr>
                      <w:rFonts w:hint="default" w:ascii="Times New Roman" w:hAnsi="Times New Roman" w:eastAsia="宋体" w:cs="Times New Roman"/>
                      <w:b/>
                      <w:color w:val="auto"/>
                      <w:sz w:val="21"/>
                      <w:szCs w:val="21"/>
                      <w:highlight w:val="none"/>
                      <w:lang w:val="en-US" w:eastAsia="zh-CN"/>
                    </w:rPr>
                    <w:t>本项目</w:t>
                  </w:r>
                </w:p>
              </w:tc>
              <w:tc>
                <w:tcPr>
                  <w:tcW w:w="401" w:type="pct"/>
                  <w:noWrap w:val="0"/>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符合性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442"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空间布局</w:t>
                  </w: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约束</w:t>
                  </w:r>
                </w:p>
              </w:tc>
              <w:tc>
                <w:tcPr>
                  <w:tcW w:w="3005" w:type="pct"/>
                  <w:noWrap w:val="0"/>
                  <w:vAlign w:val="center"/>
                </w:tcPr>
                <w:p>
                  <w:pPr>
                    <w:keepNext w:val="0"/>
                    <w:keepLines w:val="0"/>
                    <w:suppressLineNumbers w:val="0"/>
                    <w:spacing w:before="0" w:beforeAutospacing="0" w:after="0" w:afterAutospacing="0"/>
                    <w:ind w:left="0" w:right="0"/>
                    <w:jc w:val="left"/>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1.5禁止新建、改建、扩建严重污染大气环境的项目。工业和信息化主管部门应当会同发展和改革、生态环境等部门，根据巴州生态环境局提供的大气监测数据制定工业产业转型升级行动计划和严重污染大气项目退出计划，报本级人民政府批准后向社会公布。对城市建成区大气环境质量造成明显影响的项目，自治州、各县（市）人民政府规定期限内未达到治理要求的项目，应当停产、限期搬迁或者关闭。</w:t>
                  </w:r>
                </w:p>
              </w:tc>
              <w:tc>
                <w:tcPr>
                  <w:tcW w:w="1150" w:type="pct"/>
                  <w:noWrap w:val="0"/>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color w:val="auto"/>
                      <w:sz w:val="21"/>
                      <w:szCs w:val="21"/>
                      <w:highlight w:val="none"/>
                    </w:rPr>
                    <w:t>本项目</w:t>
                  </w:r>
                  <w:r>
                    <w:rPr>
                      <w:rFonts w:hint="default" w:ascii="Times New Roman" w:hAnsi="Times New Roman" w:eastAsia="宋体" w:cs="Times New Roman"/>
                      <w:color w:val="auto"/>
                      <w:sz w:val="21"/>
                      <w:szCs w:val="21"/>
                      <w:highlight w:val="none"/>
                      <w:lang w:val="en-US" w:eastAsia="zh-CN"/>
                    </w:rPr>
                    <w:t>为尾矿</w:t>
                  </w:r>
                  <w:r>
                    <w:rPr>
                      <w:rFonts w:hint="default" w:ascii="Times New Roman" w:hAnsi="Times New Roman" w:cs="Times New Roman"/>
                      <w:color w:val="auto"/>
                      <w:sz w:val="21"/>
                      <w:szCs w:val="21"/>
                      <w:highlight w:val="none"/>
                      <w:lang w:val="en-US" w:eastAsia="zh-CN"/>
                    </w:rPr>
                    <w:t>回采</w:t>
                  </w:r>
                  <w:r>
                    <w:rPr>
                      <w:rFonts w:hint="default" w:ascii="Times New Roman" w:hAnsi="Times New Roman" w:eastAsia="宋体" w:cs="Times New Roman"/>
                      <w:color w:val="auto"/>
                      <w:sz w:val="21"/>
                      <w:szCs w:val="21"/>
                      <w:highlight w:val="none"/>
                      <w:lang w:val="en-US" w:eastAsia="zh-CN"/>
                    </w:rPr>
                    <w:t>精选金矿项目，尾矿回采及磨矿均为湿法工艺，大气污染物主要为成品装卸、尾矿干滩粉尘，不属于严重污染大气环境的项目</w:t>
                  </w:r>
                  <w:r>
                    <w:rPr>
                      <w:rFonts w:hint="default" w:ascii="Times New Roman" w:hAnsi="Times New Roman" w:eastAsia="宋体" w:cs="Times New Roman"/>
                      <w:color w:val="auto"/>
                      <w:sz w:val="21"/>
                      <w:szCs w:val="21"/>
                      <w:highlight w:val="none"/>
                      <w:lang w:eastAsia="zh-CN"/>
                    </w:rPr>
                    <w:t>。</w:t>
                  </w:r>
                </w:p>
              </w:tc>
              <w:tc>
                <w:tcPr>
                  <w:tcW w:w="401" w:type="pct"/>
                  <w:noWrap w:val="0"/>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442" w:type="pct"/>
                  <w:vMerge w:val="restar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污染</w:t>
                  </w: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排放管控</w:t>
                  </w:r>
                </w:p>
              </w:tc>
              <w:tc>
                <w:tcPr>
                  <w:tcW w:w="3005" w:type="pct"/>
                  <w:noWrap w:val="0"/>
                  <w:vAlign w:val="top"/>
                </w:tcPr>
                <w:p>
                  <w:pPr>
                    <w:keepNext w:val="0"/>
                    <w:keepLines w:val="0"/>
                    <w:numPr>
                      <w:ilvl w:val="0"/>
                      <w:numId w:val="0"/>
                    </w:numPr>
                    <w:suppressLineNumbers w:val="0"/>
                    <w:spacing w:before="0" w:beforeAutospacing="0" w:after="0" w:afterAutospacing="0" w:line="240" w:lineRule="auto"/>
                    <w:ind w:left="0" w:right="0"/>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kern w:val="2"/>
                      <w:sz w:val="21"/>
                      <w:szCs w:val="21"/>
                      <w:highlight w:val="none"/>
                      <w:lang w:val="en-US" w:eastAsia="zh-CN" w:bidi="ar-SA"/>
                    </w:rPr>
                    <w:t>2.4</w:t>
                  </w:r>
                  <w:r>
                    <w:rPr>
                      <w:rFonts w:hint="default" w:ascii="Times New Roman" w:hAnsi="Times New Roman" w:eastAsia="宋体" w:cs="Times New Roman"/>
                      <w:bCs/>
                      <w:color w:val="auto"/>
                      <w:sz w:val="21"/>
                      <w:szCs w:val="21"/>
                      <w:highlight w:val="none"/>
                    </w:rPr>
                    <w:t>钢铁、建材、有色金属、石油、化工、制药、矿产开采等企业，应当加强精细化管理，采取集中收集处理等措施，严格控制粉尘和气态污染物的排放。工业生产企业应当采取密闭、围挡、遮盖、清扫、洒水等措施，减少内部物料的堆存、传输、装卸等环节产生的粉尘和气态污染物的排放。</w:t>
                  </w:r>
                </w:p>
              </w:tc>
              <w:tc>
                <w:tcPr>
                  <w:tcW w:w="1150" w:type="pct"/>
                  <w:noWrap w:val="0"/>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szCs w:val="21"/>
                      <w:highlight w:val="none"/>
                      <w:lang w:bidi="en-US"/>
                    </w:rPr>
                  </w:pPr>
                  <w:r>
                    <w:rPr>
                      <w:rFonts w:hint="default" w:ascii="Times New Roman" w:hAnsi="Times New Roman" w:eastAsia="宋体" w:cs="Times New Roman"/>
                      <w:color w:val="auto"/>
                      <w:sz w:val="21"/>
                      <w:szCs w:val="21"/>
                      <w:highlight w:val="none"/>
                      <w:lang w:val="en-US" w:eastAsia="zh-CN"/>
                    </w:rPr>
                    <w:t>运营期粉尘为无组织排放方式，采取洒水降尘等措施</w:t>
                  </w:r>
                  <w:r>
                    <w:rPr>
                      <w:rFonts w:hint="default" w:ascii="Times New Roman" w:hAnsi="Times New Roman" w:eastAsia="宋体" w:cs="Times New Roman"/>
                      <w:color w:val="auto"/>
                      <w:sz w:val="21"/>
                      <w:szCs w:val="21"/>
                      <w:highlight w:val="none"/>
                    </w:rPr>
                    <w:t>。</w:t>
                  </w:r>
                </w:p>
              </w:tc>
              <w:tc>
                <w:tcPr>
                  <w:tcW w:w="401" w:type="pct"/>
                  <w:noWrap w:val="0"/>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szCs w:val="21"/>
                      <w:highlight w:val="none"/>
                      <w:lang w:bidi="en-US"/>
                    </w:rPr>
                  </w:pPr>
                  <w:r>
                    <w:rPr>
                      <w:rFonts w:hint="default" w:ascii="Times New Roman" w:hAnsi="Times New Roman" w:eastAsia="宋体" w:cs="Times New Roman"/>
                      <w:bCs/>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442"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szCs w:val="21"/>
                      <w:highlight w:val="none"/>
                    </w:rPr>
                  </w:pPr>
                </w:p>
              </w:tc>
              <w:tc>
                <w:tcPr>
                  <w:tcW w:w="3005" w:type="pct"/>
                  <w:noWrap w:val="0"/>
                  <w:vAlign w:val="top"/>
                </w:tcPr>
                <w:p>
                  <w:pPr>
                    <w:keepNext w:val="0"/>
                    <w:keepLines w:val="0"/>
                    <w:numPr>
                      <w:ilvl w:val="0"/>
                      <w:numId w:val="0"/>
                    </w:numPr>
                    <w:suppressLineNumbers w:val="0"/>
                    <w:spacing w:before="0" w:beforeAutospacing="0" w:after="0" w:afterAutospacing="0" w:line="240" w:lineRule="auto"/>
                    <w:ind w:left="0" w:right="0"/>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kern w:val="2"/>
                      <w:sz w:val="21"/>
                      <w:szCs w:val="21"/>
                      <w:highlight w:val="none"/>
                      <w:lang w:val="en-US" w:eastAsia="zh-CN" w:bidi="ar-SA"/>
                    </w:rPr>
                    <w:t>2.9</w:t>
                  </w:r>
                  <w:r>
                    <w:rPr>
                      <w:rFonts w:hint="default" w:ascii="Times New Roman" w:hAnsi="Times New Roman" w:eastAsia="宋体" w:cs="Times New Roman"/>
                      <w:bCs/>
                      <w:color w:val="auto"/>
                      <w:sz w:val="21"/>
                      <w:szCs w:val="21"/>
                      <w:highlight w:val="none"/>
                    </w:rPr>
                    <w:t>所有排污单位必须依法实现全面达标排放。逐一排查工业企业排污情况，重点排污单位应按要求安装污染物在线监控设施，达标企业应采取措施确保稳定达标。定期抽查排污单位达标排放情况，结果向社会公布。加大综合惩处和处罚执行力度，建立环保领域非诉案件执行联动配合机制，对行政处罚、行政命令执行情况实施后督察。</w:t>
                  </w:r>
                </w:p>
              </w:tc>
              <w:tc>
                <w:tcPr>
                  <w:tcW w:w="1150"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color w:val="auto"/>
                      <w:sz w:val="21"/>
                      <w:szCs w:val="21"/>
                      <w:highlight w:val="none"/>
                      <w:lang w:val="en-US" w:eastAsia="zh-CN"/>
                    </w:rPr>
                    <w:t>本项目运营期生产废水循环使用不外排，生活污水经现有地埋式一体化生活污水处理设施处理后用于绿化及洒水降尘，不外排，本项目不属于重点排污单位。</w:t>
                  </w:r>
                </w:p>
              </w:tc>
              <w:tc>
                <w:tcPr>
                  <w:tcW w:w="401" w:type="pct"/>
                  <w:noWrap w:val="0"/>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442"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szCs w:val="21"/>
                      <w:highlight w:val="none"/>
                    </w:rPr>
                  </w:pPr>
                </w:p>
              </w:tc>
              <w:tc>
                <w:tcPr>
                  <w:tcW w:w="3005" w:type="pct"/>
                  <w:noWrap w:val="0"/>
                  <w:vAlign w:val="top"/>
                </w:tcPr>
                <w:p>
                  <w:pPr>
                    <w:keepNext w:val="0"/>
                    <w:keepLines w:val="0"/>
                    <w:numPr>
                      <w:ilvl w:val="0"/>
                      <w:numId w:val="0"/>
                    </w:numPr>
                    <w:suppressLineNumbers w:val="0"/>
                    <w:spacing w:before="0" w:beforeAutospacing="0" w:after="0" w:afterAutospacing="0" w:line="240" w:lineRule="auto"/>
                    <w:ind w:left="0" w:right="0"/>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kern w:val="2"/>
                      <w:sz w:val="21"/>
                      <w:szCs w:val="21"/>
                      <w:highlight w:val="none"/>
                      <w:lang w:val="en-US" w:eastAsia="zh-CN" w:bidi="ar-SA"/>
                    </w:rPr>
                    <w:t>2.19</w:t>
                  </w:r>
                  <w:r>
                    <w:rPr>
                      <w:rFonts w:hint="default" w:ascii="Times New Roman" w:hAnsi="Times New Roman" w:eastAsia="宋体" w:cs="Times New Roman"/>
                      <w:bCs/>
                      <w:color w:val="auto"/>
                      <w:sz w:val="21"/>
                      <w:szCs w:val="21"/>
                      <w:highlight w:val="none"/>
                    </w:rPr>
                    <w:t>防控企业污染。结合自治区、自治州耕地保护相关规定以及生态红线、耕地红线等要求，加强项目的立项、环评审核审批和节能评估审查等源头控制措施，严格控制在优先保护类耕地、园地、草地集中区域新建有色金属冶炼、石油加工、化工、焦化、电镀、制革、造纸及纸制品、金属制品、金属冶炼及延压加工、煤炭开采、黑色金属和有色金属矿采选业、非金属矿物采选业、危废治理等土壤环境监管重点行业项目。根据土壤详查结果，现有优先保护类耕地、园地、草地集中区域的相关企业，要制定升级改造计划，采用新技术、新工艺，加快提标升级改造步伐。</w:t>
                  </w:r>
                </w:p>
              </w:tc>
              <w:tc>
                <w:tcPr>
                  <w:tcW w:w="1150" w:type="pct"/>
                  <w:noWrap w:val="0"/>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szCs w:val="21"/>
                      <w:highlight w:val="none"/>
                      <w:lang w:eastAsia="zh-CN" w:bidi="en-US"/>
                    </w:rPr>
                  </w:pPr>
                  <w:r>
                    <w:rPr>
                      <w:rFonts w:hint="default" w:ascii="Times New Roman" w:hAnsi="Times New Roman" w:eastAsia="宋体" w:cs="Times New Roman"/>
                      <w:bCs/>
                      <w:color w:val="auto"/>
                      <w:sz w:val="21"/>
                      <w:szCs w:val="21"/>
                      <w:highlight w:val="none"/>
                    </w:rPr>
                    <w:t>本项目</w:t>
                  </w:r>
                  <w:r>
                    <w:rPr>
                      <w:rFonts w:hint="default" w:ascii="Times New Roman" w:hAnsi="Times New Roman" w:eastAsia="宋体" w:cs="Times New Roman"/>
                      <w:color w:val="auto"/>
                      <w:sz w:val="21"/>
                      <w:szCs w:val="21"/>
                      <w:highlight w:val="none"/>
                      <w:lang w:val="en-US" w:eastAsia="zh-CN"/>
                    </w:rPr>
                    <w:t>占地不涉及</w:t>
                  </w:r>
                  <w:r>
                    <w:rPr>
                      <w:rFonts w:hint="default" w:ascii="Times New Roman" w:hAnsi="Times New Roman" w:eastAsia="宋体" w:cs="Times New Roman"/>
                      <w:color w:val="auto"/>
                      <w:sz w:val="21"/>
                      <w:szCs w:val="21"/>
                      <w:highlight w:val="none"/>
                    </w:rPr>
                    <w:t>优先保护类耕地、园地、草地集中区域</w:t>
                  </w:r>
                  <w:r>
                    <w:rPr>
                      <w:rFonts w:hint="default" w:ascii="Times New Roman" w:hAnsi="Times New Roman" w:eastAsia="宋体" w:cs="Times New Roman"/>
                      <w:color w:val="auto"/>
                      <w:sz w:val="21"/>
                      <w:szCs w:val="21"/>
                      <w:highlight w:val="none"/>
                      <w:lang w:eastAsia="zh-CN"/>
                    </w:rPr>
                    <w:t>。</w:t>
                  </w:r>
                </w:p>
              </w:tc>
              <w:tc>
                <w:tcPr>
                  <w:tcW w:w="401" w:type="pct"/>
                  <w:noWrap w:val="0"/>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szCs w:val="21"/>
                      <w:highlight w:val="none"/>
                      <w:lang w:bidi="en-US"/>
                    </w:rPr>
                  </w:pPr>
                  <w:r>
                    <w:rPr>
                      <w:rFonts w:hint="default" w:ascii="Times New Roman" w:hAnsi="Times New Roman" w:eastAsia="宋体" w:cs="Times New Roman"/>
                      <w:bCs/>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442" w:type="pct"/>
                  <w:vMerge w:val="restar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环境风险</w:t>
                  </w: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防控</w:t>
                  </w:r>
                </w:p>
              </w:tc>
              <w:tc>
                <w:tcPr>
                  <w:tcW w:w="3005" w:type="pct"/>
                  <w:shd w:val="clear" w:color="auto" w:fill="auto"/>
                  <w:noWrap w:val="0"/>
                  <w:vAlign w:val="center"/>
                </w:tcPr>
                <w:p>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3.</w:t>
                  </w:r>
                  <w:r>
                    <w:rPr>
                      <w:rFonts w:hint="default" w:ascii="Times New Roman" w:hAnsi="Times New Roman" w:eastAsia="宋体"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rPr>
                    <w:t>严格环境风险控制。防范环境风险。定期评估沿河流湖库的工业企业、工业集聚区环境和健康风险，加强预案管理，落实防控措施，排除水污染隐患。评估现有化学物质环境和健康风险，根据国家公布的优先控制化学品名录，对高风险化学品生产、使用进行严格限制，并逐步淘汰替代。</w:t>
                  </w:r>
                </w:p>
              </w:tc>
              <w:tc>
                <w:tcPr>
                  <w:tcW w:w="1150" w:type="pct"/>
                  <w:shd w:val="clear" w:color="auto" w:fill="auto"/>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要求</w:t>
                  </w:r>
                  <w:r>
                    <w:rPr>
                      <w:rFonts w:hint="default" w:ascii="Times New Roman" w:hAnsi="Times New Roman" w:eastAsia="宋体" w:cs="Times New Roman"/>
                      <w:color w:val="auto"/>
                      <w:sz w:val="21"/>
                      <w:szCs w:val="21"/>
                      <w:highlight w:val="none"/>
                      <w:lang w:val="en-US" w:eastAsia="zh-CN"/>
                    </w:rPr>
                    <w:t>修编</w:t>
                  </w:r>
                  <w:r>
                    <w:rPr>
                      <w:rFonts w:hint="default" w:ascii="Times New Roman" w:hAnsi="Times New Roman" w:eastAsia="宋体" w:cs="Times New Roman"/>
                      <w:color w:val="auto"/>
                      <w:sz w:val="21"/>
                      <w:szCs w:val="21"/>
                      <w:highlight w:val="none"/>
                    </w:rPr>
                    <w:t>突发环境事件应急预案</w:t>
                  </w:r>
                  <w:r>
                    <w:rPr>
                      <w:rFonts w:hint="default" w:ascii="Times New Roman" w:hAnsi="Times New Roman" w:eastAsia="宋体" w:cs="Times New Roman"/>
                      <w:color w:val="auto"/>
                      <w:sz w:val="21"/>
                      <w:szCs w:val="21"/>
                      <w:highlight w:val="none"/>
                      <w:lang w:eastAsia="zh-CN"/>
                    </w:rPr>
                    <w:t>。环评进行了环境风险分析，给出了风险防范措施。</w:t>
                  </w:r>
                </w:p>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符合要求</w:t>
                  </w:r>
                </w:p>
              </w:tc>
              <w:tc>
                <w:tcPr>
                  <w:tcW w:w="401" w:type="pct"/>
                  <w:noWrap w:val="0"/>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442" w:type="pct"/>
                  <w:vMerge w:val="continue"/>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szCs w:val="21"/>
                      <w:highlight w:val="none"/>
                    </w:rPr>
                  </w:pPr>
                </w:p>
              </w:tc>
              <w:tc>
                <w:tcPr>
                  <w:tcW w:w="3005" w:type="pct"/>
                  <w:noWrap w:val="0"/>
                  <w:vAlign w:val="top"/>
                </w:tcPr>
                <w:p>
                  <w:pPr>
                    <w:keepNext w:val="0"/>
                    <w:keepLines w:val="0"/>
                    <w:numPr>
                      <w:ilvl w:val="0"/>
                      <w:numId w:val="0"/>
                    </w:numPr>
                    <w:suppressLineNumbers w:val="0"/>
                    <w:spacing w:before="0" w:beforeAutospacing="0" w:after="0" w:afterAutospacing="0" w:line="240" w:lineRule="auto"/>
                    <w:ind w:left="0" w:right="0"/>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kern w:val="2"/>
                      <w:sz w:val="21"/>
                      <w:szCs w:val="21"/>
                      <w:highlight w:val="none"/>
                      <w:lang w:val="en-US" w:eastAsia="zh-CN" w:bidi="ar-SA"/>
                    </w:rPr>
                    <w:t>4.2</w:t>
                  </w:r>
                  <w:r>
                    <w:rPr>
                      <w:rFonts w:hint="default" w:ascii="Times New Roman" w:hAnsi="Times New Roman" w:eastAsia="宋体" w:cs="Times New Roman"/>
                      <w:bCs/>
                      <w:color w:val="auto"/>
                      <w:sz w:val="21"/>
                      <w:szCs w:val="21"/>
                      <w:highlight w:val="none"/>
                    </w:rPr>
                    <w:t>促进再生水利用。制定促进再生水利用的政策，以城市及产业集聚区为重点，实施再生水利用工程，完善再生水利用设施，工业生产、城市绿化、道路清扫、车辆冲洗、建筑施工以及生态景观等用水，要优先使用再生水。推进高速公路服务区污水处理和利用。具备使用再生水条件但未充分利用的钢铁、火电、化工、制浆造纸、印染等项目，不得批准其新增取水许可。单体建筑面积超过2万平方米的新建公共建筑应安装建筑中水设施。积极推动其他新建住房安装建筑中水设施。</w:t>
                  </w:r>
                </w:p>
              </w:tc>
              <w:tc>
                <w:tcPr>
                  <w:tcW w:w="1150" w:type="pct"/>
                  <w:noWrap w:val="0"/>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color w:val="auto"/>
                      <w:sz w:val="21"/>
                      <w:szCs w:val="21"/>
                      <w:highlight w:val="none"/>
                    </w:rPr>
                    <w:t>本项目</w:t>
                  </w:r>
                  <w:r>
                    <w:rPr>
                      <w:rFonts w:hint="default" w:ascii="Times New Roman" w:hAnsi="Times New Roman" w:eastAsia="宋体" w:cs="Times New Roman"/>
                      <w:color w:val="auto"/>
                      <w:sz w:val="21"/>
                      <w:szCs w:val="21"/>
                      <w:highlight w:val="none"/>
                      <w:lang w:val="en-US" w:eastAsia="zh-CN"/>
                    </w:rPr>
                    <w:t>选矿废水返回选矿厂循环使用，不外排。</w:t>
                  </w:r>
                </w:p>
              </w:tc>
              <w:tc>
                <w:tcPr>
                  <w:tcW w:w="401" w:type="pct"/>
                  <w:noWrap w:val="0"/>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符合</w:t>
                  </w:r>
                </w:p>
              </w:tc>
            </w:tr>
          </w:tbl>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表1-3    且末县生态环境准入清单</w:t>
            </w:r>
            <w:r>
              <w:rPr>
                <w:rFonts w:hint="eastAsia" w:cs="Times New Roman"/>
                <w:b/>
                <w:bCs w:val="0"/>
                <w:color w:val="auto"/>
                <w:sz w:val="21"/>
                <w:szCs w:val="21"/>
                <w:lang w:val="en-US" w:eastAsia="zh-CN"/>
              </w:rPr>
              <w:t>一览表</w:t>
            </w:r>
          </w:p>
          <w:tbl>
            <w:tblPr>
              <w:tblStyle w:val="29"/>
              <w:tblW w:w="499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26"/>
              <w:gridCol w:w="3476"/>
              <w:gridCol w:w="2153"/>
              <w:gridCol w:w="72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2962" w:type="pct"/>
                  <w:gridSpan w:val="2"/>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管控要求</w:t>
                  </w:r>
                </w:p>
              </w:tc>
              <w:tc>
                <w:tcPr>
                  <w:tcW w:w="1399" w:type="pct"/>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w:t>
                  </w:r>
                </w:p>
              </w:tc>
              <w:tc>
                <w:tcPr>
                  <w:tcW w:w="637" w:type="pct"/>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1" w:hRule="atLeast"/>
                <w:jc w:val="center"/>
              </w:trPr>
              <w:tc>
                <w:tcPr>
                  <w:tcW w:w="301" w:type="pct"/>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rPr>
                    <w:t>空间布局约束</w:t>
                  </w:r>
                </w:p>
              </w:tc>
              <w:tc>
                <w:tcPr>
                  <w:tcW w:w="2661" w:type="pct"/>
                  <w:noWrap w:val="0"/>
                  <w:vAlign w:val="top"/>
                </w:tcPr>
                <w:p>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1.建设项目用地原则上不得占用基本农田，确需占用基本农田的建设项目须符合《中华人民共和国基本农田保护条例》中相关要求，占用耕地、林地或草地的建设项目须按照国家、自治区相关补偿要求进行补偿。</w:t>
                  </w:r>
                </w:p>
                <w:p>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对违反资源环境法律法规、规划，污染环境、破坏生态、乱采滥挖的露天矿山，依法整治；对污染治理不规范的露天矿山，依法责令停产整治，对拒不停产或擅自恢复生产的依法强制关闭；对责任主体灭失的露天矿山，要加强修复绿化、减尘抑尘。</w:t>
                  </w:r>
                </w:p>
                <w:p>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3.永久基本农田集中区域禁止规划新建可能造成土壤污染的建设项目。涉及有毒有害物质可能造成土壤污染的新</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改、扩</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建项目，提出并落实土壤和地下水污染防治要求。</w:t>
                  </w:r>
                </w:p>
                <w:p>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4.严格执行畜禽养殖禁养区规定，根据区域用地和消纳水平，合理确定养殖规模。</w:t>
                  </w:r>
                </w:p>
                <w:p>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5.禁止向沙漠、滩涂、盐碱地、沼泽地等非法排污、倾倒有毒有害物质。</w:t>
                  </w:r>
                </w:p>
                <w:p>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6.禁止利用渗坑、裂隙、溶洞或者采用稀释等方法处置危险废物。</w:t>
                  </w:r>
                </w:p>
                <w:p>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7.金属和非金属矿山采选企业新建、改建、扩建执行《新疆维吾尔自治区重点行业环境准入条件（修订）》相关要求。</w:t>
                  </w:r>
                </w:p>
              </w:tc>
              <w:tc>
                <w:tcPr>
                  <w:tcW w:w="1399" w:type="pct"/>
                  <w:noWrap w:val="0"/>
                  <w:vAlign w:val="center"/>
                </w:tcPr>
                <w:p>
                  <w:pPr>
                    <w:keepNext w:val="0"/>
                    <w:keepLines w:val="0"/>
                    <w:suppressLineNumbers w:val="0"/>
                    <w:adjustRightInd w:val="0"/>
                    <w:snapToGrid w:val="0"/>
                    <w:spacing w:before="0" w:beforeAutospacing="0" w:after="0" w:afterAutospacing="0" w:line="240" w:lineRule="auto"/>
                    <w:ind w:left="0" w:right="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1.本项目未占用基本农田、耕地、林地和草地。</w:t>
                  </w:r>
                </w:p>
                <w:p>
                  <w:pPr>
                    <w:keepNext w:val="0"/>
                    <w:keepLines w:val="0"/>
                    <w:suppressLineNumbers w:val="0"/>
                    <w:adjustRightInd w:val="0"/>
                    <w:snapToGrid w:val="0"/>
                    <w:spacing w:before="0" w:beforeAutospacing="0" w:after="0" w:afterAutospacing="0" w:line="240" w:lineRule="auto"/>
                    <w:ind w:left="0" w:right="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2.本项目无违反资源环境法律法规等情形。</w:t>
                  </w:r>
                </w:p>
                <w:p>
                  <w:pPr>
                    <w:keepNext w:val="0"/>
                    <w:keepLines w:val="0"/>
                    <w:suppressLineNumbers w:val="0"/>
                    <w:adjustRightInd w:val="0"/>
                    <w:snapToGrid w:val="0"/>
                    <w:spacing w:before="0" w:beforeAutospacing="0" w:after="0" w:afterAutospacing="0" w:line="240" w:lineRule="auto"/>
                    <w:ind w:left="0" w:right="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3.本项目不涉及农田。</w:t>
                  </w:r>
                </w:p>
                <w:p>
                  <w:pPr>
                    <w:keepNext w:val="0"/>
                    <w:keepLines w:val="0"/>
                    <w:suppressLineNumbers w:val="0"/>
                    <w:adjustRightInd w:val="0"/>
                    <w:snapToGrid w:val="0"/>
                    <w:spacing w:before="0" w:beforeAutospacing="0" w:after="0" w:afterAutospacing="0" w:line="240" w:lineRule="auto"/>
                    <w:ind w:left="0" w:right="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4.本项目不涉及畜禽养殖。</w:t>
                  </w:r>
                </w:p>
                <w:p>
                  <w:pPr>
                    <w:keepNext w:val="0"/>
                    <w:keepLines w:val="0"/>
                    <w:suppressLineNumbers w:val="0"/>
                    <w:adjustRightInd w:val="0"/>
                    <w:snapToGrid w:val="0"/>
                    <w:spacing w:before="0" w:beforeAutospacing="0" w:after="0" w:afterAutospacing="0" w:line="240" w:lineRule="auto"/>
                    <w:ind w:left="0" w:right="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5.本项目不涉及向沙漠、滩涂、盐碱地、沼泽地等非法排污、倾倒有毒有害物质情形。</w:t>
                  </w:r>
                </w:p>
                <w:p>
                  <w:pPr>
                    <w:keepNext w:val="0"/>
                    <w:keepLines w:val="0"/>
                    <w:suppressLineNumbers w:val="0"/>
                    <w:adjustRightInd w:val="0"/>
                    <w:snapToGrid w:val="0"/>
                    <w:spacing w:before="0" w:beforeAutospacing="0" w:after="0" w:afterAutospacing="0" w:line="240" w:lineRule="auto"/>
                    <w:ind w:left="0" w:right="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6.本项目不涉及利用渗坑、裂隙、溶洞或者采用稀释等方法处置危险废物等情形。</w:t>
                  </w:r>
                </w:p>
                <w:p>
                  <w:pPr>
                    <w:keepNext w:val="0"/>
                    <w:keepLines w:val="0"/>
                    <w:suppressLineNumbers w:val="0"/>
                    <w:adjustRightInd w:val="0"/>
                    <w:snapToGrid w:val="0"/>
                    <w:spacing w:before="0" w:beforeAutospacing="0" w:after="0" w:afterAutospacing="0" w:line="320" w:lineRule="exact"/>
                    <w:ind w:left="0" w:right="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7.本项目</w:t>
                  </w:r>
                  <w:r>
                    <w:rPr>
                      <w:rFonts w:hint="default" w:ascii="Times New Roman" w:hAnsi="Times New Roman" w:eastAsia="宋体" w:cs="Times New Roman"/>
                      <w:color w:val="auto"/>
                      <w:sz w:val="21"/>
                      <w:szCs w:val="21"/>
                      <w:highlight w:val="none"/>
                      <w:lang w:val="en-US" w:eastAsia="zh-CN"/>
                    </w:rPr>
                    <w:t>符合</w:t>
                  </w:r>
                  <w:r>
                    <w:rPr>
                      <w:rFonts w:hint="default" w:ascii="Times New Roman" w:hAnsi="Times New Roman" w:eastAsia="宋体" w:cs="Times New Roman"/>
                      <w:color w:val="auto"/>
                      <w:sz w:val="21"/>
                      <w:szCs w:val="21"/>
                      <w:highlight w:val="none"/>
                    </w:rPr>
                    <w:t>《新疆维吾尔自治区重点行业生态环境准入条件（2024年）》的相关要求。</w:t>
                  </w:r>
                </w:p>
              </w:tc>
              <w:tc>
                <w:tcPr>
                  <w:tcW w:w="637" w:type="pct"/>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1" w:hRule="atLeast"/>
                <w:jc w:val="center"/>
              </w:trPr>
              <w:tc>
                <w:tcPr>
                  <w:tcW w:w="301" w:type="pct"/>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污染物排放管控</w:t>
                  </w:r>
                </w:p>
              </w:tc>
              <w:tc>
                <w:tcPr>
                  <w:tcW w:w="2661" w:type="pct"/>
                  <w:noWrap w:val="0"/>
                  <w:vAlign w:val="top"/>
                </w:tcPr>
                <w:p>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4.对化学品生产企业、工业集聚区、尾矿库、矿山开采区、危险废物处置场、垃圾填埋场等地下水污染源及周边区域，逐步开展地下水环境状况调查评估，加强风险管控。</w:t>
                  </w:r>
                </w:p>
                <w:p>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5.严控土壤重金属污染，加强油（气）田开发土壤污染防治，以历史遗留工业企业污染场地为重点，开展土壤污染风险管控与修复工程。</w:t>
                  </w:r>
                </w:p>
                <w:p>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因地制宜推进农村厕所革命，分类分区推进农村生活污水治理，全面提升农村生活垃圾治理水平，建立健全农村人居环境长效管护机制。实施化肥农药减量增效行动和农膜回收、秸秆综合利用行动。加强种养结合，整县推进畜禽粪污资源化利用。</w:t>
                  </w:r>
                </w:p>
                <w:p>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矿山采选污染物排放执行相应行业标准。稳步推进废水循环利用技术改造升级。采选产生废水排放有行业标准的执行行业标准，否则执行《污水综合排放标准》（GB8978）。采选活动矿石转运、破碎、筛分等粉尘产生工序，应配备抑尘、除尘设备，除尘效率不低于99%，有效控制无组织粉尘排放。采选矿各环节废气排放有行业标准的执行行业标准，否则执行《大气污染物综合排放标准》（GB16297）。一般固体废弃物应根据《一般工业固体废物贮存、处置场污染控制标准》（GB18599）进行管理，属危险废物的按危险废物相关要求依法进行管理，其贮存设施须符合《危险废物贮存污染控制标准》（GB18597）。矿山生态环境保护和恢复要达到《矿山生态环境保护与恢复治理技术规范》（HJ651）及其他有关环保法律法规的相关要求。</w:t>
                  </w:r>
                </w:p>
              </w:tc>
              <w:tc>
                <w:tcPr>
                  <w:tcW w:w="1399" w:type="pct"/>
                  <w:noWrap w:val="0"/>
                  <w:vAlign w:val="center"/>
                </w:tcPr>
                <w:p>
                  <w:pPr>
                    <w:keepNext w:val="0"/>
                    <w:keepLines w:val="0"/>
                    <w:suppressLineNumbers w:val="0"/>
                    <w:adjustRightInd w:val="0"/>
                    <w:snapToGrid w:val="0"/>
                    <w:spacing w:before="0" w:beforeAutospacing="0" w:after="0" w:afterAutospacing="0" w:line="240" w:lineRule="auto"/>
                    <w:ind w:left="0" w:right="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4.本项目</w:t>
                  </w:r>
                  <w:r>
                    <w:rPr>
                      <w:rFonts w:hint="default" w:ascii="Times New Roman" w:hAnsi="Times New Roman" w:eastAsia="宋体" w:cs="Times New Roman"/>
                      <w:color w:val="auto"/>
                      <w:sz w:val="21"/>
                      <w:szCs w:val="21"/>
                      <w:highlight w:val="none"/>
                      <w:lang w:val="en-US" w:eastAsia="zh-CN"/>
                    </w:rPr>
                    <w:t>不建设</w:t>
                  </w:r>
                  <w:r>
                    <w:rPr>
                      <w:rFonts w:hint="default" w:ascii="Times New Roman" w:hAnsi="Times New Roman" w:eastAsia="宋体" w:cs="Times New Roman"/>
                      <w:color w:val="auto"/>
                      <w:sz w:val="21"/>
                      <w:szCs w:val="21"/>
                      <w:highlight w:val="none"/>
                    </w:rPr>
                    <w:t>尾矿库。</w:t>
                  </w:r>
                </w:p>
                <w:p>
                  <w:pPr>
                    <w:keepNext w:val="0"/>
                    <w:keepLines w:val="0"/>
                    <w:suppressLineNumbers w:val="0"/>
                    <w:adjustRightInd w:val="0"/>
                    <w:snapToGrid w:val="0"/>
                    <w:spacing w:before="0" w:beforeAutospacing="0" w:after="0" w:afterAutospacing="0" w:line="240" w:lineRule="auto"/>
                    <w:ind w:left="0" w:right="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5.本项目建设和运营过程中将严控土壤重金属污染防治。</w:t>
                  </w:r>
                </w:p>
                <w:p>
                  <w:pPr>
                    <w:keepNext w:val="0"/>
                    <w:keepLines w:val="0"/>
                    <w:suppressLineNumbers w:val="0"/>
                    <w:adjustRightInd w:val="0"/>
                    <w:snapToGrid w:val="0"/>
                    <w:spacing w:before="0" w:beforeAutospacing="0" w:after="0" w:afterAutospacing="0" w:line="240" w:lineRule="auto"/>
                    <w:ind w:left="0" w:right="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6.本项目生活污水</w:t>
                  </w:r>
                  <w:r>
                    <w:rPr>
                      <w:rFonts w:hint="default" w:ascii="Times New Roman" w:hAnsi="Times New Roman" w:eastAsia="宋体" w:cs="Times New Roman"/>
                      <w:color w:val="auto"/>
                      <w:sz w:val="21"/>
                      <w:szCs w:val="21"/>
                      <w:highlight w:val="none"/>
                      <w:lang w:val="en-US" w:eastAsia="zh-CN"/>
                    </w:rPr>
                    <w:t>依托生活区</w:t>
                  </w:r>
                  <w:r>
                    <w:rPr>
                      <w:rFonts w:hint="default" w:ascii="Times New Roman" w:hAnsi="Times New Roman" w:eastAsia="宋体" w:cs="Times New Roman"/>
                      <w:color w:val="auto"/>
                      <w:sz w:val="21"/>
                      <w:szCs w:val="21"/>
                      <w:highlight w:val="none"/>
                    </w:rPr>
                    <w:t>地埋一体化污水处理设备进行集中处理，出水水质满足</w:t>
                  </w:r>
                  <w:r>
                    <w:rPr>
                      <w:rFonts w:hint="eastAsia"/>
                      <w:color w:val="auto"/>
                    </w:rPr>
                    <w:t>《城市污水再生利用</w:t>
                  </w:r>
                  <w:r>
                    <w:rPr>
                      <w:rFonts w:hint="eastAsia"/>
                      <w:color w:val="auto"/>
                      <w:lang w:val="en-US" w:eastAsia="zh-CN"/>
                    </w:rPr>
                    <w:t xml:space="preserve"> </w:t>
                  </w:r>
                  <w:r>
                    <w:rPr>
                      <w:rFonts w:hint="eastAsia"/>
                      <w:color w:val="auto"/>
                    </w:rPr>
                    <w:t>城市杂用水水质》GB/T 18920-2020中的城市绿化、道路清扫、消防</w:t>
                  </w:r>
                  <w:r>
                    <w:rPr>
                      <w:rFonts w:hint="default" w:ascii="Times New Roman" w:hAnsi="Times New Roman" w:eastAsia="宋体" w:cs="Times New Roman"/>
                      <w:color w:val="auto"/>
                      <w:sz w:val="21"/>
                      <w:szCs w:val="21"/>
                      <w:highlight w:val="none"/>
                    </w:rPr>
                    <w:t>标准限值，处理后用于绿化灌溉、道路洒扫等，不外排。</w:t>
                  </w:r>
                </w:p>
                <w:p>
                  <w:pPr>
                    <w:keepNext w:val="0"/>
                    <w:keepLines w:val="0"/>
                    <w:suppressLineNumbers w:val="0"/>
                    <w:adjustRightInd w:val="0"/>
                    <w:snapToGrid w:val="0"/>
                    <w:spacing w:before="0" w:beforeAutospacing="0" w:after="0" w:afterAutospacing="0" w:line="320" w:lineRule="exact"/>
                    <w:ind w:left="0" w:right="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7.本项目选矿厂</w:t>
                  </w:r>
                  <w:r>
                    <w:rPr>
                      <w:rFonts w:hint="default" w:ascii="Times New Roman" w:hAnsi="Times New Roman" w:eastAsia="宋体" w:cs="Times New Roman"/>
                      <w:color w:val="auto"/>
                      <w:sz w:val="21"/>
                      <w:szCs w:val="21"/>
                      <w:highlight w:val="none"/>
                      <w:lang w:val="en-US" w:eastAsia="zh-CN"/>
                    </w:rPr>
                    <w:t>不涉及</w:t>
                  </w:r>
                  <w:r>
                    <w:rPr>
                      <w:rFonts w:hint="default" w:ascii="Times New Roman" w:hAnsi="Times New Roman" w:eastAsia="宋体" w:cs="Times New Roman"/>
                      <w:color w:val="auto"/>
                      <w:sz w:val="21"/>
                      <w:szCs w:val="21"/>
                      <w:highlight w:val="none"/>
                    </w:rPr>
                    <w:t>矿石转运、破碎、筛分</w:t>
                  </w:r>
                  <w:r>
                    <w:rPr>
                      <w:rFonts w:hint="default" w:ascii="Times New Roman" w:hAnsi="Times New Roman" w:eastAsia="宋体" w:cs="Times New Roman"/>
                      <w:color w:val="auto"/>
                      <w:sz w:val="21"/>
                      <w:szCs w:val="21"/>
                      <w:highlight w:val="none"/>
                      <w:lang w:val="en-US" w:eastAsia="zh-CN"/>
                    </w:rPr>
                    <w:t>等产尘工序。</w:t>
                  </w:r>
                  <w:r>
                    <w:rPr>
                      <w:rFonts w:hint="default" w:ascii="Times New Roman" w:hAnsi="Times New Roman" w:eastAsia="宋体" w:cs="Times New Roman"/>
                      <w:color w:val="auto"/>
                      <w:sz w:val="21"/>
                      <w:szCs w:val="21"/>
                      <w:highlight w:val="none"/>
                    </w:rPr>
                    <w:t>废气执行《大气污染物综合排放标准》（GB16297）。一般固体废弃物根据《一般工业固体废物贮存和填埋污染控制标准》（GB18599-2020）进行管理，危险废物的按危险废物相关要求依法进行管理，其贮存设施须符合《危险废物贮存污染控制标准》（GB18597-2023）。</w:t>
                  </w:r>
                </w:p>
              </w:tc>
              <w:tc>
                <w:tcPr>
                  <w:tcW w:w="637" w:type="pct"/>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1" w:hRule="atLeast"/>
                <w:jc w:val="center"/>
              </w:trPr>
              <w:tc>
                <w:tcPr>
                  <w:tcW w:w="301" w:type="pct"/>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环境风险防控</w:t>
                  </w:r>
                </w:p>
              </w:tc>
              <w:tc>
                <w:tcPr>
                  <w:tcW w:w="2661" w:type="pct"/>
                  <w:noWrap w:val="0"/>
                  <w:vAlign w:val="top"/>
                </w:tcPr>
                <w:p>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1.加强对矿山、油田等矿产资源开采影响区域内未利用地的环境监管，发现土壤污染问题的，要坚决查处，并及时督促有关单位采取有效防治措施消除或减轻污染。</w:t>
                  </w:r>
                </w:p>
                <w:p>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2.对排查出的危库和病库以及风险评估有严重环境安全隐患的尾矿库，要求企业完善污染治理设施、进行治理和修复。全面整治历史遗留尾矿库，完善覆膜、压土、排洪、堤坝加固等隐患治理和闭库措施。</w:t>
                  </w:r>
                </w:p>
                <w:p>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3.依法推行农用地分类管理制度，强化受污染耕地安全利用和风险管控。因地制宜制定实施安全利用方案，鼓励采取种植结构调整等措施，确保受污染耕地全部实现安全利用。</w:t>
                  </w:r>
                </w:p>
                <w:p>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定期对企业及周边土壤进行监测；对不符合法律法规和相关标准要求的，应当根据监测结果，要求运营单位采取相应改进措施。土壤环境监管重点行业企业拆除生产设施设备、构筑物和污染治理设施，要事先制定残留污染物清理和安全处置方案，并报所在地县级生态环境、工业和信息化部门备案；要严格按照有关规定实施安全处理处置，防范拆除活动污染土壤。</w:t>
                  </w:r>
                </w:p>
              </w:tc>
              <w:tc>
                <w:tcPr>
                  <w:tcW w:w="1399" w:type="pct"/>
                  <w:noWrap w:val="0"/>
                  <w:vAlign w:val="center"/>
                </w:tcPr>
                <w:p>
                  <w:pPr>
                    <w:keepNext w:val="0"/>
                    <w:keepLines w:val="0"/>
                    <w:suppressLineNumbers w:val="0"/>
                    <w:adjustRightInd w:val="0"/>
                    <w:snapToGrid w:val="0"/>
                    <w:spacing w:before="0" w:beforeAutospacing="0" w:after="0" w:afterAutospacing="0" w:line="240" w:lineRule="auto"/>
                    <w:ind w:left="0" w:right="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1.本项目建设和运营过程中将严控土壤重金属污染防治。</w:t>
                  </w:r>
                </w:p>
                <w:p>
                  <w:pPr>
                    <w:keepNext w:val="0"/>
                    <w:keepLines w:val="0"/>
                    <w:suppressLineNumbers w:val="0"/>
                    <w:adjustRightInd w:val="0"/>
                    <w:snapToGrid w:val="0"/>
                    <w:spacing w:before="0" w:beforeAutospacing="0" w:after="0" w:afterAutospacing="0" w:line="240" w:lineRule="auto"/>
                    <w:ind w:left="0" w:right="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2.本项目</w:t>
                  </w:r>
                  <w:r>
                    <w:rPr>
                      <w:rFonts w:hint="default" w:ascii="Times New Roman" w:hAnsi="Times New Roman" w:eastAsia="宋体" w:cs="Times New Roman"/>
                      <w:color w:val="auto"/>
                      <w:sz w:val="21"/>
                      <w:szCs w:val="21"/>
                      <w:highlight w:val="none"/>
                      <w:lang w:val="en-US" w:eastAsia="zh-CN"/>
                    </w:rPr>
                    <w:t>为扩建工程，</w:t>
                  </w:r>
                  <w:r>
                    <w:rPr>
                      <w:rFonts w:hint="default" w:ascii="Times New Roman" w:hAnsi="Times New Roman" w:eastAsia="宋体" w:cs="Times New Roman"/>
                      <w:color w:val="auto"/>
                      <w:sz w:val="21"/>
                      <w:szCs w:val="21"/>
                      <w:highlight w:val="none"/>
                    </w:rPr>
                    <w:t>不属于危库和病库。</w:t>
                  </w:r>
                </w:p>
                <w:p>
                  <w:pPr>
                    <w:keepNext w:val="0"/>
                    <w:keepLines w:val="0"/>
                    <w:suppressLineNumbers w:val="0"/>
                    <w:adjustRightInd w:val="0"/>
                    <w:snapToGrid w:val="0"/>
                    <w:spacing w:before="0" w:beforeAutospacing="0" w:after="0" w:afterAutospacing="0" w:line="240" w:lineRule="auto"/>
                    <w:ind w:left="0" w:right="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3.本项目不涉及农用地。</w:t>
                  </w:r>
                </w:p>
                <w:p>
                  <w:pPr>
                    <w:keepNext w:val="0"/>
                    <w:keepLines w:val="0"/>
                    <w:suppressLineNumbers w:val="0"/>
                    <w:adjustRightInd w:val="0"/>
                    <w:snapToGrid w:val="0"/>
                    <w:spacing w:before="0" w:beforeAutospacing="0" w:after="0" w:afterAutospacing="0" w:line="320" w:lineRule="exact"/>
                    <w:ind w:left="0" w:right="0"/>
                    <w:jc w:val="both"/>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4.本项目建成后将定期对企业及周边土壤进行监测；对不符合法律法规和相关标准要求的，应当根据监测结果，要求运营单位采取相应改进措施</w:t>
                  </w:r>
                  <w:r>
                    <w:rPr>
                      <w:rFonts w:hint="default" w:ascii="Times New Roman" w:hAnsi="Times New Roman" w:eastAsia="宋体" w:cs="Times New Roman"/>
                      <w:color w:val="auto"/>
                      <w:sz w:val="21"/>
                      <w:szCs w:val="21"/>
                      <w:highlight w:val="none"/>
                      <w:lang w:eastAsia="zh-CN"/>
                    </w:rPr>
                    <w:t>。</w:t>
                  </w:r>
                </w:p>
              </w:tc>
              <w:tc>
                <w:tcPr>
                  <w:tcW w:w="637" w:type="pct"/>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1" w:hRule="atLeast"/>
                <w:jc w:val="center"/>
              </w:trPr>
              <w:tc>
                <w:tcPr>
                  <w:tcW w:w="301" w:type="pct"/>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资源利用效率</w:t>
                  </w:r>
                </w:p>
              </w:tc>
              <w:tc>
                <w:tcPr>
                  <w:tcW w:w="2661" w:type="pct"/>
                  <w:noWrap w:val="0"/>
                  <w:vAlign w:val="top"/>
                </w:tcPr>
                <w:p>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1.全面推进秸秆综合利用，鼓励秸秆资源化、饲料化、肥料化利用，推动秸秆还田与离田收集。</w:t>
                  </w:r>
                </w:p>
                <w:p>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2.减少化肥农药使用量，增加有机肥使用量，实现化肥农药使用量负增长。</w:t>
                  </w:r>
                </w:p>
                <w:p>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3.推广渠道防渗、管道输水、喷灌、微灌等节水灌溉技术，完善灌溉用水计量设施。推进规模化高效节水灌溉，推广农作物节水抗旱技术。建立灌区墒情测报网络，提高农业用水效率，降低农业用水比重。</w:t>
                  </w:r>
                </w:p>
                <w:p>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4.废石综合回用、尾矿砂利用率参考《新疆维吾尔自治区重点行业环境准入条件（修订）》等相关文件要求。</w:t>
                  </w:r>
                </w:p>
              </w:tc>
              <w:tc>
                <w:tcPr>
                  <w:tcW w:w="1399" w:type="pct"/>
                  <w:noWrap w:val="0"/>
                  <w:vAlign w:val="center"/>
                </w:tcPr>
                <w:p>
                  <w:pPr>
                    <w:keepNext w:val="0"/>
                    <w:keepLines w:val="0"/>
                    <w:suppressLineNumbers w:val="0"/>
                    <w:adjustRightInd w:val="0"/>
                    <w:snapToGrid w:val="0"/>
                    <w:spacing w:before="0" w:beforeAutospacing="0" w:after="0" w:afterAutospacing="0" w:line="240" w:lineRule="auto"/>
                    <w:ind w:left="0" w:right="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1.本项目不涉及秸秆综合利用。</w:t>
                  </w:r>
                </w:p>
                <w:p>
                  <w:pPr>
                    <w:keepNext w:val="0"/>
                    <w:keepLines w:val="0"/>
                    <w:suppressLineNumbers w:val="0"/>
                    <w:adjustRightInd w:val="0"/>
                    <w:snapToGrid w:val="0"/>
                    <w:spacing w:before="0" w:beforeAutospacing="0" w:after="0" w:afterAutospacing="0" w:line="240" w:lineRule="auto"/>
                    <w:ind w:left="0" w:right="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2.本项目不涉及化肥农药使用。</w:t>
                  </w:r>
                </w:p>
                <w:p>
                  <w:pPr>
                    <w:keepNext w:val="0"/>
                    <w:keepLines w:val="0"/>
                    <w:suppressLineNumbers w:val="0"/>
                    <w:adjustRightInd w:val="0"/>
                    <w:snapToGrid w:val="0"/>
                    <w:spacing w:before="0" w:beforeAutospacing="0" w:after="0" w:afterAutospacing="0" w:line="240" w:lineRule="auto"/>
                    <w:ind w:left="0" w:right="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3.本项目不涉及灌溉。</w:t>
                  </w:r>
                </w:p>
                <w:p>
                  <w:pPr>
                    <w:keepNext w:val="0"/>
                    <w:keepLines w:val="0"/>
                    <w:suppressLineNumbers w:val="0"/>
                    <w:adjustRightInd w:val="0"/>
                    <w:snapToGrid w:val="0"/>
                    <w:spacing w:before="0" w:beforeAutospacing="0" w:after="0" w:afterAutospacing="0" w:line="320" w:lineRule="exact"/>
                    <w:ind w:left="0" w:right="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4.尾矿砂后续利用将参考《新疆维吾尔自治区重点行业生态环境准入条件（2024年）》等相关文件要求。</w:t>
                  </w:r>
                </w:p>
              </w:tc>
              <w:tc>
                <w:tcPr>
                  <w:tcW w:w="637" w:type="pct"/>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kern w:val="2"/>
                <w:sz w:val="24"/>
                <w:szCs w:val="24"/>
                <w:lang w:val="en-US" w:eastAsia="zh-CN" w:bidi="ar-SA"/>
              </w:rPr>
              <w:t>3、</w:t>
            </w:r>
            <w:r>
              <w:rPr>
                <w:rFonts w:hint="default" w:ascii="Times New Roman" w:hAnsi="Times New Roman" w:eastAsia="宋体" w:cs="Times New Roman"/>
                <w:b/>
                <w:bCs/>
                <w:color w:val="auto"/>
                <w:sz w:val="24"/>
                <w:szCs w:val="24"/>
                <w:lang w:val="en-US" w:eastAsia="zh-CN"/>
              </w:rPr>
              <w:t>与《关于“十四五”大宗固体废弃物综合利用的指导意见》符合性</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w:t>
            </w:r>
            <w:r>
              <w:rPr>
                <w:rFonts w:hint="eastAsia" w:ascii="Times New Roman" w:hAnsi="Times New Roman" w:eastAsia="宋体" w:cs="Times New Roman"/>
                <w:color w:val="auto"/>
                <w:highlight w:val="none"/>
                <w:lang w:val="en-US" w:eastAsia="zh-CN"/>
              </w:rPr>
              <w:t>项目与《指导意见》文件要求符合性分析见表1-4。</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 xml:space="preserve">表1-4  </w:t>
            </w:r>
            <w:r>
              <w:rPr>
                <w:rFonts w:hint="eastAsia" w:cs="Times New Roman"/>
                <w:b/>
                <w:bCs w:val="0"/>
                <w:color w:val="auto"/>
                <w:sz w:val="21"/>
                <w:szCs w:val="21"/>
                <w:lang w:val="en-US" w:eastAsia="zh-CN"/>
              </w:rPr>
              <w:t>项目与《</w:t>
            </w:r>
            <w:r>
              <w:rPr>
                <w:rFonts w:hint="default" w:ascii="Times New Roman" w:hAnsi="Times New Roman" w:eastAsia="宋体" w:cs="Times New Roman"/>
                <w:b/>
                <w:bCs w:val="0"/>
                <w:color w:val="auto"/>
                <w:sz w:val="21"/>
                <w:szCs w:val="21"/>
                <w:lang w:val="en-US" w:eastAsia="zh-CN"/>
              </w:rPr>
              <w:t>指导意见》</w:t>
            </w:r>
            <w:r>
              <w:rPr>
                <w:rFonts w:hint="eastAsia" w:cs="Times New Roman"/>
                <w:b/>
                <w:bCs w:val="0"/>
                <w:color w:val="auto"/>
                <w:sz w:val="21"/>
                <w:szCs w:val="21"/>
                <w:lang w:val="en-US" w:eastAsia="zh-CN"/>
              </w:rPr>
              <w:t>内容比对分析一览表</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125"/>
              <w:gridCol w:w="1946"/>
              <w:gridCol w:w="71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040"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文件要求</w:t>
                  </w:r>
                </w:p>
              </w:tc>
              <w:tc>
                <w:tcPr>
                  <w:tcW w:w="1434"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本项目</w:t>
                  </w:r>
                </w:p>
              </w:tc>
              <w:tc>
                <w:tcPr>
                  <w:tcW w:w="524"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符合性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040"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（七）尾矿（共伴生矿）。</w:t>
                  </w:r>
                  <w:r>
                    <w:rPr>
                      <w:rFonts w:hint="default" w:ascii="Times New Roman" w:hAnsi="Times New Roman" w:eastAsia="宋体" w:cs="Times New Roman"/>
                      <w:b w:val="0"/>
                      <w:bCs w:val="0"/>
                      <w:color w:val="auto"/>
                      <w:highlight w:val="none"/>
                    </w:rPr>
                    <w:t>稳步推进金属尾矿有价组分高效提取及整体利用，推动采矿废石制备砂石骨料、陶粒、干混砂浆等砂源替代材料和胶凝回填利用，探索尾矿在生态环境治理领域的利用。加快推进黑色金属、有色金属、稀贵金属等共伴生矿产资源综合开发利用和有价组分梯级回收，推动有价金属提取后剩余废渣的规模化利用。</w:t>
                  </w:r>
                  <w:r>
                    <w:rPr>
                      <w:rFonts w:hint="default" w:ascii="Times New Roman" w:hAnsi="Times New Roman" w:eastAsia="宋体" w:cs="Times New Roman"/>
                      <w:color w:val="auto"/>
                      <w:highlight w:val="none"/>
                    </w:rPr>
                    <w:t>依法依规推动已闭库尾矿库生态修复，未经批准不得擅自回采尾矿。</w:t>
                  </w:r>
                </w:p>
              </w:tc>
              <w:tc>
                <w:tcPr>
                  <w:tcW w:w="1434"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本项目通过对选矿尾砂回采进一步浮选分离，提取有价金属金元素，促进了矿产资源的综合利用和有价组分梯级回收。</w:t>
                  </w:r>
                  <w:r>
                    <w:rPr>
                      <w:rFonts w:hint="default" w:ascii="Times New Roman" w:hAnsi="Times New Roman" w:eastAsia="宋体" w:cs="Times New Roman"/>
                      <w:b w:val="0"/>
                      <w:bCs w:val="0"/>
                      <w:color w:val="auto"/>
                      <w:highlight w:val="none"/>
                    </w:rPr>
                    <w:t>推动有价金属提取后剩余废渣的规模化利用。</w:t>
                  </w:r>
                </w:p>
              </w:tc>
              <w:tc>
                <w:tcPr>
                  <w:tcW w:w="524"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040"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（十四）强化大宗固废规范处置，守住环境底线。</w:t>
                  </w:r>
                  <w:r>
                    <w:rPr>
                      <w:rFonts w:hint="default" w:ascii="Times New Roman" w:hAnsi="Times New Roman" w:eastAsia="宋体" w:cs="Times New Roman"/>
                      <w:b w:val="0"/>
                      <w:bCs w:val="0"/>
                      <w:color w:val="auto"/>
                      <w:highlight w:val="none"/>
                    </w:rPr>
                    <w:t>加强大宗固废贮存及处置管理，强化主体责任，推动建设符合有关国家标准的贮存设施，实现安全分类存放，杜绝混排混堆。</w:t>
                  </w:r>
                  <w:r>
                    <w:rPr>
                      <w:rFonts w:hint="default" w:ascii="Times New Roman" w:hAnsi="Times New Roman" w:eastAsia="宋体" w:cs="Times New Roman"/>
                      <w:color w:val="auto"/>
                      <w:highlight w:val="none"/>
                    </w:rPr>
                    <w:t>统筹兼顾大宗固废增量消纳和存量治理，加大重点流域和重点区域大宗固废的综合整治力度，健全环保长效监督管理制度。</w:t>
                  </w:r>
                </w:p>
              </w:tc>
              <w:tc>
                <w:tcPr>
                  <w:tcW w:w="1434"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本项目尾矿经管道输送至</w:t>
                  </w:r>
                  <w:r>
                    <w:rPr>
                      <w:rFonts w:hint="default" w:ascii="Times New Roman" w:hAnsi="Times New Roman" w:eastAsia="宋体" w:cs="Times New Roman"/>
                      <w:color w:val="auto"/>
                      <w:highlight w:val="none"/>
                      <w:lang w:val="en-US" w:eastAsia="zh-CN"/>
                    </w:rPr>
                    <w:t>选矿厂新建的</w:t>
                  </w:r>
                  <w:r>
                    <w:rPr>
                      <w:rFonts w:hint="default" w:ascii="Times New Roman" w:hAnsi="Times New Roman" w:eastAsia="宋体" w:cs="Times New Roman"/>
                      <w:color w:val="auto"/>
                      <w:highlight w:val="none"/>
                    </w:rPr>
                    <w:t>尾矿库内，</w:t>
                  </w:r>
                  <w:r>
                    <w:rPr>
                      <w:rFonts w:hint="default" w:ascii="Times New Roman" w:hAnsi="Times New Roman" w:eastAsia="宋体" w:cs="Times New Roman"/>
                      <w:color w:val="auto"/>
                      <w:highlight w:val="none"/>
                      <w:lang w:val="en-US" w:eastAsia="zh-CN"/>
                    </w:rPr>
                    <w:t>满足《一般工业固体废物贮存和填埋污染控制标准》（GB18599）要求。</w:t>
                  </w:r>
                </w:p>
              </w:tc>
              <w:tc>
                <w:tcPr>
                  <w:tcW w:w="524"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040"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（十五）创新大宗固废综合利用模式。在煤炭行业推广</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煤矸石井下充填+地面回填</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，促进矸石减量；</w:t>
                  </w:r>
                  <w:r>
                    <w:rPr>
                      <w:rFonts w:hint="default" w:ascii="Times New Roman" w:hAnsi="Times New Roman" w:eastAsia="宋体" w:cs="Times New Roman"/>
                      <w:b w:val="0"/>
                      <w:bCs w:val="0"/>
                      <w:color w:val="auto"/>
                      <w:highlight w:val="none"/>
                    </w:rPr>
                    <w:t>在矿山行业建立</w:t>
                  </w:r>
                  <w:r>
                    <w:rPr>
                      <w:rFonts w:hint="default" w:ascii="Times New Roman" w:hAnsi="Times New Roman" w:eastAsia="宋体" w:cs="Times New Roman"/>
                      <w:b w:val="0"/>
                      <w:bCs w:val="0"/>
                      <w:color w:val="auto"/>
                      <w:highlight w:val="none"/>
                      <w:lang w:eastAsia="zh-CN"/>
                    </w:rPr>
                    <w:t>“</w:t>
                  </w:r>
                  <w:r>
                    <w:rPr>
                      <w:rFonts w:hint="default" w:ascii="Times New Roman" w:hAnsi="Times New Roman" w:eastAsia="宋体" w:cs="Times New Roman"/>
                      <w:b w:val="0"/>
                      <w:bCs w:val="0"/>
                      <w:color w:val="auto"/>
                      <w:highlight w:val="none"/>
                    </w:rPr>
                    <w:t>梯级回收+生态修复+封存保护</w:t>
                  </w:r>
                  <w:r>
                    <w:rPr>
                      <w:rFonts w:hint="default" w:ascii="Times New Roman" w:hAnsi="Times New Roman" w:eastAsia="宋体" w:cs="Times New Roman"/>
                      <w:b w:val="0"/>
                      <w:bCs w:val="0"/>
                      <w:color w:val="auto"/>
                      <w:highlight w:val="none"/>
                      <w:lang w:eastAsia="zh-CN"/>
                    </w:rPr>
                    <w:t>”</w:t>
                  </w:r>
                  <w:r>
                    <w:rPr>
                      <w:rFonts w:hint="default" w:ascii="Times New Roman" w:hAnsi="Times New Roman" w:eastAsia="宋体" w:cs="Times New Roman"/>
                      <w:b w:val="0"/>
                      <w:bCs w:val="0"/>
                      <w:color w:val="auto"/>
                      <w:highlight w:val="none"/>
                    </w:rPr>
                    <w:t>体系，推动绿色矿山建设</w:t>
                  </w:r>
                  <w:r>
                    <w:rPr>
                      <w:rFonts w:hint="default" w:ascii="Times New Roman" w:hAnsi="Times New Roman" w:eastAsia="宋体" w:cs="Times New Roman"/>
                      <w:color w:val="auto"/>
                      <w:highlight w:val="none"/>
                    </w:rPr>
                    <w:t>；在钢铁冶金行业推广</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固废不出厂</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，加强全量化利用；在建筑建造行业推动建筑垃圾</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原地再生+异地处理</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，提高利用效率；在农业领域开展</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工农复合</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，推动产业协同；针对退役光伏组件、风电机组叶片等新兴产业固废，探索规范回收以及可循环、高值化的再生利用途径；在重点区域推广大宗固废</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公铁水联运</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的区域协同模式，强化资源配置。因地制宜推动大宗固废多产业、多品种协同利用，形成可复制、可推广的大宗固废综合利用发展新模式。</w:t>
                  </w:r>
                </w:p>
              </w:tc>
              <w:tc>
                <w:tcPr>
                  <w:tcW w:w="1434"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本项目通过对选矿尾砂回采进一步浮选分离，提取有价金属金元素，促进了矿产资源的综合利用和有价组分梯级回收。</w:t>
                  </w:r>
                </w:p>
              </w:tc>
              <w:tc>
                <w:tcPr>
                  <w:tcW w:w="524"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符合</w:t>
                  </w:r>
                </w:p>
              </w:tc>
            </w:tr>
          </w:tbl>
          <w:p>
            <w:pPr>
              <w:pStyle w:val="89"/>
              <w:numPr>
                <w:ilvl w:val="3"/>
                <w:numId w:val="0"/>
              </w:numPr>
              <w:bidi w:val="0"/>
              <w:ind w:leftChars="0" w:firstLine="482" w:firstLineChars="20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4、与《黄金工业污染防治技术政策》（生态环境部公告2020年第7号）符合性</w:t>
            </w:r>
          </w:p>
          <w:p>
            <w:pPr>
              <w:pStyle w:val="78"/>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本项目与《黄金工业污染防治技术政策》</w:t>
            </w:r>
            <w:r>
              <w:rPr>
                <w:rFonts w:hint="eastAsia" w:ascii="Times New Roman" w:hAnsi="Times New Roman" w:eastAsia="宋体" w:cs="Times New Roman"/>
                <w:color w:val="auto"/>
                <w:highlight w:val="none"/>
                <w:lang w:val="en-US" w:eastAsia="zh-CN"/>
              </w:rPr>
              <w:t>符合性分析详</w:t>
            </w:r>
            <w:r>
              <w:rPr>
                <w:rFonts w:hint="default" w:ascii="Times New Roman" w:hAnsi="Times New Roman" w:eastAsia="宋体" w:cs="Times New Roman"/>
                <w:color w:val="auto"/>
                <w:highlight w:val="none"/>
                <w:lang w:val="en-US" w:eastAsia="zh-CN"/>
              </w:rPr>
              <w:t>见表1-5。</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表1-5  与《黄金工业污染防治技术政策》符合性分析</w:t>
            </w:r>
          </w:p>
          <w:tbl>
            <w:tblPr>
              <w:tblStyle w:val="29"/>
              <w:tblW w:w="4999" w:type="pct"/>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autofit"/>
              <w:tblCellMar>
                <w:top w:w="28" w:type="dxa"/>
                <w:left w:w="28" w:type="dxa"/>
                <w:bottom w:w="28" w:type="dxa"/>
                <w:right w:w="28" w:type="dxa"/>
              </w:tblCellMar>
            </w:tblPr>
            <w:tblGrid>
              <w:gridCol w:w="477"/>
              <w:gridCol w:w="285"/>
              <w:gridCol w:w="3393"/>
              <w:gridCol w:w="1969"/>
              <w:gridCol w:w="660"/>
            </w:tblGrid>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28" w:type="dxa"/>
                  <w:left w:w="28" w:type="dxa"/>
                  <w:bottom w:w="28" w:type="dxa"/>
                  <w:right w:w="28" w:type="dxa"/>
                </w:tblCellMar>
              </w:tblPrEx>
              <w:trPr>
                <w:cantSplit/>
                <w:trHeight w:val="283" w:hRule="atLeast"/>
                <w:jc w:val="center"/>
              </w:trPr>
              <w:tc>
                <w:tcPr>
                  <w:tcW w:w="562" w:type="pct"/>
                  <w:gridSpan w:val="2"/>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序号</w:t>
                  </w:r>
                </w:p>
              </w:tc>
              <w:tc>
                <w:tcPr>
                  <w:tcW w:w="2500"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政策内容</w:t>
                  </w:r>
                </w:p>
              </w:tc>
              <w:tc>
                <w:tcPr>
                  <w:tcW w:w="1451"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本项目内容</w:t>
                  </w:r>
                </w:p>
              </w:tc>
              <w:tc>
                <w:tcPr>
                  <w:tcW w:w="486"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相符性</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28" w:type="dxa"/>
                  <w:left w:w="28" w:type="dxa"/>
                  <w:bottom w:w="28" w:type="dxa"/>
                  <w:right w:w="28" w:type="dxa"/>
                </w:tblCellMar>
              </w:tblPrEx>
              <w:trPr>
                <w:cantSplit/>
                <w:trHeight w:val="283" w:hRule="atLeast"/>
                <w:jc w:val="center"/>
              </w:trPr>
              <w:tc>
                <w:tcPr>
                  <w:tcW w:w="352" w:type="pct"/>
                  <w:vMerge w:val="restar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采选过程污染防控</w:t>
                  </w:r>
                </w:p>
              </w:tc>
              <w:tc>
                <w:tcPr>
                  <w:tcW w:w="210"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2500" w:type="pct"/>
                  <w:noWrap w:val="0"/>
                  <w:vAlign w:val="center"/>
                </w:tcPr>
                <w:p>
                  <w:pPr>
                    <w:pStyle w:val="93"/>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pacing w:val="-11"/>
                      <w:sz w:val="21"/>
                      <w:szCs w:val="21"/>
                      <w:highlight w:val="none"/>
                    </w:rPr>
                  </w:pPr>
                  <w:r>
                    <w:rPr>
                      <w:rFonts w:hint="default" w:ascii="Times New Roman" w:hAnsi="Times New Roman" w:eastAsia="宋体" w:cs="Times New Roman"/>
                      <w:color w:val="auto"/>
                      <w:spacing w:val="-11"/>
                      <w:sz w:val="21"/>
                      <w:szCs w:val="21"/>
                      <w:highlight w:val="none"/>
                    </w:rPr>
                    <w:t>优先采用充填采矿法等能够减轻环境影响的开采技术。</w:t>
                  </w:r>
                </w:p>
              </w:tc>
              <w:tc>
                <w:tcPr>
                  <w:tcW w:w="1451"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本项目不涉及</w:t>
                  </w:r>
                  <w:r>
                    <w:rPr>
                      <w:rFonts w:hint="default" w:ascii="Times New Roman" w:hAnsi="Times New Roman" w:cs="Times New Roman"/>
                      <w:color w:val="auto"/>
                      <w:sz w:val="21"/>
                      <w:szCs w:val="21"/>
                      <w:highlight w:val="none"/>
                      <w:lang w:val="en-US" w:eastAsia="zh-CN"/>
                    </w:rPr>
                    <w:t>矿山</w:t>
                  </w:r>
                  <w:r>
                    <w:rPr>
                      <w:rFonts w:hint="default" w:ascii="Times New Roman" w:hAnsi="Times New Roman" w:eastAsia="宋体" w:cs="Times New Roman"/>
                      <w:color w:val="auto"/>
                      <w:sz w:val="21"/>
                      <w:szCs w:val="21"/>
                      <w:highlight w:val="none"/>
                    </w:rPr>
                    <w:t>开采</w:t>
                  </w:r>
                  <w:r>
                    <w:rPr>
                      <w:rFonts w:hint="default" w:ascii="Times New Roman" w:hAnsi="Times New Roman" w:eastAsia="宋体" w:cs="Times New Roman"/>
                      <w:color w:val="auto"/>
                      <w:sz w:val="21"/>
                      <w:szCs w:val="21"/>
                      <w:highlight w:val="none"/>
                      <w:lang w:eastAsia="zh-CN"/>
                    </w:rPr>
                    <w:t>。</w:t>
                  </w:r>
                </w:p>
              </w:tc>
              <w:tc>
                <w:tcPr>
                  <w:tcW w:w="486"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28" w:type="dxa"/>
                  <w:left w:w="28" w:type="dxa"/>
                  <w:bottom w:w="28" w:type="dxa"/>
                  <w:right w:w="28" w:type="dxa"/>
                </w:tblCellMar>
              </w:tblPrEx>
              <w:trPr>
                <w:cantSplit/>
                <w:trHeight w:val="283" w:hRule="atLeast"/>
                <w:jc w:val="center"/>
              </w:trPr>
              <w:tc>
                <w:tcPr>
                  <w:tcW w:w="352" w:type="pct"/>
                  <w:vMerge w:val="continue"/>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210"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2500" w:type="pct"/>
                  <w:noWrap w:val="0"/>
                  <w:vAlign w:val="center"/>
                </w:tcPr>
                <w:p>
                  <w:pPr>
                    <w:pStyle w:val="93"/>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pacing w:val="-11"/>
                      <w:sz w:val="21"/>
                      <w:szCs w:val="21"/>
                      <w:highlight w:val="none"/>
                    </w:rPr>
                  </w:pPr>
                  <w:r>
                    <w:rPr>
                      <w:rFonts w:hint="default" w:ascii="Times New Roman" w:hAnsi="Times New Roman" w:eastAsia="宋体" w:cs="Times New Roman"/>
                      <w:color w:val="auto"/>
                      <w:spacing w:val="-11"/>
                      <w:sz w:val="21"/>
                      <w:szCs w:val="21"/>
                      <w:highlight w:val="none"/>
                    </w:rPr>
                    <w:t>有粗颗粒金的金矿石宜选用重选工艺作为前处理工艺。</w:t>
                  </w:r>
                </w:p>
              </w:tc>
              <w:tc>
                <w:tcPr>
                  <w:tcW w:w="1451"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pacing w:val="-11"/>
                      <w:sz w:val="21"/>
                      <w:szCs w:val="21"/>
                      <w:highlight w:val="none"/>
                    </w:rPr>
                    <w:t>本项目选矿采用重选和浮选工艺</w:t>
                  </w:r>
                  <w:r>
                    <w:rPr>
                      <w:rFonts w:hint="default" w:ascii="Times New Roman" w:hAnsi="Times New Roman" w:eastAsia="宋体" w:cs="Times New Roman"/>
                      <w:color w:val="auto"/>
                      <w:spacing w:val="-11"/>
                      <w:sz w:val="21"/>
                      <w:szCs w:val="21"/>
                      <w:highlight w:val="none"/>
                      <w:lang w:eastAsia="zh-CN"/>
                    </w:rPr>
                    <w:t>。</w:t>
                  </w:r>
                </w:p>
              </w:tc>
              <w:tc>
                <w:tcPr>
                  <w:tcW w:w="486"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28" w:type="dxa"/>
                  <w:left w:w="28" w:type="dxa"/>
                  <w:bottom w:w="28" w:type="dxa"/>
                  <w:right w:w="28" w:type="dxa"/>
                </w:tblCellMar>
              </w:tblPrEx>
              <w:trPr>
                <w:cantSplit/>
                <w:trHeight w:val="283" w:hRule="atLeast"/>
                <w:jc w:val="center"/>
              </w:trPr>
              <w:tc>
                <w:tcPr>
                  <w:tcW w:w="352" w:type="pct"/>
                  <w:vMerge w:val="continue"/>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210"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p>
              </w:tc>
              <w:tc>
                <w:tcPr>
                  <w:tcW w:w="2500" w:type="pct"/>
                  <w:noWrap w:val="0"/>
                  <w:vAlign w:val="center"/>
                </w:tcPr>
                <w:p>
                  <w:pPr>
                    <w:pStyle w:val="93"/>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选矿生产宜使用复合、低毒浮选药剂。</w:t>
                  </w:r>
                </w:p>
              </w:tc>
              <w:tc>
                <w:tcPr>
                  <w:tcW w:w="1451"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本项目选矿采用重选和浮选工艺，浮选药剂为复合、低</w:t>
                  </w:r>
                  <w:r>
                    <w:rPr>
                      <w:rFonts w:hint="default" w:ascii="Times New Roman" w:hAnsi="Times New Roman" w:eastAsia="宋体" w:cs="Times New Roman"/>
                      <w:color w:val="auto"/>
                      <w:sz w:val="21"/>
                      <w:szCs w:val="21"/>
                      <w:highlight w:val="none"/>
                      <w:lang w:val="en-US" w:eastAsia="zh-CN"/>
                    </w:rPr>
                    <w:t>中</w:t>
                  </w:r>
                  <w:r>
                    <w:rPr>
                      <w:rFonts w:hint="default" w:ascii="Times New Roman" w:hAnsi="Times New Roman" w:eastAsia="宋体" w:cs="Times New Roman"/>
                      <w:color w:val="auto"/>
                      <w:sz w:val="21"/>
                      <w:szCs w:val="21"/>
                      <w:highlight w:val="none"/>
                    </w:rPr>
                    <w:t>毒药剂</w:t>
                  </w:r>
                  <w:r>
                    <w:rPr>
                      <w:rFonts w:hint="default" w:ascii="Times New Roman" w:hAnsi="Times New Roman" w:eastAsia="宋体" w:cs="Times New Roman"/>
                      <w:color w:val="auto"/>
                      <w:sz w:val="21"/>
                      <w:szCs w:val="21"/>
                      <w:highlight w:val="none"/>
                      <w:lang w:eastAsia="zh-CN"/>
                    </w:rPr>
                    <w:t>。</w:t>
                  </w:r>
                </w:p>
              </w:tc>
              <w:tc>
                <w:tcPr>
                  <w:tcW w:w="486"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28" w:type="dxa"/>
                  <w:left w:w="28" w:type="dxa"/>
                  <w:bottom w:w="28" w:type="dxa"/>
                  <w:right w:w="28" w:type="dxa"/>
                </w:tblCellMar>
              </w:tblPrEx>
              <w:trPr>
                <w:cantSplit/>
                <w:trHeight w:val="283" w:hRule="atLeast"/>
                <w:jc w:val="center"/>
              </w:trPr>
              <w:tc>
                <w:tcPr>
                  <w:tcW w:w="352" w:type="pct"/>
                  <w:vMerge w:val="continue"/>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210"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w:t>
                  </w:r>
                </w:p>
              </w:tc>
              <w:tc>
                <w:tcPr>
                  <w:tcW w:w="2500" w:type="pct"/>
                  <w:noWrap w:val="0"/>
                  <w:vAlign w:val="center"/>
                </w:tcPr>
                <w:p>
                  <w:pPr>
                    <w:pStyle w:val="93"/>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采选过程应采用自动化程度高、耗能低、污染物产生量少的生产设备，选矿工艺设备宜采用变频节能技术。鼓励选矿过程使用选矿专家系统进行自动控制。</w:t>
                  </w:r>
                </w:p>
              </w:tc>
              <w:tc>
                <w:tcPr>
                  <w:tcW w:w="1451"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本项目选矿厂的主要生产环节采用自动联锁控制</w:t>
                  </w:r>
                  <w:r>
                    <w:rPr>
                      <w:rFonts w:hint="default" w:ascii="Times New Roman" w:hAnsi="Times New Roman" w:eastAsia="宋体" w:cs="Times New Roman"/>
                      <w:color w:val="auto"/>
                      <w:sz w:val="21"/>
                      <w:szCs w:val="21"/>
                      <w:highlight w:val="none"/>
                      <w:lang w:eastAsia="zh-CN"/>
                    </w:rPr>
                    <w:t>。</w:t>
                  </w:r>
                </w:p>
              </w:tc>
              <w:tc>
                <w:tcPr>
                  <w:tcW w:w="486"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28" w:type="dxa"/>
                  <w:left w:w="28" w:type="dxa"/>
                  <w:bottom w:w="28" w:type="dxa"/>
                  <w:right w:w="28" w:type="dxa"/>
                </w:tblCellMar>
              </w:tblPrEx>
              <w:trPr>
                <w:cantSplit/>
                <w:trHeight w:val="283" w:hRule="atLeast"/>
                <w:jc w:val="center"/>
              </w:trPr>
              <w:tc>
                <w:tcPr>
                  <w:tcW w:w="352" w:type="pct"/>
                  <w:vMerge w:val="restar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大气污染防治</w:t>
                  </w:r>
                </w:p>
              </w:tc>
              <w:tc>
                <w:tcPr>
                  <w:tcW w:w="210"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2500" w:type="pct"/>
                  <w:noWrap w:val="0"/>
                  <w:vAlign w:val="center"/>
                </w:tcPr>
                <w:p>
                  <w:pPr>
                    <w:pStyle w:val="93"/>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金矿石破碎工序宜设置在有挡风、遮盖措施的半封闭车间，在主要产尘点应采取抑尘措施，收尘设备宜采用布袋除尘技术，收集的粉尘应返回生产过程。</w:t>
                  </w:r>
                </w:p>
              </w:tc>
              <w:tc>
                <w:tcPr>
                  <w:tcW w:w="1451"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本项目</w:t>
                  </w:r>
                  <w:r>
                    <w:rPr>
                      <w:rFonts w:hint="default" w:ascii="Times New Roman" w:hAnsi="Times New Roman" w:eastAsia="宋体" w:cs="Times New Roman"/>
                      <w:color w:val="auto"/>
                      <w:sz w:val="21"/>
                      <w:szCs w:val="21"/>
                      <w:highlight w:val="none"/>
                      <w:lang w:val="en-US" w:eastAsia="zh-CN"/>
                    </w:rPr>
                    <w:t>原料为湿式回采的尾矿，不涉及</w:t>
                  </w:r>
                  <w:r>
                    <w:rPr>
                      <w:rFonts w:hint="default" w:ascii="Times New Roman" w:hAnsi="Times New Roman" w:eastAsia="宋体" w:cs="Times New Roman"/>
                      <w:color w:val="auto"/>
                      <w:sz w:val="21"/>
                      <w:szCs w:val="21"/>
                      <w:highlight w:val="none"/>
                    </w:rPr>
                    <w:t>原矿石破碎、筛分工序</w:t>
                  </w:r>
                  <w:r>
                    <w:rPr>
                      <w:rFonts w:hint="default" w:ascii="Times New Roman" w:hAnsi="Times New Roman" w:eastAsia="宋体" w:cs="Times New Roman"/>
                      <w:color w:val="auto"/>
                      <w:sz w:val="21"/>
                      <w:szCs w:val="21"/>
                      <w:highlight w:val="none"/>
                      <w:lang w:eastAsia="zh-CN"/>
                    </w:rPr>
                    <w:t>。</w:t>
                  </w:r>
                </w:p>
              </w:tc>
              <w:tc>
                <w:tcPr>
                  <w:tcW w:w="486"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28" w:type="dxa"/>
                  <w:left w:w="28" w:type="dxa"/>
                  <w:bottom w:w="28" w:type="dxa"/>
                  <w:right w:w="28" w:type="dxa"/>
                </w:tblCellMar>
              </w:tblPrEx>
              <w:trPr>
                <w:cantSplit/>
                <w:trHeight w:val="283" w:hRule="atLeast"/>
                <w:jc w:val="center"/>
              </w:trPr>
              <w:tc>
                <w:tcPr>
                  <w:tcW w:w="352" w:type="pct"/>
                  <w:vMerge w:val="continue"/>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210"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2500" w:type="pct"/>
                  <w:noWrap w:val="0"/>
                  <w:vAlign w:val="center"/>
                </w:tcPr>
                <w:p>
                  <w:pPr>
                    <w:pStyle w:val="93"/>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采场、矿石堆场、排土场、尾矿库应在确保生产安全情况下采取遮盖或喷淋洒水等措施减少扬尘排放。生产区内道路应采取洒水降尘等措施控制扬尘。</w:t>
                  </w:r>
                </w:p>
              </w:tc>
              <w:tc>
                <w:tcPr>
                  <w:tcW w:w="1451"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pacing w:val="-11"/>
                      <w:sz w:val="21"/>
                      <w:szCs w:val="21"/>
                      <w:highlight w:val="none"/>
                    </w:rPr>
                    <w:t>本项目</w:t>
                  </w:r>
                  <w:r>
                    <w:rPr>
                      <w:rFonts w:hint="default" w:ascii="Times New Roman" w:hAnsi="Times New Roman" w:eastAsia="宋体" w:cs="Times New Roman"/>
                      <w:color w:val="auto"/>
                      <w:spacing w:val="-11"/>
                      <w:sz w:val="21"/>
                      <w:szCs w:val="21"/>
                      <w:highlight w:val="none"/>
                      <w:lang w:val="en-US" w:eastAsia="zh-CN"/>
                    </w:rPr>
                    <w:t>不涉及采场、矿石堆场、排土场，尾矿库依托选厂现有</w:t>
                  </w:r>
                  <w:r>
                    <w:rPr>
                      <w:rFonts w:hint="default" w:ascii="Times New Roman" w:hAnsi="Times New Roman" w:eastAsia="宋体" w:cs="Times New Roman"/>
                      <w:color w:val="auto"/>
                      <w:spacing w:val="-11"/>
                      <w:sz w:val="21"/>
                      <w:szCs w:val="21"/>
                      <w:highlight w:val="none"/>
                      <w:lang w:eastAsia="zh-CN"/>
                    </w:rPr>
                    <w:t>，</w:t>
                  </w:r>
                  <w:r>
                    <w:rPr>
                      <w:rFonts w:hint="default" w:ascii="Times New Roman" w:hAnsi="Times New Roman" w:eastAsia="宋体" w:cs="Times New Roman"/>
                      <w:color w:val="auto"/>
                      <w:spacing w:val="-11"/>
                      <w:kern w:val="2"/>
                      <w:sz w:val="21"/>
                      <w:szCs w:val="21"/>
                      <w:highlight w:val="none"/>
                    </w:rPr>
                    <w:t>采取湿排工艺</w:t>
                  </w:r>
                  <w:r>
                    <w:rPr>
                      <w:rFonts w:hint="default" w:ascii="Times New Roman" w:hAnsi="Times New Roman" w:eastAsia="宋体" w:cs="Times New Roman"/>
                      <w:color w:val="auto"/>
                      <w:spacing w:val="-11"/>
                      <w:kern w:val="2"/>
                      <w:sz w:val="21"/>
                      <w:szCs w:val="21"/>
                      <w:highlight w:val="none"/>
                      <w:lang w:eastAsia="zh-CN"/>
                    </w:rPr>
                    <w:t>。</w:t>
                  </w:r>
                </w:p>
              </w:tc>
              <w:tc>
                <w:tcPr>
                  <w:tcW w:w="486"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28" w:type="dxa"/>
                  <w:left w:w="28" w:type="dxa"/>
                  <w:bottom w:w="28" w:type="dxa"/>
                  <w:right w:w="28" w:type="dxa"/>
                </w:tblCellMar>
              </w:tblPrEx>
              <w:trPr>
                <w:cantSplit/>
                <w:trHeight w:val="283" w:hRule="atLeast"/>
                <w:jc w:val="center"/>
              </w:trPr>
              <w:tc>
                <w:tcPr>
                  <w:tcW w:w="352" w:type="pct"/>
                  <w:vMerge w:val="restar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水污染防治</w:t>
                  </w:r>
                </w:p>
              </w:tc>
              <w:tc>
                <w:tcPr>
                  <w:tcW w:w="210"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2500" w:type="pct"/>
                  <w:noWrap w:val="0"/>
                  <w:vAlign w:val="center"/>
                </w:tcPr>
                <w:p>
                  <w:pPr>
                    <w:pStyle w:val="93"/>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水污染防治应遵循雨污分流、清污分流、分类收集、分质处理和循环利用的原则，实现污水全收集利用或达标排放，外排废水应达到国家或地方相应排放要求。</w:t>
                  </w:r>
                </w:p>
              </w:tc>
              <w:tc>
                <w:tcPr>
                  <w:tcW w:w="1451"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本项目生产废水循环利用不外排；生活污水</w:t>
                  </w:r>
                  <w:r>
                    <w:rPr>
                      <w:rFonts w:hint="default" w:ascii="Times New Roman" w:hAnsi="Times New Roman" w:eastAsia="宋体" w:cs="Times New Roman"/>
                      <w:color w:val="auto"/>
                      <w:sz w:val="21"/>
                      <w:szCs w:val="21"/>
                      <w:highlight w:val="none"/>
                      <w:lang w:val="en-US" w:eastAsia="zh-CN"/>
                    </w:rPr>
                    <w:t>依托现有</w:t>
                  </w:r>
                  <w:r>
                    <w:rPr>
                      <w:rFonts w:hint="default" w:ascii="Times New Roman" w:hAnsi="Times New Roman" w:eastAsia="宋体" w:cs="Times New Roman"/>
                      <w:color w:val="auto"/>
                      <w:sz w:val="21"/>
                      <w:szCs w:val="21"/>
                      <w:highlight w:val="none"/>
                    </w:rPr>
                    <w:t>一体化污水处理设施处理后用于厂区绿化和洒水降尘</w:t>
                  </w:r>
                  <w:r>
                    <w:rPr>
                      <w:rFonts w:hint="default" w:ascii="Times New Roman" w:hAnsi="Times New Roman" w:eastAsia="宋体" w:cs="Times New Roman"/>
                      <w:color w:val="auto"/>
                      <w:sz w:val="21"/>
                      <w:szCs w:val="21"/>
                      <w:highlight w:val="none"/>
                      <w:lang w:eastAsia="zh-CN"/>
                    </w:rPr>
                    <w:t>。</w:t>
                  </w:r>
                </w:p>
              </w:tc>
              <w:tc>
                <w:tcPr>
                  <w:tcW w:w="486"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28" w:type="dxa"/>
                  <w:left w:w="28" w:type="dxa"/>
                  <w:bottom w:w="28" w:type="dxa"/>
                  <w:right w:w="28" w:type="dxa"/>
                </w:tblCellMar>
              </w:tblPrEx>
              <w:trPr>
                <w:cantSplit/>
                <w:trHeight w:val="283" w:hRule="atLeast"/>
                <w:jc w:val="center"/>
              </w:trPr>
              <w:tc>
                <w:tcPr>
                  <w:tcW w:w="352" w:type="pct"/>
                  <w:vMerge w:val="continue"/>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210"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2500" w:type="pct"/>
                  <w:noWrap w:val="0"/>
                  <w:vAlign w:val="center"/>
                </w:tcPr>
                <w:p>
                  <w:pPr>
                    <w:pStyle w:val="93"/>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采矿废水宜根据其去向采用混凝、沉淀、过滤或以上工艺组合等方法合理处理后进行生产、绿化、生活等方式综合利用，其水质应达到相应要求。</w:t>
                  </w:r>
                </w:p>
              </w:tc>
              <w:tc>
                <w:tcPr>
                  <w:tcW w:w="1451"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不涉及采矿</w:t>
                  </w:r>
                  <w:r>
                    <w:rPr>
                      <w:rFonts w:hint="default" w:ascii="Times New Roman" w:hAnsi="Times New Roman" w:eastAsia="宋体" w:cs="Times New Roman"/>
                      <w:color w:val="auto"/>
                      <w:sz w:val="21"/>
                      <w:szCs w:val="21"/>
                      <w:highlight w:val="none"/>
                      <w:lang w:eastAsia="zh-CN"/>
                    </w:rPr>
                    <w:t>。</w:t>
                  </w:r>
                </w:p>
              </w:tc>
              <w:tc>
                <w:tcPr>
                  <w:tcW w:w="486"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28" w:type="dxa"/>
                  <w:left w:w="28" w:type="dxa"/>
                  <w:bottom w:w="28" w:type="dxa"/>
                  <w:right w:w="28" w:type="dxa"/>
                </w:tblCellMar>
              </w:tblPrEx>
              <w:trPr>
                <w:cantSplit/>
                <w:trHeight w:val="283" w:hRule="atLeast"/>
                <w:jc w:val="center"/>
              </w:trPr>
              <w:tc>
                <w:tcPr>
                  <w:tcW w:w="352" w:type="pct"/>
                  <w:vMerge w:val="continue"/>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210"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p>
              </w:tc>
              <w:tc>
                <w:tcPr>
                  <w:tcW w:w="2500" w:type="pct"/>
                  <w:noWrap w:val="0"/>
                  <w:vAlign w:val="center"/>
                </w:tcPr>
                <w:p>
                  <w:pPr>
                    <w:pStyle w:val="93"/>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生活污水宜单独收集并根据其去向合理处理后进行生产、绿化、冲洗等综合利用，其水质应达到相应要求。</w:t>
                  </w:r>
                </w:p>
              </w:tc>
              <w:tc>
                <w:tcPr>
                  <w:tcW w:w="1451"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pacing w:val="-6"/>
                      <w:sz w:val="21"/>
                      <w:szCs w:val="21"/>
                      <w:highlight w:val="none"/>
                    </w:rPr>
                    <w:t>生活污水经一体化污水处理设施处理后用于厂区绿化和洒水降尘</w:t>
                  </w:r>
                  <w:r>
                    <w:rPr>
                      <w:rFonts w:hint="default" w:ascii="Times New Roman" w:hAnsi="Times New Roman" w:eastAsia="宋体" w:cs="Times New Roman"/>
                      <w:color w:val="auto"/>
                      <w:spacing w:val="-6"/>
                      <w:sz w:val="21"/>
                      <w:szCs w:val="21"/>
                      <w:highlight w:val="none"/>
                      <w:lang w:eastAsia="zh-CN"/>
                    </w:rPr>
                    <w:t>。</w:t>
                  </w:r>
                </w:p>
              </w:tc>
              <w:tc>
                <w:tcPr>
                  <w:tcW w:w="486"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28" w:type="dxa"/>
                  <w:left w:w="28" w:type="dxa"/>
                  <w:bottom w:w="28" w:type="dxa"/>
                  <w:right w:w="28" w:type="dxa"/>
                </w:tblCellMar>
              </w:tblPrEx>
              <w:trPr>
                <w:cantSplit/>
                <w:trHeight w:val="283" w:hRule="atLeast"/>
                <w:jc w:val="center"/>
              </w:trPr>
              <w:tc>
                <w:tcPr>
                  <w:tcW w:w="352"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固体废物利用处置</w:t>
                  </w:r>
                </w:p>
              </w:tc>
              <w:tc>
                <w:tcPr>
                  <w:tcW w:w="210"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2500" w:type="pct"/>
                  <w:noWrap w:val="0"/>
                  <w:vAlign w:val="center"/>
                </w:tcPr>
                <w:p>
                  <w:pPr>
                    <w:pStyle w:val="93"/>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采矿废石、浮选尾矿等固体废物的贮存和利用应符合国家环境保护相应要求。采矿废石应优先用于回填，或作为建材等方式进行综合利用。鼓励采选过程产生的浮选尾矿用于露天采坑或井下采空区回填，或作为建材等方式进行综合利用。</w:t>
                  </w:r>
                </w:p>
              </w:tc>
              <w:tc>
                <w:tcPr>
                  <w:tcW w:w="1451"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项目</w:t>
                  </w:r>
                  <w:r>
                    <w:rPr>
                      <w:rFonts w:hint="default" w:ascii="Times New Roman" w:hAnsi="Times New Roman" w:eastAsia="宋体" w:cs="Times New Roman"/>
                      <w:color w:val="auto"/>
                      <w:sz w:val="21"/>
                      <w:szCs w:val="21"/>
                      <w:highlight w:val="none"/>
                      <w:lang w:val="en-US" w:eastAsia="zh-CN"/>
                    </w:rPr>
                    <w:t>浮选尾矿</w:t>
                  </w:r>
                  <w:r>
                    <w:rPr>
                      <w:rFonts w:hint="default" w:ascii="Times New Roman" w:hAnsi="Times New Roman" w:eastAsia="宋体" w:cs="Times New Roman"/>
                      <w:color w:val="auto"/>
                      <w:sz w:val="21"/>
                      <w:szCs w:val="21"/>
                      <w:highlight w:val="none"/>
                    </w:rPr>
                    <w:t>排入</w:t>
                  </w:r>
                  <w:r>
                    <w:rPr>
                      <w:rFonts w:hint="default" w:ascii="Times New Roman" w:hAnsi="Times New Roman" w:eastAsia="宋体" w:cs="Times New Roman"/>
                      <w:color w:val="auto"/>
                      <w:sz w:val="21"/>
                      <w:szCs w:val="21"/>
                      <w:highlight w:val="none"/>
                      <w:lang w:val="en-US" w:eastAsia="zh-CN"/>
                    </w:rPr>
                    <w:t>选厂下游新建</w:t>
                  </w:r>
                  <w:r>
                    <w:rPr>
                      <w:rFonts w:hint="default" w:ascii="Times New Roman" w:hAnsi="Times New Roman" w:cs="Times New Roman"/>
                      <w:color w:val="auto"/>
                      <w:sz w:val="21"/>
                      <w:szCs w:val="21"/>
                      <w:highlight w:val="none"/>
                      <w:lang w:val="en-US" w:eastAsia="zh-CN"/>
                    </w:rPr>
                    <w:t>续接</w:t>
                  </w:r>
                  <w:r>
                    <w:rPr>
                      <w:rFonts w:hint="default" w:ascii="Times New Roman" w:hAnsi="Times New Roman" w:eastAsia="宋体" w:cs="Times New Roman"/>
                      <w:color w:val="auto"/>
                      <w:sz w:val="21"/>
                      <w:szCs w:val="21"/>
                      <w:highlight w:val="none"/>
                    </w:rPr>
                    <w:t>尾矿库</w:t>
                  </w:r>
                  <w:r>
                    <w:rPr>
                      <w:rFonts w:hint="default" w:ascii="Times New Roman" w:hAnsi="Times New Roman" w:eastAsia="宋体" w:cs="Times New Roman"/>
                      <w:color w:val="auto"/>
                      <w:sz w:val="21"/>
                      <w:szCs w:val="21"/>
                      <w:highlight w:val="none"/>
                      <w:lang w:eastAsia="zh-CN"/>
                    </w:rPr>
                    <w:t>。</w:t>
                  </w:r>
                </w:p>
              </w:tc>
              <w:tc>
                <w:tcPr>
                  <w:tcW w:w="486"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28" w:type="dxa"/>
                  <w:left w:w="28" w:type="dxa"/>
                  <w:bottom w:w="28" w:type="dxa"/>
                  <w:right w:w="28" w:type="dxa"/>
                </w:tblCellMar>
              </w:tblPrEx>
              <w:trPr>
                <w:cantSplit/>
                <w:trHeight w:val="283" w:hRule="atLeast"/>
                <w:jc w:val="center"/>
              </w:trPr>
              <w:tc>
                <w:tcPr>
                  <w:tcW w:w="352" w:type="pct"/>
                  <w:vMerge w:val="restar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噪声污染防治</w:t>
                  </w:r>
                </w:p>
              </w:tc>
              <w:tc>
                <w:tcPr>
                  <w:tcW w:w="210"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2500" w:type="pct"/>
                  <w:noWrap w:val="0"/>
                  <w:vAlign w:val="center"/>
                </w:tcPr>
                <w:p>
                  <w:pPr>
                    <w:pStyle w:val="93"/>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应通过合理的生产布局减少对厂界外噪声敏感目标的影响。</w:t>
                  </w:r>
                </w:p>
              </w:tc>
              <w:tc>
                <w:tcPr>
                  <w:tcW w:w="1451" w:type="pct"/>
                  <w:vMerge w:val="restar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项目采用厂房隔声、基础减振等措施降噪</w:t>
                  </w:r>
                  <w:r>
                    <w:rPr>
                      <w:rFonts w:hint="default" w:ascii="Times New Roman" w:hAnsi="Times New Roman" w:eastAsia="宋体" w:cs="Times New Roman"/>
                      <w:color w:val="auto"/>
                      <w:sz w:val="21"/>
                      <w:szCs w:val="21"/>
                      <w:highlight w:val="none"/>
                      <w:lang w:eastAsia="zh-CN"/>
                    </w:rPr>
                    <w:t>。</w:t>
                  </w:r>
                </w:p>
              </w:tc>
              <w:tc>
                <w:tcPr>
                  <w:tcW w:w="486" w:type="pct"/>
                  <w:vMerge w:val="restar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28" w:type="dxa"/>
                  <w:left w:w="28" w:type="dxa"/>
                  <w:bottom w:w="28" w:type="dxa"/>
                  <w:right w:w="28" w:type="dxa"/>
                </w:tblCellMar>
              </w:tblPrEx>
              <w:trPr>
                <w:cantSplit/>
                <w:trHeight w:val="283" w:hRule="atLeast"/>
                <w:jc w:val="center"/>
              </w:trPr>
              <w:tc>
                <w:tcPr>
                  <w:tcW w:w="352" w:type="pct"/>
                  <w:vMerge w:val="continue"/>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210"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2500" w:type="pct"/>
                  <w:noWrap w:val="0"/>
                  <w:vAlign w:val="center"/>
                </w:tcPr>
                <w:p>
                  <w:pPr>
                    <w:pStyle w:val="93"/>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1"/>
                      <w:sz w:val="21"/>
                      <w:szCs w:val="21"/>
                      <w:highlight w:val="none"/>
                    </w:rPr>
                    <w:t>对于噪声较大的各类风机、破碎机、球磨机等应采取隔振、减振、隔声、消声等措施。</w:t>
                  </w:r>
                </w:p>
              </w:tc>
              <w:tc>
                <w:tcPr>
                  <w:tcW w:w="1451" w:type="pct"/>
                  <w:vMerge w:val="continue"/>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486" w:type="pct"/>
                  <w:vMerge w:val="continue"/>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28" w:type="dxa"/>
                  <w:left w:w="28" w:type="dxa"/>
                  <w:bottom w:w="28" w:type="dxa"/>
                  <w:right w:w="28" w:type="dxa"/>
                </w:tblCellMar>
              </w:tblPrEx>
              <w:trPr>
                <w:cantSplit/>
                <w:trHeight w:val="283" w:hRule="atLeast"/>
                <w:jc w:val="center"/>
              </w:trPr>
              <w:tc>
                <w:tcPr>
                  <w:tcW w:w="352" w:type="pct"/>
                  <w:vMerge w:val="restar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生态保护</w:t>
                  </w:r>
                </w:p>
              </w:tc>
              <w:tc>
                <w:tcPr>
                  <w:tcW w:w="210"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2500" w:type="pct"/>
                  <w:noWrap w:val="0"/>
                  <w:vAlign w:val="center"/>
                </w:tcPr>
                <w:p>
                  <w:pPr>
                    <w:pStyle w:val="93"/>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1"/>
                      <w:sz w:val="21"/>
                      <w:szCs w:val="21"/>
                      <w:highlight w:val="none"/>
                    </w:rPr>
                    <w:t>采矿、选矿工业场地应选择有利于保护生态环境的场所（位置），矿山开采企业应采取种植植被或其他措施，减少水土流失。</w:t>
                  </w:r>
                </w:p>
              </w:tc>
              <w:tc>
                <w:tcPr>
                  <w:tcW w:w="1451" w:type="pct"/>
                  <w:vMerge w:val="restar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rPr>
                    <w:t>不涉及</w:t>
                  </w:r>
                  <w:r>
                    <w:rPr>
                      <w:rFonts w:hint="default" w:ascii="Times New Roman" w:hAnsi="Times New Roman" w:eastAsia="宋体" w:cs="Times New Roman"/>
                      <w:color w:val="auto"/>
                      <w:sz w:val="21"/>
                      <w:szCs w:val="21"/>
                      <w:highlight w:val="none"/>
                      <w:lang w:val="en-US" w:eastAsia="zh-CN"/>
                    </w:rPr>
                    <w:t>采矿。本</w:t>
                  </w:r>
                  <w:r>
                    <w:rPr>
                      <w:rFonts w:hint="default" w:ascii="Times New Roman" w:hAnsi="Times New Roman" w:eastAsia="宋体" w:cs="Times New Roman"/>
                      <w:color w:val="auto"/>
                      <w:sz w:val="21"/>
                      <w:szCs w:val="21"/>
                      <w:highlight w:val="none"/>
                    </w:rPr>
                    <w:t>项目</w:t>
                  </w:r>
                  <w:r>
                    <w:rPr>
                      <w:rFonts w:hint="default" w:ascii="Times New Roman" w:hAnsi="Times New Roman" w:eastAsia="宋体" w:cs="Times New Roman"/>
                      <w:color w:val="auto"/>
                      <w:sz w:val="21"/>
                      <w:szCs w:val="21"/>
                      <w:highlight w:val="none"/>
                      <w:lang w:val="en-US" w:eastAsia="zh-CN"/>
                    </w:rPr>
                    <w:t>为</w:t>
                  </w:r>
                  <w:r>
                    <w:rPr>
                      <w:rFonts w:hint="default" w:ascii="Times New Roman" w:hAnsi="Times New Roman" w:eastAsia="宋体" w:cs="Times New Roman"/>
                      <w:color w:val="auto"/>
                      <w:sz w:val="21"/>
                      <w:szCs w:val="21"/>
                      <w:highlight w:val="none"/>
                    </w:rPr>
                    <w:t>选矿厂</w:t>
                  </w:r>
                  <w:r>
                    <w:rPr>
                      <w:rFonts w:hint="default" w:ascii="Times New Roman" w:hAnsi="Times New Roman" w:eastAsia="宋体" w:cs="Times New Roman"/>
                      <w:color w:val="auto"/>
                      <w:sz w:val="21"/>
                      <w:szCs w:val="21"/>
                      <w:highlight w:val="none"/>
                      <w:lang w:val="en-US" w:eastAsia="zh-CN"/>
                    </w:rPr>
                    <w:t>扩建工程，位于选矿工业场地内，不新增占地。</w:t>
                  </w:r>
                </w:p>
              </w:tc>
              <w:tc>
                <w:tcPr>
                  <w:tcW w:w="486"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28" w:type="dxa"/>
                  <w:left w:w="28" w:type="dxa"/>
                  <w:bottom w:w="28" w:type="dxa"/>
                  <w:right w:w="28" w:type="dxa"/>
                </w:tblCellMar>
              </w:tblPrEx>
              <w:trPr>
                <w:cantSplit/>
                <w:trHeight w:val="283" w:hRule="atLeast"/>
                <w:jc w:val="center"/>
              </w:trPr>
              <w:tc>
                <w:tcPr>
                  <w:tcW w:w="352" w:type="pct"/>
                  <w:vMerge w:val="continue"/>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210"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2500" w:type="pct"/>
                  <w:noWrap w:val="0"/>
                  <w:vAlign w:val="center"/>
                </w:tcPr>
                <w:p>
                  <w:pPr>
                    <w:pStyle w:val="93"/>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露天开采矿山宜采用“剥离-排土-造地-复垦”一体化技术。</w:t>
                  </w:r>
                </w:p>
              </w:tc>
              <w:tc>
                <w:tcPr>
                  <w:tcW w:w="1451" w:type="pct"/>
                  <w:vMerge w:val="continue"/>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486"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28" w:type="dxa"/>
                  <w:left w:w="28" w:type="dxa"/>
                  <w:bottom w:w="28" w:type="dxa"/>
                  <w:right w:w="28" w:type="dxa"/>
                </w:tblCellMar>
              </w:tblPrEx>
              <w:trPr>
                <w:cantSplit/>
                <w:trHeight w:val="283" w:hRule="atLeast"/>
                <w:jc w:val="center"/>
              </w:trPr>
              <w:tc>
                <w:tcPr>
                  <w:tcW w:w="352" w:type="pct"/>
                  <w:vMerge w:val="continue"/>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210"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p>
              </w:tc>
              <w:tc>
                <w:tcPr>
                  <w:tcW w:w="2500" w:type="pct"/>
                  <w:noWrap w:val="0"/>
                  <w:vAlign w:val="center"/>
                </w:tcPr>
                <w:p>
                  <w:pPr>
                    <w:pStyle w:val="93"/>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矿山修复应优先采用原生植物覆盖生态修复技术。</w:t>
                  </w:r>
                </w:p>
              </w:tc>
              <w:tc>
                <w:tcPr>
                  <w:tcW w:w="1451" w:type="pct"/>
                  <w:vMerge w:val="continue"/>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486"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28" w:type="dxa"/>
                  <w:left w:w="28" w:type="dxa"/>
                  <w:bottom w:w="28" w:type="dxa"/>
                  <w:right w:w="28" w:type="dxa"/>
                </w:tblCellMar>
              </w:tblPrEx>
              <w:trPr>
                <w:cantSplit/>
                <w:trHeight w:val="283" w:hRule="atLeast"/>
                <w:jc w:val="center"/>
              </w:trPr>
              <w:tc>
                <w:tcPr>
                  <w:tcW w:w="352" w:type="pct"/>
                  <w:vMerge w:val="continue"/>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210"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w:t>
                  </w:r>
                </w:p>
              </w:tc>
              <w:tc>
                <w:tcPr>
                  <w:tcW w:w="2500" w:type="pct"/>
                  <w:noWrap w:val="0"/>
                  <w:vAlign w:val="center"/>
                </w:tcPr>
                <w:p>
                  <w:pPr>
                    <w:pStyle w:val="93"/>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新（改、扩）建及固定设施建设项目应充分考虑有利于矿山生命周期全过程生态环境保护及生态恢复的技术及方案。</w:t>
                  </w:r>
                </w:p>
              </w:tc>
              <w:tc>
                <w:tcPr>
                  <w:tcW w:w="1451"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不涉及</w:t>
                  </w:r>
                  <w:r>
                    <w:rPr>
                      <w:rFonts w:hint="default" w:ascii="Times New Roman" w:hAnsi="Times New Roman" w:eastAsia="宋体" w:cs="Times New Roman"/>
                      <w:color w:val="auto"/>
                      <w:sz w:val="21"/>
                      <w:szCs w:val="21"/>
                      <w:highlight w:val="none"/>
                      <w:lang w:eastAsia="zh-CN"/>
                    </w:rPr>
                    <w:t>。</w:t>
                  </w:r>
                </w:p>
              </w:tc>
              <w:tc>
                <w:tcPr>
                  <w:tcW w:w="486"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28" w:type="dxa"/>
                  <w:left w:w="28" w:type="dxa"/>
                  <w:bottom w:w="28" w:type="dxa"/>
                  <w:right w:w="28" w:type="dxa"/>
                </w:tblCellMar>
              </w:tblPrEx>
              <w:trPr>
                <w:cantSplit/>
                <w:trHeight w:val="283" w:hRule="atLeast"/>
                <w:jc w:val="center"/>
              </w:trPr>
              <w:tc>
                <w:tcPr>
                  <w:tcW w:w="352" w:type="pct"/>
                  <w:vMerge w:val="continue"/>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210"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w:t>
                  </w:r>
                </w:p>
              </w:tc>
              <w:tc>
                <w:tcPr>
                  <w:tcW w:w="2500" w:type="pct"/>
                  <w:noWrap w:val="0"/>
                  <w:vAlign w:val="center"/>
                </w:tcPr>
                <w:p>
                  <w:pPr>
                    <w:pStyle w:val="93"/>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尾矿库闭库后应进行生态修复，且根据环境风险评价结果确定修复目标，尾矿库场地修复完成后用于土地利用时应符合相关规定。</w:t>
                  </w:r>
                </w:p>
              </w:tc>
              <w:tc>
                <w:tcPr>
                  <w:tcW w:w="1451"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pacing w:val="-6"/>
                      <w:sz w:val="21"/>
                      <w:szCs w:val="21"/>
                      <w:highlight w:val="none"/>
                      <w:lang w:val="en-US" w:eastAsia="zh-CN"/>
                    </w:rPr>
                    <w:t>本项目不新建尾矿库，依托</w:t>
                  </w:r>
                  <w:r>
                    <w:rPr>
                      <w:rFonts w:hint="default" w:ascii="Times New Roman" w:hAnsi="Times New Roman" w:eastAsia="宋体" w:cs="Times New Roman"/>
                      <w:color w:val="auto"/>
                      <w:spacing w:val="-6"/>
                      <w:sz w:val="21"/>
                      <w:szCs w:val="21"/>
                      <w:highlight w:val="none"/>
                    </w:rPr>
                    <w:t>尾矿库闭库后进行生态修复</w:t>
                  </w:r>
                  <w:r>
                    <w:rPr>
                      <w:rFonts w:hint="default" w:ascii="Times New Roman" w:hAnsi="Times New Roman" w:eastAsia="宋体" w:cs="Times New Roman"/>
                      <w:color w:val="auto"/>
                      <w:spacing w:val="-6"/>
                      <w:sz w:val="21"/>
                      <w:szCs w:val="21"/>
                      <w:highlight w:val="none"/>
                      <w:lang w:eastAsia="zh-CN"/>
                    </w:rPr>
                    <w:t>。</w:t>
                  </w:r>
                </w:p>
              </w:tc>
              <w:tc>
                <w:tcPr>
                  <w:tcW w:w="486"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28" w:type="dxa"/>
                  <w:left w:w="28" w:type="dxa"/>
                  <w:bottom w:w="28" w:type="dxa"/>
                  <w:right w:w="28" w:type="dxa"/>
                </w:tblCellMar>
              </w:tblPrEx>
              <w:trPr>
                <w:cantSplit/>
                <w:trHeight w:val="283" w:hRule="atLeast"/>
                <w:jc w:val="center"/>
              </w:trPr>
              <w:tc>
                <w:tcPr>
                  <w:tcW w:w="352" w:type="pct"/>
                  <w:vMerge w:val="restar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二次污染防治</w:t>
                  </w:r>
                </w:p>
              </w:tc>
              <w:tc>
                <w:tcPr>
                  <w:tcW w:w="210"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2500" w:type="pct"/>
                  <w:noWrap w:val="0"/>
                  <w:vAlign w:val="center"/>
                </w:tcPr>
                <w:p>
                  <w:pPr>
                    <w:pStyle w:val="93"/>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pacing w:val="-6"/>
                      <w:sz w:val="21"/>
                      <w:szCs w:val="21"/>
                      <w:highlight w:val="none"/>
                    </w:rPr>
                  </w:pPr>
                  <w:r>
                    <w:rPr>
                      <w:rFonts w:hint="default" w:ascii="Times New Roman" w:hAnsi="Times New Roman" w:eastAsia="宋体" w:cs="Times New Roman"/>
                      <w:color w:val="auto"/>
                      <w:spacing w:val="-6"/>
                      <w:sz w:val="21"/>
                      <w:szCs w:val="21"/>
                      <w:highlight w:val="none"/>
                    </w:rPr>
                    <w:t>应加强污染治理设施的运营管理，确保设施、设备正常运行。对储存、使用和排放有毒有害物质的车间和存在泄漏风险的装置，应设置防渗事故泄漏液收集池，并配套相应无害化应急处理设施。</w:t>
                  </w:r>
                </w:p>
              </w:tc>
              <w:tc>
                <w:tcPr>
                  <w:tcW w:w="1451"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pacing w:val="-6"/>
                      <w:sz w:val="21"/>
                      <w:szCs w:val="21"/>
                      <w:highlight w:val="none"/>
                      <w:lang w:eastAsia="zh-CN"/>
                    </w:rPr>
                  </w:pPr>
                  <w:r>
                    <w:rPr>
                      <w:rFonts w:hint="default" w:ascii="Times New Roman" w:hAnsi="Times New Roman" w:eastAsia="宋体" w:cs="Times New Roman"/>
                      <w:color w:val="auto"/>
                      <w:spacing w:val="-6"/>
                      <w:sz w:val="21"/>
                      <w:szCs w:val="21"/>
                      <w:highlight w:val="none"/>
                    </w:rPr>
                    <w:t>项目各产污环节采取有效污染治理措施，并建立管理制度，保证污染治理设施高效、稳定运行。</w:t>
                  </w:r>
                  <w:r>
                    <w:rPr>
                      <w:rFonts w:hint="default" w:ascii="Times New Roman" w:hAnsi="Times New Roman" w:eastAsia="宋体" w:cs="Times New Roman"/>
                      <w:color w:val="auto"/>
                      <w:spacing w:val="-6"/>
                      <w:sz w:val="21"/>
                      <w:szCs w:val="21"/>
                      <w:highlight w:val="none"/>
                      <w:lang w:val="en-US" w:eastAsia="zh-CN"/>
                    </w:rPr>
                    <w:t>药剂储存依托选矿厂现有药剂库，选矿厂已建有事故池。</w:t>
                  </w:r>
                </w:p>
              </w:tc>
              <w:tc>
                <w:tcPr>
                  <w:tcW w:w="486"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28" w:type="dxa"/>
                  <w:left w:w="28" w:type="dxa"/>
                  <w:bottom w:w="28" w:type="dxa"/>
                  <w:right w:w="28" w:type="dxa"/>
                </w:tblCellMar>
              </w:tblPrEx>
              <w:trPr>
                <w:cantSplit/>
                <w:trHeight w:val="283" w:hRule="atLeast"/>
                <w:jc w:val="center"/>
              </w:trPr>
              <w:tc>
                <w:tcPr>
                  <w:tcW w:w="352" w:type="pct"/>
                  <w:vMerge w:val="continue"/>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210"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2500" w:type="pct"/>
                  <w:noWrap w:val="0"/>
                  <w:vAlign w:val="center"/>
                </w:tcPr>
                <w:p>
                  <w:pPr>
                    <w:pStyle w:val="93"/>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在矿石、采矿废石及采选过程浮选尾矿运输过程中，应对运输车辆采取防尘、防遗撒措施。</w:t>
                  </w:r>
                </w:p>
              </w:tc>
              <w:tc>
                <w:tcPr>
                  <w:tcW w:w="1451"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依托</w:t>
                  </w:r>
                  <w:r>
                    <w:rPr>
                      <w:rFonts w:hint="default" w:ascii="Times New Roman" w:hAnsi="Times New Roman" w:cs="Times New Roman"/>
                      <w:color w:val="auto"/>
                      <w:sz w:val="21"/>
                      <w:szCs w:val="21"/>
                      <w:highlight w:val="none"/>
                      <w:lang w:val="en-US" w:eastAsia="zh-CN"/>
                    </w:rPr>
                    <w:t>新建</w:t>
                  </w:r>
                  <w:r>
                    <w:rPr>
                      <w:rFonts w:hint="default" w:ascii="Times New Roman" w:hAnsi="Times New Roman" w:eastAsia="宋体" w:cs="Times New Roman"/>
                      <w:color w:val="auto"/>
                      <w:sz w:val="21"/>
                      <w:szCs w:val="21"/>
                      <w:highlight w:val="none"/>
                    </w:rPr>
                    <w:t>尾矿库距选厂</w:t>
                  </w:r>
                  <w:r>
                    <w:rPr>
                      <w:rFonts w:hint="default" w:ascii="Times New Roman" w:hAnsi="Times New Roman" w:eastAsia="宋体" w:cs="Times New Roman"/>
                      <w:color w:val="auto"/>
                      <w:sz w:val="21"/>
                      <w:szCs w:val="21"/>
                      <w:highlight w:val="none"/>
                      <w:lang w:eastAsia="zh-CN"/>
                    </w:rPr>
                    <w:t>约</w:t>
                  </w:r>
                  <w:r>
                    <w:rPr>
                      <w:rFonts w:hint="default" w:ascii="Times New Roman" w:hAnsi="Times New Roman" w:eastAsia="宋体" w:cs="Times New Roman"/>
                      <w:color w:val="auto"/>
                      <w:sz w:val="21"/>
                      <w:szCs w:val="21"/>
                      <w:highlight w:val="none"/>
                      <w:lang w:val="en-US" w:eastAsia="zh-CN"/>
                    </w:rPr>
                    <w:t>1000</w:t>
                  </w:r>
                  <w:r>
                    <w:rPr>
                      <w:rFonts w:hint="default" w:ascii="Times New Roman" w:hAnsi="Times New Roman" w:eastAsia="宋体" w:cs="Times New Roman"/>
                      <w:color w:val="auto"/>
                      <w:sz w:val="21"/>
                      <w:szCs w:val="21"/>
                      <w:highlight w:val="none"/>
                    </w:rPr>
                    <w:t>m，采用渣浆泵泵送尾矿</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输送</w:t>
                  </w:r>
                  <w:r>
                    <w:rPr>
                      <w:rFonts w:hint="default" w:ascii="Times New Roman" w:hAnsi="Times New Roman" w:eastAsia="宋体" w:cs="Times New Roman"/>
                      <w:color w:val="auto"/>
                      <w:sz w:val="21"/>
                      <w:szCs w:val="21"/>
                      <w:highlight w:val="none"/>
                    </w:rPr>
                    <w:t>过</w:t>
                  </w:r>
                  <w:r>
                    <w:rPr>
                      <w:rFonts w:hint="default" w:ascii="Times New Roman" w:hAnsi="Times New Roman" w:eastAsia="宋体" w:cs="Times New Roman"/>
                      <w:color w:val="auto"/>
                      <w:sz w:val="21"/>
                      <w:szCs w:val="21"/>
                      <w:highlight w:val="none"/>
                      <w:lang w:eastAsia="zh-CN"/>
                    </w:rPr>
                    <w:t>程中</w:t>
                  </w:r>
                  <w:r>
                    <w:rPr>
                      <w:rFonts w:hint="default" w:ascii="Times New Roman" w:hAnsi="Times New Roman" w:eastAsia="宋体" w:cs="Times New Roman"/>
                      <w:color w:val="auto"/>
                      <w:sz w:val="21"/>
                      <w:szCs w:val="21"/>
                      <w:highlight w:val="none"/>
                    </w:rPr>
                    <w:t>不会有粉尘和遗撒</w:t>
                  </w:r>
                  <w:r>
                    <w:rPr>
                      <w:rFonts w:hint="default" w:ascii="Times New Roman" w:hAnsi="Times New Roman" w:eastAsia="宋体" w:cs="Times New Roman"/>
                      <w:color w:val="auto"/>
                      <w:sz w:val="21"/>
                      <w:szCs w:val="21"/>
                      <w:highlight w:val="none"/>
                      <w:lang w:eastAsia="zh-CN"/>
                    </w:rPr>
                    <w:t>。</w:t>
                  </w:r>
                </w:p>
              </w:tc>
              <w:tc>
                <w:tcPr>
                  <w:tcW w:w="486"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28" w:type="dxa"/>
                  <w:left w:w="28" w:type="dxa"/>
                  <w:bottom w:w="28" w:type="dxa"/>
                  <w:right w:w="28" w:type="dxa"/>
                </w:tblCellMar>
              </w:tblPrEx>
              <w:trPr>
                <w:cantSplit/>
                <w:trHeight w:val="283" w:hRule="atLeast"/>
                <w:jc w:val="center"/>
              </w:trPr>
              <w:tc>
                <w:tcPr>
                  <w:tcW w:w="352" w:type="pct"/>
                  <w:vMerge w:val="continue"/>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210"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p>
              </w:tc>
              <w:tc>
                <w:tcPr>
                  <w:tcW w:w="2500" w:type="pct"/>
                  <w:noWrap w:val="0"/>
                  <w:vAlign w:val="center"/>
                </w:tcPr>
                <w:p>
                  <w:pPr>
                    <w:pStyle w:val="93"/>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尾矿库应采取干滩遮盖、洒水降尘或分散排矿、设置截排洪沟渠、设置挡风抑尘墙（网）等防止尾矿流失或尾矿粉尘飞扬的措施。</w:t>
                  </w:r>
                </w:p>
              </w:tc>
              <w:tc>
                <w:tcPr>
                  <w:tcW w:w="1451"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pacing w:val="-6"/>
                      <w:sz w:val="21"/>
                      <w:szCs w:val="21"/>
                      <w:highlight w:val="none"/>
                      <w:lang w:val="en-US" w:eastAsia="zh-CN"/>
                    </w:rPr>
                    <w:t>本项目不新建尾矿库，依托选矿厂新建</w:t>
                  </w:r>
                  <w:r>
                    <w:rPr>
                      <w:rFonts w:hint="default" w:ascii="Times New Roman" w:hAnsi="Times New Roman" w:eastAsia="宋体" w:cs="Times New Roman"/>
                      <w:color w:val="auto"/>
                      <w:spacing w:val="-6"/>
                      <w:sz w:val="21"/>
                      <w:szCs w:val="21"/>
                      <w:highlight w:val="none"/>
                    </w:rPr>
                    <w:t>尾矿库</w:t>
                  </w:r>
                  <w:r>
                    <w:rPr>
                      <w:rFonts w:hint="default" w:ascii="Times New Roman" w:hAnsi="Times New Roman" w:eastAsia="宋体" w:cs="Times New Roman"/>
                      <w:color w:val="auto"/>
                      <w:spacing w:val="-6"/>
                      <w:sz w:val="21"/>
                      <w:szCs w:val="21"/>
                      <w:highlight w:val="none"/>
                      <w:lang w:eastAsia="zh-CN"/>
                    </w:rPr>
                    <w:t>。</w:t>
                  </w:r>
                  <w:r>
                    <w:rPr>
                      <w:rFonts w:hint="default" w:ascii="Times New Roman" w:hAnsi="Times New Roman" w:eastAsia="宋体" w:cs="Times New Roman"/>
                      <w:color w:val="auto"/>
                      <w:spacing w:val="-6"/>
                      <w:sz w:val="21"/>
                      <w:szCs w:val="21"/>
                      <w:highlight w:val="none"/>
                      <w:lang w:val="en-US" w:eastAsia="zh-CN"/>
                    </w:rPr>
                    <w:t>尾矿库</w:t>
                  </w:r>
                  <w:r>
                    <w:rPr>
                      <w:rFonts w:hint="default" w:ascii="Times New Roman" w:hAnsi="Times New Roman" w:eastAsia="宋体" w:cs="Times New Roman"/>
                      <w:color w:val="auto"/>
                      <w:spacing w:val="-6"/>
                      <w:sz w:val="21"/>
                      <w:szCs w:val="21"/>
                      <w:highlight w:val="none"/>
                    </w:rPr>
                    <w:t>表面洒水抑尘，尾矿坝坡进行护坡，尾矿库滩面洒水保持湿润，在尾矿渣已堆到设计标高的地段及时覆土绿化，选择与当地生长相同的树种和草种进行生物固化</w:t>
                  </w:r>
                  <w:r>
                    <w:rPr>
                      <w:rFonts w:hint="default" w:ascii="Times New Roman" w:hAnsi="Times New Roman" w:eastAsia="宋体" w:cs="Times New Roman"/>
                      <w:color w:val="auto"/>
                      <w:spacing w:val="-6"/>
                      <w:sz w:val="21"/>
                      <w:szCs w:val="21"/>
                      <w:highlight w:val="none"/>
                      <w:lang w:eastAsia="zh-CN"/>
                    </w:rPr>
                    <w:t>。</w:t>
                  </w:r>
                </w:p>
              </w:tc>
              <w:tc>
                <w:tcPr>
                  <w:tcW w:w="486"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28" w:type="dxa"/>
                  <w:left w:w="28" w:type="dxa"/>
                  <w:bottom w:w="28" w:type="dxa"/>
                  <w:right w:w="28" w:type="dxa"/>
                </w:tblCellMar>
              </w:tblPrEx>
              <w:trPr>
                <w:cantSplit/>
                <w:trHeight w:val="283" w:hRule="atLeast"/>
                <w:jc w:val="center"/>
              </w:trPr>
              <w:tc>
                <w:tcPr>
                  <w:tcW w:w="352" w:type="pct"/>
                  <w:vMerge w:val="continue"/>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210"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w:t>
                  </w:r>
                </w:p>
              </w:tc>
              <w:tc>
                <w:tcPr>
                  <w:tcW w:w="2500" w:type="pct"/>
                  <w:noWrap w:val="0"/>
                  <w:vAlign w:val="center"/>
                </w:tcPr>
                <w:p>
                  <w:pPr>
                    <w:pStyle w:val="93"/>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尾矿库应按照贮存尾矿性质进行合理防渗，并在坝外设置尾矿库渗滤液收集设施及渗滤液应急无害化处理设施。</w:t>
                  </w:r>
                </w:p>
              </w:tc>
              <w:tc>
                <w:tcPr>
                  <w:tcW w:w="1451"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尾矿库防渗采用两布一膜，坝外设置渗滤液收集设施</w:t>
                  </w:r>
                  <w:r>
                    <w:rPr>
                      <w:rFonts w:hint="default" w:ascii="Times New Roman" w:hAnsi="Times New Roman" w:eastAsia="宋体" w:cs="Times New Roman"/>
                      <w:color w:val="auto"/>
                      <w:sz w:val="21"/>
                      <w:szCs w:val="21"/>
                      <w:highlight w:val="none"/>
                      <w:lang w:eastAsia="zh-CN"/>
                    </w:rPr>
                    <w:t>。</w:t>
                  </w:r>
                </w:p>
              </w:tc>
              <w:tc>
                <w:tcPr>
                  <w:tcW w:w="486" w:type="pct"/>
                  <w:noWrap w:val="0"/>
                  <w:vAlign w:val="center"/>
                </w:tcPr>
                <w:p>
                  <w:pPr>
                    <w:pStyle w:val="93"/>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bl>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5、</w:t>
            </w:r>
            <w:r>
              <w:rPr>
                <w:rFonts w:hint="default" w:ascii="Times New Roman" w:hAnsi="Times New Roman" w:eastAsia="宋体" w:cs="Times New Roman"/>
                <w:b/>
                <w:bCs/>
                <w:color w:val="auto"/>
                <w:sz w:val="24"/>
                <w:szCs w:val="24"/>
                <w:lang w:val="en-US" w:eastAsia="zh-CN"/>
              </w:rPr>
              <w:t>与《且末县国土空间总体规划（2021—2035年）》《且末县阿羌镇国土空间总体规划(2021一2035年)》符合性</w:t>
            </w:r>
          </w:p>
          <w:p>
            <w:pPr>
              <w:pStyle w:val="98"/>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且末县国土空间总体规划（2021—2035年）》：构建“一屏五廊一核、两轴三区多点”的国土空间总体格局。产业空间布局划分为“一心三区”，一心为县城经济密集区，三区为南北中三大产业片区。中部产业片区：以且末中心城区和工业园区为主体，以巴格艾日克、琼库勒、格拉克勒克、阿热勒等近郊乡镇为核心，以红枣种植、畜牧业养殖、有机工业加工、矿业加工、商贸服务及旅游服务为主。南部产业片区：考虑以库拉木勒克乡为主，以发展矿产开采、高原香蒜种植、特色农作物、畜牧业和特种旅游业为主。北部产业片区：以塔中镇为核心，以能源矿产开采，油田及过往交通服务和沙漠体验旅游为主。</w:t>
            </w:r>
          </w:p>
          <w:p>
            <w:pPr>
              <w:pStyle w:val="98"/>
              <w:bidi w:val="0"/>
              <w:rPr>
                <w:rFonts w:hint="default" w:ascii="Times New Roman" w:hAnsi="Times New Roman" w:cs="Times New Roman"/>
                <w:color w:val="auto"/>
              </w:rPr>
            </w:pPr>
            <w:r>
              <w:rPr>
                <w:rFonts w:hint="default" w:ascii="Times New Roman" w:hAnsi="Times New Roman" w:cs="Times New Roman"/>
                <w:b w:val="0"/>
                <w:bCs w:val="0"/>
                <w:color w:val="auto"/>
              </w:rPr>
              <w:t>《且末县阿羌镇国土空间总体规划(2021一2035年)》</w:t>
            </w:r>
            <w:r>
              <w:rPr>
                <w:rFonts w:hint="default" w:ascii="Times New Roman" w:hAnsi="Times New Roman" w:cs="Times New Roman"/>
                <w:b w:val="0"/>
                <w:bCs w:val="0"/>
                <w:color w:val="auto"/>
                <w:lang w:eastAsia="zh-CN"/>
              </w:rPr>
              <w:t>：阿羌镇总体定位为以工业生产及产品商贸、农业生产及深加工、畜牧业的工矿与农牧复合型重点镇。</w:t>
            </w:r>
            <w:r>
              <w:rPr>
                <w:rFonts w:hint="default" w:ascii="Times New Roman" w:hAnsi="Times New Roman" w:cs="Times New Roman"/>
                <w:color w:val="auto"/>
              </w:rPr>
              <w:t>构建阿羌镇“一心两轴一屏两区”的国土空间总体格局。其中</w:t>
            </w:r>
            <w:r>
              <w:rPr>
                <w:rFonts w:hint="default" w:ascii="Times New Roman" w:hAnsi="Times New Roman" w:cs="Times New Roman"/>
                <w:color w:val="auto"/>
                <w:lang w:eastAsia="zh-CN"/>
              </w:rPr>
              <w:t>：</w:t>
            </w:r>
            <w:r>
              <w:rPr>
                <w:rFonts w:hint="default" w:ascii="Times New Roman" w:hAnsi="Times New Roman" w:cs="Times New Roman"/>
                <w:color w:val="auto"/>
              </w:rPr>
              <w:t>一心为城镇综合服务中心</w:t>
            </w:r>
            <w:r>
              <w:rPr>
                <w:rFonts w:hint="default" w:ascii="Times New Roman" w:hAnsi="Times New Roman" w:cs="Times New Roman"/>
                <w:color w:val="auto"/>
                <w:lang w:eastAsia="zh-CN"/>
              </w:rPr>
              <w:t>；</w:t>
            </w:r>
            <w:r>
              <w:rPr>
                <w:rFonts w:hint="default" w:ascii="Times New Roman" w:hAnsi="Times New Roman" w:cs="Times New Roman"/>
                <w:color w:val="auto"/>
              </w:rPr>
              <w:t>两轴为城镇综合发展轴、交通联系轴</w:t>
            </w:r>
            <w:r>
              <w:rPr>
                <w:rFonts w:hint="default" w:ascii="Times New Roman" w:hAnsi="Times New Roman" w:cs="Times New Roman"/>
                <w:color w:val="auto"/>
                <w:lang w:eastAsia="zh-CN"/>
              </w:rPr>
              <w:t>；</w:t>
            </w:r>
            <w:r>
              <w:rPr>
                <w:rFonts w:hint="default" w:ascii="Times New Roman" w:hAnsi="Times New Roman" w:cs="Times New Roman"/>
                <w:color w:val="auto"/>
              </w:rPr>
              <w:t>一屏为昆仑山一阿尔金山生态屏障</w:t>
            </w:r>
            <w:r>
              <w:rPr>
                <w:rFonts w:hint="default" w:ascii="Times New Roman" w:hAnsi="Times New Roman" w:cs="Times New Roman"/>
                <w:color w:val="auto"/>
                <w:lang w:eastAsia="zh-CN"/>
              </w:rPr>
              <w:t>；</w:t>
            </w:r>
            <w:r>
              <w:rPr>
                <w:rFonts w:hint="default" w:ascii="Times New Roman" w:hAnsi="Times New Roman" w:cs="Times New Roman"/>
                <w:color w:val="auto"/>
              </w:rPr>
              <w:t>两区为戈壁修复区、城镇发展区。</w:t>
            </w:r>
          </w:p>
          <w:p>
            <w:pPr>
              <w:pStyle w:val="9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优化国土空间规划分区，镇域划分为生态保护区、农田保护区、城镇发展区和矿产能源发展区</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详见</w:t>
            </w:r>
            <w:r>
              <w:rPr>
                <w:rFonts w:hint="default" w:ascii="Times New Roman" w:hAnsi="Times New Roman" w:cs="Times New Roman"/>
                <w:color w:val="auto"/>
                <w:highlight w:val="none"/>
                <w:lang w:val="en-US" w:eastAsia="zh-CN"/>
              </w:rPr>
              <w:t>附图3阿羌镇国土空间规划分区图）</w:t>
            </w:r>
            <w:r>
              <w:rPr>
                <w:rFonts w:hint="default" w:ascii="Times New Roman" w:hAnsi="Times New Roman" w:cs="Times New Roman"/>
                <w:color w:val="auto"/>
                <w:lang w:val="en-US" w:eastAsia="zh-CN"/>
              </w:rPr>
              <w:t>。</w:t>
            </w:r>
          </w:p>
          <w:p>
            <w:pPr>
              <w:pStyle w:val="98"/>
              <w:bidi w:val="0"/>
              <w:rPr>
                <w:rFonts w:hint="default" w:ascii="Times New Roman" w:hAnsi="Times New Roman" w:cs="Times New Roman"/>
                <w:b w:val="0"/>
                <w:bCs w:val="0"/>
                <w:color w:val="auto"/>
                <w:lang w:eastAsia="zh-CN"/>
              </w:rPr>
            </w:pPr>
            <w:r>
              <w:rPr>
                <w:rFonts w:hint="default" w:ascii="Times New Roman" w:hAnsi="Times New Roman" w:cs="Times New Roman"/>
                <w:color w:val="auto"/>
                <w:highlight w:val="none"/>
                <w:lang w:val="en-US" w:eastAsia="zh-CN"/>
              </w:rPr>
              <w:t>本项目位于且末县西南侧阿羌镇镇域，位于镇域矿产能源发展区，项目符合《且末县国土空间总体规划（2021—2035年）》</w:t>
            </w:r>
            <w:r>
              <w:rPr>
                <w:rFonts w:hint="default" w:ascii="Times New Roman" w:hAnsi="Times New Roman" w:cs="Times New Roman"/>
                <w:b w:val="0"/>
                <w:bCs w:val="0"/>
                <w:color w:val="auto"/>
              </w:rPr>
              <w:t>《且末县阿羌镇国土空间总体规划(2021一2035年)》</w:t>
            </w:r>
            <w:r>
              <w:rPr>
                <w:rFonts w:hint="default" w:ascii="Times New Roman" w:hAnsi="Times New Roman" w:cs="Times New Roman"/>
                <w:b w:val="0"/>
                <w:bCs w:val="0"/>
                <w:color w:val="auto"/>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6、</w:t>
            </w:r>
            <w:r>
              <w:rPr>
                <w:rFonts w:hint="default" w:ascii="Times New Roman" w:hAnsi="Times New Roman" w:eastAsia="宋体" w:cs="Times New Roman"/>
                <w:b/>
                <w:bCs/>
                <w:color w:val="auto"/>
                <w:sz w:val="24"/>
                <w:szCs w:val="24"/>
                <w:lang w:val="en-US" w:eastAsia="zh-CN"/>
              </w:rPr>
              <w:t>与《关于印发</w:t>
            </w:r>
            <w:r>
              <w:rPr>
                <w:rFonts w:hint="default" w:ascii="Times New Roman" w:hAnsi="Times New Roman" w:cs="Times New Roman"/>
                <w:b/>
                <w:bCs/>
                <w:color w:val="auto"/>
                <w:sz w:val="24"/>
                <w:szCs w:val="24"/>
                <w:lang w:val="en-US" w:eastAsia="zh-CN"/>
              </w:rPr>
              <w:t>新疆维吾尔自治区</w:t>
            </w:r>
            <w:r>
              <w:rPr>
                <w:rFonts w:hint="default" w:ascii="Times New Roman" w:hAnsi="Times New Roman" w:eastAsia="宋体" w:cs="Times New Roman"/>
                <w:b/>
                <w:bCs/>
                <w:color w:val="auto"/>
                <w:sz w:val="24"/>
                <w:szCs w:val="24"/>
                <w:lang w:val="en-US" w:eastAsia="zh-CN"/>
              </w:rPr>
              <w:t>28</w:t>
            </w:r>
            <w:r>
              <w:rPr>
                <w:rFonts w:hint="default" w:ascii="Times New Roman" w:hAnsi="Times New Roman" w:cs="Times New Roman"/>
                <w:b/>
                <w:bCs/>
                <w:color w:val="auto"/>
                <w:sz w:val="24"/>
                <w:szCs w:val="24"/>
                <w:lang w:val="en-US" w:eastAsia="zh-CN"/>
              </w:rPr>
              <w:t>个</w:t>
            </w:r>
            <w:r>
              <w:rPr>
                <w:rFonts w:hint="default" w:ascii="Times New Roman" w:hAnsi="Times New Roman" w:eastAsia="宋体" w:cs="Times New Roman"/>
                <w:b/>
                <w:bCs/>
                <w:color w:val="auto"/>
                <w:sz w:val="24"/>
                <w:szCs w:val="24"/>
                <w:lang w:val="en-US" w:eastAsia="zh-CN"/>
              </w:rPr>
              <w:t>国家重点生态功能区县（市）产业准入负面清单（试行）的通知）符合性</w:t>
            </w:r>
          </w:p>
          <w:p>
            <w:pPr>
              <w:keepNext w:val="0"/>
              <w:keepLines w:val="0"/>
              <w:pageBreakBefore w:val="0"/>
              <w:widowControl w:val="0"/>
              <w:numPr>
                <w:ilvl w:val="0"/>
                <w:numId w:val="0"/>
              </w:numPr>
              <w:kinsoku/>
              <w:wordWrap/>
              <w:overflowPunct/>
              <w:topLinePunct w:val="0"/>
              <w:bidi w:val="0"/>
              <w:adjustRightInd/>
              <w:snapToGrid/>
              <w:spacing w:line="500" w:lineRule="exact"/>
              <w:ind w:leftChars="0" w:firstLine="480"/>
              <w:textAlignment w:val="auto"/>
              <w:rPr>
                <w:rFonts w:hint="default" w:ascii="Times New Roman" w:hAnsi="Times New Roman" w:eastAsia="宋体" w:cs="Times New Roman"/>
                <w:color w:val="auto"/>
                <w:sz w:val="24"/>
                <w:szCs w:val="24"/>
                <w:highlight w:val="yellow"/>
                <w:lang w:val="en-US" w:eastAsia="zh-CN"/>
              </w:rPr>
            </w:pPr>
            <w:r>
              <w:rPr>
                <w:rFonts w:hint="default" w:ascii="Times New Roman" w:hAnsi="Times New Roman" w:eastAsia="宋体" w:cs="Times New Roman"/>
                <w:color w:val="auto"/>
                <w:sz w:val="24"/>
                <w:szCs w:val="24"/>
                <w:highlight w:val="none"/>
                <w:lang w:val="en-US" w:eastAsia="zh-CN"/>
              </w:rPr>
              <w:t>对照且末县产业准入负面清单，涉及国民经济5门类12大类21中类24小类。其中禁止类涉及国民经济2门类5大类8中类8小类；限制类涉及国民经济4门类9大类14中类16小类。</w:t>
            </w:r>
            <w:r>
              <w:rPr>
                <w:rFonts w:hint="eastAsia" w:cs="Times New Roman"/>
                <w:color w:val="auto"/>
                <w:sz w:val="24"/>
                <w:szCs w:val="24"/>
                <w:highlight w:val="none"/>
                <w:lang w:val="en-US" w:eastAsia="zh-CN"/>
              </w:rPr>
              <w:t>本次评价摘录《</w:t>
            </w:r>
            <w:r>
              <w:rPr>
                <w:rFonts w:hint="default" w:ascii="Times New Roman" w:hAnsi="Times New Roman" w:eastAsia="宋体" w:cs="Times New Roman"/>
                <w:color w:val="auto"/>
                <w:sz w:val="24"/>
                <w:szCs w:val="24"/>
                <w:highlight w:val="none"/>
                <w:lang w:val="en-US" w:eastAsia="zh-CN"/>
              </w:rPr>
              <w:t>且末县产业准入负面清单</w:t>
            </w:r>
            <w:r>
              <w:rPr>
                <w:rFonts w:hint="eastAsia" w:cs="Times New Roman"/>
                <w:color w:val="auto"/>
                <w:sz w:val="24"/>
                <w:szCs w:val="24"/>
                <w:highlight w:val="none"/>
                <w:lang w:val="en-US" w:eastAsia="zh-CN"/>
              </w:rPr>
              <w:t>》中与本项目相关行业的管控要求，如下表。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color w:val="auto"/>
                <w:kern w:val="21"/>
                <w:sz w:val="21"/>
                <w:szCs w:val="21"/>
                <w:highlight w:val="none"/>
                <w:lang w:val="en-US" w:eastAsia="zh-CN"/>
              </w:rPr>
            </w:pPr>
            <w:r>
              <w:rPr>
                <w:rFonts w:hint="eastAsia" w:ascii="Times New Roman" w:hAnsi="Times New Roman" w:eastAsia="宋体" w:cs="Times New Roman"/>
                <w:b/>
                <w:bCs/>
                <w:color w:val="auto"/>
                <w:kern w:val="21"/>
                <w:sz w:val="21"/>
                <w:szCs w:val="21"/>
                <w:highlight w:val="none"/>
                <w:lang w:val="en-US" w:eastAsia="zh-CN"/>
              </w:rPr>
              <w:t xml:space="preserve">表 1-6  </w:t>
            </w:r>
            <w:r>
              <w:rPr>
                <w:rFonts w:hint="default" w:ascii="Times New Roman" w:hAnsi="Times New Roman" w:eastAsia="宋体" w:cs="Times New Roman"/>
                <w:b/>
                <w:bCs/>
                <w:color w:val="auto"/>
                <w:kern w:val="21"/>
                <w:sz w:val="21"/>
                <w:szCs w:val="21"/>
                <w:highlight w:val="none"/>
                <w:lang w:val="en-US" w:eastAsia="zh-CN"/>
              </w:rPr>
              <w:t>且末县产业准入负面清单</w:t>
            </w:r>
            <w:r>
              <w:rPr>
                <w:rFonts w:hint="eastAsia" w:ascii="Times New Roman" w:hAnsi="Times New Roman" w:eastAsia="宋体" w:cs="Times New Roman"/>
                <w:b/>
                <w:bCs/>
                <w:color w:val="auto"/>
                <w:kern w:val="21"/>
                <w:sz w:val="21"/>
                <w:szCs w:val="21"/>
                <w:highlight w:val="none"/>
                <w:lang w:val="en-US" w:eastAsia="zh-CN"/>
              </w:rPr>
              <w:t>（摘录）</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034"/>
              <w:gridCol w:w="1116"/>
              <w:gridCol w:w="934"/>
              <w:gridCol w:w="1283"/>
              <w:gridCol w:w="817"/>
              <w:gridCol w:w="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8" w:type="dxa"/>
                  <w:vAlign w:val="center"/>
                </w:tcPr>
                <w:p>
                  <w:pPr>
                    <w:jc w:val="center"/>
                    <w:rPr>
                      <w:rFonts w:hint="default" w:ascii="Times New Roman" w:hAnsi="Times New Roman" w:eastAsia="宋体" w:cs="Times New Roman"/>
                      <w:color w:val="auto"/>
                      <w:kern w:val="21"/>
                      <w:sz w:val="21"/>
                      <w:szCs w:val="21"/>
                      <w:highlight w:val="none"/>
                      <w:lang w:val="en-US" w:eastAsia="zh-CN"/>
                    </w:rPr>
                  </w:pPr>
                  <w:r>
                    <w:rPr>
                      <w:rFonts w:hint="eastAsia" w:cs="Times New Roman"/>
                      <w:color w:val="auto"/>
                      <w:kern w:val="21"/>
                      <w:sz w:val="21"/>
                      <w:szCs w:val="21"/>
                      <w:highlight w:val="none"/>
                      <w:lang w:val="en-US" w:eastAsia="zh-CN"/>
                    </w:rPr>
                    <w:t>门类(代码及名称)</w:t>
                  </w:r>
                </w:p>
              </w:tc>
              <w:tc>
                <w:tcPr>
                  <w:tcW w:w="1034" w:type="dxa"/>
                  <w:vAlign w:val="center"/>
                </w:tcPr>
                <w:p>
                  <w:pPr>
                    <w:jc w:val="center"/>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t>大类(代码及名称)</w:t>
                  </w:r>
                </w:p>
              </w:tc>
              <w:tc>
                <w:tcPr>
                  <w:tcW w:w="1116" w:type="dxa"/>
                  <w:vAlign w:val="center"/>
                </w:tcPr>
                <w:p>
                  <w:pPr>
                    <w:jc w:val="center"/>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t>中类(代码及名称)</w:t>
                  </w:r>
                </w:p>
              </w:tc>
              <w:tc>
                <w:tcPr>
                  <w:tcW w:w="934" w:type="dxa"/>
                  <w:vAlign w:val="center"/>
                </w:tcPr>
                <w:p>
                  <w:pPr>
                    <w:jc w:val="center"/>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t>小类(代码及名称)</w:t>
                  </w:r>
                </w:p>
              </w:tc>
              <w:tc>
                <w:tcPr>
                  <w:tcW w:w="1283" w:type="dxa"/>
                  <w:vAlign w:val="center"/>
                </w:tcPr>
                <w:p>
                  <w:pPr>
                    <w:jc w:val="center"/>
                    <w:rPr>
                      <w:rFonts w:hint="default" w:ascii="Times New Roman" w:hAnsi="Times New Roman" w:eastAsia="宋体" w:cs="Times New Roman"/>
                      <w:color w:val="auto"/>
                      <w:kern w:val="21"/>
                      <w:sz w:val="21"/>
                      <w:szCs w:val="21"/>
                      <w:highlight w:val="none"/>
                      <w:lang w:val="en-US" w:eastAsia="zh-CN"/>
                    </w:rPr>
                  </w:pPr>
                  <w:r>
                    <w:rPr>
                      <w:rFonts w:hint="eastAsia" w:ascii="Times New Roman" w:hAnsi="Times New Roman" w:eastAsia="宋体" w:cs="Times New Roman"/>
                      <w:color w:val="auto"/>
                      <w:kern w:val="21"/>
                      <w:sz w:val="21"/>
                      <w:szCs w:val="21"/>
                      <w:highlight w:val="none"/>
                      <w:lang w:val="en-US" w:eastAsia="zh-CN"/>
                    </w:rPr>
                    <w:t>管控要求</w:t>
                  </w:r>
                </w:p>
              </w:tc>
              <w:tc>
                <w:tcPr>
                  <w:tcW w:w="817" w:type="dxa"/>
                  <w:vAlign w:val="center"/>
                </w:tcPr>
                <w:p>
                  <w:pPr>
                    <w:jc w:val="center"/>
                    <w:rPr>
                      <w:rFonts w:hint="default" w:ascii="Times New Roman" w:hAnsi="Times New Roman" w:eastAsia="宋体" w:cs="Times New Roman"/>
                      <w:color w:val="auto"/>
                      <w:kern w:val="21"/>
                      <w:sz w:val="21"/>
                      <w:szCs w:val="21"/>
                      <w:highlight w:val="none"/>
                      <w:lang w:val="en-US" w:eastAsia="zh-CN"/>
                    </w:rPr>
                  </w:pPr>
                  <w:r>
                    <w:rPr>
                      <w:rFonts w:hint="eastAsia" w:cs="Times New Roman"/>
                      <w:color w:val="auto"/>
                      <w:kern w:val="21"/>
                      <w:sz w:val="21"/>
                      <w:szCs w:val="21"/>
                      <w:highlight w:val="none"/>
                      <w:lang w:val="en-US" w:eastAsia="zh-CN"/>
                    </w:rPr>
                    <w:t>本项目</w:t>
                  </w:r>
                </w:p>
              </w:tc>
              <w:tc>
                <w:tcPr>
                  <w:tcW w:w="628" w:type="dxa"/>
                  <w:vAlign w:val="center"/>
                </w:tcPr>
                <w:p>
                  <w:pPr>
                    <w:jc w:val="center"/>
                    <w:rPr>
                      <w:rFonts w:hint="default" w:cs="Times New Roman"/>
                      <w:color w:val="auto"/>
                      <w:kern w:val="21"/>
                      <w:sz w:val="21"/>
                      <w:szCs w:val="21"/>
                      <w:highlight w:val="none"/>
                      <w:lang w:val="en-US" w:eastAsia="zh-CN"/>
                    </w:rPr>
                  </w:pPr>
                  <w:r>
                    <w:rPr>
                      <w:rFonts w:hint="eastAsia" w:cs="Times New Roman"/>
                      <w:color w:val="auto"/>
                      <w:kern w:val="21"/>
                      <w:sz w:val="21"/>
                      <w:szCs w:val="21"/>
                      <w:highlight w:val="none"/>
                      <w:lang w:val="en-US" w:eastAsia="zh-CN"/>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72" w:type="dxa"/>
                  <w:gridSpan w:val="6"/>
                  <w:vAlign w:val="center"/>
                </w:tcPr>
                <w:p>
                  <w:pPr>
                    <w:jc w:val="center"/>
                    <w:rPr>
                      <w:rFonts w:hint="default" w:ascii="Times New Roman" w:hAnsi="Times New Roman" w:eastAsia="宋体" w:cs="Times New Roman"/>
                      <w:color w:val="auto"/>
                      <w:kern w:val="21"/>
                      <w:sz w:val="21"/>
                      <w:szCs w:val="21"/>
                      <w:highlight w:val="none"/>
                      <w:lang w:val="en-US" w:eastAsia="zh-CN"/>
                    </w:rPr>
                  </w:pPr>
                  <w:r>
                    <w:rPr>
                      <w:rFonts w:hint="eastAsia" w:cs="Times New Roman"/>
                      <w:color w:val="auto"/>
                      <w:kern w:val="21"/>
                      <w:sz w:val="21"/>
                      <w:szCs w:val="21"/>
                      <w:highlight w:val="none"/>
                      <w:lang w:val="en-US" w:eastAsia="zh-CN"/>
                    </w:rPr>
                    <w:t>限制类</w:t>
                  </w:r>
                </w:p>
              </w:tc>
              <w:tc>
                <w:tcPr>
                  <w:tcW w:w="628" w:type="dxa"/>
                  <w:vAlign w:val="center"/>
                </w:tcPr>
                <w:p>
                  <w:pPr>
                    <w:jc w:val="center"/>
                    <w:rPr>
                      <w:rFonts w:hint="eastAsia" w:cs="Times New Roman"/>
                      <w:color w:val="auto"/>
                      <w:kern w:val="21"/>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8" w:type="dxa"/>
                  <w:vAlign w:val="center"/>
                </w:tcPr>
                <w:p>
                  <w:pPr>
                    <w:jc w:val="center"/>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t>B类 采矿业</w:t>
                  </w:r>
                </w:p>
              </w:tc>
              <w:tc>
                <w:tcPr>
                  <w:tcW w:w="1034" w:type="dxa"/>
                  <w:vAlign w:val="center"/>
                </w:tcPr>
                <w:p>
                  <w:pPr>
                    <w:jc w:val="center"/>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t>09有色金属矿采选业</w:t>
                  </w:r>
                </w:p>
              </w:tc>
              <w:tc>
                <w:tcPr>
                  <w:tcW w:w="1116" w:type="dxa"/>
                  <w:vAlign w:val="center"/>
                </w:tcPr>
                <w:p>
                  <w:pPr>
                    <w:jc w:val="center"/>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t>092贵金属矿采选</w:t>
                  </w:r>
                </w:p>
              </w:tc>
              <w:tc>
                <w:tcPr>
                  <w:tcW w:w="934" w:type="dxa"/>
                  <w:vAlign w:val="center"/>
                </w:tcPr>
                <w:p>
                  <w:pPr>
                    <w:jc w:val="center"/>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t>0913镍钴矿采选</w:t>
                  </w:r>
                </w:p>
              </w:tc>
              <w:tc>
                <w:tcPr>
                  <w:tcW w:w="1283" w:type="dxa"/>
                  <w:vAlign w:val="center"/>
                </w:tcPr>
                <w:p>
                  <w:pPr>
                    <w:jc w:val="center"/>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t>1.不得在沙尘源区、沙尘暴频发区布局，仅限布局在不破坏草原等生态环境的区域。</w:t>
                  </w:r>
                </w:p>
                <w:p>
                  <w:pPr>
                    <w:jc w:val="center"/>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t>2.禁止露天开采。</w:t>
                  </w:r>
                </w:p>
                <w:p>
                  <w:pPr>
                    <w:jc w:val="center"/>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t>3.新建项目清洁生产达到国内先进水平。</w:t>
                  </w:r>
                </w:p>
                <w:p>
                  <w:pPr>
                    <w:jc w:val="center"/>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t>4.</w:t>
                  </w:r>
                  <w:r>
                    <w:rPr>
                      <w:rFonts w:hint="eastAsia" w:ascii="Times New Roman" w:hAnsi="Times New Roman" w:eastAsia="宋体" w:cs="Times New Roman"/>
                      <w:color w:val="auto"/>
                      <w:kern w:val="21"/>
                      <w:sz w:val="21"/>
                      <w:szCs w:val="21"/>
                      <w:highlight w:val="none"/>
                      <w:lang w:val="en-US" w:eastAsia="zh-CN"/>
                    </w:rPr>
                    <w:t>推进绿色矿山建设，达到绿色矿山标准。</w:t>
                  </w:r>
                </w:p>
              </w:tc>
              <w:tc>
                <w:tcPr>
                  <w:tcW w:w="817" w:type="dxa"/>
                  <w:vAlign w:val="center"/>
                </w:tcPr>
                <w:p>
                  <w:pPr>
                    <w:jc w:val="center"/>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t>本项目为</w:t>
                  </w:r>
                  <w:r>
                    <w:rPr>
                      <w:rFonts w:hint="eastAsia" w:cs="Times New Roman"/>
                      <w:color w:val="auto"/>
                      <w:kern w:val="21"/>
                      <w:sz w:val="21"/>
                      <w:szCs w:val="21"/>
                      <w:highlight w:val="none"/>
                      <w:lang w:val="en-US" w:eastAsia="zh-CN"/>
                    </w:rPr>
                    <w:t>尾矿回采再选金元素</w:t>
                  </w:r>
                  <w:r>
                    <w:rPr>
                      <w:rFonts w:hint="default" w:ascii="Times New Roman" w:hAnsi="Times New Roman" w:eastAsia="宋体" w:cs="Times New Roman"/>
                      <w:color w:val="auto"/>
                      <w:kern w:val="21"/>
                      <w:sz w:val="21"/>
                      <w:szCs w:val="21"/>
                      <w:highlight w:val="none"/>
                      <w:lang w:val="en-US" w:eastAsia="zh-CN"/>
                    </w:rPr>
                    <w:t>，不在限制类和禁止类中</w:t>
                  </w:r>
                  <w:r>
                    <w:rPr>
                      <w:rFonts w:hint="eastAsia" w:cs="Times New Roman"/>
                      <w:color w:val="auto"/>
                      <w:kern w:val="21"/>
                      <w:sz w:val="21"/>
                      <w:szCs w:val="21"/>
                      <w:highlight w:val="none"/>
                      <w:lang w:val="en-US" w:eastAsia="zh-CN"/>
                    </w:rPr>
                    <w:t>。</w:t>
                  </w:r>
                </w:p>
              </w:tc>
              <w:tc>
                <w:tcPr>
                  <w:tcW w:w="628" w:type="dxa"/>
                  <w:vAlign w:val="center"/>
                </w:tcPr>
                <w:p>
                  <w:pPr>
                    <w:jc w:val="center"/>
                    <w:rPr>
                      <w:rFonts w:hint="default" w:ascii="Times New Roman" w:hAnsi="Times New Roman" w:eastAsia="宋体" w:cs="Times New Roman"/>
                      <w:color w:val="auto"/>
                      <w:kern w:val="21"/>
                      <w:sz w:val="21"/>
                      <w:szCs w:val="21"/>
                      <w:highlight w:val="none"/>
                      <w:lang w:val="en-US" w:eastAsia="zh-CN"/>
                    </w:rPr>
                  </w:pPr>
                  <w:r>
                    <w:rPr>
                      <w:rFonts w:hint="eastAsia" w:cs="Times New Roman"/>
                      <w:color w:val="auto"/>
                      <w:kern w:val="21"/>
                      <w:sz w:val="21"/>
                      <w:szCs w:val="21"/>
                      <w:highlight w:val="none"/>
                      <w:lang w:val="en-US" w:eastAsia="zh-CN"/>
                    </w:rPr>
                    <w:t>符合</w:t>
                  </w:r>
                </w:p>
              </w:tc>
            </w:tr>
          </w:tbl>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7、</w:t>
            </w:r>
            <w:r>
              <w:rPr>
                <w:rFonts w:hint="default" w:ascii="Times New Roman" w:hAnsi="Times New Roman" w:eastAsia="宋体" w:cs="Times New Roman"/>
                <w:b/>
                <w:bCs/>
                <w:color w:val="auto"/>
                <w:sz w:val="24"/>
                <w:szCs w:val="24"/>
                <w:lang w:val="en-US" w:eastAsia="zh-CN"/>
              </w:rPr>
              <w:t>《巴音郭楞蒙古自治州生态环境“十四五”规划（修订版）》符合性</w:t>
            </w:r>
          </w:p>
          <w:p>
            <w:pPr>
              <w:pStyle w:val="98"/>
              <w:bidi w:val="0"/>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规划指出：</w:t>
            </w:r>
            <w:r>
              <w:rPr>
                <w:rFonts w:hint="default" w:ascii="Times New Roman" w:hAnsi="Times New Roman" w:cs="Times New Roman"/>
                <w:color w:val="auto"/>
                <w:highlight w:val="none"/>
                <w:lang w:val="en-US" w:eastAsia="zh-CN"/>
              </w:rPr>
              <w:t>“加强固体废物处置。加强固体废物源头减量和资源化利用，最大限度减少填埋量。持续开展固体废物非法转移和倾倒排查整治，推动开展塑料行业专项清理，持续推进废塑料加工利用行业整治，加强废塑料回收、利用、处置等环节的环境监管，降低污染风险。加强工业固体废物堆存场所环境整治。持续推进工业固体废物综合利用和环境整治，不断提高大宗工业固体废物资源化利用水平。”</w:t>
            </w:r>
          </w:p>
          <w:p>
            <w:pPr>
              <w:pStyle w:val="98"/>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本项目对尾矿回采再选，可有效推进金属尾矿有价组分提取和利用，对推进工业固废综合利用和堆存场所环境整治，起到积极作用，故项目实施符合规划要求。</w:t>
            </w:r>
          </w:p>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8、</w:t>
            </w:r>
            <w:r>
              <w:rPr>
                <w:rFonts w:hint="default" w:ascii="Times New Roman" w:hAnsi="Times New Roman" w:eastAsia="宋体" w:cs="Times New Roman"/>
                <w:b/>
                <w:bCs/>
                <w:color w:val="auto"/>
                <w:sz w:val="24"/>
                <w:szCs w:val="24"/>
                <w:lang w:val="en-US" w:eastAsia="zh-CN"/>
              </w:rPr>
              <w:t>与《尾矿污染环境防治管理办法》符合性</w:t>
            </w:r>
          </w:p>
          <w:p>
            <w:pPr>
              <w:keepNext w:val="0"/>
              <w:keepLines w:val="0"/>
              <w:pageBreakBefore w:val="0"/>
              <w:widowControl w:val="0"/>
              <w:numPr>
                <w:ilvl w:val="0"/>
                <w:numId w:val="0"/>
              </w:numPr>
              <w:kinsoku/>
              <w:wordWrap/>
              <w:overflowPunct/>
              <w:topLinePunct w:val="0"/>
              <w:bidi w:val="0"/>
              <w:adjustRightInd/>
              <w:snapToGrid/>
              <w:spacing w:line="500" w:lineRule="exact"/>
              <w:ind w:leftChars="0" w:firstLine="480"/>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kern w:val="21"/>
                <w:sz w:val="24"/>
                <w:szCs w:val="24"/>
                <w:highlight w:val="none"/>
                <w:lang w:val="en-US" w:eastAsia="zh-CN"/>
              </w:rPr>
              <w:t>项目与《管理办法》</w:t>
            </w:r>
            <w:r>
              <w:rPr>
                <w:rFonts w:hint="default" w:ascii="Times New Roman" w:hAnsi="Times New Roman" w:eastAsia="宋体" w:cs="Times New Roman"/>
                <w:color w:val="auto"/>
                <w:kern w:val="21"/>
                <w:sz w:val="24"/>
                <w:szCs w:val="24"/>
                <w:highlight w:val="none"/>
                <w:lang w:val="en-US" w:eastAsia="zh-CN"/>
              </w:rPr>
              <w:t>符合性分析</w:t>
            </w:r>
            <w:r>
              <w:rPr>
                <w:rFonts w:hint="eastAsia" w:cs="Times New Roman"/>
                <w:color w:val="auto"/>
                <w:kern w:val="21"/>
                <w:sz w:val="24"/>
                <w:szCs w:val="24"/>
                <w:highlight w:val="none"/>
                <w:lang w:val="en-US" w:eastAsia="zh-CN"/>
              </w:rPr>
              <w:t>内容</w:t>
            </w:r>
            <w:r>
              <w:rPr>
                <w:rFonts w:hint="default" w:ascii="Times New Roman" w:hAnsi="Times New Roman" w:eastAsia="宋体" w:cs="Times New Roman"/>
                <w:color w:val="auto"/>
                <w:kern w:val="21"/>
                <w:sz w:val="24"/>
                <w:szCs w:val="24"/>
                <w:highlight w:val="none"/>
                <w:lang w:val="en-US" w:eastAsia="zh-CN"/>
              </w:rPr>
              <w:t>详见表</w:t>
            </w:r>
            <w:r>
              <w:rPr>
                <w:rFonts w:hint="eastAsia" w:ascii="Times New Roman" w:hAnsi="Times New Roman" w:eastAsia="宋体" w:cs="Times New Roman"/>
                <w:color w:val="auto"/>
                <w:kern w:val="21"/>
                <w:sz w:val="24"/>
                <w:szCs w:val="24"/>
                <w:highlight w:val="none"/>
                <w:lang w:val="en-US" w:eastAsia="zh-CN"/>
              </w:rPr>
              <w:t>1-6。</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表1-</w:t>
            </w:r>
            <w:r>
              <w:rPr>
                <w:rFonts w:hint="default" w:ascii="Times New Roman" w:hAnsi="Times New Roman" w:cs="Times New Roman"/>
                <w:b/>
                <w:bCs w:val="0"/>
                <w:color w:val="auto"/>
                <w:sz w:val="21"/>
                <w:szCs w:val="21"/>
                <w:lang w:val="en-US" w:eastAsia="zh-CN"/>
              </w:rPr>
              <w:t>6</w:t>
            </w:r>
            <w:r>
              <w:rPr>
                <w:rFonts w:hint="default" w:ascii="Times New Roman" w:hAnsi="Times New Roman" w:eastAsia="宋体" w:cs="Times New Roman"/>
                <w:b/>
                <w:bCs w:val="0"/>
                <w:color w:val="auto"/>
                <w:sz w:val="21"/>
                <w:szCs w:val="21"/>
                <w:lang w:val="en-US" w:eastAsia="zh-CN"/>
              </w:rPr>
              <w:t xml:space="preserve"> 与《尾矿污染环境防治管理办法》符合性</w:t>
            </w:r>
            <w:r>
              <w:rPr>
                <w:rFonts w:hint="eastAsia" w:cs="Times New Roman"/>
                <w:b/>
                <w:bCs w:val="0"/>
                <w:color w:val="auto"/>
                <w:sz w:val="21"/>
                <w:szCs w:val="21"/>
                <w:lang w:val="en-US" w:eastAsia="zh-CN"/>
              </w:rPr>
              <w:t>分析</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7"/>
              <w:gridCol w:w="2726"/>
              <w:gridCol w:w="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73" w:type="pct"/>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auto"/>
                    </w:rPr>
                  </w:pPr>
                  <w:r>
                    <w:rPr>
                      <w:rFonts w:hint="default" w:ascii="Times New Roman" w:hAnsi="Times New Roman" w:cs="Times New Roman"/>
                      <w:b/>
                      <w:color w:val="auto"/>
                    </w:rPr>
                    <w:t>要求</w:t>
                  </w:r>
                </w:p>
              </w:tc>
              <w:tc>
                <w:tcPr>
                  <w:tcW w:w="2002" w:type="pct"/>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auto"/>
                    </w:rPr>
                  </w:pPr>
                  <w:r>
                    <w:rPr>
                      <w:rFonts w:hint="default" w:ascii="Times New Roman" w:hAnsi="Times New Roman" w:cs="Times New Roman"/>
                      <w:b/>
                      <w:color w:val="auto"/>
                    </w:rPr>
                    <w:t>项目情况</w:t>
                  </w:r>
                </w:p>
              </w:tc>
              <w:tc>
                <w:tcPr>
                  <w:tcW w:w="523" w:type="pct"/>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auto"/>
                    </w:rPr>
                  </w:pPr>
                  <w:r>
                    <w:rPr>
                      <w:rFonts w:hint="default" w:ascii="Times New Roman" w:hAnsi="Times New Roman" w:cs="Times New Roman"/>
                      <w:b/>
                      <w:color w:val="auto"/>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73"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color w:val="auto"/>
                    </w:rPr>
                  </w:pPr>
                  <w:r>
                    <w:rPr>
                      <w:rFonts w:hint="default" w:ascii="Times New Roman" w:hAnsi="Times New Roman" w:cs="Times New Roman"/>
                      <w:color w:val="auto"/>
                    </w:rPr>
                    <w:t>第六条 产生尾矿的单位应当建立健全尾矿产生、贮存、运输、综合利用等全过程的污染防治责任制度，确定承担污染防治工作的部门和专职技术人员，明确单位负责人和相关人员的责任。</w:t>
                  </w:r>
                </w:p>
              </w:tc>
              <w:tc>
                <w:tcPr>
                  <w:tcW w:w="2002"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color w:val="auto"/>
                    </w:rPr>
                  </w:pPr>
                  <w:r>
                    <w:rPr>
                      <w:rFonts w:hint="default" w:ascii="Times New Roman" w:hAnsi="Times New Roman" w:cs="Times New Roman"/>
                      <w:color w:val="auto"/>
                    </w:rPr>
                    <w:t>企业已建立健全尾矿产生、贮存、运输、综合利用等全过程的污染防治责任制度，确定承担污染防治工作的部门和专职技术人员，明确单位负责人和相关人员的责任。</w:t>
                  </w:r>
                </w:p>
              </w:tc>
              <w:tc>
                <w:tcPr>
                  <w:tcW w:w="523"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color w:val="auto"/>
                    </w:rPr>
                  </w:pPr>
                  <w:r>
                    <w:rPr>
                      <w:rFonts w:hint="default" w:ascii="Times New Roman" w:hAnsi="Times New Roman" w:cs="Times New Roman"/>
                      <w:color w:val="auto"/>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73"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color w:val="auto"/>
                    </w:rPr>
                  </w:pPr>
                  <w:r>
                    <w:rPr>
                      <w:rFonts w:hint="default" w:ascii="Times New Roman" w:hAnsi="Times New Roman" w:cs="Times New Roman"/>
                      <w:color w:val="auto"/>
                    </w:rPr>
                    <w:t>第七条 产生尾矿的单位和尾矿库运营、管理单位应当建立尾矿环境管理台账。尾矿环境管理台账保存期限不得少于五年，其中尾矿库运营、管理单位的环境管理台账信息应当永久保存。</w:t>
                  </w:r>
                </w:p>
              </w:tc>
              <w:tc>
                <w:tcPr>
                  <w:tcW w:w="2002"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color w:val="auto"/>
                    </w:rPr>
                  </w:pPr>
                  <w:r>
                    <w:rPr>
                      <w:rFonts w:hint="default" w:ascii="Times New Roman" w:hAnsi="Times New Roman" w:cs="Times New Roman"/>
                      <w:color w:val="auto"/>
                    </w:rPr>
                    <w:t>企业建立尾矿环境管理台账，尾矿环境管理台账保存期限不得少于五年。</w:t>
                  </w:r>
                </w:p>
              </w:tc>
              <w:tc>
                <w:tcPr>
                  <w:tcW w:w="523"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color w:val="auto"/>
                    </w:rPr>
                  </w:pPr>
                  <w:r>
                    <w:rPr>
                      <w:rFonts w:hint="default" w:ascii="Times New Roman" w:hAnsi="Times New Roman" w:cs="Times New Roman"/>
                      <w:color w:val="auto"/>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73"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第十四条 依法实行排污许可管理的产生尾矿的单位，应当申请取得排污许可证或者填报排污登记表，按照排污许可管理的规定排放尾矿及污染物，并落实相关环境管理要求。</w:t>
                  </w:r>
                </w:p>
              </w:tc>
              <w:tc>
                <w:tcPr>
                  <w:tcW w:w="200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eastAsiaTheme="minorEastAsia"/>
                      <w:color w:val="auto"/>
                      <w:kern w:val="2"/>
                      <w:sz w:val="21"/>
                      <w:szCs w:val="24"/>
                      <w:lang w:val="en-US" w:eastAsia="zh-CN" w:bidi="ar-SA"/>
                    </w:rPr>
                  </w:pPr>
                  <w:r>
                    <w:rPr>
                      <w:rFonts w:hint="default" w:ascii="Times New Roman" w:hAnsi="Times New Roman" w:cs="Times New Roman" w:eastAsiaTheme="minorEastAsia"/>
                      <w:color w:val="auto"/>
                      <w:kern w:val="2"/>
                      <w:sz w:val="21"/>
                      <w:szCs w:val="24"/>
                      <w:lang w:val="en-US" w:eastAsia="zh-CN" w:bidi="ar-SA"/>
                    </w:rPr>
                    <w:t>企业已取得排污许可登记表。</w:t>
                  </w:r>
                </w:p>
              </w:tc>
              <w:tc>
                <w:tcPr>
                  <w:tcW w:w="523"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color w:val="auto"/>
                    </w:rPr>
                  </w:pPr>
                  <w:r>
                    <w:rPr>
                      <w:rFonts w:hint="default" w:ascii="Times New Roman" w:hAnsi="Times New Roman" w:cs="Times New Roman"/>
                      <w:color w:val="auto"/>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73"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auto"/>
                      <w:lang w:val="en-US" w:eastAsia="zh-CN"/>
                    </w:rPr>
                  </w:pPr>
                  <w:r>
                    <w:rPr>
                      <w:rFonts w:hint="default" w:ascii="Times New Roman" w:hAnsi="Times New Roman" w:cs="Times New Roman"/>
                      <w:color w:val="auto"/>
                    </w:rPr>
                    <w:t>第十五条 尾矿库运营、管理单位应当采取防扬散、防流失、防渗漏或者其他防止污染环境的措施，加强对尾矿库污染防治设施的管理和维护，保证其正常运行和使用，防止尾矿污染环境。</w:t>
                  </w:r>
                </w:p>
              </w:tc>
              <w:tc>
                <w:tcPr>
                  <w:tcW w:w="200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eastAsiaTheme="minorEastAsia"/>
                      <w:color w:val="auto"/>
                      <w:kern w:val="2"/>
                      <w:sz w:val="21"/>
                      <w:szCs w:val="24"/>
                      <w:lang w:val="en-US" w:eastAsia="zh-CN" w:bidi="ar-SA"/>
                    </w:rPr>
                  </w:pPr>
                  <w:r>
                    <w:rPr>
                      <w:rFonts w:hint="default" w:ascii="Times New Roman" w:hAnsi="Times New Roman" w:cs="Times New Roman"/>
                      <w:color w:val="auto"/>
                    </w:rPr>
                    <w:t>企业采取防扬散、防流失、防渗漏等防止污染环境的措施。</w:t>
                  </w:r>
                </w:p>
              </w:tc>
              <w:tc>
                <w:tcPr>
                  <w:tcW w:w="523"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73"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color w:val="auto"/>
                    </w:rPr>
                  </w:pPr>
                  <w:r>
                    <w:rPr>
                      <w:rFonts w:hint="default" w:ascii="Times New Roman" w:hAnsi="Times New Roman" w:cs="Times New Roman"/>
                      <w:color w:val="auto"/>
                      <w:lang w:val="en-US" w:eastAsia="zh-CN"/>
                    </w:rPr>
                    <w:t>第十八条 尾矿库运营、管理单位应当按照国家有关标准和规范，建设地下水水质监测井。</w:t>
                  </w:r>
                </w:p>
                <w:p>
                  <w:pPr>
                    <w:rPr>
                      <w:rFonts w:hint="default" w:ascii="Times New Roman" w:hAnsi="Times New Roman" w:cs="Times New Roman"/>
                      <w:color w:val="auto"/>
                    </w:rPr>
                  </w:pPr>
                  <w:r>
                    <w:rPr>
                      <w:rFonts w:hint="default" w:ascii="Times New Roman" w:hAnsi="Times New Roman" w:cs="Times New Roman"/>
                      <w:color w:val="auto"/>
                      <w:lang w:val="en-US" w:eastAsia="zh-CN"/>
                    </w:rPr>
                    <w:t>尾矿库上游、下游和可能出现污染扩散的尾矿库周边区域，应当设置地下水水质监测井。</w:t>
                  </w:r>
                </w:p>
              </w:tc>
              <w:tc>
                <w:tcPr>
                  <w:tcW w:w="2002"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尾矿库已建设地下水水质监测井，并对地下水水质进行了监测。</w:t>
                  </w:r>
                </w:p>
              </w:tc>
              <w:tc>
                <w:tcPr>
                  <w:tcW w:w="523"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73"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color w:val="auto"/>
                    </w:rPr>
                  </w:pPr>
                  <w:r>
                    <w:rPr>
                      <w:rFonts w:hint="default" w:ascii="Times New Roman" w:hAnsi="Times New Roman" w:cs="Times New Roman"/>
                      <w:color w:val="auto"/>
                      <w:lang w:val="en-US" w:eastAsia="zh-CN"/>
                    </w:rPr>
                    <w:t>第二十五条 开展尾矿充填、回填以及利用尾矿提取有价组分和生产建筑材料等尾矿综合利用单位，应当按照国家有关规定采取相应措施，防止造成二次环境污染。</w:t>
                  </w:r>
                </w:p>
              </w:tc>
              <w:tc>
                <w:tcPr>
                  <w:tcW w:w="2002"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本项目利用尾矿提取有价</w:t>
                  </w:r>
                  <w:r>
                    <w:rPr>
                      <w:rFonts w:hint="eastAsia" w:ascii="Times New Roman" w:hAnsi="Times New Roman" w:cs="Times New Roman"/>
                      <w:color w:val="auto"/>
                      <w:lang w:val="en-US" w:eastAsia="zh-CN"/>
                    </w:rPr>
                    <w:t>组分</w:t>
                  </w:r>
                  <w:r>
                    <w:rPr>
                      <w:rFonts w:hint="default" w:ascii="Times New Roman" w:hAnsi="Times New Roman" w:cs="Times New Roman"/>
                      <w:color w:val="auto"/>
                      <w:lang w:val="en-US" w:eastAsia="zh-CN"/>
                    </w:rPr>
                    <w:t>，采取湿法回采、湿法磨矿，无破碎筛分等产尘环节；精选产生的二次尾矿管道输送至选矿厂续接尾矿库。</w:t>
                  </w:r>
                </w:p>
              </w:tc>
              <w:tc>
                <w:tcPr>
                  <w:tcW w:w="523"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符合</w:t>
                  </w:r>
                </w:p>
              </w:tc>
            </w:tr>
          </w:tbl>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9、</w:t>
            </w:r>
            <w:r>
              <w:rPr>
                <w:rFonts w:hint="default" w:ascii="Times New Roman" w:hAnsi="Times New Roman" w:eastAsia="宋体" w:cs="Times New Roman"/>
                <w:b/>
                <w:bCs/>
                <w:color w:val="auto"/>
                <w:sz w:val="24"/>
                <w:szCs w:val="24"/>
                <w:lang w:val="en-US" w:eastAsia="zh-CN"/>
              </w:rPr>
              <w:t>与关于印发《固体废物综合治理行动计划》的通知（国发〔2025〕14号）符合性</w:t>
            </w:r>
          </w:p>
          <w:p>
            <w:pPr>
              <w:pStyle w:val="98"/>
              <w:bidi w:val="0"/>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《通知》指出</w:t>
            </w:r>
            <w:r>
              <w:rPr>
                <w:rFonts w:hint="default" w:ascii="Times New Roman" w:hAnsi="Times New Roman" w:cs="Times New Roman"/>
                <w:color w:val="auto"/>
                <w:highlight w:val="none"/>
                <w:lang w:val="en-US" w:eastAsia="zh-CN"/>
              </w:rPr>
              <w:t>：一 总体要求 以习近平新时代中国特色社会主义思想为指导，深入贯彻党的二十大和二十届历次全会精神，完整准确全面贯彻新发展理念，按照减量化、资源化、无害化的原则，坚持系统推进和重点攻坚，加快补齐短板弱项，紧盯重点领域、重点地区、重点问题，深入开展专项整治，严格实施闭环管理，构建源头减量、过程管控、末端利用和全链条无害化管理的固体废物综合治理体系，优先治理与群众生活、安全生产密切相关的固体废物，加快完善综合治理长效机制，坚决遏制固体废物增长势头。</w:t>
            </w:r>
          </w:p>
          <w:p>
            <w:pPr>
              <w:pStyle w:val="98"/>
              <w:bidi w:val="0"/>
              <w:rPr>
                <w:rFonts w:hint="default" w:ascii="Times New Roman" w:hAnsi="Times New Roman" w:cs="Times New Roman"/>
                <w:color w:val="auto"/>
                <w:highlight w:val="yellow"/>
                <w:lang w:val="en-US" w:eastAsia="zh-CN"/>
              </w:rPr>
            </w:pPr>
            <w:r>
              <w:rPr>
                <w:rFonts w:hint="default" w:ascii="Times New Roman" w:hAnsi="Times New Roman" w:cs="Times New Roman"/>
                <w:color w:val="auto"/>
                <w:highlight w:val="none"/>
                <w:lang w:val="en-US" w:eastAsia="zh-CN"/>
              </w:rPr>
              <w:t>项目以固体废物尾矿作为原料，可有效利用企业产生的工业固体废物，符合固体废物“减量化、资源化、无害化”原则，项目实施符合通知要求。</w:t>
            </w:r>
          </w:p>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10、</w:t>
            </w:r>
            <w:r>
              <w:rPr>
                <w:rFonts w:hint="default" w:ascii="Times New Roman" w:hAnsi="Times New Roman" w:eastAsia="宋体" w:cs="Times New Roman"/>
                <w:b/>
                <w:bCs/>
                <w:color w:val="auto"/>
                <w:sz w:val="24"/>
                <w:szCs w:val="24"/>
                <w:lang w:val="en-US" w:eastAsia="zh-CN"/>
              </w:rPr>
              <w:t>与《新疆维吾尔自治区重金属污染防控工作方案》符合性</w:t>
            </w:r>
          </w:p>
          <w:p>
            <w:pPr>
              <w:pStyle w:val="9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推行企业重金属污染物排放总量控制制度。依法将重点行业企业纳入排污许可管理。对于实施排污许可重点管理的企业，排污许可证应当明确重金属污染物排放种类、许可排放浓度、许可排放量等。各地（州、市）生态环境部门要严格执行国家对重点行业减排企业重金属污染物排放总量与排污许可制度衔接有关要求。重点行业企业适用的污染物排放标准、重点污染物总量控制要求发生变化，需要对排污许可证进行变更的，审批部门可以依法对排污许可证相应事项进行变更，并载明削减措施、减排量，作为总量替代来源的还应载明出让量和出让去向。到2025年，企业排污许可证环境管理台账、自行监测和执行报告数据基本实现完整、可信，有效支撑重点行业企业排放量管理。</w:t>
            </w:r>
          </w:p>
          <w:p>
            <w:pPr>
              <w:pStyle w:val="9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本项目利用现有尾矿库回采后再选提取有价金元素，尾矿锑含量较低，同时不涉及破碎筛分等需收集含尘废气并有组织排放环节，项目不需设置废气重金属污染总量控制指标。</w:t>
            </w:r>
          </w:p>
          <w:p>
            <w:pPr>
              <w:pStyle w:val="9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本项目选矿废水闭路循环利用，不外排，无重点重金属污染物排放，因此废水中亦不涉及重金属的总量控制要求</w:t>
            </w:r>
            <w:r>
              <w:rPr>
                <w:rFonts w:hint="eastAsia" w:cs="Times New Roman"/>
                <w:color w:val="auto"/>
                <w:highlight w:val="none"/>
                <w:lang w:val="en-US" w:eastAsia="zh-CN"/>
              </w:rPr>
              <w:t>，</w:t>
            </w:r>
            <w:r>
              <w:rPr>
                <w:rFonts w:hint="default" w:ascii="Times New Roman" w:hAnsi="Times New Roman" w:eastAsia="宋体" w:cs="Times New Roman"/>
                <w:color w:val="auto"/>
                <w:highlight w:val="none"/>
                <w:lang w:val="en-US" w:eastAsia="zh-CN"/>
              </w:rPr>
              <w:t>项目建设符合</w:t>
            </w:r>
            <w:r>
              <w:rPr>
                <w:rFonts w:hint="eastAsia" w:cs="Times New Roman"/>
                <w:color w:val="auto"/>
                <w:highlight w:val="none"/>
                <w:lang w:val="en-US" w:eastAsia="zh-CN"/>
              </w:rPr>
              <w:t>文件</w:t>
            </w:r>
            <w:r>
              <w:rPr>
                <w:rFonts w:hint="default" w:ascii="Times New Roman" w:hAnsi="Times New Roman" w:eastAsia="宋体" w:cs="Times New Roman"/>
                <w:color w:val="auto"/>
                <w:highlight w:val="none"/>
                <w:lang w:val="en-US" w:eastAsia="zh-CN"/>
              </w:rPr>
              <w:t>要求。</w:t>
            </w:r>
          </w:p>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11、</w:t>
            </w:r>
            <w:r>
              <w:rPr>
                <w:rFonts w:hint="default" w:ascii="Times New Roman" w:hAnsi="Times New Roman" w:eastAsia="宋体" w:cs="Times New Roman"/>
                <w:b/>
                <w:bCs/>
                <w:color w:val="auto"/>
                <w:sz w:val="24"/>
                <w:szCs w:val="24"/>
                <w:lang w:val="en-US" w:eastAsia="zh-CN"/>
              </w:rPr>
              <w:t>与《关于进一步加强重金属污染防控的意见》（环固体（2022）17号）符合性</w:t>
            </w:r>
          </w:p>
          <w:p>
            <w:pPr>
              <w:pStyle w:val="78"/>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21"/>
                <w:sz w:val="24"/>
                <w:szCs w:val="24"/>
                <w:highlight w:val="none"/>
                <w:lang w:val="en-US" w:eastAsia="zh-CN"/>
              </w:rPr>
              <w:t>本项目与《关于进一步加强重金属污染防控的意见》符合性分析详见表</w:t>
            </w:r>
            <w:r>
              <w:rPr>
                <w:rFonts w:hint="eastAsia" w:ascii="Times New Roman" w:hAnsi="Times New Roman" w:eastAsia="宋体" w:cs="Times New Roman"/>
                <w:color w:val="auto"/>
                <w:kern w:val="21"/>
                <w:sz w:val="24"/>
                <w:szCs w:val="24"/>
                <w:highlight w:val="none"/>
                <w:lang w:val="en-US" w:eastAsia="zh-CN"/>
              </w:rPr>
              <w:t>1-7。</w:t>
            </w:r>
          </w:p>
          <w:p>
            <w:pPr>
              <w:pStyle w:val="85"/>
              <w:bidi w:val="0"/>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表</w:t>
            </w:r>
            <w:r>
              <w:rPr>
                <w:rFonts w:hint="default" w:ascii="Times New Roman" w:hAnsi="Times New Roman" w:eastAsia="宋体" w:cs="Times New Roman"/>
                <w:color w:val="auto"/>
                <w:sz w:val="21"/>
                <w:szCs w:val="21"/>
                <w:highlight w:val="none"/>
                <w:lang w:val="en-US" w:eastAsia="zh-CN"/>
              </w:rPr>
              <w:t>1-7</w:t>
            </w:r>
            <w:r>
              <w:rPr>
                <w:rFonts w:hint="default" w:ascii="Times New Roman" w:hAnsi="Times New Roman" w:eastAsia="宋体" w:cs="Times New Roman"/>
                <w:color w:val="auto"/>
                <w:sz w:val="21"/>
                <w:szCs w:val="21"/>
                <w:highlight w:val="none"/>
              </w:rPr>
              <w:t xml:space="preserve"> 与《关于进一步加强重金属污染防控的意见》符合性</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79"/>
              <w:gridCol w:w="2727"/>
              <w:gridCol w:w="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10"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环固体〔2022〕17号文件要求</w:t>
                  </w:r>
                </w:p>
              </w:tc>
              <w:tc>
                <w:tcPr>
                  <w:tcW w:w="2004"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w:t>
                  </w:r>
                </w:p>
              </w:tc>
              <w:tc>
                <w:tcPr>
                  <w:tcW w:w="585"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10" w:type="pct"/>
                  <w:tcBorders>
                    <w:tl2br w:val="nil"/>
                    <w:tr2bl w:val="nil"/>
                  </w:tcBorders>
                  <w:vAlign w:val="center"/>
                </w:tcPr>
                <w:p>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重点重金属污染物。重点防控的重金属污染物是铅、汞、镉、铬、砷、铊和锑，并对铅、汞、镉、铬和砷五种重点重金属污染物排放量实施总量控制。</w:t>
                  </w:r>
                </w:p>
                <w:p>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重点行业。包括重有色金属矿采选业（铜、铅锌、镍钴、锡、锑和汞矿采选），重有色金属冶炼业（铜、铅锌、镍钴、锡、锑和汞冶炼），铅蓄电池制造业，电镀行业，化学原料及化学制品制造业（电石法（聚）氯乙烯制造、铬盐制造、以工业固体废物为原料的锌无机化合物工业），皮革鞣制加工业等6个行业。</w:t>
                  </w:r>
                </w:p>
              </w:tc>
              <w:tc>
                <w:tcPr>
                  <w:tcW w:w="2004" w:type="pct"/>
                  <w:tcBorders>
                    <w:tl2br w:val="nil"/>
                    <w:tr2bl w:val="nil"/>
                  </w:tcBorders>
                  <w:vAlign w:val="center"/>
                </w:tcPr>
                <w:p>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本项目利用现有尾矿库回采后再选提取有价金元素，尾矿锑含量较低，同时不涉及破碎筛分等需收集含尘废气并有组织排放环节，项目不需设置废气重金属污染总量控制指标。</w:t>
                  </w:r>
                </w:p>
                <w:p>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本项目选矿废水闭路循环利用，不外排，不涉及重金属的总量控制要求。</w:t>
                  </w:r>
                </w:p>
              </w:tc>
              <w:tc>
                <w:tcPr>
                  <w:tcW w:w="585"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10" w:type="pct"/>
                  <w:tcBorders>
                    <w:tl2br w:val="nil"/>
                    <w:tr2bl w:val="nil"/>
                  </w:tcBorders>
                  <w:vAlign w:val="center"/>
                </w:tcPr>
                <w:p>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严格重点行业企业准入管理。新、改、扩建重点行业建设项目应符合“三线一单”、产业政策、区域环评、规划环评和行业环境准入管控要求。</w:t>
                  </w:r>
                </w:p>
              </w:tc>
              <w:tc>
                <w:tcPr>
                  <w:tcW w:w="2004" w:type="pct"/>
                  <w:tcBorders>
                    <w:tl2br w:val="nil"/>
                    <w:tr2bl w:val="nil"/>
                  </w:tcBorders>
                  <w:vAlign w:val="center"/>
                </w:tcPr>
                <w:p>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根据“三线一单”符合性分析及与相关产业政策、行业准入等分析结果，本项目满足“三线一单”、产业政策和行业准入要求。</w:t>
                  </w:r>
                </w:p>
              </w:tc>
              <w:tc>
                <w:tcPr>
                  <w:tcW w:w="585"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bl>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12、</w:t>
            </w:r>
            <w:r>
              <w:rPr>
                <w:rFonts w:hint="default" w:ascii="Times New Roman" w:hAnsi="Times New Roman" w:eastAsia="宋体" w:cs="Times New Roman"/>
                <w:b/>
                <w:bCs/>
                <w:color w:val="auto"/>
                <w:sz w:val="24"/>
                <w:szCs w:val="24"/>
                <w:lang w:val="en-US" w:eastAsia="zh-CN"/>
              </w:rPr>
              <w:t>与《新疆维吾尔自治区2025年空气质量持续改善行动实施方案》符合性</w:t>
            </w:r>
          </w:p>
          <w:p>
            <w:pPr>
              <w:pStyle w:val="98"/>
              <w:bidi w:val="0"/>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《实施方案》</w:t>
            </w:r>
            <w:r>
              <w:rPr>
                <w:rFonts w:hint="default" w:ascii="Times New Roman" w:hAnsi="Times New Roman" w:cs="Times New Roman"/>
                <w:color w:val="auto"/>
                <w:highlight w:val="none"/>
                <w:lang w:val="en-US" w:eastAsia="zh-CN"/>
              </w:rPr>
              <w:t>要求：坚决遏制高耗能、高排放、低水平项目盲目上马。新改扩建项目严格落实国家和自治区产业规划、产业政策、生态环境分区管控方案、规划环评、项目环评、节能审查、产能置换、重点污染物总量控制、污染物排放区域削减、碳排放达峰目标等相关要求，原则上采用清洁运输方式，达到能效标杆水平、环保绩效A级水平。涉及产能置换的项目，被置换产能及设备关停后，新建项目方可投产。</w:t>
            </w:r>
          </w:p>
          <w:p>
            <w:pPr>
              <w:pStyle w:val="98"/>
              <w:bidi w:val="0"/>
              <w:rPr>
                <w:rFonts w:hint="default" w:ascii="Times New Roman" w:hAnsi="Times New Roman" w:cs="Times New Roman"/>
                <w:color w:val="auto"/>
                <w:highlight w:val="yellow"/>
                <w:lang w:val="en-US" w:eastAsia="zh-CN"/>
              </w:rPr>
            </w:pPr>
            <w:r>
              <w:rPr>
                <w:rFonts w:hint="default" w:ascii="Times New Roman" w:hAnsi="Times New Roman" w:cs="Times New Roman"/>
                <w:color w:val="auto"/>
                <w:spacing w:val="4"/>
                <w:sz w:val="24"/>
                <w:szCs w:val="24"/>
                <w:highlight w:val="none"/>
              </w:rPr>
              <w:t>本项目利用现有尾矿库</w:t>
            </w:r>
            <w:r>
              <w:rPr>
                <w:rFonts w:hint="default" w:ascii="Times New Roman" w:hAnsi="Times New Roman" w:cs="Times New Roman"/>
                <w:color w:val="auto"/>
                <w:spacing w:val="4"/>
                <w:sz w:val="24"/>
                <w:szCs w:val="24"/>
                <w:highlight w:val="none"/>
                <w:lang w:val="en-US" w:eastAsia="zh-CN"/>
              </w:rPr>
              <w:t>进行尾砂</w:t>
            </w:r>
            <w:r>
              <w:rPr>
                <w:rFonts w:hint="default" w:ascii="Times New Roman" w:hAnsi="Times New Roman" w:cs="Times New Roman"/>
                <w:color w:val="auto"/>
                <w:spacing w:val="4"/>
                <w:sz w:val="24"/>
                <w:szCs w:val="24"/>
                <w:highlight w:val="none"/>
              </w:rPr>
              <w:t>回采</w:t>
            </w:r>
            <w:r>
              <w:rPr>
                <w:rFonts w:hint="default" w:ascii="Times New Roman" w:hAnsi="Times New Roman" w:cs="Times New Roman"/>
                <w:color w:val="auto"/>
                <w:spacing w:val="4"/>
                <w:sz w:val="24"/>
                <w:szCs w:val="24"/>
                <w:highlight w:val="none"/>
                <w:lang w:eastAsia="zh-CN"/>
              </w:rPr>
              <w:t>，</w:t>
            </w:r>
            <w:r>
              <w:rPr>
                <w:rFonts w:hint="default" w:ascii="Times New Roman" w:hAnsi="Times New Roman" w:cs="Times New Roman"/>
                <w:color w:val="auto"/>
                <w:spacing w:val="4"/>
                <w:sz w:val="24"/>
                <w:szCs w:val="24"/>
                <w:highlight w:val="none"/>
                <w:lang w:val="en-US" w:eastAsia="zh-CN"/>
              </w:rPr>
              <w:t>后经过</w:t>
            </w:r>
            <w:r>
              <w:rPr>
                <w:rFonts w:hint="default" w:ascii="Times New Roman" w:hAnsi="Times New Roman" w:cs="Times New Roman"/>
                <w:color w:val="auto"/>
                <w:spacing w:val="4"/>
                <w:sz w:val="24"/>
                <w:szCs w:val="24"/>
                <w:highlight w:val="none"/>
              </w:rPr>
              <w:t>再选提取有价金元素</w:t>
            </w:r>
            <w:r>
              <w:rPr>
                <w:rFonts w:hint="default" w:ascii="Times New Roman" w:hAnsi="Times New Roman" w:cs="Times New Roman"/>
                <w:color w:val="auto"/>
                <w:spacing w:val="4"/>
                <w:sz w:val="24"/>
                <w:szCs w:val="24"/>
                <w:highlight w:val="none"/>
                <w:lang w:eastAsia="zh-CN"/>
              </w:rPr>
              <w:t>。</w:t>
            </w:r>
            <w:r>
              <w:rPr>
                <w:rFonts w:hint="default" w:ascii="Times New Roman" w:hAnsi="Times New Roman" w:cs="Times New Roman"/>
                <w:color w:val="auto"/>
                <w:spacing w:val="4"/>
                <w:sz w:val="24"/>
                <w:szCs w:val="24"/>
                <w:highlight w:val="none"/>
                <w:lang w:val="en-US" w:eastAsia="zh-CN"/>
              </w:rPr>
              <w:t>本项目为选矿厂改扩建项目，经分析符合产业政策、生态环境分区管控方案，</w:t>
            </w:r>
            <w:r>
              <w:rPr>
                <w:rFonts w:hint="default" w:ascii="Times New Roman" w:hAnsi="Times New Roman" w:cs="Times New Roman"/>
                <w:color w:val="auto"/>
                <w:highlight w:val="none"/>
                <w:lang w:val="en-US" w:eastAsia="zh-CN"/>
              </w:rPr>
              <w:t>本项目符合方案要求。</w:t>
            </w:r>
          </w:p>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13、</w:t>
            </w:r>
            <w:r>
              <w:rPr>
                <w:rFonts w:hint="default" w:ascii="Times New Roman" w:hAnsi="Times New Roman" w:eastAsia="宋体" w:cs="Times New Roman"/>
                <w:b/>
                <w:bCs/>
                <w:color w:val="auto"/>
                <w:sz w:val="24"/>
                <w:szCs w:val="24"/>
                <w:lang w:val="en-US" w:eastAsia="zh-CN"/>
              </w:rPr>
              <w:t>与《空气质量持续改善行动计划》符合性</w:t>
            </w:r>
          </w:p>
          <w:p>
            <w:pPr>
              <w:keepNext w:val="0"/>
              <w:keepLines w:val="0"/>
              <w:pageBreakBefore w:val="0"/>
              <w:widowControl w:val="0"/>
              <w:kinsoku/>
              <w:wordWrap/>
              <w:overflowPunct/>
              <w:topLinePunct w:val="0"/>
              <w:autoSpaceDE/>
              <w:autoSpaceDN/>
              <w:bidi w:val="0"/>
              <w:adjustRightInd/>
              <w:snapToGrid/>
              <w:spacing w:line="500" w:lineRule="exact"/>
              <w:ind w:firstLine="483" w:firstLineChars="195"/>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pacing w:val="4"/>
                <w:sz w:val="24"/>
                <w:szCs w:val="24"/>
                <w:highlight w:val="none"/>
              </w:rPr>
              <w:t>《行动计划》</w:t>
            </w:r>
            <w:r>
              <w:rPr>
                <w:rFonts w:hint="default" w:ascii="Times New Roman" w:hAnsi="Times New Roman" w:cs="Times New Roman"/>
                <w:color w:val="auto"/>
                <w:spacing w:val="4"/>
                <w:sz w:val="24"/>
                <w:szCs w:val="24"/>
                <w:highlight w:val="none"/>
                <w:lang w:val="en-US" w:eastAsia="zh-CN"/>
              </w:rPr>
              <w:t>总体要求</w:t>
            </w:r>
            <w:r>
              <w:rPr>
                <w:rFonts w:hint="default" w:ascii="Times New Roman" w:hAnsi="Times New Roman" w:cs="Times New Roman"/>
                <w:color w:val="auto"/>
                <w:spacing w:val="4"/>
                <w:sz w:val="24"/>
                <w:szCs w:val="24"/>
                <w:highlight w:val="none"/>
              </w:rPr>
              <w:t>指出</w:t>
            </w:r>
            <w:r>
              <w:rPr>
                <w:rFonts w:hint="default" w:ascii="Times New Roman" w:hAnsi="Times New Roman" w:cs="Times New Roman"/>
                <w:b w:val="0"/>
                <w:bCs w:val="0"/>
                <w:color w:val="auto"/>
                <w:spacing w:val="4"/>
                <w:sz w:val="24"/>
                <w:szCs w:val="24"/>
                <w:highlight w:val="none"/>
              </w:rPr>
              <w:t>：以习近平新时代中国特色社会主义思想为指导，全面贯彻党的二十大精神，深入贯彻习近平生态文明思想，落实全国生态环境保护大会部署，坚持稳中求进工作总基调，协同推进降碳、减污、扩绿、增长，以改善空气质量为核心，以减少重污染天气和解决人民群众身边的突出大气环境问题为重点，以降低细颗粒物（PM</w:t>
            </w:r>
            <w:r>
              <w:rPr>
                <w:rFonts w:hint="default" w:ascii="Times New Roman" w:hAnsi="Times New Roman" w:cs="Times New Roman"/>
                <w:b w:val="0"/>
                <w:bCs w:val="0"/>
                <w:color w:val="auto"/>
                <w:spacing w:val="4"/>
                <w:sz w:val="24"/>
                <w:szCs w:val="24"/>
                <w:highlight w:val="none"/>
                <w:vertAlign w:val="subscript"/>
              </w:rPr>
              <w:t>2.5</w:t>
            </w:r>
            <w:r>
              <w:rPr>
                <w:rFonts w:hint="default" w:ascii="Times New Roman" w:hAnsi="Times New Roman" w:cs="Times New Roman"/>
                <w:b w:val="0"/>
                <w:bCs w:val="0"/>
                <w:color w:val="auto"/>
                <w:spacing w:val="4"/>
                <w:sz w:val="24"/>
                <w:szCs w:val="24"/>
                <w:highlight w:val="none"/>
              </w:rPr>
              <w:t>）浓度为主线，大力推动氮氧化物和挥发性有机物（VOCs）减排；开展区域协同治理，突出精准、科学、依法治污，完善大气环境管理体系，提升污染防治能力；远近结合研究谋划大气污染防治路径，扎实推进产业、能源、交通绿色低碳转型，强化面源污染治理，加强源头防控，加快形成绿色低碳生产生活方式，实现环境效益、经济效益和社会效益多赢。</w:t>
            </w:r>
          </w:p>
          <w:p>
            <w:pPr>
              <w:keepNext w:val="0"/>
              <w:keepLines w:val="0"/>
              <w:pageBreakBefore w:val="0"/>
              <w:widowControl w:val="0"/>
              <w:kinsoku/>
              <w:wordWrap/>
              <w:overflowPunct/>
              <w:topLinePunct w:val="0"/>
              <w:autoSpaceDE/>
              <w:autoSpaceDN/>
              <w:bidi w:val="0"/>
              <w:adjustRightInd/>
              <w:snapToGrid/>
              <w:spacing w:line="500" w:lineRule="exact"/>
              <w:ind w:firstLine="483" w:firstLineChars="195"/>
              <w:textAlignment w:val="auto"/>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4"/>
                <w:sz w:val="24"/>
                <w:szCs w:val="24"/>
                <w:highlight w:val="none"/>
              </w:rPr>
              <w:t>本项目利用现有尾矿库回采后再选提取有价金元素</w:t>
            </w:r>
            <w:r>
              <w:rPr>
                <w:rFonts w:hint="default" w:ascii="Times New Roman" w:hAnsi="Times New Roman" w:cs="Times New Roman"/>
                <w:color w:val="auto"/>
                <w:spacing w:val="4"/>
                <w:sz w:val="24"/>
                <w:szCs w:val="24"/>
                <w:highlight w:val="none"/>
                <w:lang w:eastAsia="zh-CN"/>
              </w:rPr>
              <w:t>，</w:t>
            </w:r>
            <w:r>
              <w:rPr>
                <w:rFonts w:hint="default" w:ascii="Times New Roman" w:hAnsi="Times New Roman" w:cs="Times New Roman"/>
                <w:color w:val="auto"/>
                <w:spacing w:val="4"/>
                <w:sz w:val="24"/>
                <w:szCs w:val="24"/>
                <w:highlight w:val="none"/>
                <w:lang w:val="en-US" w:eastAsia="zh-CN"/>
              </w:rPr>
              <w:t>回采、磨粉工序均为湿式，有效降低颗粒物的排放，</w:t>
            </w:r>
            <w:r>
              <w:rPr>
                <w:rFonts w:hint="default" w:ascii="Times New Roman" w:hAnsi="Times New Roman" w:cs="Times New Roman"/>
                <w:color w:val="auto"/>
                <w:spacing w:val="4"/>
                <w:sz w:val="24"/>
                <w:szCs w:val="24"/>
                <w:highlight w:val="none"/>
              </w:rPr>
              <w:t>符合《空气质量</w:t>
            </w:r>
            <w:r>
              <w:rPr>
                <w:rFonts w:hint="default" w:ascii="Times New Roman" w:hAnsi="Times New Roman" w:cs="Times New Roman"/>
                <w:color w:val="auto"/>
                <w:spacing w:val="3"/>
                <w:sz w:val="24"/>
                <w:szCs w:val="24"/>
                <w:highlight w:val="none"/>
              </w:rPr>
              <w:t>持续改善行动计划》</w:t>
            </w:r>
            <w:r>
              <w:rPr>
                <w:rFonts w:hint="default" w:ascii="Times New Roman" w:hAnsi="Times New Roman" w:cs="Times New Roman"/>
                <w:color w:val="auto"/>
                <w:spacing w:val="-2"/>
                <w:sz w:val="24"/>
                <w:szCs w:val="24"/>
                <w:highlight w:val="none"/>
              </w:rPr>
              <w:t>相关要求。</w:t>
            </w:r>
          </w:p>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14、</w:t>
            </w:r>
            <w:r>
              <w:rPr>
                <w:rFonts w:hint="default" w:ascii="Times New Roman" w:hAnsi="Times New Roman" w:eastAsia="宋体" w:cs="Times New Roman"/>
                <w:b/>
                <w:bCs/>
                <w:color w:val="auto"/>
                <w:sz w:val="24"/>
                <w:szCs w:val="24"/>
                <w:lang w:val="en-US" w:eastAsia="zh-CN"/>
              </w:rPr>
              <w:t>与《矿山生态环境保护与污染防治技术政策》符合性</w:t>
            </w:r>
          </w:p>
          <w:p>
            <w:pPr>
              <w:pStyle w:val="78"/>
              <w:bidi w:val="0"/>
              <w:rPr>
                <w:rFonts w:hint="default" w:ascii="Times New Roman" w:hAnsi="Times New Roman" w:eastAsia="宋体" w:cs="Times New Roman"/>
                <w:color w:val="auto"/>
                <w:kern w:val="21"/>
                <w:sz w:val="24"/>
                <w:szCs w:val="24"/>
                <w:highlight w:val="none"/>
                <w:lang w:val="en-US" w:eastAsia="zh-CN"/>
              </w:rPr>
            </w:pPr>
            <w:r>
              <w:rPr>
                <w:rFonts w:hint="default" w:ascii="Times New Roman" w:hAnsi="Times New Roman" w:eastAsia="宋体" w:cs="Times New Roman"/>
                <w:color w:val="auto"/>
                <w:kern w:val="21"/>
                <w:sz w:val="24"/>
                <w:szCs w:val="24"/>
                <w:highlight w:val="none"/>
                <w:lang w:val="en-US" w:eastAsia="zh-CN"/>
              </w:rPr>
              <w:t>本项目与</w:t>
            </w:r>
            <w:r>
              <w:rPr>
                <w:rFonts w:hint="eastAsia" w:eastAsia="宋体" w:cs="Times New Roman"/>
                <w:color w:val="auto"/>
                <w:kern w:val="21"/>
                <w:sz w:val="24"/>
                <w:szCs w:val="24"/>
                <w:highlight w:val="none"/>
                <w:lang w:val="en-US" w:eastAsia="zh-CN"/>
              </w:rPr>
              <w:t>《</w:t>
            </w:r>
            <w:r>
              <w:rPr>
                <w:rFonts w:hint="default" w:ascii="Times New Roman" w:hAnsi="Times New Roman" w:eastAsia="宋体" w:cs="Times New Roman"/>
                <w:color w:val="auto"/>
                <w:kern w:val="21"/>
                <w:sz w:val="24"/>
                <w:szCs w:val="24"/>
                <w:highlight w:val="none"/>
                <w:lang w:val="en-US" w:eastAsia="zh-CN"/>
              </w:rPr>
              <w:t>矿山生态环境保护与污染防治技术政策</w:t>
            </w:r>
            <w:r>
              <w:rPr>
                <w:rFonts w:hint="eastAsia" w:eastAsia="宋体" w:cs="Times New Roman"/>
                <w:color w:val="auto"/>
                <w:kern w:val="21"/>
                <w:sz w:val="24"/>
                <w:szCs w:val="24"/>
                <w:highlight w:val="none"/>
                <w:lang w:val="en-US" w:eastAsia="zh-CN"/>
              </w:rPr>
              <w:t>》</w:t>
            </w:r>
            <w:r>
              <w:rPr>
                <w:rFonts w:hint="default" w:ascii="Times New Roman" w:hAnsi="Times New Roman" w:eastAsia="宋体" w:cs="Times New Roman"/>
                <w:color w:val="auto"/>
                <w:kern w:val="21"/>
                <w:sz w:val="24"/>
                <w:szCs w:val="24"/>
                <w:highlight w:val="none"/>
                <w:lang w:val="en-US" w:eastAsia="zh-CN"/>
              </w:rPr>
              <w:t>符合性分析详见表</w:t>
            </w:r>
            <w:r>
              <w:rPr>
                <w:rFonts w:hint="eastAsia" w:ascii="Times New Roman" w:hAnsi="Times New Roman" w:eastAsia="宋体" w:cs="Times New Roman"/>
                <w:color w:val="auto"/>
                <w:kern w:val="21"/>
                <w:sz w:val="24"/>
                <w:szCs w:val="24"/>
                <w:highlight w:val="none"/>
                <w:lang w:val="en-US" w:eastAsia="zh-CN"/>
              </w:rPr>
              <w:t>1-8。</w:t>
            </w:r>
          </w:p>
          <w:p>
            <w:pPr>
              <w:pStyle w:val="85"/>
              <w:bidi w:val="0"/>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表1</w:t>
            </w:r>
            <w:r>
              <w:rPr>
                <w:rFonts w:hint="default" w:ascii="Times New Roman" w:hAnsi="Times New Roman" w:eastAsia="宋体"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rPr>
              <w:t xml:space="preserve">  与《矿山生态环境保护与污染防治技术政策》符合性</w:t>
            </w:r>
          </w:p>
          <w:tbl>
            <w:tblPr>
              <w:tblStyle w:val="3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846"/>
              <w:gridCol w:w="2693"/>
              <w:gridCol w:w="1970"/>
              <w:gridCol w:w="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056" w:type="pct"/>
                  <w:gridSpan w:val="3"/>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环发〔2005〕109号相关要求</w:t>
                  </w:r>
                </w:p>
              </w:tc>
              <w:tc>
                <w:tcPr>
                  <w:tcW w:w="1455"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w:t>
                  </w:r>
                </w:p>
              </w:tc>
              <w:tc>
                <w:tcPr>
                  <w:tcW w:w="488"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9" w:type="pct"/>
                  <w:vMerge w:val="restar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五、</w:t>
                  </w:r>
                  <w:r>
                    <w:rPr>
                      <w:rFonts w:hint="default" w:ascii="Times New Roman" w:hAnsi="Times New Roman" w:eastAsia="宋体" w:cs="Times New Roman"/>
                      <w:color w:val="auto"/>
                      <w:sz w:val="21"/>
                      <w:szCs w:val="21"/>
                      <w:highlight w:val="none"/>
                    </w:rPr>
                    <w:t>选矿</w:t>
                  </w:r>
                </w:p>
              </w:tc>
              <w:tc>
                <w:tcPr>
                  <w:tcW w:w="611"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一）</w:t>
                  </w:r>
                  <w:r>
                    <w:rPr>
                      <w:rFonts w:hint="default" w:ascii="Times New Roman" w:hAnsi="Times New Roman" w:eastAsia="宋体" w:cs="Times New Roman"/>
                      <w:color w:val="auto"/>
                      <w:sz w:val="21"/>
                      <w:szCs w:val="21"/>
                      <w:highlight w:val="none"/>
                    </w:rPr>
                    <w:t>鼓励采用的选矿技术</w:t>
                  </w:r>
                </w:p>
              </w:tc>
              <w:tc>
                <w:tcPr>
                  <w:tcW w:w="1984" w:type="pct"/>
                  <w:tcBorders>
                    <w:tl2br w:val="nil"/>
                    <w:tr2bl w:val="nil"/>
                  </w:tcBorders>
                  <w:vAlign w:val="center"/>
                </w:tcPr>
                <w:p>
                  <w:pP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1.开发推广高效无（低）毒的浮选新药剂产品。</w:t>
                  </w:r>
                </w:p>
                <w:p>
                  <w:pP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2.在干旱缺水地区，宜推广干选工艺或节水型选矿工艺，如煤炭干选、大块干选抛尾等工艺技术。</w:t>
                  </w:r>
                </w:p>
                <w:p>
                  <w:pP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p>
                  <w:pP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5.积极研究推广共、伴生矿产资源中有价元素的分离回收技术，为共、伴生矿产资源的深加工创造条件。</w:t>
                  </w:r>
                </w:p>
              </w:tc>
              <w:tc>
                <w:tcPr>
                  <w:tcW w:w="1455" w:type="pct"/>
                  <w:tcBorders>
                    <w:tl2br w:val="nil"/>
                    <w:tr2bl w:val="nil"/>
                  </w:tcBorders>
                  <w:vAlign w:val="center"/>
                </w:tcPr>
                <w:p>
                  <w:pP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通过金矿选矿工艺，提升共、伴生矿产资源的回收率。选矿废水通过沉淀、浓缩等工序后回用于浮选环节，提高水资源重复利用率。浮选药剂普遍采用松醇油、辛基黄药、硫酸铜、硝酸铅等低毒或无毒浮选药剂。</w:t>
                  </w:r>
                </w:p>
              </w:tc>
              <w:tc>
                <w:tcPr>
                  <w:tcW w:w="488"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9" w:type="pct"/>
                  <w:vMerge w:val="continue"/>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611"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二）</w:t>
                  </w:r>
                  <w:r>
                    <w:rPr>
                      <w:rFonts w:hint="default" w:ascii="Times New Roman" w:hAnsi="Times New Roman" w:eastAsia="宋体" w:cs="Times New Roman"/>
                      <w:color w:val="auto"/>
                      <w:sz w:val="21"/>
                      <w:szCs w:val="21"/>
                      <w:highlight w:val="none"/>
                    </w:rPr>
                    <w:t>选矿废水、废气的处理</w:t>
                  </w:r>
                </w:p>
              </w:tc>
              <w:tc>
                <w:tcPr>
                  <w:tcW w:w="1984" w:type="pct"/>
                  <w:tcBorders>
                    <w:tl2br w:val="nil"/>
                    <w:tr2bl w:val="nil"/>
                  </w:tcBorders>
                  <w:vAlign w:val="center"/>
                </w:tcPr>
                <w:p>
                  <w:pP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1.选矿废水（含尾矿库溢流水）应循环利用，力求实现闭路循环。未循环利用的部分应进行收集，处理达标后排放。</w:t>
                  </w:r>
                </w:p>
                <w:p>
                  <w:pP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2.研究推广含氰、含重金属选矿废水的高效处理工艺与技术。</w:t>
                  </w:r>
                </w:p>
                <w:p>
                  <w:pP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3.宜采用尘源密闭、局部抽风、安装除尘装置等措施，</w:t>
                  </w:r>
                  <w:r>
                    <w:rPr>
                      <w:rFonts w:hint="eastAsia" w:ascii="Times New Roman" w:hAnsi="Times New Roman" w:cs="Times New Roman"/>
                      <w:color w:val="auto"/>
                      <w:sz w:val="21"/>
                      <w:szCs w:val="21"/>
                      <w:lang w:val="en-US" w:eastAsia="zh-CN"/>
                    </w:rPr>
                    <w:t>防止</w:t>
                  </w:r>
                  <w:r>
                    <w:rPr>
                      <w:rFonts w:hint="default" w:ascii="Times New Roman" w:hAnsi="Times New Roman" w:eastAsia="宋体" w:cs="Times New Roman"/>
                      <w:color w:val="auto"/>
                      <w:sz w:val="21"/>
                      <w:szCs w:val="21"/>
                      <w:lang w:val="en-US" w:eastAsia="zh-CN"/>
                    </w:rPr>
                    <w:t>破碎、筛分等选矿作业中的粉尘污染。</w:t>
                  </w:r>
                </w:p>
              </w:tc>
              <w:tc>
                <w:tcPr>
                  <w:tcW w:w="1455" w:type="pct"/>
                  <w:tcBorders>
                    <w:tl2br w:val="nil"/>
                    <w:tr2bl w:val="nil"/>
                  </w:tcBorders>
                  <w:vAlign w:val="center"/>
                </w:tcPr>
                <w:p>
                  <w:pP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本项目选矿废水闭路循环不外排。原料为湿采的尾砂，直接进入湿式球磨工艺，无破碎、筛分等产尘环节。</w:t>
                  </w:r>
                </w:p>
              </w:tc>
              <w:tc>
                <w:tcPr>
                  <w:tcW w:w="488"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9" w:type="pct"/>
                  <w:vMerge w:val="continue"/>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611" w:type="pct"/>
                  <w:tcBorders>
                    <w:tl2br w:val="nil"/>
                    <w:tr2bl w:val="nil"/>
                  </w:tcBorders>
                  <w:vAlign w:val="center"/>
                </w:tcPr>
                <w:p>
                  <w:pP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lang w:val="en-US" w:eastAsia="zh-CN"/>
                    </w:rPr>
                    <w:t>(三)尾矿的贮存和综合利用</w:t>
                  </w:r>
                </w:p>
              </w:tc>
              <w:tc>
                <w:tcPr>
                  <w:tcW w:w="1984" w:type="pct"/>
                  <w:tcBorders>
                    <w:tl2br w:val="nil"/>
                    <w:tr2bl w:val="nil"/>
                  </w:tcBorders>
                  <w:vAlign w:val="center"/>
                </w:tcPr>
                <w:p>
                  <w:pP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1.应建造专用的尾矿库，并采取措施防止尾矿库的二次环境污染及诱发次生地质灾害。</w:t>
                  </w:r>
                </w:p>
                <w:p>
                  <w:pP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2.推广选矿固体废物的综合利用技术。</w:t>
                  </w:r>
                </w:p>
                <w:p>
                  <w:pP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(1)尾矿再选和共伴生矿物及有价元素的回收技术。</w:t>
                  </w:r>
                </w:p>
              </w:tc>
              <w:tc>
                <w:tcPr>
                  <w:tcW w:w="1455" w:type="pct"/>
                  <w:tcBorders>
                    <w:tl2br w:val="nil"/>
                    <w:tr2bl w:val="nil"/>
                  </w:tcBorders>
                  <w:vAlign w:val="center"/>
                </w:tcPr>
                <w:p>
                  <w:pP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本项目尾矿依托选矿厂续接尾矿库。</w:t>
                  </w:r>
                </w:p>
                <w:p>
                  <w:pP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本项目为选矿固体废物综合利用，现有尾矿库回采至新建精选车间再选有价元素。</w:t>
                  </w:r>
                </w:p>
              </w:tc>
              <w:tc>
                <w:tcPr>
                  <w:tcW w:w="488"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bl>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cs="Times New Roman"/>
                <w:b/>
                <w:bCs/>
                <w:color w:val="auto"/>
                <w:sz w:val="24"/>
                <w:szCs w:val="24"/>
                <w:lang w:val="en-US" w:eastAsia="zh-CN"/>
              </w:rPr>
              <w:t>15、</w:t>
            </w:r>
            <w:r>
              <w:rPr>
                <w:rFonts w:hint="default" w:ascii="Times New Roman" w:hAnsi="Times New Roman" w:eastAsia="宋体" w:cs="Times New Roman"/>
                <w:b/>
                <w:bCs/>
                <w:color w:val="auto"/>
                <w:sz w:val="24"/>
                <w:szCs w:val="24"/>
                <w:lang w:val="en-US" w:eastAsia="zh-CN"/>
              </w:rPr>
              <w:t>与《新疆维吾尔自治区重点行业生态环境准入条件（2024年）》符合性</w:t>
            </w:r>
          </w:p>
          <w:p>
            <w:pPr>
              <w:pStyle w:val="78"/>
              <w:bidi w:val="0"/>
              <w:rPr>
                <w:rFonts w:hint="default" w:ascii="Times New Roman" w:hAnsi="Times New Roman" w:eastAsia="宋体" w:cs="Times New Roman"/>
                <w:color w:val="auto"/>
                <w:kern w:val="21"/>
                <w:sz w:val="24"/>
                <w:szCs w:val="24"/>
                <w:highlight w:val="none"/>
                <w:lang w:val="en-US" w:eastAsia="zh-CN"/>
              </w:rPr>
            </w:pPr>
            <w:r>
              <w:rPr>
                <w:rFonts w:hint="default" w:ascii="Times New Roman" w:hAnsi="Times New Roman" w:eastAsia="宋体" w:cs="Times New Roman"/>
                <w:color w:val="auto"/>
                <w:kern w:val="21"/>
                <w:sz w:val="24"/>
                <w:szCs w:val="24"/>
                <w:highlight w:val="none"/>
                <w:lang w:val="en-US" w:eastAsia="zh-CN"/>
              </w:rPr>
              <w:t>项目建设</w:t>
            </w:r>
            <w:r>
              <w:rPr>
                <w:rFonts w:hint="eastAsia" w:ascii="Times New Roman" w:hAnsi="Times New Roman" w:eastAsia="宋体" w:cs="Times New Roman"/>
                <w:color w:val="auto"/>
                <w:kern w:val="21"/>
                <w:sz w:val="24"/>
                <w:szCs w:val="24"/>
                <w:highlight w:val="none"/>
                <w:lang w:val="en-US" w:eastAsia="zh-CN"/>
              </w:rPr>
              <w:t>与</w:t>
            </w:r>
            <w:r>
              <w:rPr>
                <w:rFonts w:hint="default" w:ascii="Times New Roman" w:hAnsi="Times New Roman" w:eastAsia="宋体" w:cs="Times New Roman"/>
                <w:color w:val="auto"/>
                <w:kern w:val="21"/>
                <w:sz w:val="24"/>
                <w:szCs w:val="24"/>
                <w:highlight w:val="none"/>
                <w:lang w:val="en-US" w:eastAsia="zh-CN"/>
              </w:rPr>
              <w:t>《新疆维吾尔自治区重点行业生态环境准入条件（2024年）》</w:t>
            </w:r>
            <w:r>
              <w:rPr>
                <w:rFonts w:hint="eastAsia" w:ascii="Times New Roman" w:hAnsi="Times New Roman" w:eastAsia="宋体" w:cs="Times New Roman"/>
                <w:color w:val="auto"/>
                <w:kern w:val="21"/>
                <w:sz w:val="24"/>
                <w:szCs w:val="24"/>
                <w:highlight w:val="none"/>
                <w:lang w:val="en-US" w:eastAsia="zh-CN"/>
              </w:rPr>
              <w:t>符合性分析见表1-9</w:t>
            </w:r>
            <w:r>
              <w:rPr>
                <w:rFonts w:hint="default" w:ascii="Times New Roman" w:hAnsi="Times New Roman" w:eastAsia="宋体" w:cs="Times New Roman"/>
                <w:color w:val="auto"/>
                <w:kern w:val="21"/>
                <w:sz w:val="24"/>
                <w:szCs w:val="24"/>
                <w:highlight w:val="none"/>
                <w:lang w:val="en-US" w:eastAsia="zh-CN"/>
              </w:rPr>
              <w:t>。</w:t>
            </w:r>
          </w:p>
          <w:p>
            <w:pPr>
              <w:pStyle w:val="85"/>
              <w:bidi w:val="0"/>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highlight w:val="none"/>
              </w:rPr>
              <w:t>表</w:t>
            </w:r>
            <w:r>
              <w:rPr>
                <w:rFonts w:hint="default" w:ascii="Times New Roman" w:hAnsi="Times New Roman" w:eastAsia="宋体" w:cs="Times New Roman"/>
                <w:color w:val="auto"/>
                <w:highlight w:val="none"/>
                <w:lang w:val="en-US" w:eastAsia="zh-CN"/>
              </w:rPr>
              <w:t>1-9</w:t>
            </w:r>
            <w:r>
              <w:rPr>
                <w:rFonts w:hint="default" w:ascii="Times New Roman" w:hAnsi="Times New Roman" w:eastAsia="宋体" w:cs="Times New Roman"/>
                <w:color w:val="auto"/>
                <w:highlight w:val="none"/>
              </w:rPr>
              <w:t xml:space="preserve">  与</w:t>
            </w:r>
            <w:r>
              <w:rPr>
                <w:rFonts w:hint="default" w:ascii="Times New Roman" w:hAnsi="Times New Roman" w:eastAsia="宋体" w:cs="Times New Roman"/>
                <w:color w:val="auto"/>
                <w:sz w:val="21"/>
                <w:szCs w:val="21"/>
                <w:highlight w:val="none"/>
              </w:rPr>
              <w:t>准入条件</w:t>
            </w:r>
            <w:r>
              <w:rPr>
                <w:rFonts w:hint="eastAsia" w:eastAsia="宋体" w:cs="Times New Roman"/>
                <w:color w:val="auto"/>
                <w:sz w:val="21"/>
                <w:szCs w:val="21"/>
                <w:highlight w:val="none"/>
                <w:lang w:val="en-US" w:eastAsia="zh-CN"/>
              </w:rPr>
              <w:t>相关要求比对分析一览表</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3335"/>
              <w:gridCol w:w="1984"/>
              <w:gridCol w:w="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28" w:type="pct"/>
                  <w:gridSpan w:val="2"/>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准入条件相关要求</w:t>
                  </w:r>
                </w:p>
              </w:tc>
              <w:tc>
                <w:tcPr>
                  <w:tcW w:w="1530"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w:t>
                  </w:r>
                </w:p>
              </w:tc>
              <w:tc>
                <w:tcPr>
                  <w:tcW w:w="540"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5" w:type="pct"/>
                  <w:vMerge w:val="restar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（二）选址与空间布局</w:t>
                  </w:r>
                </w:p>
              </w:tc>
              <w:tc>
                <w:tcPr>
                  <w:tcW w:w="2523"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铁路、高速公路、国道、省道等重要交通干线两侧200米范围以内（其中，禁止在铁路、国道、省道两侧的直观可视范围内进行露天开采），重要工业区、大型水利工程设施、城镇市政工程设施所在区域，军事管理区、机场、国防工程设施圈定的区域，居民聚集区1千米以内，伊犁河、额尔齐斯河等重点河流源头区，国家及自治区划定的重点流域I、Ⅱ类和有饮用水取水口的Ⅲ类水体上游岸边1千米以内、其他Ⅲ类水体岸边200米以内原则上不得建设涉及汞、镉、铬、铅、砷等重有色金属矿采选的工业场地、露天矿或尾矿库。存在山体等阻隔地形或建设人工地下水阻隔设施和严格防尘措施的，可适当放宽距离要求，具体根据专业机构论证结论确定。其他水体根据矿产资源开发利用结论和环境影响评价结论管控。</w:t>
                  </w:r>
                </w:p>
              </w:tc>
              <w:tc>
                <w:tcPr>
                  <w:tcW w:w="1530"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本项目厂址周边1km范围内无重要工业区、大型水利工程设施、城镇市政工程设施、军事管理区、机场、国防工程设施圈定的区域、居民聚集区。</w:t>
                  </w:r>
                </w:p>
                <w:p>
                  <w:pPr>
                    <w:pStyle w:val="87"/>
                    <w:keepNext w:val="0"/>
                    <w:keepLines w:val="0"/>
                    <w:widowControl w:val="0"/>
                    <w:suppressLineNumbers w:val="0"/>
                    <w:bidi w:val="0"/>
                    <w:spacing w:before="0" w:beforeAutospacing="0" w:after="0" w:afterAutospacing="0"/>
                    <w:ind w:left="0" w:right="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选矿厂南侧700m为喀拉米兰河，本项目为尾矿再选金精矿，尾矿中锑含量较低，未达到最低可开采品位，因此不属于建设涉及汞、镉、铬、铅、砷等重有色金属矿采选的工业场地。</w:t>
                  </w:r>
                </w:p>
              </w:tc>
              <w:tc>
                <w:tcPr>
                  <w:tcW w:w="540"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5" w:type="pct"/>
                  <w:vMerge w:val="continue"/>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2523"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废石堆场及尾矿库选址应达到《一般工业固体废物贮存和填埋污染控制标准》（GB18599）要求，对不明确是否具有危险特性的尾矿砂，应当按照国家规定的危险废物鉴别标准和鉴别方法进行鉴别，经鉴别属于危险废物的按危险废物依法依规管理，其贮存设施应符合《危险废物贮存污染控制标准》（GB18597）。</w:t>
                  </w:r>
                </w:p>
              </w:tc>
              <w:tc>
                <w:tcPr>
                  <w:tcW w:w="1530"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尾矿属于一般工业固体废物，依托选矿厂新建尾矿库，满足《一般工业固体废物贮存和填埋污染控制标准》（GB18599）要求。</w:t>
                  </w:r>
                </w:p>
              </w:tc>
              <w:tc>
                <w:tcPr>
                  <w:tcW w:w="540"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5" w:type="pct"/>
                  <w:vMerge w:val="restar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（三）污染防治与环境影响</w:t>
                  </w:r>
                </w:p>
              </w:tc>
              <w:tc>
                <w:tcPr>
                  <w:tcW w:w="2523"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铝矿采选执行《铝工业污染物排放标准》（GB25465），铅锌矿采选执行《铅、锌工业污染物排放标准》（GB25466），铜镍矿采选执行《铜、镍、钴工业污染物排放标准》（GB25467），稀土矿采选执行《稀土工业污染物排放标准》（GB26451），铁矿采选执行《铁矿采选工业污染物排放标准》（GB28661），钒矿采选执行《钒工业污染物排放标准》（GB26452），镁、钛矿采选执行《镁、钛工业污染物排放标准》（GB25468）。</w:t>
                  </w:r>
                </w:p>
              </w:tc>
              <w:tc>
                <w:tcPr>
                  <w:tcW w:w="1530"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本项目属金矿选矿项目，执行《大气污染物综合排放标准》（GB16297-1996）</w:t>
                  </w:r>
                </w:p>
              </w:tc>
              <w:tc>
                <w:tcPr>
                  <w:tcW w:w="540"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5" w:type="pct"/>
                  <w:vMerge w:val="continue"/>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2523"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采选废水排放有行业标准的应达到行业标准要求，无行业标准的应达到《污水综合排放标准》（GB8978）要求。生活污水处理达标后尽量综合利用，边远矿区的生活污水排放和综合利用可参照《农村生活污水处理排放标准》（DB65/4275）要求管控。</w:t>
                  </w:r>
                </w:p>
              </w:tc>
              <w:tc>
                <w:tcPr>
                  <w:tcW w:w="1530"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本项目选矿废水闭路循环不外排。</w:t>
                  </w:r>
                  <w:r>
                    <w:rPr>
                      <w:rFonts w:hint="default" w:ascii="Times New Roman" w:hAnsi="Times New Roman" w:eastAsia="宋体" w:cs="Times New Roman"/>
                      <w:color w:val="auto"/>
                      <w:sz w:val="21"/>
                      <w:szCs w:val="21"/>
                      <w:highlight w:val="none"/>
                    </w:rPr>
                    <w:t>生活污水经一体化污水处理设施处理达到《城市污水再生利用</w:t>
                  </w:r>
                  <w:r>
                    <w:rPr>
                      <w:rFonts w:hint="eastAsia"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城市杂用水水质》GB/T 18920-2020中的城市绿化、道路清扫、消防标准限值后用于绿化灌溉、道路洒扫等。</w:t>
                  </w:r>
                </w:p>
              </w:tc>
              <w:tc>
                <w:tcPr>
                  <w:tcW w:w="540"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5" w:type="pct"/>
                  <w:vMerge w:val="continue"/>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2523"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采选活动矿石转运、破碎、筛分等粉尘产生工序，应配备抑尘、除尘设备，除尘效率不低于99%，有效控制无组织粉尘排放。采选矿各环节废气排放有行业标准的应达到行业标准要求，无行业标准的应达到《大气污染物综合排放标准》（GB16297）要求。</w:t>
                  </w:r>
                </w:p>
              </w:tc>
              <w:tc>
                <w:tcPr>
                  <w:tcW w:w="1530"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项目尾矿回采方式为湿式回采，不涉及破碎、筛分工序，其他环节无组织排放通过封闭/围挡、洒水降尘进行控制。废气排放满足《大气污染物综合排放标准》（GB16297）要求。</w:t>
                  </w:r>
                </w:p>
              </w:tc>
              <w:tc>
                <w:tcPr>
                  <w:tcW w:w="540"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5" w:type="pct"/>
                  <w:vMerge w:val="continue"/>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2523"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4.噪声排放执行《工业企业厂界环境噪声排放标准》（GB12348）。</w:t>
                  </w:r>
                </w:p>
              </w:tc>
              <w:tc>
                <w:tcPr>
                  <w:tcW w:w="1530"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厂界噪声满足《工业企业厂界环境噪声排放标准》（GB12348）。</w:t>
                  </w:r>
                </w:p>
              </w:tc>
              <w:tc>
                <w:tcPr>
                  <w:tcW w:w="540"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5" w:type="pct"/>
                  <w:vMerge w:val="continue"/>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2523"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鼓励对废石、尾矿砂进行多途径综合利用，因地制宜选择合理的综合利用方式，提高综合利用率，其处置与综合利用应符合国家及行业相关标准规范要求。废石和尾矿砂应根据《一般工业固体废物贮存和填埋污染控制标准》（GB18599）进行管理，属危险废物的按危险废物相关要求依法依规进行管理，其贮存设施应符合《危险废物贮存污染控制标准》（GB18597）。生活垃圾实现100%无害化处置。</w:t>
                  </w:r>
                </w:p>
              </w:tc>
              <w:tc>
                <w:tcPr>
                  <w:tcW w:w="1530"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本项目尾矿属于一般工业固体废物，依托选矿厂新建尾矿库，满足《一般工业固体废物贮存和填埋污染控制标准》（GB18599）要求。</w:t>
                  </w:r>
                </w:p>
              </w:tc>
              <w:tc>
                <w:tcPr>
                  <w:tcW w:w="540"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bl>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16、</w:t>
            </w:r>
            <w:r>
              <w:rPr>
                <w:rFonts w:hint="default" w:ascii="Times New Roman" w:hAnsi="Times New Roman" w:eastAsia="宋体" w:cs="Times New Roman"/>
                <w:b/>
                <w:bCs/>
                <w:color w:val="auto"/>
                <w:sz w:val="24"/>
                <w:szCs w:val="24"/>
                <w:lang w:val="en-US" w:eastAsia="zh-CN"/>
              </w:rPr>
              <w:t>选址合理性分析</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项目建设地点为且末县邦泰矿业投资有限公司选矿厂内西侧，不属于生态保护红线用地范围，项目占地不涉及生态保护红线。</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项目厂址周边1km范围内无重要工业区、大型水利工程设施、城镇市政工程设施、军事管理区、机场、国防工程设施圈定的区域、居民聚集区。选矿厂南侧700m为喀拉米兰河（I类水体），但因尾矿中锑含量较低，未达到《矿产资源工业要求手册》最低可开采</w:t>
            </w:r>
            <w:r>
              <w:rPr>
                <w:rFonts w:hint="default" w:ascii="Times New Roman" w:hAnsi="Times New Roman" w:cs="Times New Roman"/>
                <w:snapToGrid w:val="0"/>
                <w:color w:val="auto"/>
                <w:kern w:val="0"/>
                <w:sz w:val="24"/>
                <w:szCs w:val="24"/>
                <w:lang w:val="en-US" w:eastAsia="zh-CN"/>
              </w:rPr>
              <w:t>品位</w:t>
            </w:r>
            <w:r>
              <w:rPr>
                <w:rFonts w:hint="default" w:ascii="Times New Roman" w:hAnsi="Times New Roman" w:eastAsia="宋体" w:cs="Times New Roman"/>
                <w:snapToGrid w:val="0"/>
                <w:color w:val="auto"/>
                <w:kern w:val="0"/>
                <w:sz w:val="24"/>
                <w:szCs w:val="24"/>
                <w:lang w:val="en-US" w:eastAsia="zh-CN"/>
              </w:rPr>
              <w:t>，因此不属于建设涉及汞、镉、铬、铅、砷等重有色金属矿采选的工业场地，同时项目利用现状厂区工业用地</w:t>
            </w:r>
            <w:r>
              <w:rPr>
                <w:rFonts w:hint="eastAsia" w:cs="Times New Roman"/>
                <w:snapToGrid w:val="0"/>
                <w:color w:val="auto"/>
                <w:kern w:val="0"/>
                <w:sz w:val="24"/>
                <w:szCs w:val="24"/>
                <w:lang w:val="en-US" w:eastAsia="zh-CN"/>
              </w:rPr>
              <w:t>（用地文件见附件11）</w:t>
            </w:r>
            <w:r>
              <w:rPr>
                <w:rFonts w:hint="default" w:ascii="Times New Roman" w:hAnsi="Times New Roman" w:eastAsia="宋体" w:cs="Times New Roman"/>
                <w:snapToGrid w:val="0"/>
                <w:color w:val="auto"/>
                <w:kern w:val="0"/>
                <w:sz w:val="24"/>
                <w:szCs w:val="24"/>
                <w:lang w:val="en-US" w:eastAsia="zh-CN"/>
              </w:rPr>
              <w:t>，不新增占地，项目产生的二次尾矿经由管道输送至选矿厂续接尾矿库，本项目不新建尾矿库，符合《新疆维吾尔自治区重点行业生态环境准入条件（2024年）》中选址及空间布局要求。</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综合以上分析，本项目选址合理。</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snapToGrid w:val="0"/>
                <w:color w:val="auto"/>
                <w:kern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p>
        </w:tc>
      </w:tr>
    </w:tbl>
    <w:p>
      <w:pPr>
        <w:spacing w:line="360" w:lineRule="auto"/>
        <w:outlineLvl w:val="0"/>
        <w:rPr>
          <w:rFonts w:hint="default" w:ascii="Times New Roman" w:hAnsi="Times New Roman" w:eastAsia="黑体" w:cs="Times New Roman"/>
          <w:color w:val="auto"/>
          <w:sz w:val="21"/>
          <w:szCs w:val="21"/>
        </w:rPr>
        <w:sectPr>
          <w:footerReference r:id="rId4"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pPr>
        <w:pStyle w:val="27"/>
        <w:jc w:val="center"/>
        <w:outlineLvl w:val="0"/>
        <w:rPr>
          <w:rFonts w:hint="default" w:ascii="Times New Roman" w:hAnsi="Times New Roman" w:eastAsia="黑体" w:cs="Times New Roman"/>
          <w:snapToGrid w:val="0"/>
          <w:color w:val="auto"/>
          <w:sz w:val="30"/>
          <w:szCs w:val="30"/>
        </w:rPr>
      </w:pPr>
      <w:r>
        <w:rPr>
          <w:rFonts w:hint="default" w:ascii="Times New Roman" w:hAnsi="Times New Roman" w:eastAsia="黑体" w:cs="Times New Roman"/>
          <w:snapToGrid w:val="0"/>
          <w:color w:val="auto"/>
          <w:sz w:val="30"/>
          <w:szCs w:val="30"/>
        </w:rPr>
        <w:t>二、建设项目工程分析</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16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13" w:hRule="atLeast"/>
          <w:jc w:val="center"/>
        </w:trPr>
        <w:tc>
          <w:tcPr>
            <w:tcW w:w="823" w:type="dxa"/>
            <w:noWrap w:val="0"/>
            <w:vAlign w:val="center"/>
          </w:tcPr>
          <w:p>
            <w:pPr>
              <w:pStyle w:val="27"/>
              <w:adjustRightInd w:val="0"/>
              <w:snapToGrid w:val="0"/>
              <w:spacing w:before="0" w:beforeAutospacing="0" w:after="0" w:afterAutospacing="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建设内容</w:t>
            </w:r>
          </w:p>
        </w:tc>
        <w:tc>
          <w:tcPr>
            <w:tcW w:w="8161"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cs="Times New Roman"/>
                <w:b/>
                <w:color w:val="auto"/>
                <w:sz w:val="24"/>
                <w:szCs w:val="24"/>
                <w:lang w:val="en-US" w:eastAsia="zh-CN"/>
              </w:rPr>
            </w:pPr>
            <w:r>
              <w:rPr>
                <w:rFonts w:hint="default" w:ascii="Times New Roman" w:hAnsi="Times New Roman" w:cs="Times New Roman"/>
                <w:b/>
                <w:color w:val="auto"/>
                <w:sz w:val="24"/>
                <w:szCs w:val="24"/>
                <w:lang w:val="en-US" w:eastAsia="zh-CN"/>
              </w:rPr>
              <w:t>1项目建设背景及必要性</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32"/>
                <w:lang w:val="en-US" w:eastAsia="zh-CN"/>
              </w:rPr>
            </w:pPr>
            <w:r>
              <w:rPr>
                <w:rFonts w:hint="default" w:ascii="Times New Roman" w:hAnsi="Times New Roman" w:cs="Times New Roman"/>
                <w:color w:val="auto"/>
                <w:sz w:val="24"/>
                <w:szCs w:val="32"/>
              </w:rPr>
              <w:t>且末县邦泰矿业投资有限公司于2017年开发并建设规模为13.5万吨/年的金锑矿采选项目。2017年5月取得《关于且末县邦泰投资有限公司新疆且末县屈库勒克东金（锑）450吨/天采矿工程环境影响报告书的批复》（新环函〔2017〕744号），2017年5月取得《关于且末县邦泰矿业投资有限公司新疆且末县屈库勒克东金（锑）矿450吨/天选矿工程环境影响报告书的批复》（新环函〔2017〕734号），2019年8月3日组织召开了《新疆且末县屈库勒克东金（锑）矿450吨/d选矿工程》竣工环境保护现场验收会，通过验收并取得了验收意见。选矿工程服务年限为18.13年，已建老尾矿库总库容为80.17×10</w:t>
            </w:r>
            <w:r>
              <w:rPr>
                <w:rFonts w:hint="default" w:ascii="Times New Roman" w:hAnsi="Times New Roman" w:cs="Times New Roman"/>
                <w:color w:val="auto"/>
                <w:sz w:val="24"/>
                <w:szCs w:val="32"/>
                <w:vertAlign w:val="superscript"/>
              </w:rPr>
              <w:t>4</w:t>
            </w:r>
            <w:r>
              <w:rPr>
                <w:rFonts w:hint="default" w:ascii="Times New Roman" w:hAnsi="Times New Roman" w:cs="Times New Roman"/>
                <w:color w:val="auto"/>
                <w:sz w:val="24"/>
                <w:szCs w:val="32"/>
              </w:rPr>
              <w:t>m³，有效库容68.45×10</w:t>
            </w:r>
            <w:r>
              <w:rPr>
                <w:rFonts w:hint="default" w:ascii="Times New Roman" w:hAnsi="Times New Roman" w:cs="Times New Roman"/>
                <w:color w:val="auto"/>
                <w:sz w:val="24"/>
                <w:szCs w:val="32"/>
                <w:vertAlign w:val="superscript"/>
              </w:rPr>
              <w:t>4</w:t>
            </w:r>
            <w:r>
              <w:rPr>
                <w:rFonts w:hint="default" w:ascii="Times New Roman" w:hAnsi="Times New Roman" w:cs="Times New Roman"/>
                <w:color w:val="auto"/>
                <w:sz w:val="24"/>
                <w:szCs w:val="32"/>
              </w:rPr>
              <w:t>m³，为山谷型五等尾矿库。目前，尾矿库内存储尾矿量65.29万m³，剩余库容为3.16万m³。2025年9月29日取得自治区生态环境厅《关于且末县邦泰矿业投资有限公司新疆且末县屈库勒克东金锑矿450t/d选矿厂新建尾矿库工程环境影响报告书的批复》（新环审〔2025〕234号）</w:t>
            </w:r>
            <w:r>
              <w:rPr>
                <w:rFonts w:hint="default" w:ascii="Times New Roman" w:hAnsi="Times New Roman" w:cs="Times New Roman"/>
                <w:color w:val="auto"/>
                <w:sz w:val="24"/>
                <w:szCs w:val="32"/>
                <w:lang w:val="en-US" w:eastAsia="zh-CN"/>
              </w:rPr>
              <w:t>作为选矿厂尾矿储存设施接续工程，新库建成后，老库闭库。</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cs="Times New Roman"/>
                <w:color w:val="auto"/>
                <w:sz w:val="24"/>
                <w:szCs w:val="32"/>
              </w:rPr>
            </w:pPr>
            <w:r>
              <w:rPr>
                <w:rFonts w:hint="default" w:ascii="Times New Roman" w:hAnsi="Times New Roman" w:cs="Times New Roman"/>
                <w:color w:val="auto"/>
                <w:sz w:val="24"/>
                <w:szCs w:val="32"/>
              </w:rPr>
              <w:t>根据《关于“十四五”大宗固体废弃物综合利用的指导意见》：稳步推进金属尾矿有价组分高效提取及整体利用......探索尾矿在生态环境治理领域的利用。加快推进黑色金属、有色金属、稀贵金属等共伴生矿产资源综合开发利用和有价组分梯级回收，推动有价金属提取后剩余废渣的规模化利用。</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szCs w:val="32"/>
              </w:rPr>
              <w:t>为提高尾矿综合利用，</w:t>
            </w:r>
            <w:r>
              <w:rPr>
                <w:rFonts w:hint="default" w:ascii="Times New Roman" w:hAnsi="Times New Roman" w:cs="Times New Roman"/>
                <w:color w:val="auto"/>
                <w:sz w:val="24"/>
                <w:highlight w:val="none"/>
                <w:lang w:val="en-US" w:eastAsia="zh-CN"/>
              </w:rPr>
              <w:t>本项目建设尾矿库回采工程，同时拟在原厂空地新建一座精选车间进行尾矿回选，</w:t>
            </w:r>
            <w:r>
              <w:rPr>
                <w:rFonts w:hint="default" w:ascii="Times New Roman" w:hAnsi="Times New Roman" w:cs="Times New Roman"/>
                <w:color w:val="auto"/>
                <w:sz w:val="24"/>
                <w:highlight w:val="none"/>
              </w:rPr>
              <w:t>通过高效选矿工艺，实现</w:t>
            </w:r>
            <w:r>
              <w:rPr>
                <w:rFonts w:hint="default" w:ascii="Times New Roman" w:hAnsi="Times New Roman" w:cs="Times New Roman"/>
                <w:color w:val="auto"/>
                <w:sz w:val="24"/>
                <w:highlight w:val="none"/>
                <w:lang w:val="en-US" w:eastAsia="zh-CN"/>
              </w:rPr>
              <w:t>尾矿</w:t>
            </w:r>
            <w:r>
              <w:rPr>
                <w:rFonts w:hint="default" w:ascii="Times New Roman" w:hAnsi="Times New Roman" w:cs="Times New Roman"/>
                <w:color w:val="auto"/>
                <w:sz w:val="24"/>
                <w:highlight w:val="none"/>
              </w:rPr>
              <w:t>中有价金属的提取与综合回收，最大限度提高资源利用</w:t>
            </w:r>
            <w:r>
              <w:rPr>
                <w:rFonts w:hint="default" w:ascii="Times New Roman" w:hAnsi="Times New Roman" w:cs="Times New Roman"/>
                <w:color w:val="auto"/>
                <w:sz w:val="24"/>
                <w:highlight w:val="none"/>
                <w:lang w:val="en-US" w:eastAsia="zh-CN"/>
              </w:rPr>
              <w:t>效</w:t>
            </w:r>
            <w:r>
              <w:rPr>
                <w:rFonts w:hint="default" w:ascii="Times New Roman" w:hAnsi="Times New Roman" w:cs="Times New Roman"/>
                <w:color w:val="auto"/>
                <w:sz w:val="24"/>
                <w:highlight w:val="none"/>
              </w:rPr>
              <w:t>率。</w:t>
            </w:r>
          </w:p>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color w:val="auto"/>
                <w:sz w:val="24"/>
                <w:szCs w:val="32"/>
                <w:lang w:val="en-US" w:eastAsia="zh-CN"/>
              </w:rPr>
            </w:pPr>
            <w:r>
              <w:rPr>
                <w:rFonts w:hint="default" w:ascii="Times New Roman" w:hAnsi="Times New Roman" w:eastAsia="宋体" w:cs="Times New Roman"/>
                <w:b/>
                <w:bCs/>
                <w:color w:val="auto"/>
                <w:sz w:val="24"/>
                <w:szCs w:val="32"/>
                <w:lang w:val="en-US" w:eastAsia="zh-CN"/>
              </w:rPr>
              <w:t>本次尾矿库回采工程仅针对现有老尾矿库，新建尾矿库不在本次回采工程范围内。</w:t>
            </w:r>
          </w:p>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cs="Times New Roman"/>
                <w:b/>
                <w:color w:val="auto"/>
                <w:sz w:val="24"/>
                <w:szCs w:val="24"/>
                <w:lang w:val="en-US" w:eastAsia="zh-CN"/>
              </w:rPr>
            </w:pPr>
            <w:r>
              <w:rPr>
                <w:rFonts w:hint="default" w:ascii="Times New Roman" w:hAnsi="Times New Roman" w:cs="Times New Roman"/>
                <w:b/>
                <w:color w:val="auto"/>
                <w:sz w:val="24"/>
                <w:szCs w:val="24"/>
                <w:lang w:val="en-US" w:eastAsia="zh-CN"/>
              </w:rPr>
              <w:t>2 项目概况</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32"/>
              </w:rPr>
            </w:pPr>
            <w:r>
              <w:rPr>
                <w:rFonts w:hint="default" w:ascii="Times New Roman" w:hAnsi="Times New Roman" w:eastAsia="宋体" w:cs="Times New Roman"/>
                <w:color w:val="auto"/>
                <w:sz w:val="24"/>
                <w:szCs w:val="32"/>
              </w:rPr>
              <w:t>项目名称：且末县邦泰矿业投资有限公司新疆且末县屈库勒克东金锑矿450吨/天选矿厂尾矿库回采</w:t>
            </w:r>
            <w:r>
              <w:rPr>
                <w:rFonts w:hint="eastAsia" w:cs="Times New Roman"/>
                <w:color w:val="auto"/>
                <w:sz w:val="24"/>
                <w:szCs w:val="32"/>
                <w:lang w:val="en-US" w:eastAsia="zh-CN"/>
              </w:rPr>
              <w:t>项目</w:t>
            </w:r>
            <w:r>
              <w:rPr>
                <w:rFonts w:hint="default" w:ascii="Times New Roman" w:hAnsi="Times New Roman" w:eastAsia="宋体" w:cs="Times New Roman"/>
                <w:color w:val="auto"/>
                <w:sz w:val="24"/>
                <w:szCs w:val="32"/>
              </w:rPr>
              <w:t>；</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32"/>
              </w:rPr>
            </w:pPr>
            <w:r>
              <w:rPr>
                <w:rFonts w:hint="default" w:ascii="Times New Roman" w:hAnsi="Times New Roman" w:eastAsia="宋体" w:cs="Times New Roman"/>
                <w:color w:val="auto"/>
                <w:sz w:val="24"/>
                <w:szCs w:val="32"/>
              </w:rPr>
              <w:t>建设单位：且末县邦泰矿业投资有限公司；</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32"/>
              </w:rPr>
            </w:pPr>
            <w:r>
              <w:rPr>
                <w:rFonts w:hint="default" w:ascii="Times New Roman" w:hAnsi="Times New Roman" w:eastAsia="宋体" w:cs="Times New Roman"/>
                <w:color w:val="auto"/>
                <w:sz w:val="24"/>
                <w:szCs w:val="32"/>
              </w:rPr>
              <w:t>建设性质：</w:t>
            </w:r>
            <w:r>
              <w:rPr>
                <w:rFonts w:hint="default" w:ascii="Times New Roman" w:hAnsi="Times New Roman" w:eastAsia="宋体" w:cs="Times New Roman"/>
                <w:color w:val="auto"/>
                <w:sz w:val="24"/>
                <w:szCs w:val="32"/>
                <w:lang w:val="en-US" w:eastAsia="zh-CN"/>
              </w:rPr>
              <w:t>改扩建</w:t>
            </w:r>
            <w:r>
              <w:rPr>
                <w:rFonts w:hint="default" w:ascii="Times New Roman" w:hAnsi="Times New Roman" w:eastAsia="宋体" w:cs="Times New Roman"/>
                <w:color w:val="auto"/>
                <w:sz w:val="24"/>
                <w:szCs w:val="32"/>
              </w:rPr>
              <w:t>；</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32"/>
              </w:rPr>
            </w:pPr>
            <w:r>
              <w:rPr>
                <w:rFonts w:hint="default" w:ascii="Times New Roman" w:hAnsi="Times New Roman" w:eastAsia="宋体" w:cs="Times New Roman"/>
                <w:color w:val="auto"/>
                <w:sz w:val="24"/>
                <w:szCs w:val="32"/>
              </w:rPr>
              <w:t>项目投资：项目总投资</w:t>
            </w:r>
            <w:r>
              <w:rPr>
                <w:rFonts w:hint="default" w:ascii="Times New Roman" w:hAnsi="Times New Roman" w:eastAsia="宋体" w:cs="Times New Roman"/>
                <w:color w:val="auto"/>
                <w:sz w:val="24"/>
                <w:szCs w:val="32"/>
                <w:lang w:val="en-US" w:eastAsia="zh-CN"/>
              </w:rPr>
              <w:t>1000</w:t>
            </w:r>
            <w:r>
              <w:rPr>
                <w:rFonts w:hint="default" w:ascii="Times New Roman" w:hAnsi="Times New Roman" w:eastAsia="宋体" w:cs="Times New Roman"/>
                <w:color w:val="auto"/>
                <w:sz w:val="24"/>
                <w:szCs w:val="32"/>
              </w:rPr>
              <w:t>万元，其中环保投资</w:t>
            </w:r>
            <w:r>
              <w:rPr>
                <w:rFonts w:hint="eastAsia" w:cs="Times New Roman"/>
                <w:color w:val="auto"/>
                <w:sz w:val="24"/>
                <w:szCs w:val="32"/>
                <w:lang w:val="en-US" w:eastAsia="zh-CN"/>
              </w:rPr>
              <w:t>70</w:t>
            </w:r>
            <w:r>
              <w:rPr>
                <w:rFonts w:hint="default" w:ascii="Times New Roman" w:hAnsi="Times New Roman" w:eastAsia="宋体" w:cs="Times New Roman"/>
                <w:color w:val="auto"/>
                <w:sz w:val="24"/>
                <w:szCs w:val="32"/>
              </w:rPr>
              <w:t>万元；</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32"/>
              </w:rPr>
            </w:pPr>
            <w:r>
              <w:rPr>
                <w:rFonts w:hint="default" w:ascii="Times New Roman" w:hAnsi="Times New Roman" w:eastAsia="宋体" w:cs="Times New Roman"/>
                <w:snapToGrid w:val="0"/>
                <w:color w:val="auto"/>
                <w:kern w:val="0"/>
                <w:sz w:val="24"/>
                <w:szCs w:val="24"/>
                <w:lang w:val="en-US" w:eastAsia="zh-CN"/>
              </w:rPr>
              <w:t>建设地点：位于且末县邦泰矿业投资有限公司选矿厂内西侧，选矿厂西南侧为</w:t>
            </w:r>
            <w:r>
              <w:rPr>
                <w:rFonts w:hint="default" w:ascii="Times New Roman" w:hAnsi="Times New Roman" w:cs="Times New Roman"/>
                <w:snapToGrid w:val="0"/>
                <w:color w:val="auto"/>
                <w:kern w:val="0"/>
                <w:sz w:val="24"/>
                <w:szCs w:val="24"/>
                <w:lang w:val="en-US" w:eastAsia="zh-CN"/>
              </w:rPr>
              <w:t>现状</w:t>
            </w:r>
            <w:r>
              <w:rPr>
                <w:rFonts w:hint="default" w:ascii="Times New Roman" w:hAnsi="Times New Roman" w:eastAsia="宋体" w:cs="Times New Roman"/>
                <w:snapToGrid w:val="0"/>
                <w:color w:val="auto"/>
                <w:kern w:val="0"/>
                <w:sz w:val="24"/>
                <w:szCs w:val="24"/>
                <w:lang w:val="en-US" w:eastAsia="zh-CN"/>
              </w:rPr>
              <w:t>尾矿库，其他三侧均为空地。项目中心地理位置坐标为E85°14′48.152″，N</w:t>
            </w:r>
            <w:r>
              <w:rPr>
                <w:rFonts w:hint="default" w:ascii="Times New Roman" w:hAnsi="Times New Roman" w:eastAsia="宋体" w:cs="Times New Roman"/>
                <w:snapToGrid w:val="0"/>
                <w:color w:val="auto"/>
                <w:kern w:val="0"/>
                <w:sz w:val="24"/>
                <w:szCs w:val="24"/>
                <w:highlight w:val="none"/>
                <w:lang w:val="en-US" w:eastAsia="zh-CN"/>
              </w:rPr>
              <w:t>37°12′24.175″。地理位置图详见附图2，周边关系卫星图详见附图3。</w:t>
            </w:r>
            <w:r>
              <w:rPr>
                <w:rFonts w:hint="default" w:ascii="Times New Roman" w:hAnsi="Times New Roman" w:eastAsia="宋体" w:cs="Times New Roman"/>
                <w:color w:val="auto"/>
                <w:sz w:val="24"/>
                <w:szCs w:val="32"/>
              </w:rPr>
              <w:t>；</w:t>
            </w:r>
          </w:p>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cs="Times New Roman"/>
                <w:b/>
                <w:bCs/>
                <w:color w:val="auto"/>
                <w:sz w:val="24"/>
              </w:rPr>
              <w:t>建设内容及规模</w:t>
            </w:r>
            <w:r>
              <w:rPr>
                <w:rFonts w:hint="default" w:ascii="Times New Roman" w:hAnsi="Times New Roman" w:cs="Times New Roman"/>
                <w:b/>
                <w:bCs/>
                <w:color w:val="auto"/>
                <w:sz w:val="24"/>
                <w:lang w:eastAsia="zh-CN"/>
              </w:rPr>
              <w:t>：</w:t>
            </w:r>
            <w:r>
              <w:rPr>
                <w:rFonts w:hint="default" w:ascii="Times New Roman" w:hAnsi="Times New Roman" w:cs="Times New Roman"/>
                <w:snapToGrid w:val="0"/>
                <w:color w:val="auto"/>
                <w:kern w:val="0"/>
                <w:sz w:val="24"/>
                <w:szCs w:val="24"/>
                <w:lang w:val="en-US" w:eastAsia="zh-CN"/>
              </w:rPr>
              <w:t>项目主要建设内容为尾矿库回采工程及尾矿回采精选车间，购置采砂船、挖机、球磨机、浮选机、压滤机等设备，配套建设回采区至精选车间尾矿输送管道、下游尾矿库至回采区的回水管道。回采精选车间设计日处理1500t尾矿。</w:t>
            </w:r>
            <w:r>
              <w:rPr>
                <w:rFonts w:hint="default" w:ascii="Times New Roman" w:hAnsi="Times New Roman" w:eastAsia="宋体" w:cs="Times New Roman"/>
                <w:snapToGrid w:val="0"/>
                <w:color w:val="auto"/>
                <w:kern w:val="0"/>
                <w:sz w:val="24"/>
                <w:szCs w:val="24"/>
                <w:highlight w:val="none"/>
                <w:lang w:val="en-US" w:eastAsia="zh-CN"/>
              </w:rPr>
              <w:t>厂区供排水、供配电等</w:t>
            </w:r>
            <w:r>
              <w:rPr>
                <w:rFonts w:hint="default" w:ascii="Times New Roman" w:hAnsi="Times New Roman" w:cs="Times New Roman"/>
                <w:snapToGrid w:val="0"/>
                <w:color w:val="auto"/>
                <w:kern w:val="0"/>
                <w:sz w:val="24"/>
                <w:szCs w:val="24"/>
                <w:highlight w:val="none"/>
                <w:lang w:val="en-US" w:eastAsia="zh-CN"/>
              </w:rPr>
              <w:t>公共</w:t>
            </w:r>
            <w:r>
              <w:rPr>
                <w:rFonts w:hint="default" w:ascii="Times New Roman" w:hAnsi="Times New Roman" w:eastAsia="宋体" w:cs="Times New Roman"/>
                <w:snapToGrid w:val="0"/>
                <w:color w:val="auto"/>
                <w:kern w:val="0"/>
                <w:sz w:val="24"/>
                <w:szCs w:val="24"/>
                <w:highlight w:val="none"/>
                <w:lang w:val="en-US" w:eastAsia="zh-CN"/>
              </w:rPr>
              <w:t>设施及办公生活设施依托</w:t>
            </w:r>
            <w:r>
              <w:rPr>
                <w:rFonts w:hint="default" w:ascii="Times New Roman" w:hAnsi="Times New Roman" w:cs="Times New Roman"/>
                <w:snapToGrid w:val="0"/>
                <w:color w:val="auto"/>
                <w:kern w:val="0"/>
                <w:sz w:val="24"/>
                <w:szCs w:val="24"/>
                <w:highlight w:val="none"/>
                <w:lang w:val="en-US" w:eastAsia="zh-CN"/>
              </w:rPr>
              <w:t>选矿厂</w:t>
            </w:r>
            <w:r>
              <w:rPr>
                <w:rFonts w:hint="default" w:ascii="Times New Roman" w:hAnsi="Times New Roman" w:eastAsia="宋体" w:cs="Times New Roman"/>
                <w:snapToGrid w:val="0"/>
                <w:color w:val="auto"/>
                <w:kern w:val="0"/>
                <w:sz w:val="24"/>
                <w:szCs w:val="24"/>
                <w:highlight w:val="none"/>
                <w:lang w:val="en-US" w:eastAsia="zh-CN"/>
              </w:rPr>
              <w:t>现状</w:t>
            </w:r>
            <w:r>
              <w:rPr>
                <w:rFonts w:hint="default" w:ascii="Times New Roman" w:hAnsi="Times New Roman" w:cs="Times New Roman"/>
                <w:snapToGrid w:val="0"/>
                <w:color w:val="auto"/>
                <w:kern w:val="0"/>
                <w:sz w:val="24"/>
                <w:szCs w:val="24"/>
                <w:highlight w:val="none"/>
                <w:lang w:val="en-US" w:eastAsia="zh-CN"/>
              </w:rPr>
              <w:t>已有设施</w:t>
            </w:r>
            <w:r>
              <w:rPr>
                <w:rFonts w:hint="default" w:ascii="Times New Roman" w:hAnsi="Times New Roman" w:eastAsia="宋体" w:cs="Times New Roman"/>
                <w:snapToGrid w:val="0"/>
                <w:color w:val="auto"/>
                <w:kern w:val="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 w:val="0"/>
                <w:bCs w:val="0"/>
                <w:color w:val="auto"/>
                <w:sz w:val="24"/>
                <w:szCs w:val="32"/>
                <w:lang w:val="en-US" w:eastAsia="zh-CN"/>
              </w:rPr>
            </w:pPr>
            <w:r>
              <w:rPr>
                <w:rFonts w:hint="default" w:ascii="Times New Roman" w:hAnsi="Times New Roman" w:cs="Times New Roman"/>
                <w:color w:val="auto"/>
                <w:sz w:val="24"/>
                <w:szCs w:val="24"/>
                <w:lang w:val="en-US" w:eastAsia="zh-CN"/>
              </w:rPr>
              <w:t>项目设计回采尾矿</w:t>
            </w:r>
            <w:r>
              <w:rPr>
                <w:rFonts w:hint="eastAsia" w:cs="Times New Roman"/>
                <w:color w:val="auto"/>
                <w:sz w:val="24"/>
                <w:szCs w:val="24"/>
                <w:highlight w:val="none"/>
                <w:lang w:val="en-US" w:eastAsia="zh-CN"/>
              </w:rPr>
              <w:t>32.65</w:t>
            </w:r>
            <w:r>
              <w:rPr>
                <w:rFonts w:hint="default" w:ascii="Times New Roman" w:hAnsi="Times New Roman" w:cs="Times New Roman"/>
                <w:color w:val="auto"/>
                <w:sz w:val="24"/>
                <w:szCs w:val="24"/>
                <w:highlight w:val="none"/>
                <w:lang w:val="en-US" w:eastAsia="zh-CN"/>
              </w:rPr>
              <w:t>万</w:t>
            </w:r>
            <w:r>
              <w:rPr>
                <w:rFonts w:hint="default" w:ascii="Times New Roman" w:hAnsi="Times New Roman" w:cs="Times New Roman"/>
                <w:color w:val="auto"/>
                <w:sz w:val="24"/>
                <w:szCs w:val="24"/>
                <w:lang w:val="en-US" w:eastAsia="zh-CN"/>
              </w:rPr>
              <w:t>m³/a，</w:t>
            </w:r>
            <w:r>
              <w:rPr>
                <w:rFonts w:hint="default" w:ascii="Times New Roman" w:hAnsi="Times New Roman" w:cs="Times New Roman"/>
                <w:color w:val="auto"/>
                <w:sz w:val="24"/>
              </w:rPr>
              <w:t>服务年限</w:t>
            </w:r>
            <w:r>
              <w:rPr>
                <w:rFonts w:hint="eastAsia" w:cs="Times New Roman"/>
                <w:color w:val="auto"/>
                <w:sz w:val="24"/>
                <w:highlight w:val="none"/>
                <w:lang w:val="en-US" w:eastAsia="zh-CN"/>
              </w:rPr>
              <w:t>2.0</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rPr>
              <w:t>，尾砂回采结束后对</w:t>
            </w:r>
            <w:r>
              <w:rPr>
                <w:rFonts w:hint="default" w:ascii="Times New Roman" w:hAnsi="Times New Roman" w:cs="Times New Roman"/>
                <w:color w:val="auto"/>
                <w:sz w:val="24"/>
                <w:lang w:val="en-US" w:eastAsia="zh-CN"/>
              </w:rPr>
              <w:t>尾矿库</w:t>
            </w:r>
            <w:r>
              <w:rPr>
                <w:rFonts w:hint="default" w:ascii="Times New Roman" w:hAnsi="Times New Roman" w:cs="Times New Roman"/>
                <w:color w:val="auto"/>
                <w:sz w:val="24"/>
              </w:rPr>
              <w:t>进行生态修复</w:t>
            </w:r>
            <w:r>
              <w:rPr>
                <w:rFonts w:hint="eastAsia" w:cs="Times New Roman"/>
                <w:color w:val="auto"/>
                <w:sz w:val="24"/>
                <w:lang w:eastAsia="zh-CN"/>
              </w:rPr>
              <w:t>，</w:t>
            </w:r>
            <w:r>
              <w:rPr>
                <w:rFonts w:hint="eastAsia" w:cs="Times New Roman"/>
                <w:color w:val="auto"/>
                <w:sz w:val="24"/>
                <w:lang w:val="en-US" w:eastAsia="zh-CN"/>
              </w:rPr>
              <w:t>回采精选结束后对</w:t>
            </w:r>
            <w:r>
              <w:rPr>
                <w:rFonts w:hint="default" w:ascii="Times New Roman" w:hAnsi="Times New Roman" w:eastAsia="宋体" w:cs="Times New Roman"/>
                <w:b w:val="0"/>
                <w:bCs w:val="0"/>
                <w:color w:val="auto"/>
                <w:sz w:val="24"/>
                <w:szCs w:val="32"/>
                <w:lang w:val="en-US" w:eastAsia="zh-CN"/>
              </w:rPr>
              <w:t>配套精选车间</w:t>
            </w:r>
            <w:r>
              <w:rPr>
                <w:rFonts w:hint="eastAsia" w:cs="Times New Roman"/>
                <w:b w:val="0"/>
                <w:bCs w:val="0"/>
                <w:color w:val="auto"/>
                <w:sz w:val="24"/>
                <w:szCs w:val="32"/>
                <w:lang w:val="en-US" w:eastAsia="zh-CN"/>
              </w:rPr>
              <w:t>单独办理</w:t>
            </w:r>
            <w:r>
              <w:rPr>
                <w:rFonts w:hint="default" w:ascii="Times New Roman" w:hAnsi="Times New Roman" w:cs="Times New Roman"/>
                <w:b w:val="0"/>
                <w:bCs w:val="0"/>
                <w:color w:val="auto"/>
                <w:sz w:val="24"/>
                <w:szCs w:val="32"/>
                <w:lang w:val="en-US" w:eastAsia="zh-CN"/>
              </w:rPr>
              <w:t>环评手续</w:t>
            </w:r>
            <w:r>
              <w:rPr>
                <w:rFonts w:hint="eastAsia" w:cs="Times New Roman"/>
                <w:b w:val="0"/>
                <w:bCs w:val="0"/>
                <w:color w:val="auto"/>
                <w:sz w:val="24"/>
                <w:szCs w:val="32"/>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项目主要</w:t>
            </w:r>
            <w:r>
              <w:rPr>
                <w:rFonts w:hint="default" w:ascii="Times New Roman" w:hAnsi="Times New Roman" w:eastAsia="宋体" w:cs="Times New Roman"/>
                <w:color w:val="auto"/>
                <w:sz w:val="24"/>
                <w:szCs w:val="24"/>
                <w:lang w:eastAsia="zh-CN"/>
              </w:rPr>
              <w:t>建设内容</w:t>
            </w:r>
            <w:r>
              <w:rPr>
                <w:rFonts w:hint="default" w:ascii="Times New Roman" w:hAnsi="Times New Roman" w:eastAsia="宋体" w:cs="Times New Roman"/>
                <w:color w:val="auto"/>
                <w:sz w:val="24"/>
                <w:szCs w:val="24"/>
              </w:rPr>
              <w:t>见</w:t>
            </w:r>
            <w:r>
              <w:rPr>
                <w:rFonts w:hint="default" w:ascii="Times New Roman" w:hAnsi="Times New Roman" w:eastAsia="宋体" w:cs="Times New Roman"/>
                <w:color w:val="auto"/>
                <w:sz w:val="24"/>
                <w:szCs w:val="24"/>
                <w:lang w:val="en-US" w:eastAsia="zh-CN"/>
              </w:rPr>
              <w:t>下</w:t>
            </w:r>
            <w:r>
              <w:rPr>
                <w:rFonts w:hint="default" w:ascii="Times New Roman" w:hAnsi="Times New Roman" w:eastAsia="宋体" w:cs="Times New Roman"/>
                <w:color w:val="auto"/>
                <w:sz w:val="24"/>
                <w:szCs w:val="24"/>
              </w:rPr>
              <w:t>表</w:t>
            </w:r>
            <w:r>
              <w:rPr>
                <w:rFonts w:hint="default" w:ascii="Times New Roman" w:hAnsi="Times New Roman" w:eastAsia="宋体" w:cs="Times New Roman"/>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0" w:firstLineChars="0"/>
              <w:jc w:val="center"/>
              <w:textAlignment w:val="auto"/>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w:t>
            </w:r>
            <w:r>
              <w:rPr>
                <w:rFonts w:hint="default" w:ascii="Times New Roman" w:hAnsi="Times New Roman" w:eastAsia="宋体" w:cs="Times New Roman"/>
                <w:b/>
                <w:bCs/>
                <w:color w:val="auto"/>
                <w:lang w:val="en-US" w:eastAsia="zh-CN"/>
              </w:rPr>
              <w:t>2-1</w:t>
            </w:r>
            <w:r>
              <w:rPr>
                <w:rFonts w:hint="default" w:ascii="Times New Roman" w:hAnsi="Times New Roman" w:eastAsia="宋体" w:cs="Times New Roman"/>
                <w:b/>
                <w:bCs/>
                <w:color w:val="auto"/>
              </w:rPr>
              <w:t>项目</w:t>
            </w:r>
            <w:r>
              <w:rPr>
                <w:rFonts w:hint="default" w:ascii="Times New Roman" w:hAnsi="Times New Roman" w:eastAsia="宋体" w:cs="Times New Roman"/>
                <w:b/>
                <w:bCs/>
                <w:color w:val="auto"/>
                <w:lang w:eastAsia="zh-CN"/>
              </w:rPr>
              <w:t>建设内容</w:t>
            </w:r>
            <w:r>
              <w:rPr>
                <w:rFonts w:hint="default" w:ascii="Times New Roman" w:hAnsi="Times New Roman" w:eastAsia="宋体" w:cs="Times New Roman"/>
                <w:b/>
                <w:bCs/>
                <w:color w:val="auto"/>
              </w:rPr>
              <w:t>一览表</w:t>
            </w:r>
          </w:p>
          <w:tbl>
            <w:tblPr>
              <w:tblStyle w:val="29"/>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37"/>
              <w:gridCol w:w="1086"/>
              <w:gridCol w:w="5399"/>
              <w:gridCol w:w="69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1152" w:type="pct"/>
                  <w:gridSpan w:val="2"/>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工程分类</w:t>
                  </w:r>
                </w:p>
              </w:tc>
              <w:tc>
                <w:tcPr>
                  <w:tcW w:w="341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工程组成</w:t>
                  </w:r>
                </w:p>
              </w:tc>
              <w:tc>
                <w:tcPr>
                  <w:tcW w:w="4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466" w:type="pct"/>
                  <w:vMerge w:val="restar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主体工程</w:t>
                  </w:r>
                </w:p>
              </w:tc>
              <w:tc>
                <w:tcPr>
                  <w:tcW w:w="68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尾矿回采工程</w:t>
                  </w:r>
                </w:p>
              </w:tc>
              <w:tc>
                <w:tcPr>
                  <w:tcW w:w="341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回采区位于厂区西北部300m，尾矿库现状尾矿总量约为65.29万m³，设计年开采量</w:t>
                  </w:r>
                  <w:r>
                    <w:rPr>
                      <w:rFonts w:hint="eastAsia" w:eastAsia="宋体" w:cs="Times New Roman"/>
                      <w:color w:val="auto"/>
                      <w:highlight w:val="none"/>
                      <w:lang w:val="en-US" w:eastAsia="zh-CN"/>
                    </w:rPr>
                    <w:t>32.65</w:t>
                  </w:r>
                  <w:r>
                    <w:rPr>
                      <w:rFonts w:hint="default" w:ascii="Times New Roman" w:hAnsi="Times New Roman" w:eastAsia="宋体" w:cs="Times New Roman"/>
                      <w:color w:val="auto"/>
                      <w:highlight w:val="none"/>
                      <w:lang w:val="en-US" w:eastAsia="zh-CN"/>
                    </w:rPr>
                    <w:t>万m³/a。采用湿式回采。</w:t>
                  </w:r>
                </w:p>
              </w:tc>
              <w:tc>
                <w:tcPr>
                  <w:tcW w:w="4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466"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68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尾矿回采精选车间</w:t>
                  </w:r>
                </w:p>
              </w:tc>
              <w:tc>
                <w:tcPr>
                  <w:tcW w:w="341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位于厂区西侧，钢结构车间，占地面积1243.98㎡，高9.45m，分布球磨间、浮选间、压滤间。布置旋流器、球磨机、浮选机、泵池等，设计日处理能力1500t/d。</w:t>
                  </w:r>
                </w:p>
              </w:tc>
              <w:tc>
                <w:tcPr>
                  <w:tcW w:w="4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466"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68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浓密池</w:t>
                  </w:r>
                </w:p>
              </w:tc>
              <w:tc>
                <w:tcPr>
                  <w:tcW w:w="341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直径30m，容积1407.17m³，占地764.5</w:t>
                  </w:r>
                  <w:r>
                    <w:rPr>
                      <w:rFonts w:hint="default" w:ascii="Times New Roman" w:hAnsi="Times New Roman" w:eastAsia="宋体" w:cs="Times New Roman"/>
                      <w:color w:val="auto"/>
                      <w:sz w:val="21"/>
                      <w:szCs w:val="21"/>
                      <w:highlight w:val="none"/>
                      <w:lang w:val="en-US" w:eastAsia="zh-CN" w:bidi="ar-SA"/>
                    </w:rPr>
                    <w:t>㎡。</w:t>
                  </w:r>
                </w:p>
              </w:tc>
              <w:tc>
                <w:tcPr>
                  <w:tcW w:w="4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46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辅助工程</w:t>
                  </w:r>
                </w:p>
              </w:tc>
              <w:tc>
                <w:tcPr>
                  <w:tcW w:w="68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办公楼及生活区</w:t>
                  </w:r>
                </w:p>
              </w:tc>
              <w:tc>
                <w:tcPr>
                  <w:tcW w:w="341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位于选厂东侧350m，布置办公楼、宿舍楼、食堂、生活污水处理站等。</w:t>
                  </w:r>
                </w:p>
              </w:tc>
              <w:tc>
                <w:tcPr>
                  <w:tcW w:w="4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466" w:type="pct"/>
                  <w:vMerge w:val="restar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储运工程</w:t>
                  </w:r>
                </w:p>
              </w:tc>
              <w:tc>
                <w:tcPr>
                  <w:tcW w:w="68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成品区</w:t>
                  </w:r>
                </w:p>
              </w:tc>
              <w:tc>
                <w:tcPr>
                  <w:tcW w:w="341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位于压滤间，面积318.75㎡。</w:t>
                  </w:r>
                </w:p>
              </w:tc>
              <w:tc>
                <w:tcPr>
                  <w:tcW w:w="4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466"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68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尾矿库输送管道</w:t>
                  </w:r>
                </w:p>
              </w:tc>
              <w:tc>
                <w:tcPr>
                  <w:tcW w:w="341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尾矿库回采至精选车间的DN150尾矿输送管道长度600m，另一条为回水管道，自下游尾矿库浮船至回采尾矿库全长约1070m。</w:t>
                  </w:r>
                </w:p>
              </w:tc>
              <w:tc>
                <w:tcPr>
                  <w:tcW w:w="4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466"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68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新建尾矿库</w:t>
                  </w:r>
                </w:p>
              </w:tc>
              <w:tc>
                <w:tcPr>
                  <w:tcW w:w="341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位于选矿厂西北侧1000m，总库容265.48万m³，有效库容225.66万m³。</w:t>
                  </w:r>
                </w:p>
              </w:tc>
              <w:tc>
                <w:tcPr>
                  <w:tcW w:w="4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466" w:type="pct"/>
                  <w:vMerge w:val="restar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公用工程</w:t>
                  </w:r>
                </w:p>
              </w:tc>
              <w:tc>
                <w:tcPr>
                  <w:tcW w:w="68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给水</w:t>
                  </w:r>
                </w:p>
              </w:tc>
              <w:tc>
                <w:tcPr>
                  <w:tcW w:w="341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生产、生活用水取自厂区现状给水设施。</w:t>
                  </w:r>
                </w:p>
              </w:tc>
              <w:tc>
                <w:tcPr>
                  <w:tcW w:w="4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5" w:hRule="atLeast"/>
                <w:jc w:val="center"/>
              </w:trPr>
              <w:tc>
                <w:tcPr>
                  <w:tcW w:w="466"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686" w:type="pct"/>
                  <w:vMerge w:val="restar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排水</w:t>
                  </w:r>
                </w:p>
              </w:tc>
              <w:tc>
                <w:tcPr>
                  <w:tcW w:w="341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选矿废水</w:t>
                  </w:r>
                  <w:r>
                    <w:rPr>
                      <w:rFonts w:hint="default" w:ascii="Times New Roman" w:hAnsi="Times New Roman" w:eastAsia="宋体" w:cs="Times New Roman"/>
                      <w:color w:val="auto"/>
                      <w:highlight w:val="none"/>
                    </w:rPr>
                    <w:t>进入集水池循环泵送回选矿回水高位水池，澄清后进入选矿生产线循环使用</w:t>
                  </w:r>
                  <w:r>
                    <w:rPr>
                      <w:rFonts w:hint="default" w:ascii="Times New Roman" w:hAnsi="Times New Roman" w:eastAsia="宋体" w:cs="Times New Roman"/>
                      <w:color w:val="auto"/>
                      <w:highlight w:val="none"/>
                      <w:lang w:eastAsia="zh-CN"/>
                    </w:rPr>
                    <w:t>。</w:t>
                  </w:r>
                </w:p>
              </w:tc>
              <w:tc>
                <w:tcPr>
                  <w:tcW w:w="4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71" w:hRule="atLeast"/>
                <w:jc w:val="center"/>
              </w:trPr>
              <w:tc>
                <w:tcPr>
                  <w:tcW w:w="466"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rPr>
                  </w:pPr>
                </w:p>
              </w:tc>
              <w:tc>
                <w:tcPr>
                  <w:tcW w:w="686"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rPr>
                  </w:pPr>
                </w:p>
              </w:tc>
              <w:tc>
                <w:tcPr>
                  <w:tcW w:w="341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both"/>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生活污水经厂区现状一体化污水处理设施处理达标后，用于项目区绿化、洒水等。</w:t>
                  </w:r>
                </w:p>
              </w:tc>
              <w:tc>
                <w:tcPr>
                  <w:tcW w:w="4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466"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68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供电</w:t>
                  </w:r>
                </w:p>
              </w:tc>
              <w:tc>
                <w:tcPr>
                  <w:tcW w:w="341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引自厂区现状供电设备。</w:t>
                  </w:r>
                </w:p>
              </w:tc>
              <w:tc>
                <w:tcPr>
                  <w:tcW w:w="4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466"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68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供热</w:t>
                  </w:r>
                </w:p>
              </w:tc>
              <w:tc>
                <w:tcPr>
                  <w:tcW w:w="341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项目冬季不生产，值班人员采用电采暖。</w:t>
                  </w:r>
                </w:p>
              </w:tc>
              <w:tc>
                <w:tcPr>
                  <w:tcW w:w="4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8" w:hRule="atLeast"/>
                <w:jc w:val="center"/>
              </w:trPr>
              <w:tc>
                <w:tcPr>
                  <w:tcW w:w="466" w:type="pct"/>
                  <w:vMerge w:val="restar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环保工程</w:t>
                  </w:r>
                </w:p>
              </w:tc>
              <w:tc>
                <w:tcPr>
                  <w:tcW w:w="686" w:type="pct"/>
                  <w:vMerge w:val="restar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废气</w:t>
                  </w:r>
                </w:p>
              </w:tc>
              <w:tc>
                <w:tcPr>
                  <w:tcW w:w="341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both"/>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尾矿库干滩粉尘采取尾矿分段排矿，减少干滩面积，压实洒水降尘；成品区车间封闭+围挡、洒水降尘。</w:t>
                  </w:r>
                </w:p>
              </w:tc>
              <w:tc>
                <w:tcPr>
                  <w:tcW w:w="4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8" w:hRule="atLeast"/>
                <w:jc w:val="center"/>
              </w:trPr>
              <w:tc>
                <w:tcPr>
                  <w:tcW w:w="466"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lang w:val="en-US" w:eastAsia="zh-CN"/>
                    </w:rPr>
                  </w:pPr>
                </w:p>
              </w:tc>
              <w:tc>
                <w:tcPr>
                  <w:tcW w:w="686"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lang w:val="en-US" w:eastAsia="zh-CN"/>
                    </w:rPr>
                  </w:pPr>
                </w:p>
              </w:tc>
              <w:tc>
                <w:tcPr>
                  <w:tcW w:w="341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both"/>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食堂油烟经油烟净化器处理后达标排放。</w:t>
                  </w:r>
                </w:p>
              </w:tc>
              <w:tc>
                <w:tcPr>
                  <w:tcW w:w="4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1" w:hRule="atLeast"/>
                <w:jc w:val="center"/>
              </w:trPr>
              <w:tc>
                <w:tcPr>
                  <w:tcW w:w="466"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686" w:type="pct"/>
                  <w:vMerge w:val="restar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废水</w:t>
                  </w:r>
                </w:p>
              </w:tc>
              <w:tc>
                <w:tcPr>
                  <w:tcW w:w="341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选矿废水</w:t>
                  </w:r>
                  <w:r>
                    <w:rPr>
                      <w:rFonts w:hint="default" w:ascii="Times New Roman" w:hAnsi="Times New Roman" w:eastAsia="宋体" w:cs="Times New Roman"/>
                      <w:color w:val="auto"/>
                      <w:highlight w:val="none"/>
                    </w:rPr>
                    <w:t>进入集水池循环泵送回选矿回水高位水池，澄清后进入选矿生产线循环使用</w:t>
                  </w:r>
                  <w:r>
                    <w:rPr>
                      <w:rFonts w:hint="default" w:ascii="Times New Roman" w:hAnsi="Times New Roman" w:eastAsia="宋体" w:cs="Times New Roman"/>
                      <w:color w:val="auto"/>
                      <w:highlight w:val="none"/>
                      <w:lang w:eastAsia="zh-CN"/>
                    </w:rPr>
                    <w:t>。</w:t>
                  </w:r>
                </w:p>
              </w:tc>
              <w:tc>
                <w:tcPr>
                  <w:tcW w:w="4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1" w:hRule="atLeast"/>
                <w:jc w:val="center"/>
              </w:trPr>
              <w:tc>
                <w:tcPr>
                  <w:tcW w:w="466"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rPr>
                  </w:pPr>
                </w:p>
              </w:tc>
              <w:tc>
                <w:tcPr>
                  <w:tcW w:w="686"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rPr>
                  </w:pPr>
                </w:p>
              </w:tc>
              <w:tc>
                <w:tcPr>
                  <w:tcW w:w="341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生活污水经厂区现状一体化污水处理设施处理达标后，用于项目区绿化、洒水等。</w:t>
                  </w:r>
                </w:p>
              </w:tc>
              <w:tc>
                <w:tcPr>
                  <w:tcW w:w="4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3" w:hRule="atLeast"/>
                <w:jc w:val="center"/>
              </w:trPr>
              <w:tc>
                <w:tcPr>
                  <w:tcW w:w="466"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686" w:type="pct"/>
                  <w:vMerge w:val="restar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固体废物</w:t>
                  </w:r>
                </w:p>
              </w:tc>
              <w:tc>
                <w:tcPr>
                  <w:tcW w:w="341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选矿产生的</w:t>
                  </w:r>
                  <w:r>
                    <w:rPr>
                      <w:rFonts w:hint="default" w:ascii="Times New Roman" w:hAnsi="Times New Roman" w:eastAsia="宋体" w:cs="Times New Roman"/>
                      <w:color w:val="auto"/>
                      <w:highlight w:val="none"/>
                    </w:rPr>
                    <w:t>尾矿</w:t>
                  </w:r>
                  <w:r>
                    <w:rPr>
                      <w:rFonts w:hint="default" w:ascii="Times New Roman" w:hAnsi="Times New Roman" w:eastAsia="宋体" w:cs="Times New Roman"/>
                      <w:color w:val="auto"/>
                      <w:highlight w:val="none"/>
                      <w:lang w:val="en-US" w:eastAsia="zh-CN"/>
                    </w:rPr>
                    <w:t>经由管道输送</w:t>
                  </w:r>
                  <w:r>
                    <w:rPr>
                      <w:rFonts w:hint="default" w:ascii="Times New Roman" w:hAnsi="Times New Roman" w:eastAsia="宋体" w:cs="Times New Roman"/>
                      <w:color w:val="auto"/>
                      <w:highlight w:val="none"/>
                    </w:rPr>
                    <w:t>至</w:t>
                  </w:r>
                  <w:r>
                    <w:rPr>
                      <w:rFonts w:hint="default" w:ascii="Times New Roman" w:hAnsi="Times New Roman" w:eastAsia="宋体" w:cs="Times New Roman"/>
                      <w:color w:val="auto"/>
                      <w:highlight w:val="none"/>
                      <w:lang w:val="en-US" w:eastAsia="zh-CN"/>
                    </w:rPr>
                    <w:t>选矿厂</w:t>
                  </w:r>
                  <w:r>
                    <w:rPr>
                      <w:rFonts w:hint="default" w:ascii="Times New Roman" w:hAnsi="Times New Roman" w:eastAsia="宋体" w:cs="Times New Roman"/>
                      <w:color w:val="auto"/>
                      <w:highlight w:val="none"/>
                    </w:rPr>
                    <w:t>新建尾矿库</w:t>
                  </w:r>
                  <w:r>
                    <w:rPr>
                      <w:rFonts w:hint="default" w:ascii="Times New Roman" w:hAnsi="Times New Roman" w:eastAsia="宋体" w:cs="Times New Roman"/>
                      <w:color w:val="auto"/>
                      <w:highlight w:val="none"/>
                      <w:lang w:eastAsia="zh-CN"/>
                    </w:rPr>
                    <w:t>。</w:t>
                  </w:r>
                </w:p>
              </w:tc>
              <w:tc>
                <w:tcPr>
                  <w:tcW w:w="4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8" w:hRule="atLeast"/>
                <w:jc w:val="center"/>
              </w:trPr>
              <w:tc>
                <w:tcPr>
                  <w:tcW w:w="466"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rPr>
                  </w:pPr>
                </w:p>
              </w:tc>
              <w:tc>
                <w:tcPr>
                  <w:tcW w:w="686"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rPr>
                  </w:pPr>
                </w:p>
              </w:tc>
              <w:tc>
                <w:tcPr>
                  <w:tcW w:w="341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设备维修保养产生的废机油在危废贮存点暂存，由有资质单位拉运处理。</w:t>
                  </w:r>
                </w:p>
              </w:tc>
              <w:tc>
                <w:tcPr>
                  <w:tcW w:w="4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8" w:hRule="atLeast"/>
                <w:jc w:val="center"/>
              </w:trPr>
              <w:tc>
                <w:tcPr>
                  <w:tcW w:w="466"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p>
              </w:tc>
              <w:tc>
                <w:tcPr>
                  <w:tcW w:w="686"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p>
              </w:tc>
              <w:tc>
                <w:tcPr>
                  <w:tcW w:w="341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浮选药剂储存及使用过程中产生的废包装，暂存于危废贮存点内，由有资质单位拉运处理。</w:t>
                  </w:r>
                </w:p>
              </w:tc>
              <w:tc>
                <w:tcPr>
                  <w:tcW w:w="4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8" w:hRule="atLeast"/>
                <w:jc w:val="center"/>
              </w:trPr>
              <w:tc>
                <w:tcPr>
                  <w:tcW w:w="466"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p>
              </w:tc>
              <w:tc>
                <w:tcPr>
                  <w:tcW w:w="686"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p>
              </w:tc>
              <w:tc>
                <w:tcPr>
                  <w:tcW w:w="341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坝体拆除的砂质粉土用于库底回填平整，拆除的碎石料外运作为建材二次利用，拆除的其他建筑垃圾外运建筑垃圾处置场合规处置。</w:t>
                  </w:r>
                </w:p>
              </w:tc>
              <w:tc>
                <w:tcPr>
                  <w:tcW w:w="4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8" w:hRule="atLeast"/>
                <w:jc w:val="center"/>
              </w:trPr>
              <w:tc>
                <w:tcPr>
                  <w:tcW w:w="466"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p>
              </w:tc>
              <w:tc>
                <w:tcPr>
                  <w:tcW w:w="686"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p>
              </w:tc>
              <w:tc>
                <w:tcPr>
                  <w:tcW w:w="341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生活垃圾在厂内集中收集后，运往邻厂新疆路源矿业有限公司垃圾填埋场填埋处置。</w:t>
                  </w:r>
                </w:p>
              </w:tc>
              <w:tc>
                <w:tcPr>
                  <w:tcW w:w="4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466"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68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噪声</w:t>
                  </w:r>
                </w:p>
              </w:tc>
              <w:tc>
                <w:tcPr>
                  <w:tcW w:w="341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各类产噪工艺设备采用建筑物隔声，基础减振等措施</w:t>
                  </w:r>
                  <w:r>
                    <w:rPr>
                      <w:rFonts w:hint="eastAsia" w:eastAsia="宋体" w:cs="Times New Roman"/>
                      <w:color w:val="auto"/>
                      <w:highlight w:val="none"/>
                      <w:lang w:val="en-US" w:eastAsia="zh-CN"/>
                    </w:rPr>
                    <w:t xml:space="preserve"> </w:t>
                  </w:r>
                </w:p>
              </w:tc>
              <w:tc>
                <w:tcPr>
                  <w:tcW w:w="4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6"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68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生态保护与恢复措施</w:t>
                  </w:r>
                </w:p>
              </w:tc>
              <w:tc>
                <w:tcPr>
                  <w:tcW w:w="341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尾砂回采和其他活动必须在规定的范围内进行，回采活动应尽量减少和控制生态环境的影响范围和程度；合理安排作业时间，禁止大风天气和夜间进行回采；回采结束后对场地开展污染场地调查，进行复垦，撒播草籽，恢复原始地貌。</w:t>
                  </w:r>
                </w:p>
              </w:tc>
              <w:tc>
                <w:tcPr>
                  <w:tcW w:w="4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新建</w:t>
                  </w:r>
                </w:p>
              </w:tc>
            </w:tr>
          </w:tbl>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3 产品方案</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项目对尾矿进行闭路浮选试验，采用细磨一粗三扫一精，浮选试验结果如下表。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表2-2    分离浮选实验结果</w:t>
            </w:r>
          </w:p>
          <w:tbl>
            <w:tblPr>
              <w:tblStyle w:val="29"/>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2302"/>
              <w:gridCol w:w="1745"/>
              <w:gridCol w:w="174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7"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产品</w:t>
                  </w:r>
                </w:p>
              </w:tc>
              <w:tc>
                <w:tcPr>
                  <w:tcW w:w="1454"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产率（%）</w:t>
                  </w:r>
                </w:p>
              </w:tc>
              <w:tc>
                <w:tcPr>
                  <w:tcW w:w="1102"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品位（g/t）</w:t>
                  </w:r>
                </w:p>
              </w:tc>
              <w:tc>
                <w:tcPr>
                  <w:tcW w:w="1104"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回收率（%）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7"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精矿</w:t>
                  </w:r>
                </w:p>
              </w:tc>
              <w:tc>
                <w:tcPr>
                  <w:tcW w:w="1454"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6.94</w:t>
                  </w:r>
                </w:p>
              </w:tc>
              <w:tc>
                <w:tcPr>
                  <w:tcW w:w="1102"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9.90</w:t>
                  </w:r>
                </w:p>
              </w:tc>
              <w:tc>
                <w:tcPr>
                  <w:tcW w:w="1104"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77.05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7"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二次尾矿</w:t>
                  </w:r>
                </w:p>
              </w:tc>
              <w:tc>
                <w:tcPr>
                  <w:tcW w:w="1454"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93.06</w:t>
                  </w:r>
                </w:p>
              </w:tc>
              <w:tc>
                <w:tcPr>
                  <w:tcW w:w="1102"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0.22</w:t>
                  </w:r>
                </w:p>
              </w:tc>
              <w:tc>
                <w:tcPr>
                  <w:tcW w:w="1104"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22.95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7"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原尾矿</w:t>
                  </w:r>
                </w:p>
              </w:tc>
              <w:tc>
                <w:tcPr>
                  <w:tcW w:w="1454"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100</w:t>
                  </w:r>
                </w:p>
              </w:tc>
              <w:tc>
                <w:tcPr>
                  <w:tcW w:w="1102"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0.89</w:t>
                  </w:r>
                </w:p>
              </w:tc>
              <w:tc>
                <w:tcPr>
                  <w:tcW w:w="1104"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100</w:t>
                  </w:r>
                </w:p>
              </w:tc>
            </w:tr>
          </w:tbl>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金精矿产量统计如下表：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 xml:space="preserve">表2-3    </w:t>
            </w:r>
            <w:r>
              <w:rPr>
                <w:rFonts w:hint="default" w:ascii="Times New Roman" w:hAnsi="Times New Roman" w:cs="Times New Roman"/>
                <w:b/>
                <w:bCs w:val="0"/>
                <w:color w:val="auto"/>
                <w:sz w:val="21"/>
                <w:szCs w:val="21"/>
                <w:lang w:val="en-US" w:eastAsia="zh-CN"/>
              </w:rPr>
              <w:t>本项目</w:t>
            </w:r>
            <w:r>
              <w:rPr>
                <w:rFonts w:hint="default" w:ascii="Times New Roman" w:hAnsi="Times New Roman" w:eastAsia="宋体" w:cs="Times New Roman"/>
                <w:b/>
                <w:bCs w:val="0"/>
                <w:color w:val="auto"/>
                <w:sz w:val="21"/>
                <w:szCs w:val="21"/>
                <w:lang w:val="en-US" w:eastAsia="zh-CN"/>
              </w:rPr>
              <w:t>产品产量统计表</w:t>
            </w:r>
          </w:p>
          <w:tbl>
            <w:tblPr>
              <w:tblStyle w:val="29"/>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12"/>
              <w:gridCol w:w="1931"/>
              <w:gridCol w:w="1933"/>
              <w:gridCol w:w="193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4"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产品</w:t>
                  </w:r>
                </w:p>
              </w:tc>
              <w:tc>
                <w:tcPr>
                  <w:tcW w:w="1220"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单位</w:t>
                  </w:r>
                </w:p>
              </w:tc>
              <w:tc>
                <w:tcPr>
                  <w:tcW w:w="1221"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原矿投入</w:t>
                  </w:r>
                </w:p>
              </w:tc>
              <w:tc>
                <w:tcPr>
                  <w:tcW w:w="1223"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精矿产出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4"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金精矿</w:t>
                  </w:r>
                </w:p>
              </w:tc>
              <w:tc>
                <w:tcPr>
                  <w:tcW w:w="1220"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万t/a</w:t>
                  </w:r>
                </w:p>
              </w:tc>
              <w:tc>
                <w:tcPr>
                  <w:tcW w:w="1221"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52.24</w:t>
                  </w:r>
                </w:p>
              </w:tc>
              <w:tc>
                <w:tcPr>
                  <w:tcW w:w="1223"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3.6255</w:t>
                  </w:r>
                </w:p>
              </w:tc>
            </w:tr>
          </w:tbl>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本次改扩建仅对尾矿再选金精矿，不再选金锑矿，项目变化情况见下表。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表2-</w:t>
            </w:r>
            <w:r>
              <w:rPr>
                <w:rFonts w:hint="default" w:ascii="Times New Roman" w:hAnsi="Times New Roman" w:cs="Times New Roman"/>
                <w:b/>
                <w:bCs w:val="0"/>
                <w:color w:val="auto"/>
                <w:sz w:val="21"/>
                <w:szCs w:val="21"/>
                <w:lang w:val="en-US" w:eastAsia="zh-CN"/>
              </w:rPr>
              <w:t>4</w:t>
            </w:r>
            <w:r>
              <w:rPr>
                <w:rFonts w:hint="default" w:ascii="Times New Roman" w:hAnsi="Times New Roman" w:eastAsia="宋体" w:cs="Times New Roman"/>
                <w:b/>
                <w:bCs w:val="0"/>
                <w:color w:val="auto"/>
                <w:sz w:val="21"/>
                <w:szCs w:val="21"/>
                <w:lang w:val="en-US" w:eastAsia="zh-CN"/>
              </w:rPr>
              <w:t xml:space="preserve">    </w:t>
            </w:r>
            <w:r>
              <w:rPr>
                <w:rFonts w:hint="default" w:ascii="Times New Roman" w:hAnsi="Times New Roman" w:cs="Times New Roman"/>
                <w:b/>
                <w:bCs w:val="0"/>
                <w:color w:val="auto"/>
                <w:sz w:val="21"/>
                <w:szCs w:val="21"/>
                <w:lang w:val="en-US" w:eastAsia="zh-CN"/>
              </w:rPr>
              <w:t>扩建后</w:t>
            </w:r>
            <w:r>
              <w:rPr>
                <w:rFonts w:hint="default" w:ascii="Times New Roman" w:hAnsi="Times New Roman" w:eastAsia="宋体" w:cs="Times New Roman"/>
                <w:b/>
                <w:bCs w:val="0"/>
                <w:color w:val="auto"/>
                <w:sz w:val="21"/>
                <w:szCs w:val="21"/>
                <w:lang w:val="en-US" w:eastAsia="zh-CN"/>
              </w:rPr>
              <w:t>产品产量变化情况表</w:t>
            </w:r>
          </w:p>
          <w:tbl>
            <w:tblPr>
              <w:tblStyle w:val="29"/>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81"/>
              <w:gridCol w:w="1076"/>
              <w:gridCol w:w="1627"/>
              <w:gridCol w:w="1884"/>
              <w:gridCol w:w="164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62"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产品</w:t>
                  </w:r>
                </w:p>
              </w:tc>
              <w:tc>
                <w:tcPr>
                  <w:tcW w:w="680"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单位</w:t>
                  </w:r>
                </w:p>
              </w:tc>
              <w:tc>
                <w:tcPr>
                  <w:tcW w:w="1028"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扩建前</w:t>
                  </w:r>
                </w:p>
              </w:tc>
              <w:tc>
                <w:tcPr>
                  <w:tcW w:w="1190"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本项目</w:t>
                  </w:r>
                </w:p>
              </w:tc>
              <w:tc>
                <w:tcPr>
                  <w:tcW w:w="1037"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扩建后全厂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62"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金精矿</w:t>
                  </w:r>
                </w:p>
              </w:tc>
              <w:tc>
                <w:tcPr>
                  <w:tcW w:w="680"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t/a</w:t>
                  </w:r>
                </w:p>
              </w:tc>
              <w:tc>
                <w:tcPr>
                  <w:tcW w:w="1028"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8050.75</w:t>
                  </w:r>
                </w:p>
              </w:tc>
              <w:tc>
                <w:tcPr>
                  <w:tcW w:w="1190"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36255</w:t>
                  </w:r>
                </w:p>
              </w:tc>
              <w:tc>
                <w:tcPr>
                  <w:tcW w:w="1037"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44305</w:t>
                  </w:r>
                  <w:r>
                    <w:rPr>
                      <w:rFonts w:hint="default" w:ascii="Times New Roman" w:hAnsi="Times New Roman" w:eastAsia="宋体" w:cs="Times New Roman"/>
                      <w:color w:val="auto"/>
                      <w:highlight w:val="none"/>
                      <w:lang w:val="en-US" w:eastAsia="zh-CN"/>
                    </w:rPr>
                    <w:t>.75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62"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金锑矿</w:t>
                  </w:r>
                </w:p>
              </w:tc>
              <w:tc>
                <w:tcPr>
                  <w:tcW w:w="680"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t/a</w:t>
                  </w:r>
                </w:p>
              </w:tc>
              <w:tc>
                <w:tcPr>
                  <w:tcW w:w="1028"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2267.40</w:t>
                  </w:r>
                </w:p>
              </w:tc>
              <w:tc>
                <w:tcPr>
                  <w:tcW w:w="1190"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1037"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2267.40</w:t>
                  </w:r>
                </w:p>
              </w:tc>
            </w:tr>
          </w:tbl>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color w:val="auto"/>
                <w:sz w:val="24"/>
                <w:szCs w:val="24"/>
                <w:lang w:val="en-US" w:eastAsia="zh-CN"/>
              </w:rPr>
            </w:pPr>
            <w:r>
              <w:rPr>
                <w:rFonts w:hint="default" w:ascii="Times New Roman" w:hAnsi="Times New Roman" w:eastAsia="宋体" w:cs="Times New Roman"/>
                <w:b/>
                <w:color w:val="auto"/>
                <w:sz w:val="24"/>
                <w:szCs w:val="24"/>
                <w:lang w:val="en-US" w:eastAsia="zh-CN"/>
              </w:rPr>
              <w:t xml:space="preserve">4 </w:t>
            </w:r>
            <w:r>
              <w:rPr>
                <w:rFonts w:hint="default" w:ascii="Times New Roman" w:hAnsi="Times New Roman" w:eastAsia="宋体" w:cs="Times New Roman"/>
                <w:b/>
                <w:color w:val="auto"/>
                <w:sz w:val="24"/>
                <w:szCs w:val="24"/>
              </w:rPr>
              <w:t>主要原</w:t>
            </w:r>
            <w:r>
              <w:rPr>
                <w:rFonts w:hint="default" w:ascii="Times New Roman" w:hAnsi="Times New Roman" w:eastAsia="宋体" w:cs="Times New Roman"/>
                <w:b/>
                <w:color w:val="auto"/>
                <w:sz w:val="24"/>
                <w:szCs w:val="24"/>
                <w:lang w:val="en-US" w:eastAsia="zh-CN"/>
              </w:rPr>
              <w:t>辅</w:t>
            </w:r>
            <w:r>
              <w:rPr>
                <w:rFonts w:hint="default" w:ascii="Times New Roman" w:hAnsi="Times New Roman" w:eastAsia="宋体" w:cs="Times New Roman"/>
                <w:b/>
                <w:color w:val="auto"/>
                <w:sz w:val="24"/>
                <w:szCs w:val="24"/>
              </w:rPr>
              <w:t>材料</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（1）原料</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32"/>
                <w:lang w:eastAsia="zh-CN"/>
              </w:rPr>
            </w:pPr>
            <w:r>
              <w:rPr>
                <w:rFonts w:hint="default" w:ascii="Times New Roman" w:hAnsi="Times New Roman" w:eastAsia="宋体" w:cs="Times New Roman"/>
                <w:color w:val="auto"/>
                <w:sz w:val="24"/>
                <w:szCs w:val="24"/>
                <w:lang w:val="en-US" w:eastAsia="zh-CN"/>
              </w:rPr>
              <w:t>本项目原料主要为</w:t>
            </w:r>
            <w:r>
              <w:rPr>
                <w:rFonts w:hint="default" w:ascii="Times New Roman" w:hAnsi="Times New Roman" w:cs="Times New Roman"/>
                <w:color w:val="auto"/>
                <w:sz w:val="24"/>
                <w:szCs w:val="24"/>
                <w:lang w:val="en-US" w:eastAsia="zh-CN"/>
              </w:rPr>
              <w:t>邦泰公司</w:t>
            </w:r>
            <w:r>
              <w:rPr>
                <w:rFonts w:hint="default" w:ascii="Times New Roman" w:hAnsi="Times New Roman" w:eastAsia="宋体" w:cs="Times New Roman"/>
                <w:color w:val="auto"/>
                <w:sz w:val="24"/>
                <w:szCs w:val="24"/>
                <w:lang w:val="en-US" w:eastAsia="zh-CN"/>
              </w:rPr>
              <w:t>450t/d选矿厂</w:t>
            </w:r>
            <w:r>
              <w:rPr>
                <w:rFonts w:hint="default" w:ascii="Times New Roman" w:hAnsi="Times New Roman" w:cs="Times New Roman"/>
                <w:color w:val="auto"/>
                <w:sz w:val="24"/>
                <w:szCs w:val="24"/>
                <w:lang w:val="en-US" w:eastAsia="zh-CN"/>
              </w:rPr>
              <w:t>的现有</w:t>
            </w:r>
            <w:r>
              <w:rPr>
                <w:rFonts w:hint="default" w:ascii="Times New Roman" w:hAnsi="Times New Roman" w:eastAsia="宋体" w:cs="Times New Roman"/>
                <w:color w:val="auto"/>
                <w:sz w:val="24"/>
                <w:szCs w:val="24"/>
                <w:lang w:val="en-US" w:eastAsia="zh-CN"/>
              </w:rPr>
              <w:t>尾矿</w:t>
            </w:r>
            <w:r>
              <w:rPr>
                <w:rFonts w:hint="default" w:ascii="Times New Roman" w:hAnsi="Times New Roman" w:cs="Times New Roman"/>
                <w:color w:val="auto"/>
                <w:sz w:val="24"/>
                <w:szCs w:val="24"/>
                <w:lang w:val="en-US" w:eastAsia="zh-CN"/>
              </w:rPr>
              <w:t>，现状</w:t>
            </w:r>
            <w:r>
              <w:rPr>
                <w:rFonts w:hint="default" w:ascii="Times New Roman" w:hAnsi="Times New Roman" w:eastAsia="宋体" w:cs="Times New Roman"/>
                <w:color w:val="auto"/>
                <w:sz w:val="24"/>
                <w:szCs w:val="24"/>
                <w:lang w:val="en-US" w:eastAsia="zh-CN"/>
              </w:rPr>
              <w:t>尾矿库位于项目区西北侧300m处</w:t>
            </w:r>
            <w:r>
              <w:rPr>
                <w:rFonts w:hint="default" w:ascii="Times New Roman" w:hAnsi="Times New Roman" w:cs="Times New Roman"/>
                <w:color w:val="auto"/>
                <w:sz w:val="24"/>
                <w:szCs w:val="32"/>
                <w:lang w:eastAsia="zh-CN"/>
              </w:rPr>
              <w:t>。</w:t>
            </w:r>
            <w:r>
              <w:rPr>
                <w:rFonts w:hint="default" w:ascii="Times New Roman" w:hAnsi="Times New Roman" w:cs="Times New Roman"/>
                <w:color w:val="auto"/>
                <w:sz w:val="24"/>
                <w:szCs w:val="32"/>
                <w:lang w:val="en-US" w:eastAsia="zh-CN"/>
              </w:rPr>
              <w:t>本项目仅对现有尾矿库进行回采，因此原料为现有尾矿库储存尾矿量，即</w:t>
            </w:r>
            <w:r>
              <w:rPr>
                <w:rFonts w:hint="default" w:ascii="Times New Roman" w:hAnsi="Times New Roman" w:cs="Times New Roman"/>
                <w:color w:val="auto"/>
                <w:sz w:val="24"/>
                <w:szCs w:val="32"/>
              </w:rPr>
              <w:t>65.29万m³</w:t>
            </w:r>
            <w:r>
              <w:rPr>
                <w:rFonts w:hint="default" w:ascii="Times New Roman" w:hAnsi="Times New Roman" w:cs="Times New Roman"/>
                <w:color w:val="auto"/>
                <w:sz w:val="24"/>
                <w:szCs w:val="32"/>
                <w:lang w:eastAsia="zh-CN"/>
              </w:rPr>
              <w:t>（</w:t>
            </w:r>
            <w:r>
              <w:rPr>
                <w:rFonts w:hint="default" w:ascii="Times New Roman" w:hAnsi="Times New Roman" w:cs="Times New Roman"/>
                <w:color w:val="auto"/>
                <w:sz w:val="24"/>
                <w:szCs w:val="32"/>
                <w:highlight w:val="none"/>
                <w:lang w:eastAsia="zh-CN"/>
              </w:rPr>
              <w:t>尾矿</w:t>
            </w:r>
            <w:r>
              <w:rPr>
                <w:rFonts w:hint="default" w:ascii="Times New Roman" w:hAnsi="Times New Roman" w:cs="Times New Roman"/>
                <w:color w:val="auto"/>
                <w:sz w:val="24"/>
                <w:szCs w:val="32"/>
                <w:highlight w:val="none"/>
                <w:lang w:val="en-US" w:eastAsia="zh-CN"/>
              </w:rPr>
              <w:t>干容</w:t>
            </w:r>
            <w:r>
              <w:rPr>
                <w:rFonts w:hint="default" w:ascii="Times New Roman" w:hAnsi="Times New Roman" w:cs="Times New Roman"/>
                <w:color w:val="auto"/>
                <w:sz w:val="24"/>
                <w:szCs w:val="32"/>
                <w:highlight w:val="none"/>
                <w:lang w:eastAsia="zh-CN"/>
              </w:rPr>
              <w:t>重</w:t>
            </w:r>
            <w:r>
              <w:rPr>
                <w:rFonts w:hint="default" w:ascii="Times New Roman" w:hAnsi="Times New Roman" w:cs="Times New Roman"/>
                <w:color w:val="auto"/>
                <w:sz w:val="24"/>
                <w:szCs w:val="32"/>
                <w:highlight w:val="none"/>
                <w:lang w:val="en-US" w:eastAsia="zh-CN"/>
              </w:rPr>
              <w:t>1.6</w:t>
            </w:r>
            <w:r>
              <w:rPr>
                <w:rFonts w:hint="default" w:ascii="Times New Roman" w:hAnsi="Times New Roman" w:cs="Times New Roman"/>
                <w:color w:val="auto"/>
                <w:sz w:val="24"/>
                <w:szCs w:val="32"/>
                <w:highlight w:val="none"/>
                <w:lang w:eastAsia="zh-CN"/>
              </w:rPr>
              <w:t>t/</w:t>
            </w:r>
            <w:r>
              <w:rPr>
                <w:rFonts w:hint="default" w:ascii="Times New Roman" w:hAnsi="Times New Roman" w:cs="Times New Roman"/>
                <w:color w:val="auto"/>
                <w:sz w:val="24"/>
                <w:szCs w:val="32"/>
                <w:highlight w:val="none"/>
                <w:lang w:val="en-US" w:eastAsia="zh-CN"/>
              </w:rPr>
              <w:t>m³</w:t>
            </w:r>
            <w:r>
              <w:rPr>
                <w:rFonts w:hint="default" w:ascii="Times New Roman" w:hAnsi="Times New Roman" w:cs="Times New Roman"/>
                <w:color w:val="auto"/>
                <w:sz w:val="24"/>
                <w:szCs w:val="32"/>
                <w:highlight w:val="none"/>
                <w:lang w:eastAsia="zh-CN"/>
              </w:rPr>
              <w:t>，</w:t>
            </w:r>
            <w:r>
              <w:rPr>
                <w:rFonts w:hint="default" w:ascii="Times New Roman" w:hAnsi="Times New Roman" w:cs="Times New Roman"/>
                <w:color w:val="auto"/>
                <w:sz w:val="24"/>
                <w:szCs w:val="32"/>
                <w:highlight w:val="none"/>
                <w:lang w:val="en-US" w:eastAsia="zh-CN"/>
              </w:rPr>
              <w:t>则尾矿量为104.46万t</w:t>
            </w:r>
            <w:r>
              <w:rPr>
                <w:rFonts w:hint="default" w:ascii="Times New Roman" w:hAnsi="Times New Roman" w:cs="Times New Roman"/>
                <w:color w:val="auto"/>
                <w:sz w:val="24"/>
                <w:szCs w:val="32"/>
                <w:highlight w:val="none"/>
                <w:lang w:eastAsia="zh-CN"/>
              </w:rPr>
              <w:t>）</w:t>
            </w:r>
            <w:r>
              <w:rPr>
                <w:rFonts w:hint="default" w:ascii="Times New Roman" w:hAnsi="Times New Roman" w:cs="Times New Roman"/>
                <w:color w:val="auto"/>
                <w:sz w:val="24"/>
                <w:szCs w:val="32"/>
                <w:highlight w:val="none"/>
                <w:lang w:val="en-US" w:eastAsia="zh-CN"/>
              </w:rPr>
              <w:t>，</w:t>
            </w:r>
            <w:r>
              <w:rPr>
                <w:rFonts w:hint="eastAsia" w:cs="Times New Roman"/>
                <w:color w:val="auto"/>
                <w:sz w:val="24"/>
                <w:szCs w:val="32"/>
                <w:highlight w:val="none"/>
                <w:lang w:val="en-US" w:eastAsia="zh-CN"/>
              </w:rPr>
              <w:t>年</w:t>
            </w:r>
            <w:r>
              <w:rPr>
                <w:rFonts w:hint="default" w:ascii="Times New Roman" w:hAnsi="Times New Roman" w:cs="Times New Roman"/>
                <w:color w:val="auto"/>
                <w:sz w:val="24"/>
                <w:szCs w:val="32"/>
                <w:highlight w:val="none"/>
                <w:lang w:val="en-US" w:eastAsia="zh-CN"/>
              </w:rPr>
              <w:t>回采</w:t>
            </w:r>
            <w:r>
              <w:rPr>
                <w:rFonts w:hint="eastAsia" w:cs="Times New Roman"/>
                <w:color w:val="auto"/>
                <w:sz w:val="24"/>
                <w:szCs w:val="32"/>
                <w:highlight w:val="none"/>
                <w:lang w:val="en-US" w:eastAsia="zh-CN"/>
              </w:rPr>
              <w:t>32.65万m³，回采</w:t>
            </w:r>
            <w:r>
              <w:rPr>
                <w:rFonts w:hint="default" w:ascii="Times New Roman" w:hAnsi="Times New Roman" w:cs="Times New Roman"/>
                <w:color w:val="auto"/>
                <w:sz w:val="24"/>
                <w:szCs w:val="32"/>
                <w:highlight w:val="none"/>
                <w:lang w:val="en-US" w:eastAsia="zh-CN"/>
              </w:rPr>
              <w:t>年限为</w:t>
            </w:r>
            <w:r>
              <w:rPr>
                <w:rFonts w:hint="eastAsia" w:cs="Times New Roman"/>
                <w:color w:val="auto"/>
                <w:sz w:val="24"/>
                <w:szCs w:val="32"/>
                <w:highlight w:val="none"/>
                <w:lang w:val="en-US" w:eastAsia="zh-CN"/>
              </w:rPr>
              <w:t>2.0</w:t>
            </w:r>
            <w:r>
              <w:rPr>
                <w:rFonts w:hint="default" w:ascii="Times New Roman" w:hAnsi="Times New Roman" w:cs="Times New Roman"/>
                <w:color w:val="auto"/>
                <w:sz w:val="24"/>
                <w:szCs w:val="32"/>
                <w:highlight w:val="none"/>
                <w:lang w:val="en-US" w:eastAsia="zh-CN"/>
              </w:rPr>
              <w:t>年。</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企业于2026年6月11日委托河南黄金产业技术研究院有限公司对尾矿进行</w:t>
            </w:r>
            <w:r>
              <w:rPr>
                <w:rFonts w:hint="default" w:ascii="Times New Roman" w:hAnsi="Times New Roman" w:eastAsia="宋体" w:cs="Times New Roman"/>
                <w:color w:val="auto"/>
                <w:sz w:val="24"/>
                <w:szCs w:val="24"/>
                <w:lang w:val="en-US" w:eastAsia="zh-CN"/>
              </w:rPr>
              <w:t>多元素分析</w:t>
            </w:r>
            <w:r>
              <w:rPr>
                <w:rFonts w:hint="default" w:ascii="Times New Roman" w:hAnsi="Times New Roman" w:cs="Times New Roman"/>
                <w:color w:val="auto"/>
                <w:sz w:val="24"/>
                <w:szCs w:val="24"/>
                <w:lang w:val="en-US" w:eastAsia="zh-CN"/>
              </w:rPr>
              <w:t>（检测报告见附件），</w:t>
            </w:r>
            <w:r>
              <w:rPr>
                <w:rFonts w:hint="default" w:ascii="Times New Roman" w:hAnsi="Times New Roman" w:eastAsia="宋体" w:cs="Times New Roman"/>
                <w:color w:val="auto"/>
                <w:sz w:val="24"/>
                <w:szCs w:val="24"/>
                <w:lang w:val="en-US" w:eastAsia="zh-CN"/>
              </w:rPr>
              <w:t>结果见下表：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表2-</w:t>
            </w:r>
            <w:r>
              <w:rPr>
                <w:rFonts w:hint="default" w:ascii="Times New Roman" w:hAnsi="Times New Roman" w:cs="Times New Roman"/>
                <w:b/>
                <w:bCs w:val="0"/>
                <w:color w:val="auto"/>
                <w:sz w:val="21"/>
                <w:szCs w:val="21"/>
                <w:lang w:val="en-US" w:eastAsia="zh-CN"/>
              </w:rPr>
              <w:t>5</w:t>
            </w:r>
            <w:r>
              <w:rPr>
                <w:rFonts w:hint="default" w:ascii="Times New Roman" w:hAnsi="Times New Roman" w:eastAsia="宋体" w:cs="Times New Roman"/>
                <w:b/>
                <w:bCs w:val="0"/>
                <w:color w:val="auto"/>
                <w:sz w:val="21"/>
                <w:szCs w:val="21"/>
                <w:lang w:val="en-US" w:eastAsia="zh-CN"/>
              </w:rPr>
              <w:t xml:space="preserve">   本项目原料多元素分析结果</w:t>
            </w:r>
          </w:p>
          <w:tbl>
            <w:tblPr>
              <w:tblStyle w:val="29"/>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007"/>
              <w:gridCol w:w="1062"/>
              <w:gridCol w:w="993"/>
              <w:gridCol w:w="1081"/>
              <w:gridCol w:w="1148"/>
              <w:gridCol w:w="113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38"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成分</w:t>
                  </w:r>
                </w:p>
              </w:tc>
              <w:tc>
                <w:tcPr>
                  <w:tcW w:w="6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Au*</w:t>
                  </w:r>
                </w:p>
              </w:tc>
              <w:tc>
                <w:tcPr>
                  <w:tcW w:w="67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Ag*</w:t>
                  </w:r>
                </w:p>
              </w:tc>
              <w:tc>
                <w:tcPr>
                  <w:tcW w:w="627"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Cu</w:t>
                  </w:r>
                </w:p>
              </w:tc>
              <w:tc>
                <w:tcPr>
                  <w:tcW w:w="683"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Pb</w:t>
                  </w:r>
                </w:p>
              </w:tc>
              <w:tc>
                <w:tcPr>
                  <w:tcW w:w="725"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S</w:t>
                  </w:r>
                </w:p>
              </w:tc>
              <w:tc>
                <w:tcPr>
                  <w:tcW w:w="717"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Sb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38"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品位（%）</w:t>
                  </w:r>
                </w:p>
              </w:tc>
              <w:tc>
                <w:tcPr>
                  <w:tcW w:w="63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0.39</w:t>
                  </w:r>
                </w:p>
              </w:tc>
              <w:tc>
                <w:tcPr>
                  <w:tcW w:w="67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&lt;2.00</w:t>
                  </w:r>
                </w:p>
              </w:tc>
              <w:tc>
                <w:tcPr>
                  <w:tcW w:w="627"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&lt;0.01</w:t>
                  </w:r>
                </w:p>
              </w:tc>
              <w:tc>
                <w:tcPr>
                  <w:tcW w:w="683"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&lt;0.10</w:t>
                  </w:r>
                </w:p>
              </w:tc>
              <w:tc>
                <w:tcPr>
                  <w:tcW w:w="725"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&lt;0.10</w:t>
                  </w:r>
                </w:p>
              </w:tc>
              <w:tc>
                <w:tcPr>
                  <w:tcW w:w="717"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38"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成分</w:t>
                  </w:r>
                </w:p>
              </w:tc>
              <w:tc>
                <w:tcPr>
                  <w:tcW w:w="636"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CaO</w:t>
                  </w:r>
                </w:p>
              </w:tc>
              <w:tc>
                <w:tcPr>
                  <w:tcW w:w="671"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vertAlign w:val="subscript"/>
                      <w:lang w:val="en-US" w:eastAsia="zh-CN"/>
                    </w:rPr>
                  </w:pPr>
                  <w:r>
                    <w:rPr>
                      <w:rFonts w:hint="default" w:ascii="Times New Roman" w:hAnsi="Times New Roman" w:eastAsia="宋体" w:cs="Times New Roman"/>
                      <w:color w:val="auto"/>
                      <w:highlight w:val="none"/>
                      <w:lang w:val="en-US" w:eastAsia="zh-CN"/>
                    </w:rPr>
                    <w:t>Fe</w:t>
                  </w:r>
                  <w:r>
                    <w:rPr>
                      <w:rFonts w:hint="default" w:ascii="Times New Roman" w:hAnsi="Times New Roman" w:eastAsia="宋体" w:cs="Times New Roman"/>
                      <w:color w:val="auto"/>
                      <w:highlight w:val="none"/>
                      <w:vertAlign w:val="subscript"/>
                      <w:lang w:val="en-US" w:eastAsia="zh-CN"/>
                    </w:rPr>
                    <w:t>2</w:t>
                  </w:r>
                  <w:r>
                    <w:rPr>
                      <w:rFonts w:hint="default" w:ascii="Times New Roman" w:hAnsi="Times New Roman" w:eastAsia="宋体" w:cs="Times New Roman"/>
                      <w:color w:val="auto"/>
                      <w:highlight w:val="none"/>
                      <w:lang w:val="en-US" w:eastAsia="zh-CN"/>
                    </w:rPr>
                    <w:t>O</w:t>
                  </w:r>
                  <w:r>
                    <w:rPr>
                      <w:rFonts w:hint="default" w:ascii="Times New Roman" w:hAnsi="Times New Roman" w:eastAsia="宋体" w:cs="Times New Roman"/>
                      <w:color w:val="auto"/>
                      <w:highlight w:val="none"/>
                      <w:vertAlign w:val="subscript"/>
                      <w:lang w:val="en-US" w:eastAsia="zh-CN"/>
                    </w:rPr>
                    <w:t>3</w:t>
                  </w:r>
                </w:p>
              </w:tc>
              <w:tc>
                <w:tcPr>
                  <w:tcW w:w="627"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As</w:t>
                  </w:r>
                </w:p>
              </w:tc>
              <w:tc>
                <w:tcPr>
                  <w:tcW w:w="683"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SiO</w:t>
                  </w:r>
                  <w:r>
                    <w:rPr>
                      <w:rFonts w:hint="default" w:ascii="Times New Roman" w:hAnsi="Times New Roman" w:eastAsia="宋体" w:cs="Times New Roman"/>
                      <w:color w:val="auto"/>
                      <w:highlight w:val="none"/>
                      <w:vertAlign w:val="subscript"/>
                      <w:lang w:val="en-US" w:eastAsia="zh-CN"/>
                    </w:rPr>
                    <w:t>2</w:t>
                  </w:r>
                </w:p>
              </w:tc>
              <w:tc>
                <w:tcPr>
                  <w:tcW w:w="725"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MgO</w:t>
                  </w:r>
                </w:p>
              </w:tc>
              <w:tc>
                <w:tcPr>
                  <w:tcW w:w="717"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38"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品位（%）</w:t>
                  </w:r>
                </w:p>
              </w:tc>
              <w:tc>
                <w:tcPr>
                  <w:tcW w:w="636"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z w:val="21"/>
                      <w:szCs w:val="21"/>
                      <w:highlight w:val="none"/>
                      <w:lang w:val="en-US" w:eastAsia="zh-CN" w:bidi="ar-SA"/>
                    </w:rPr>
                    <w:t>17.45</w:t>
                  </w:r>
                </w:p>
              </w:tc>
              <w:tc>
                <w:tcPr>
                  <w:tcW w:w="671"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4.04</w:t>
                  </w:r>
                </w:p>
              </w:tc>
              <w:tc>
                <w:tcPr>
                  <w:tcW w:w="627"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&lt;0.15</w:t>
                  </w:r>
                </w:p>
              </w:tc>
              <w:tc>
                <w:tcPr>
                  <w:tcW w:w="683"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55.67</w:t>
                  </w:r>
                </w:p>
              </w:tc>
              <w:tc>
                <w:tcPr>
                  <w:tcW w:w="725"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10.56</w:t>
                  </w:r>
                </w:p>
              </w:tc>
              <w:tc>
                <w:tcPr>
                  <w:tcW w:w="717"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p>
              </w:tc>
            </w:tr>
          </w:tbl>
          <w:p>
            <w:pPr>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注：标*元素的单位为g/t。</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（2）辅料</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项目辅助材料主要为选矿过程中使用的分散剂、调整剂、活化剂、捕收剂、起泡剂等药剂</w:t>
            </w:r>
            <w:r>
              <w:rPr>
                <w:rFonts w:hint="default" w:ascii="Times New Roman" w:hAnsi="Times New Roman" w:cs="Times New Roman"/>
                <w:color w:val="auto"/>
                <w:sz w:val="24"/>
                <w:szCs w:val="24"/>
                <w:lang w:val="en-US" w:eastAsia="zh-CN"/>
              </w:rPr>
              <w:t>，药剂储存依托厂区现有药剂库。</w:t>
            </w:r>
            <w:r>
              <w:rPr>
                <w:rFonts w:hint="default" w:ascii="Times New Roman" w:hAnsi="Times New Roman" w:eastAsia="宋体" w:cs="Times New Roman"/>
                <w:color w:val="auto"/>
                <w:sz w:val="24"/>
                <w:szCs w:val="24"/>
                <w:lang w:val="en-US" w:eastAsia="zh-CN"/>
              </w:rPr>
              <w:t>本项目</w:t>
            </w:r>
            <w:r>
              <w:rPr>
                <w:rFonts w:hint="default" w:ascii="Times New Roman" w:hAnsi="Times New Roman" w:cs="Times New Roman"/>
                <w:color w:val="auto"/>
                <w:sz w:val="24"/>
                <w:szCs w:val="24"/>
                <w:lang w:val="en-US" w:eastAsia="zh-CN"/>
              </w:rPr>
              <w:t>扩建后，原</w:t>
            </w:r>
            <w:r>
              <w:rPr>
                <w:rFonts w:hint="default" w:ascii="Times New Roman" w:hAnsi="Times New Roman" w:eastAsia="宋体" w:cs="Times New Roman"/>
                <w:color w:val="auto"/>
                <w:sz w:val="24"/>
                <w:szCs w:val="24"/>
                <w:lang w:val="en-US" w:eastAsia="zh-CN"/>
              </w:rPr>
              <w:t>辅材料及能源消耗</w:t>
            </w:r>
            <w:r>
              <w:rPr>
                <w:rFonts w:hint="default" w:ascii="Times New Roman" w:hAnsi="Times New Roman" w:cs="Times New Roman"/>
                <w:color w:val="auto"/>
                <w:sz w:val="24"/>
                <w:szCs w:val="24"/>
                <w:lang w:val="en-US" w:eastAsia="zh-CN"/>
              </w:rPr>
              <w:t>变化情况</w:t>
            </w:r>
            <w:r>
              <w:rPr>
                <w:rFonts w:hint="default" w:ascii="Times New Roman" w:hAnsi="Times New Roman" w:eastAsia="宋体" w:cs="Times New Roman"/>
                <w:color w:val="auto"/>
                <w:sz w:val="24"/>
                <w:szCs w:val="24"/>
                <w:lang w:val="en-US" w:eastAsia="zh-CN"/>
              </w:rPr>
              <w:t>见下表</w:t>
            </w:r>
            <w:r>
              <w:rPr>
                <w:rFonts w:hint="default" w:ascii="Times New Roman" w:hAnsi="Times New Roman" w:cs="Times New Roman"/>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表2-</w:t>
            </w:r>
            <w:r>
              <w:rPr>
                <w:rFonts w:hint="default" w:ascii="Times New Roman" w:hAnsi="Times New Roman" w:cs="Times New Roman"/>
                <w:b/>
                <w:bCs w:val="0"/>
                <w:color w:val="auto"/>
                <w:sz w:val="21"/>
                <w:szCs w:val="21"/>
                <w:lang w:val="en-US" w:eastAsia="zh-CN"/>
              </w:rPr>
              <w:t>6</w:t>
            </w:r>
            <w:r>
              <w:rPr>
                <w:rFonts w:hint="default" w:ascii="Times New Roman" w:hAnsi="Times New Roman" w:eastAsia="宋体" w:cs="Times New Roman"/>
                <w:b/>
                <w:bCs w:val="0"/>
                <w:color w:val="auto"/>
                <w:sz w:val="21"/>
                <w:szCs w:val="21"/>
                <w:lang w:val="en-US" w:eastAsia="zh-CN"/>
              </w:rPr>
              <w:t xml:space="preserve">   原辅材料及能源消耗</w:t>
            </w:r>
            <w:r>
              <w:rPr>
                <w:rFonts w:hint="default" w:ascii="Times New Roman" w:hAnsi="Times New Roman" w:cs="Times New Roman"/>
                <w:b/>
                <w:bCs w:val="0"/>
                <w:color w:val="auto"/>
                <w:sz w:val="21"/>
                <w:szCs w:val="21"/>
                <w:lang w:val="en-US" w:eastAsia="zh-CN"/>
              </w:rPr>
              <w:t>情况变化</w:t>
            </w:r>
            <w:r>
              <w:rPr>
                <w:rFonts w:hint="default" w:ascii="Times New Roman" w:hAnsi="Times New Roman" w:eastAsia="宋体" w:cs="Times New Roman"/>
                <w:b/>
                <w:bCs w:val="0"/>
                <w:color w:val="auto"/>
                <w:sz w:val="21"/>
                <w:szCs w:val="21"/>
                <w:lang w:val="en-US" w:eastAsia="zh-CN"/>
              </w:rPr>
              <w:t>一览表</w:t>
            </w:r>
          </w:p>
          <w:tbl>
            <w:tblPr>
              <w:tblStyle w:val="29"/>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31"/>
              <w:gridCol w:w="1241"/>
              <w:gridCol w:w="877"/>
              <w:gridCol w:w="909"/>
              <w:gridCol w:w="918"/>
              <w:gridCol w:w="1086"/>
              <w:gridCol w:w="245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2" w:type="pct"/>
                  <w:vMerge w:val="restar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序号</w:t>
                  </w:r>
                </w:p>
              </w:tc>
              <w:tc>
                <w:tcPr>
                  <w:tcW w:w="784" w:type="pct"/>
                  <w:vMerge w:val="restar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项目</w:t>
                  </w:r>
                </w:p>
              </w:tc>
              <w:tc>
                <w:tcPr>
                  <w:tcW w:w="554" w:type="pct"/>
                  <w:vMerge w:val="restar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rPr>
                    <w:t>单位</w:t>
                  </w:r>
                </w:p>
              </w:tc>
              <w:tc>
                <w:tcPr>
                  <w:tcW w:w="1840" w:type="pct"/>
                  <w:gridSpan w:val="3"/>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年耗</w:t>
                  </w:r>
                </w:p>
              </w:tc>
              <w:tc>
                <w:tcPr>
                  <w:tcW w:w="1547" w:type="pct"/>
                  <w:vMerge w:val="restar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2" w:type="pct"/>
                  <w:vMerge w:val="continue"/>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784" w:type="pct"/>
                  <w:vMerge w:val="continue"/>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554" w:type="pct"/>
                  <w:vMerge w:val="continue"/>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p>
              </w:tc>
              <w:tc>
                <w:tcPr>
                  <w:tcW w:w="57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原项目</w:t>
                  </w:r>
                </w:p>
              </w:tc>
              <w:tc>
                <w:tcPr>
                  <w:tcW w:w="580"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本项目</w:t>
                  </w:r>
                </w:p>
              </w:tc>
              <w:tc>
                <w:tcPr>
                  <w:tcW w:w="686"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全厂用量</w:t>
                  </w:r>
                </w:p>
              </w:tc>
              <w:tc>
                <w:tcPr>
                  <w:tcW w:w="1547" w:type="pct"/>
                  <w:vMerge w:val="continue"/>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2"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1</w:t>
                  </w:r>
                </w:p>
              </w:tc>
              <w:tc>
                <w:tcPr>
                  <w:tcW w:w="78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碳酸钠</w:t>
                  </w:r>
                </w:p>
              </w:tc>
              <w:tc>
                <w:tcPr>
                  <w:tcW w:w="554"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t/a</w:t>
                  </w:r>
                </w:p>
              </w:tc>
              <w:tc>
                <w:tcPr>
                  <w:tcW w:w="57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202.5</w:t>
                  </w:r>
                </w:p>
              </w:tc>
              <w:tc>
                <w:tcPr>
                  <w:tcW w:w="580"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375</w:t>
                  </w:r>
                </w:p>
              </w:tc>
              <w:tc>
                <w:tcPr>
                  <w:tcW w:w="686"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577.5</w:t>
                  </w:r>
                </w:p>
              </w:tc>
              <w:tc>
                <w:tcPr>
                  <w:tcW w:w="1547"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依托选矿厂现有药剂库，最大储量22.5t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2"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w:t>
                  </w:r>
                </w:p>
              </w:tc>
              <w:tc>
                <w:tcPr>
                  <w:tcW w:w="78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水玻璃（</w:t>
                  </w:r>
                  <w:r>
                    <w:rPr>
                      <w:rFonts w:hint="default" w:ascii="Times New Roman" w:hAnsi="Times New Roman" w:eastAsia="宋体" w:cs="Times New Roman"/>
                      <w:color w:val="auto"/>
                      <w:highlight w:val="none"/>
                    </w:rPr>
                    <w:t>硅酸钠</w:t>
                  </w:r>
                  <w:r>
                    <w:rPr>
                      <w:rFonts w:hint="default" w:ascii="Times New Roman" w:hAnsi="Times New Roman" w:eastAsia="宋体" w:cs="Times New Roman"/>
                      <w:color w:val="auto"/>
                      <w:highlight w:val="none"/>
                      <w:lang w:eastAsia="zh-CN"/>
                    </w:rPr>
                    <w:t>）</w:t>
                  </w:r>
                </w:p>
              </w:tc>
              <w:tc>
                <w:tcPr>
                  <w:tcW w:w="554"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t/a</w:t>
                  </w:r>
                </w:p>
              </w:tc>
              <w:tc>
                <w:tcPr>
                  <w:tcW w:w="57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580"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75</w:t>
                  </w:r>
                </w:p>
              </w:tc>
              <w:tc>
                <w:tcPr>
                  <w:tcW w:w="686"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75</w:t>
                  </w:r>
                </w:p>
              </w:tc>
              <w:tc>
                <w:tcPr>
                  <w:tcW w:w="1547"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依托选矿厂现有药剂库，最大储量4.5t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2"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w:t>
                  </w:r>
                </w:p>
              </w:tc>
              <w:tc>
                <w:tcPr>
                  <w:tcW w:w="78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六偏磷酸钠</w:t>
                  </w:r>
                </w:p>
              </w:tc>
              <w:tc>
                <w:tcPr>
                  <w:tcW w:w="554"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t/a</w:t>
                  </w:r>
                </w:p>
              </w:tc>
              <w:tc>
                <w:tcPr>
                  <w:tcW w:w="57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6.75</w:t>
                  </w:r>
                </w:p>
              </w:tc>
              <w:tc>
                <w:tcPr>
                  <w:tcW w:w="580"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1875</w:t>
                  </w:r>
                </w:p>
              </w:tc>
              <w:tc>
                <w:tcPr>
                  <w:tcW w:w="686"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1881.75</w:t>
                  </w:r>
                </w:p>
              </w:tc>
              <w:tc>
                <w:tcPr>
                  <w:tcW w:w="1547"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依托选矿厂现有药剂库，最大储量22.5t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2"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4</w:t>
                  </w:r>
                </w:p>
              </w:tc>
              <w:tc>
                <w:tcPr>
                  <w:tcW w:w="784"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硫酸铜</w:t>
                  </w:r>
                </w:p>
              </w:tc>
              <w:tc>
                <w:tcPr>
                  <w:tcW w:w="554"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t/a</w:t>
                  </w:r>
                </w:p>
              </w:tc>
              <w:tc>
                <w:tcPr>
                  <w:tcW w:w="574"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0</w:t>
                  </w:r>
                </w:p>
              </w:tc>
              <w:tc>
                <w:tcPr>
                  <w:tcW w:w="580"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112.5</w:t>
                  </w:r>
                </w:p>
              </w:tc>
              <w:tc>
                <w:tcPr>
                  <w:tcW w:w="68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112.5</w:t>
                  </w:r>
                </w:p>
              </w:tc>
              <w:tc>
                <w:tcPr>
                  <w:tcW w:w="1547"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依托选矿厂现有药剂库，最大储量7.0t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2"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w:t>
                  </w:r>
                </w:p>
              </w:tc>
              <w:tc>
                <w:tcPr>
                  <w:tcW w:w="78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硫酸铵</w:t>
                  </w:r>
                </w:p>
              </w:tc>
              <w:tc>
                <w:tcPr>
                  <w:tcW w:w="554"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t/a</w:t>
                  </w:r>
                </w:p>
              </w:tc>
              <w:tc>
                <w:tcPr>
                  <w:tcW w:w="57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67.5</w:t>
                  </w:r>
                </w:p>
              </w:tc>
              <w:tc>
                <w:tcPr>
                  <w:tcW w:w="580"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225</w:t>
                  </w:r>
                </w:p>
              </w:tc>
              <w:tc>
                <w:tcPr>
                  <w:tcW w:w="686"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292.5</w:t>
                  </w:r>
                </w:p>
              </w:tc>
              <w:tc>
                <w:tcPr>
                  <w:tcW w:w="1547"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依托选矿厂现有药剂库，最大储量2.7t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2"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w:t>
                  </w:r>
                </w:p>
              </w:tc>
              <w:tc>
                <w:tcPr>
                  <w:tcW w:w="78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MIBC</w:t>
                  </w:r>
                </w:p>
              </w:tc>
              <w:tc>
                <w:tcPr>
                  <w:tcW w:w="554"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t/a</w:t>
                  </w:r>
                </w:p>
              </w:tc>
              <w:tc>
                <w:tcPr>
                  <w:tcW w:w="57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580"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75</w:t>
                  </w:r>
                </w:p>
              </w:tc>
              <w:tc>
                <w:tcPr>
                  <w:tcW w:w="686"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75</w:t>
                  </w:r>
                </w:p>
              </w:tc>
              <w:tc>
                <w:tcPr>
                  <w:tcW w:w="1547"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依托选矿厂现有药剂库，最大储量4.5t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2"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7</w:t>
                  </w:r>
                </w:p>
              </w:tc>
              <w:tc>
                <w:tcPr>
                  <w:tcW w:w="78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BK301</w:t>
                  </w:r>
                </w:p>
              </w:tc>
              <w:tc>
                <w:tcPr>
                  <w:tcW w:w="554"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t/a</w:t>
                  </w:r>
                </w:p>
              </w:tc>
              <w:tc>
                <w:tcPr>
                  <w:tcW w:w="57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580"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300</w:t>
                  </w:r>
                </w:p>
              </w:tc>
              <w:tc>
                <w:tcPr>
                  <w:tcW w:w="686"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300</w:t>
                  </w:r>
                </w:p>
              </w:tc>
              <w:tc>
                <w:tcPr>
                  <w:tcW w:w="1547"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依托选矿厂现有药剂库，最大储量18t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2"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8</w:t>
                  </w:r>
                </w:p>
              </w:tc>
              <w:tc>
                <w:tcPr>
                  <w:tcW w:w="78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辛基黄药</w:t>
                  </w:r>
                </w:p>
              </w:tc>
              <w:tc>
                <w:tcPr>
                  <w:tcW w:w="554"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t/a</w:t>
                  </w:r>
                </w:p>
              </w:tc>
              <w:tc>
                <w:tcPr>
                  <w:tcW w:w="57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580"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750</w:t>
                  </w:r>
                </w:p>
              </w:tc>
              <w:tc>
                <w:tcPr>
                  <w:tcW w:w="686"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750</w:t>
                  </w:r>
                </w:p>
              </w:tc>
              <w:tc>
                <w:tcPr>
                  <w:tcW w:w="1547"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依托选矿厂现有药剂库，最大储量11.5t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2"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9</w:t>
                  </w:r>
                </w:p>
              </w:tc>
              <w:tc>
                <w:tcPr>
                  <w:tcW w:w="78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丁基黑药</w:t>
                  </w:r>
                </w:p>
              </w:tc>
              <w:tc>
                <w:tcPr>
                  <w:tcW w:w="554"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t/a</w:t>
                  </w:r>
                </w:p>
              </w:tc>
              <w:tc>
                <w:tcPr>
                  <w:tcW w:w="57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580"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450</w:t>
                  </w:r>
                </w:p>
              </w:tc>
              <w:tc>
                <w:tcPr>
                  <w:tcW w:w="686"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450</w:t>
                  </w:r>
                </w:p>
              </w:tc>
              <w:tc>
                <w:tcPr>
                  <w:tcW w:w="1547"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依托选矿厂现有药剂库，最大储量2.7t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2"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10</w:t>
                  </w:r>
                </w:p>
              </w:tc>
              <w:tc>
                <w:tcPr>
                  <w:tcW w:w="78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硝酸铅</w:t>
                  </w:r>
                </w:p>
              </w:tc>
              <w:tc>
                <w:tcPr>
                  <w:tcW w:w="554" w:type="pct"/>
                  <w:tcBorders>
                    <w:tl2br w:val="nil"/>
                    <w:tr2bl w:val="nil"/>
                  </w:tcBorders>
                  <w:shd w:val="clear" w:color="auto" w:fill="auto"/>
                  <w:vAlign w:val="center"/>
                </w:tcPr>
                <w:p>
                  <w:pPr>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t/a</w:t>
                  </w:r>
                </w:p>
              </w:tc>
              <w:tc>
                <w:tcPr>
                  <w:tcW w:w="57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94.5</w:t>
                  </w:r>
                </w:p>
              </w:tc>
              <w:tc>
                <w:tcPr>
                  <w:tcW w:w="580"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686"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94.5</w:t>
                  </w:r>
                </w:p>
              </w:tc>
              <w:tc>
                <w:tcPr>
                  <w:tcW w:w="1547"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依托选矿厂现有药剂库，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2"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11</w:t>
                  </w:r>
                </w:p>
              </w:tc>
              <w:tc>
                <w:tcPr>
                  <w:tcW w:w="784" w:type="pct"/>
                  <w:tcBorders>
                    <w:tl2br w:val="nil"/>
                    <w:tr2bl w:val="nil"/>
                  </w:tcBorders>
                  <w:vAlign w:val="center"/>
                </w:tcPr>
                <w:p>
                  <w:pPr>
                    <w:autoSpaceDN w:val="0"/>
                    <w:adjustRightInd w:val="0"/>
                    <w:snapToGrid w:val="0"/>
                    <w:spacing w:line="280" w:lineRule="exact"/>
                    <w:jc w:val="center"/>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zCs w:val="21"/>
                    </w:rPr>
                    <w:t>丁黄药</w:t>
                  </w:r>
                </w:p>
              </w:tc>
              <w:tc>
                <w:tcPr>
                  <w:tcW w:w="554" w:type="pct"/>
                  <w:tcBorders>
                    <w:tl2br w:val="nil"/>
                    <w:tr2bl w:val="nil"/>
                  </w:tcBorders>
                  <w:shd w:val="clear" w:color="auto" w:fill="auto"/>
                  <w:vAlign w:val="center"/>
                </w:tcPr>
                <w:p>
                  <w:pPr>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t/a</w:t>
                  </w:r>
                </w:p>
              </w:tc>
              <w:tc>
                <w:tcPr>
                  <w:tcW w:w="574" w:type="pct"/>
                  <w:tcBorders>
                    <w:tl2br w:val="nil"/>
                    <w:tr2bl w:val="nil"/>
                  </w:tcBorders>
                  <w:vAlign w:val="center"/>
                </w:tcPr>
                <w:p>
                  <w:pPr>
                    <w:adjustRightInd w:val="0"/>
                    <w:snapToGrid w:val="0"/>
                    <w:spacing w:line="280" w:lineRule="exact"/>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zCs w:val="21"/>
                    </w:rPr>
                    <w:t>27</w:t>
                  </w:r>
                </w:p>
              </w:tc>
              <w:tc>
                <w:tcPr>
                  <w:tcW w:w="580"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686" w:type="pct"/>
                  <w:tcBorders>
                    <w:tl2br w:val="nil"/>
                    <w:tr2bl w:val="nil"/>
                  </w:tcBorders>
                  <w:vAlign w:val="center"/>
                </w:tcPr>
                <w:p>
                  <w:pPr>
                    <w:adjustRightInd w:val="0"/>
                    <w:snapToGrid w:val="0"/>
                    <w:spacing w:line="280" w:lineRule="exact"/>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zCs w:val="21"/>
                    </w:rPr>
                    <w:t>27</w:t>
                  </w:r>
                </w:p>
              </w:tc>
              <w:tc>
                <w:tcPr>
                  <w:tcW w:w="1547"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依托选矿厂现有药剂库，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2"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12</w:t>
                  </w:r>
                </w:p>
              </w:tc>
              <w:tc>
                <w:tcPr>
                  <w:tcW w:w="784" w:type="pct"/>
                  <w:tcBorders>
                    <w:tl2br w:val="nil"/>
                    <w:tr2bl w:val="nil"/>
                  </w:tcBorders>
                  <w:vAlign w:val="center"/>
                </w:tcPr>
                <w:p>
                  <w:pPr>
                    <w:autoSpaceDN w:val="0"/>
                    <w:adjustRightInd w:val="0"/>
                    <w:snapToGrid w:val="0"/>
                    <w:spacing w:line="280" w:lineRule="exact"/>
                    <w:jc w:val="center"/>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zCs w:val="21"/>
                    </w:rPr>
                    <w:t>丁铵黑药</w:t>
                  </w:r>
                </w:p>
              </w:tc>
              <w:tc>
                <w:tcPr>
                  <w:tcW w:w="554" w:type="pct"/>
                  <w:tcBorders>
                    <w:tl2br w:val="nil"/>
                    <w:tr2bl w:val="nil"/>
                  </w:tcBorders>
                  <w:shd w:val="clear" w:color="auto" w:fill="auto"/>
                  <w:vAlign w:val="center"/>
                </w:tcPr>
                <w:p>
                  <w:pPr>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t/a</w:t>
                  </w:r>
                </w:p>
              </w:tc>
              <w:tc>
                <w:tcPr>
                  <w:tcW w:w="574" w:type="pct"/>
                  <w:tcBorders>
                    <w:tl2br w:val="nil"/>
                    <w:tr2bl w:val="nil"/>
                  </w:tcBorders>
                  <w:vAlign w:val="center"/>
                </w:tcPr>
                <w:p>
                  <w:pPr>
                    <w:adjustRightInd w:val="0"/>
                    <w:snapToGrid w:val="0"/>
                    <w:spacing w:line="280" w:lineRule="exact"/>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zCs w:val="21"/>
                    </w:rPr>
                    <w:t>10.8</w:t>
                  </w:r>
                </w:p>
              </w:tc>
              <w:tc>
                <w:tcPr>
                  <w:tcW w:w="580"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686" w:type="pct"/>
                  <w:tcBorders>
                    <w:tl2br w:val="nil"/>
                    <w:tr2bl w:val="nil"/>
                  </w:tcBorders>
                  <w:vAlign w:val="center"/>
                </w:tcPr>
                <w:p>
                  <w:pPr>
                    <w:adjustRightInd w:val="0"/>
                    <w:snapToGrid w:val="0"/>
                    <w:spacing w:line="280" w:lineRule="exact"/>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zCs w:val="21"/>
                    </w:rPr>
                    <w:t>10.8</w:t>
                  </w:r>
                </w:p>
              </w:tc>
              <w:tc>
                <w:tcPr>
                  <w:tcW w:w="1547"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依托选矿厂现有药剂库，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2"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13</w:t>
                  </w:r>
                </w:p>
              </w:tc>
              <w:tc>
                <w:tcPr>
                  <w:tcW w:w="784" w:type="pct"/>
                  <w:tcBorders>
                    <w:tl2br w:val="nil"/>
                    <w:tr2bl w:val="nil"/>
                  </w:tcBorders>
                  <w:vAlign w:val="center"/>
                </w:tcPr>
                <w:p>
                  <w:pPr>
                    <w:autoSpaceDN w:val="0"/>
                    <w:adjustRightInd w:val="0"/>
                    <w:snapToGrid w:val="0"/>
                    <w:spacing w:line="280" w:lineRule="exact"/>
                    <w:jc w:val="center"/>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zCs w:val="21"/>
                    </w:rPr>
                    <w:t>2</w:t>
                  </w:r>
                  <w:r>
                    <w:rPr>
                      <w:rFonts w:hint="default" w:ascii="Times New Roman" w:hAnsi="Times New Roman" w:eastAsia="宋体" w:cs="Times New Roman"/>
                      <w:color w:val="auto"/>
                      <w:szCs w:val="21"/>
                      <w:vertAlign w:val="superscript"/>
                    </w:rPr>
                    <w:t>#</w:t>
                  </w:r>
                  <w:r>
                    <w:rPr>
                      <w:rFonts w:hint="default" w:ascii="Times New Roman" w:hAnsi="Times New Roman" w:eastAsia="宋体" w:cs="Times New Roman"/>
                      <w:color w:val="auto"/>
                      <w:szCs w:val="21"/>
                    </w:rPr>
                    <w:t>油</w:t>
                  </w:r>
                </w:p>
              </w:tc>
              <w:tc>
                <w:tcPr>
                  <w:tcW w:w="554" w:type="pct"/>
                  <w:tcBorders>
                    <w:tl2br w:val="nil"/>
                    <w:tr2bl w:val="nil"/>
                  </w:tcBorders>
                  <w:shd w:val="clear" w:color="auto" w:fill="auto"/>
                  <w:vAlign w:val="center"/>
                </w:tcPr>
                <w:p>
                  <w:pPr>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t/a</w:t>
                  </w:r>
                </w:p>
              </w:tc>
              <w:tc>
                <w:tcPr>
                  <w:tcW w:w="574" w:type="pct"/>
                  <w:tcBorders>
                    <w:tl2br w:val="nil"/>
                    <w:tr2bl w:val="nil"/>
                  </w:tcBorders>
                  <w:vAlign w:val="center"/>
                </w:tcPr>
                <w:p>
                  <w:pPr>
                    <w:adjustRightInd w:val="0"/>
                    <w:snapToGrid w:val="0"/>
                    <w:spacing w:line="280" w:lineRule="exact"/>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zCs w:val="21"/>
                    </w:rPr>
                    <w:t>2.7</w:t>
                  </w:r>
                </w:p>
              </w:tc>
              <w:tc>
                <w:tcPr>
                  <w:tcW w:w="580"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686" w:type="pct"/>
                  <w:tcBorders>
                    <w:tl2br w:val="nil"/>
                    <w:tr2bl w:val="nil"/>
                  </w:tcBorders>
                  <w:vAlign w:val="center"/>
                </w:tcPr>
                <w:p>
                  <w:pPr>
                    <w:adjustRightInd w:val="0"/>
                    <w:snapToGrid w:val="0"/>
                    <w:spacing w:line="280" w:lineRule="exact"/>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zCs w:val="21"/>
                    </w:rPr>
                    <w:t>2.7</w:t>
                  </w:r>
                </w:p>
              </w:tc>
              <w:tc>
                <w:tcPr>
                  <w:tcW w:w="1547"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依托选矿厂现有药剂库，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2"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w:t>
                  </w:r>
                  <w:r>
                    <w:rPr>
                      <w:rFonts w:hint="default" w:ascii="Times New Roman" w:hAnsi="Times New Roman" w:eastAsia="宋体" w:cs="Times New Roman"/>
                      <w:color w:val="auto"/>
                      <w:highlight w:val="none"/>
                      <w:lang w:val="en-US" w:eastAsia="zh-CN"/>
                    </w:rPr>
                    <w:t>4</w:t>
                  </w:r>
                </w:p>
              </w:tc>
              <w:tc>
                <w:tcPr>
                  <w:tcW w:w="78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电</w:t>
                  </w:r>
                </w:p>
              </w:tc>
              <w:tc>
                <w:tcPr>
                  <w:tcW w:w="554"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万kW·h</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a</w:t>
                  </w:r>
                </w:p>
              </w:tc>
              <w:tc>
                <w:tcPr>
                  <w:tcW w:w="57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323.46</w:t>
                  </w:r>
                </w:p>
              </w:tc>
              <w:tc>
                <w:tcPr>
                  <w:tcW w:w="580"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150</w:t>
                  </w:r>
                </w:p>
              </w:tc>
              <w:tc>
                <w:tcPr>
                  <w:tcW w:w="686"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463.46</w:t>
                  </w:r>
                </w:p>
              </w:tc>
              <w:tc>
                <w:tcPr>
                  <w:tcW w:w="1547"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来自厂区现有电网设备。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2"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15</w:t>
                  </w:r>
                </w:p>
              </w:tc>
              <w:tc>
                <w:tcPr>
                  <w:tcW w:w="78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水</w:t>
                  </w:r>
                </w:p>
              </w:tc>
              <w:tc>
                <w:tcPr>
                  <w:tcW w:w="554"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万m³/a</w:t>
                  </w:r>
                </w:p>
              </w:tc>
              <w:tc>
                <w:tcPr>
                  <w:tcW w:w="57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5.8</w:t>
                  </w:r>
                </w:p>
              </w:tc>
              <w:tc>
                <w:tcPr>
                  <w:tcW w:w="580"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8.655</w:t>
                  </w:r>
                </w:p>
              </w:tc>
              <w:tc>
                <w:tcPr>
                  <w:tcW w:w="686"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1547"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来自厂区现状供水设施。</w:t>
                  </w:r>
                </w:p>
              </w:tc>
            </w:tr>
          </w:tbl>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（3）原辅材料理化特性</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项目原辅材料理化性质见下表：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表2-</w:t>
            </w:r>
            <w:r>
              <w:rPr>
                <w:rFonts w:hint="default" w:ascii="Times New Roman" w:hAnsi="Times New Roman" w:cs="Times New Roman"/>
                <w:b/>
                <w:bCs w:val="0"/>
                <w:color w:val="auto"/>
                <w:sz w:val="21"/>
                <w:szCs w:val="21"/>
                <w:lang w:val="en-US" w:eastAsia="zh-CN"/>
              </w:rPr>
              <w:t>7</w:t>
            </w:r>
            <w:r>
              <w:rPr>
                <w:rFonts w:hint="default" w:ascii="Times New Roman" w:hAnsi="Times New Roman" w:eastAsia="宋体" w:cs="Times New Roman"/>
                <w:b/>
                <w:bCs w:val="0"/>
                <w:color w:val="auto"/>
                <w:sz w:val="21"/>
                <w:szCs w:val="21"/>
                <w:lang w:val="en-US" w:eastAsia="zh-CN"/>
              </w:rPr>
              <w:t xml:space="preserve">  原辅料理化特性表</w:t>
            </w:r>
          </w:p>
          <w:tbl>
            <w:tblPr>
              <w:tblStyle w:val="71"/>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677"/>
              <w:gridCol w:w="842"/>
              <w:gridCol w:w="639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28" w:type="pct"/>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序号</w:t>
                  </w:r>
                </w:p>
              </w:tc>
              <w:tc>
                <w:tcPr>
                  <w:tcW w:w="532" w:type="pct"/>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名称</w:t>
                  </w:r>
                </w:p>
              </w:tc>
              <w:tc>
                <w:tcPr>
                  <w:tcW w:w="4039" w:type="pct"/>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理化性质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28" w:type="pct"/>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532" w:type="pct"/>
                  <w:tcBorders>
                    <w:tl2br w:val="nil"/>
                    <w:tr2bl w:val="nil"/>
                  </w:tcBorders>
                  <w:tcMar>
                    <w:left w:w="57"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硫酸铜</w:t>
                  </w:r>
                </w:p>
              </w:tc>
              <w:tc>
                <w:tcPr>
                  <w:tcW w:w="4039" w:type="pct"/>
                  <w:tcBorders>
                    <w:tl2br w:val="nil"/>
                    <w:tr2bl w:val="nil"/>
                  </w:tcBorders>
                  <w:tcMar>
                    <w:left w:w="57" w:type="dxa"/>
                    <w:right w:w="57" w:type="dxa"/>
                  </w:tcMar>
                  <w:vAlign w:val="center"/>
                </w:tcPr>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化学式：CuSO₄·5H₂O</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外观与性状：蓝色透明晶体或颗粒、粉末。无水硫酸铜为白色粉末。</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溶解性：易溶于水，水溶液呈弱酸性，显蓝色。</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稳定性：在干燥空气中会缓慢风化，失去部分结晶水变为淡蓝色粉末。加热至110°C失去四个结晶水，高于258°C变成无水白色硫酸铜。</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主要危险性：有毒。误食会引起严重肠胃炎、肝肾功能损害。对水生生物毒性极大。具有氧化性，与活泼金属（如镁、铝粉末）混合可能发生剧烈反应。</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关键特性：有毒、氧化性、遇水显蓝色。常用作杀菌剂、杀虫剂、选矿活化剂及化学试剂。</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28" w:type="pct"/>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w:t>
                  </w:r>
                </w:p>
              </w:tc>
              <w:tc>
                <w:tcPr>
                  <w:tcW w:w="532" w:type="pct"/>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碳酸钠</w:t>
                  </w:r>
                </w:p>
              </w:tc>
              <w:tc>
                <w:tcPr>
                  <w:tcW w:w="4039" w:type="pct"/>
                  <w:tcBorders>
                    <w:tl2br w:val="nil"/>
                    <w:tr2bl w:val="nil"/>
                  </w:tcBorders>
                  <w:tcMar>
                    <w:left w:w="57" w:type="dxa"/>
                    <w:right w:w="57" w:type="dxa"/>
                  </w:tcMar>
                  <w:vAlign w:val="center"/>
                </w:tcPr>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化学式：Na₂CO₃（无水或含结晶水）</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外观与性状：白色粉末或细颗粒，无水物为吸湿性粉末。</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溶解性：易溶于水，溶解时放热。水溶液呈强碱性。</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稳定性：在空气中易吸收水分和二氧化碳，生成碳酸氢钠并结块。</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主要危险性：腐蚀性。其粉尘刺激眼睛和呼吸道，溶液能灼伤皮肤和眼睛。</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关键特性：强碱性和吸湿结块性是其核心特性。</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28" w:type="pct"/>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w:t>
                  </w:r>
                </w:p>
              </w:tc>
              <w:tc>
                <w:tcPr>
                  <w:tcW w:w="532" w:type="pct"/>
                  <w:tcBorders>
                    <w:tl2br w:val="nil"/>
                    <w:tr2bl w:val="nil"/>
                  </w:tcBorders>
                  <w:tcMar>
                    <w:left w:w="57"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水玻璃（</w:t>
                  </w:r>
                  <w:r>
                    <w:rPr>
                      <w:rFonts w:hint="default" w:ascii="Times New Roman" w:hAnsi="Times New Roman" w:eastAsia="宋体" w:cs="Times New Roman"/>
                      <w:color w:val="auto"/>
                      <w:highlight w:val="none"/>
                    </w:rPr>
                    <w:t>硅酸钠</w:t>
                  </w:r>
                  <w:r>
                    <w:rPr>
                      <w:rFonts w:hint="default" w:ascii="Times New Roman" w:hAnsi="Times New Roman" w:eastAsia="宋体" w:cs="Times New Roman"/>
                      <w:color w:val="auto"/>
                      <w:highlight w:val="none"/>
                      <w:lang w:eastAsia="zh-CN"/>
                    </w:rPr>
                    <w:t>）</w:t>
                  </w:r>
                </w:p>
              </w:tc>
              <w:tc>
                <w:tcPr>
                  <w:tcW w:w="4039" w:type="pct"/>
                  <w:tcBorders>
                    <w:tl2br w:val="nil"/>
                    <w:tr2bl w:val="nil"/>
                  </w:tcBorders>
                  <w:tcMar>
                    <w:left w:w="57" w:type="dxa"/>
                    <w:right w:w="57" w:type="dxa"/>
                  </w:tcMar>
                  <w:vAlign w:val="center"/>
                </w:tcPr>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化学式：</w:t>
                  </w:r>
                  <w:r>
                    <w:rPr>
                      <w:rFonts w:hint="default" w:ascii="Times New Roman" w:hAnsi="Times New Roman" w:eastAsia="宋体" w:cs="Times New Roman"/>
                      <w:color w:val="auto"/>
                      <w:highlight w:val="none"/>
                    </w:rPr>
                    <w:t>Na₂O・nSiO₂</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外观：纯净品无色透明</w:t>
                  </w:r>
                  <w:r>
                    <w:rPr>
                      <w:rFonts w:hint="default" w:ascii="Times New Roman" w:hAnsi="Times New Roman" w:eastAsia="宋体" w:cs="Times New Roman"/>
                      <w:color w:val="auto"/>
                      <w:highlight w:val="none"/>
                      <w:lang w:eastAsia="zh-CN"/>
                    </w:rPr>
                    <w:t>黏稠</w:t>
                  </w:r>
                  <w:r>
                    <w:rPr>
                      <w:rFonts w:hint="default" w:ascii="Times New Roman" w:hAnsi="Times New Roman" w:eastAsia="宋体" w:cs="Times New Roman"/>
                      <w:color w:val="auto"/>
                      <w:highlight w:val="none"/>
                    </w:rPr>
                    <w:t>胶状液体，工业品淡黄/青灰色，类似胶水质感</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密度：1.3~1.5g/cm³，易溶于水，不溶于有机溶剂</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水溶液呈强碱性（pH=11~13）</w:t>
                  </w:r>
                </w:p>
                <w:p>
                  <w:pPr>
                    <w:pStyle w:val="87"/>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eastAsia="zh-CN"/>
                    </w:rPr>
                    <w:t>弱酸强碱盐，水中强烈水解生成硅酸胶体，耐酸性差，遇强酸析出白色硅酸沉淀；</w:t>
                  </w:r>
                  <w:r>
                    <w:rPr>
                      <w:rFonts w:hint="default" w:ascii="Times New Roman" w:hAnsi="Times New Roman" w:eastAsia="宋体" w:cs="Times New Roman"/>
                      <w:color w:val="auto"/>
                      <w:highlight w:val="none"/>
                      <w:lang w:val="en-US" w:eastAsia="zh-CN"/>
                    </w:rPr>
                    <w:t>无毒，低温稳定性好。</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28" w:type="pct"/>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w:t>
                  </w:r>
                </w:p>
              </w:tc>
              <w:tc>
                <w:tcPr>
                  <w:tcW w:w="532" w:type="pct"/>
                  <w:tcBorders>
                    <w:tl2br w:val="nil"/>
                    <w:tr2bl w:val="nil"/>
                  </w:tcBorders>
                  <w:shd w:val="clear" w:color="auto" w:fill="auto"/>
                  <w:tcMar>
                    <w:left w:w="57"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六偏磷酸钠</w:t>
                  </w:r>
                </w:p>
              </w:tc>
              <w:tc>
                <w:tcPr>
                  <w:tcW w:w="4039" w:type="pct"/>
                  <w:tcBorders>
                    <w:tl2br w:val="nil"/>
                    <w:tr2bl w:val="nil"/>
                  </w:tcBorders>
                  <w:tcMar>
                    <w:left w:w="57" w:type="dxa"/>
                    <w:right w:w="57" w:type="dxa"/>
                  </w:tcMar>
                  <w:vAlign w:val="center"/>
                </w:tcPr>
                <w:p>
                  <w:pPr>
                    <w:pStyle w:val="87"/>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化学式：(NaPO</w:t>
                  </w:r>
                  <w:r>
                    <w:rPr>
                      <w:rFonts w:hint="default" w:ascii="Times New Roman" w:hAnsi="Times New Roman" w:eastAsia="宋体" w:cs="Times New Roman"/>
                      <w:color w:val="auto"/>
                      <w:highlight w:val="none"/>
                      <w:vertAlign w:val="subscript"/>
                      <w:lang w:val="en-US" w:eastAsia="zh-CN"/>
                    </w:rPr>
                    <w:t>3</w:t>
                  </w:r>
                  <w:r>
                    <w:rPr>
                      <w:rFonts w:hint="default"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vertAlign w:val="subscript"/>
                      <w:lang w:val="en-US" w:eastAsia="zh-CN"/>
                    </w:rPr>
                    <w:t>3</w:t>
                  </w:r>
                </w:p>
                <w:p>
                  <w:pPr>
                    <w:pStyle w:val="87"/>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外观：白色粉末/颗粒，易吸潮结块</w:t>
                  </w:r>
                </w:p>
                <w:p>
                  <w:pPr>
                    <w:pStyle w:val="87"/>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极易溶于水，水溶液呈弱碱性</w:t>
                  </w:r>
                </w:p>
                <w:p>
                  <w:pPr>
                    <w:pStyle w:val="87"/>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不溶于有机溶剂，常温稳定，粘度低分散性极强</w:t>
                  </w:r>
                </w:p>
                <w:p>
                  <w:pPr>
                    <w:pStyle w:val="87"/>
                    <w:bidi w:val="0"/>
                    <w:jc w:val="left"/>
                    <w:rPr>
                      <w:rFonts w:hint="default" w:ascii="Times New Roman" w:hAnsi="Times New Roman" w:eastAsia="宋体" w:cs="Times New Roman"/>
                      <w:b w:val="0"/>
                      <w:bCs w:val="0"/>
                      <w:color w:val="auto"/>
                      <w:highlight w:val="none"/>
                      <w:lang w:val="en-US" w:eastAsia="zh-CN"/>
                    </w:rPr>
                  </w:pPr>
                  <w:r>
                    <w:rPr>
                      <w:rFonts w:hint="default" w:ascii="Times New Roman" w:hAnsi="Times New Roman" w:eastAsia="宋体" w:cs="Times New Roman"/>
                      <w:b w:val="0"/>
                      <w:bCs w:val="0"/>
                      <w:color w:val="auto"/>
                      <w:highlight w:val="none"/>
                      <w:lang w:val="en-US" w:eastAsia="zh-CN"/>
                    </w:rPr>
                    <w:t>链状高分子磷酸盐，水中水解生成磷酸根，极强金属离子螯合能力</w:t>
                  </w:r>
                </w:p>
                <w:p>
                  <w:pPr>
                    <w:pStyle w:val="87"/>
                    <w:bidi w:val="0"/>
                    <w:jc w:val="left"/>
                    <w:rPr>
                      <w:rFonts w:hint="default" w:ascii="Times New Roman" w:hAnsi="Times New Roman" w:eastAsia="宋体" w:cs="Times New Roman"/>
                      <w:b w:val="0"/>
                      <w:bCs w:val="0"/>
                      <w:color w:val="auto"/>
                      <w:highlight w:val="none"/>
                      <w:lang w:val="en-US" w:eastAsia="zh-CN"/>
                    </w:rPr>
                  </w:pPr>
                  <w:r>
                    <w:rPr>
                      <w:rFonts w:hint="default" w:ascii="Times New Roman" w:hAnsi="Times New Roman" w:eastAsia="宋体" w:cs="Times New Roman"/>
                      <w:b w:val="0"/>
                      <w:bCs w:val="0"/>
                      <w:color w:val="auto"/>
                      <w:highlight w:val="none"/>
                      <w:lang w:val="en-US" w:eastAsia="zh-CN"/>
                    </w:rPr>
                    <w:t>热水、酸性环境会逐步水解成正磷酸盐，失效变慢</w:t>
                  </w:r>
                </w:p>
                <w:p>
                  <w:pPr>
                    <w:pStyle w:val="87"/>
                    <w:bidi w:val="0"/>
                    <w:jc w:val="left"/>
                    <w:rPr>
                      <w:rFonts w:hint="default" w:ascii="Times New Roman" w:hAnsi="Times New Roman" w:eastAsia="宋体" w:cs="Times New Roman"/>
                      <w:b w:val="0"/>
                      <w:bCs w:val="0"/>
                      <w:color w:val="auto"/>
                      <w:highlight w:val="none"/>
                      <w:lang w:val="en-US" w:eastAsia="zh-CN"/>
                    </w:rPr>
                  </w:pPr>
                  <w:r>
                    <w:rPr>
                      <w:rFonts w:hint="default" w:ascii="Times New Roman" w:hAnsi="Times New Roman" w:eastAsia="宋体" w:cs="Times New Roman"/>
                      <w:b w:val="0"/>
                      <w:bCs w:val="0"/>
                      <w:color w:val="auto"/>
                      <w:highlight w:val="none"/>
                      <w:lang w:val="en-US" w:eastAsia="zh-CN"/>
                    </w:rPr>
                    <w:t>低毒、无强腐蚀性</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28" w:type="pct"/>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w:t>
                  </w:r>
                </w:p>
              </w:tc>
              <w:tc>
                <w:tcPr>
                  <w:tcW w:w="532" w:type="pct"/>
                  <w:tcBorders>
                    <w:tl2br w:val="nil"/>
                    <w:tr2bl w:val="nil"/>
                  </w:tcBorders>
                  <w:shd w:val="clear" w:color="auto" w:fill="auto"/>
                  <w:tcMar>
                    <w:left w:w="57"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硫酸铵</w:t>
                  </w:r>
                </w:p>
              </w:tc>
              <w:tc>
                <w:tcPr>
                  <w:tcW w:w="4039" w:type="pct"/>
                  <w:tcBorders>
                    <w:tl2br w:val="nil"/>
                    <w:tr2bl w:val="nil"/>
                  </w:tcBorders>
                  <w:tcMar>
                    <w:left w:w="57" w:type="dxa"/>
                    <w:right w:w="57" w:type="dxa"/>
                  </w:tcMar>
                  <w:vAlign w:val="center"/>
                </w:tcPr>
                <w:p>
                  <w:pPr>
                    <w:pStyle w:val="87"/>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化学式：(NH</w:t>
                  </w:r>
                  <w:r>
                    <w:rPr>
                      <w:rFonts w:hint="default" w:ascii="Times New Roman" w:hAnsi="Times New Roman" w:eastAsia="宋体" w:cs="Times New Roman"/>
                      <w:color w:val="auto"/>
                      <w:highlight w:val="none"/>
                      <w:vertAlign w:val="subscript"/>
                      <w:lang w:val="en-US" w:eastAsia="zh-CN"/>
                    </w:rPr>
                    <w:t>4</w:t>
                  </w:r>
                  <w:r>
                    <w:rPr>
                      <w:rFonts w:hint="default"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vertAlign w:val="subscript"/>
                      <w:lang w:val="en-US" w:eastAsia="zh-CN"/>
                    </w:rPr>
                    <w:t>2</w:t>
                  </w:r>
                  <w:r>
                    <w:rPr>
                      <w:rFonts w:hint="default" w:ascii="Times New Roman" w:hAnsi="Times New Roman" w:eastAsia="宋体" w:cs="Times New Roman"/>
                      <w:color w:val="auto"/>
                      <w:highlight w:val="none"/>
                      <w:lang w:val="en-US" w:eastAsia="zh-CN"/>
                    </w:rPr>
                    <w:t>SO</w:t>
                  </w:r>
                  <w:r>
                    <w:rPr>
                      <w:rFonts w:hint="default" w:ascii="Times New Roman" w:hAnsi="Times New Roman" w:eastAsia="宋体" w:cs="Times New Roman"/>
                      <w:color w:val="auto"/>
                      <w:highlight w:val="none"/>
                      <w:vertAlign w:val="subscript"/>
                      <w:lang w:val="en-US" w:eastAsia="zh-CN"/>
                    </w:rPr>
                    <w:t>4</w:t>
                  </w:r>
                </w:p>
                <w:p>
                  <w:pPr>
                    <w:pStyle w:val="87"/>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外观：白色/无色正交结晶颗粒，无异味</w:t>
                  </w:r>
                </w:p>
                <w:p>
                  <w:pPr>
                    <w:pStyle w:val="87"/>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密度：1.77g/cm³，熔点＞280℃</w:t>
                  </w:r>
                </w:p>
                <w:p>
                  <w:pPr>
                    <w:pStyle w:val="87"/>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极易溶于水（25℃溶解度75.4g/100g水），不溶于乙醇、丙酮</w:t>
                  </w:r>
                </w:p>
                <w:p>
                  <w:pPr>
                    <w:pStyle w:val="87"/>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常温微吸潮，不易结块，0.1mol/L水溶液弱酸性（pH≈5.5）</w:t>
                  </w:r>
                </w:p>
                <w:p>
                  <w:pPr>
                    <w:pStyle w:val="87"/>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化学性质稳定，无腐蚀性，低毒。</w:t>
                  </w:r>
                </w:p>
                <w:p>
                  <w:pPr>
                    <w:pStyle w:val="87"/>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280℃以上受热分解，释放氨气、二氧化硫；与强碱反应放出NH</w:t>
                  </w:r>
                  <w:r>
                    <w:rPr>
                      <w:rFonts w:hint="default" w:ascii="Times New Roman" w:hAnsi="Times New Roman" w:eastAsia="宋体" w:cs="Times New Roman"/>
                      <w:color w:val="auto"/>
                      <w:highlight w:val="none"/>
                      <w:vertAlign w:val="subscript"/>
                      <w:lang w:val="en-US" w:eastAsia="zh-CN"/>
                    </w:rPr>
                    <w:t>3</w:t>
                  </w:r>
                  <w:r>
                    <w:rPr>
                      <w:rFonts w:hint="default" w:ascii="Times New Roman" w:hAnsi="Times New Roman" w:eastAsia="宋体" w:cs="Times New Roman"/>
                      <w:color w:val="auto"/>
                      <w:highlight w:val="none"/>
                      <w:vertAlign w:val="baseline"/>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28" w:type="pct"/>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w:t>
                  </w:r>
                </w:p>
              </w:tc>
              <w:tc>
                <w:tcPr>
                  <w:tcW w:w="532" w:type="pct"/>
                  <w:tcBorders>
                    <w:tl2br w:val="nil"/>
                    <w:tr2bl w:val="nil"/>
                  </w:tcBorders>
                  <w:tcMar>
                    <w:left w:w="57"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BK301</w:t>
                  </w:r>
                </w:p>
              </w:tc>
              <w:tc>
                <w:tcPr>
                  <w:tcW w:w="4039" w:type="pct"/>
                  <w:tcBorders>
                    <w:tl2br w:val="nil"/>
                    <w:tr2bl w:val="nil"/>
                  </w:tcBorders>
                  <w:tcMar>
                    <w:left w:w="57" w:type="dxa"/>
                    <w:right w:w="57" w:type="dxa"/>
                  </w:tcMar>
                  <w:vAlign w:val="center"/>
                </w:tcPr>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新型高效硫化矿捕收剂</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外观：黄棕色油状透明液体</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密度（20℃）：1.080~1.120g/mL</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水溶液pH：10~13（强碱性），易溶于水，活性物含量≥60%</w:t>
                  </w:r>
                </w:p>
                <w:p>
                  <w:pPr>
                    <w:pStyle w:val="87"/>
                    <w:bidi w:val="0"/>
                    <w:jc w:val="left"/>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低温不易凝固，流动性好，有弱起泡性能，耐低温</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气味轻微，毒性远低于传统黄药</w:t>
                  </w:r>
                  <w:r>
                    <w:rPr>
                      <w:rFonts w:hint="default" w:ascii="Times New Roman" w:hAnsi="Times New Roman" w:eastAsia="宋体" w:cs="Times New Roman"/>
                      <w:color w:val="auto"/>
                      <w:highlight w:val="none"/>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28" w:type="pct"/>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7</w:t>
                  </w:r>
                </w:p>
              </w:tc>
              <w:tc>
                <w:tcPr>
                  <w:tcW w:w="532" w:type="pct"/>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MIBC</w:t>
                  </w:r>
                </w:p>
              </w:tc>
              <w:tc>
                <w:tcPr>
                  <w:tcW w:w="4039" w:type="pct"/>
                  <w:tcBorders>
                    <w:tl2br w:val="nil"/>
                    <w:tr2bl w:val="nil"/>
                  </w:tcBorders>
                  <w:tcMar>
                    <w:left w:w="57" w:type="dxa"/>
                    <w:right w:w="57" w:type="dxa"/>
                  </w:tcMar>
                  <w:vAlign w:val="center"/>
                </w:tcPr>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化学式：C₆H₁₄O</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外观与性状：无色至淡黄色透明液体，有特殊醇类气味。</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密度：约0.81g/cm³（比水轻）。</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溶解性：微溶于水，易溶于多数有机溶剂（如乙醇、乙醚、苯）。</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挥发性与沸点：沸点约131.5°C，易燃，其蒸气与空气可形成爆炸性混合物。</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主要危险性：易燃液体。蒸气对眼睛和呼吸道有刺激性，高浓度有麻醉作用。</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关键特性：作为浮选起泡剂，选择性好，泡沫脆，能降低水的表面张力。</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28" w:type="pct"/>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8</w:t>
                  </w:r>
                </w:p>
              </w:tc>
              <w:tc>
                <w:tcPr>
                  <w:tcW w:w="532" w:type="pct"/>
                  <w:tcBorders>
                    <w:tl2br w:val="nil"/>
                    <w:tr2bl w:val="nil"/>
                  </w:tcBorders>
                  <w:tcMar>
                    <w:left w:w="57"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辛基黄药</w:t>
                  </w:r>
                </w:p>
              </w:tc>
              <w:tc>
                <w:tcPr>
                  <w:tcW w:w="4039" w:type="pct"/>
                  <w:tcBorders>
                    <w:tl2br w:val="nil"/>
                    <w:tr2bl w:val="nil"/>
                  </w:tcBorders>
                  <w:tcMar>
                    <w:left w:w="57" w:type="dxa"/>
                    <w:right w:w="57" w:type="dxa"/>
                  </w:tcMar>
                  <w:vAlign w:val="center"/>
                </w:tcPr>
                <w:p>
                  <w:pPr>
                    <w:pStyle w:val="87"/>
                    <w:bidi w:val="0"/>
                    <w:jc w:val="left"/>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化学式：C₈H₁₇OCSSNa</w:t>
                  </w:r>
                  <w:r>
                    <w:rPr>
                      <w:rFonts w:hint="default" w:ascii="Times New Roman" w:hAnsi="Times New Roman" w:eastAsia="宋体" w:cs="Times New Roman"/>
                      <w:color w:val="auto"/>
                      <w:highlight w:val="none"/>
                      <w:lang w:eastAsia="zh-CN"/>
                    </w:rPr>
                    <w:t>，化学名：仲辛基黄原酸钠</w:t>
                  </w:r>
                </w:p>
                <w:p>
                  <w:pPr>
                    <w:pStyle w:val="87"/>
                    <w:bidi w:val="0"/>
                    <w:jc w:val="left"/>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外观与性状：淡黄色至橘黄色粉末/颗粒</w:t>
                  </w:r>
                  <w:r>
                    <w:rPr>
                      <w:rFonts w:hint="default" w:ascii="Times New Roman" w:hAnsi="Times New Roman" w:eastAsia="宋体" w:cs="Times New Roman"/>
                      <w:color w:val="auto"/>
                      <w:highlight w:val="none"/>
                      <w:lang w:eastAsia="zh-CN"/>
                    </w:rPr>
                    <w:t>，刺激性（二硫化碳味）。</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溶解性：易溶于水</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溶于乙醇、丙酮；不溶于乙醚、石油醚。</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稳定性：碱性（pH&gt;8）较稳定</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酸性条件快速分解 → 醇 + CS₂</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易氧化为双黄药（金属离子催化）。熔点：约 180～220 ℃（分解）</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密度：≈1.2～1.3 g/cm³</w:t>
                  </w:r>
                </w:p>
                <w:p>
                  <w:pPr>
                    <w:pStyle w:val="87"/>
                    <w:bidi w:val="0"/>
                    <w:jc w:val="left"/>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主要危险性：急性毒性</w:t>
                  </w:r>
                  <w:r>
                    <w:rPr>
                      <w:rFonts w:hint="default" w:ascii="Times New Roman" w:hAnsi="Times New Roman" w:eastAsia="宋体" w:cs="Times New Roman"/>
                      <w:color w:val="auto"/>
                      <w:highlight w:val="none"/>
                      <w:lang w:eastAsia="zh-CN"/>
                    </w:rPr>
                    <w:t>，易燃、可被氧化，干燥黄药粉末可燃，遇明火、高温可燃烧。易氧化，长期堆放可能发热自燃。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28" w:type="pct"/>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9</w:t>
                  </w:r>
                </w:p>
              </w:tc>
              <w:tc>
                <w:tcPr>
                  <w:tcW w:w="532" w:type="pct"/>
                  <w:tcBorders>
                    <w:tl2br w:val="nil"/>
                    <w:tr2bl w:val="nil"/>
                  </w:tcBorders>
                  <w:tcMar>
                    <w:left w:w="57"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丁基黑药</w:t>
                  </w:r>
                </w:p>
              </w:tc>
              <w:tc>
                <w:tcPr>
                  <w:tcW w:w="4039" w:type="pct"/>
                  <w:tcBorders>
                    <w:tl2br w:val="nil"/>
                    <w:tr2bl w:val="nil"/>
                  </w:tcBorders>
                  <w:tcMar>
                    <w:left w:w="57" w:type="dxa"/>
                    <w:right w:w="57" w:type="dxa"/>
                  </w:tcMar>
                  <w:vAlign w:val="center"/>
                </w:tcPr>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化学名：二丁基二硫代磷酸铵</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分子式：(C₄H₉O)₂PSSNH₄</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外观：白色至灰白色粉末</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气味：基本无臭</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吸湿性：易潮解</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溶解性：易溶于水</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熔点：约 105 ℃（分解）</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稳定性：常温稳定</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遇强酸、高温分解 → 放出 NH₃、H₂S、有机物</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pH：水溶液弱碱性</w:t>
                  </w:r>
                </w:p>
                <w:p>
                  <w:pPr>
                    <w:pStyle w:val="87"/>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主要危险性：易潮解，水溶液呈碱性</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潮解后腐蚀性增强，会腐蚀金属、刺激皮肤。遇酸分解产生有毒 / 易燃气体</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遇强酸 → 分解产生 H₂S（硫化氢） + 有机硫化合物</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H₂S 剧毒，臭鸡蛋味，高浓度可瞬间致人昏迷、死亡。</w:t>
                  </w:r>
                </w:p>
              </w:tc>
            </w:tr>
          </w:tbl>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5 主要生产设备</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项目主要生产设施（备）情况如下表：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表2-</w:t>
            </w:r>
            <w:r>
              <w:rPr>
                <w:rFonts w:hint="default" w:ascii="Times New Roman" w:hAnsi="Times New Roman" w:cs="Times New Roman"/>
                <w:b/>
                <w:bCs w:val="0"/>
                <w:color w:val="auto"/>
                <w:sz w:val="21"/>
                <w:szCs w:val="21"/>
                <w:lang w:val="en-US" w:eastAsia="zh-CN"/>
              </w:rPr>
              <w:t>8</w:t>
            </w:r>
            <w:r>
              <w:rPr>
                <w:rFonts w:hint="default" w:ascii="Times New Roman" w:hAnsi="Times New Roman" w:eastAsia="宋体" w:cs="Times New Roman"/>
                <w:b/>
                <w:bCs w:val="0"/>
                <w:color w:val="auto"/>
                <w:sz w:val="21"/>
                <w:szCs w:val="21"/>
                <w:lang w:val="en-US" w:eastAsia="zh-CN"/>
              </w:rPr>
              <w:t xml:space="preserve">    主要生产设施（备）情况表</w:t>
            </w:r>
          </w:p>
          <w:tbl>
            <w:tblPr>
              <w:tblStyle w:val="30"/>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7"/>
              <w:gridCol w:w="2322"/>
              <w:gridCol w:w="1827"/>
              <w:gridCol w:w="856"/>
              <w:gridCol w:w="855"/>
              <w:gridCol w:w="133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3"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序号</w:t>
                  </w:r>
                </w:p>
              </w:tc>
              <w:tc>
                <w:tcPr>
                  <w:tcW w:w="1467"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设备名称</w:t>
                  </w:r>
                </w:p>
              </w:tc>
              <w:tc>
                <w:tcPr>
                  <w:tcW w:w="1154"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型号/规格</w:t>
                  </w:r>
                </w:p>
              </w:tc>
              <w:tc>
                <w:tcPr>
                  <w:tcW w:w="541"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单位</w:t>
                  </w:r>
                </w:p>
              </w:tc>
              <w:tc>
                <w:tcPr>
                  <w:tcW w:w="540"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w:t>
                  </w:r>
                </w:p>
              </w:tc>
              <w:tc>
                <w:tcPr>
                  <w:tcW w:w="841"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3"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一</w:t>
                  </w:r>
                </w:p>
              </w:tc>
              <w:tc>
                <w:tcPr>
                  <w:tcW w:w="1467"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尾矿库回采设备</w:t>
                  </w:r>
                </w:p>
              </w:tc>
              <w:tc>
                <w:tcPr>
                  <w:tcW w:w="1154"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p>
              </w:tc>
              <w:tc>
                <w:tcPr>
                  <w:tcW w:w="541"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p>
              </w:tc>
              <w:tc>
                <w:tcPr>
                  <w:tcW w:w="540"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841"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3"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1467"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小型简易绞吸式采砂船</w:t>
                  </w:r>
                </w:p>
              </w:tc>
              <w:tc>
                <w:tcPr>
                  <w:tcW w:w="1154"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6m×4m×1.2m</w:t>
                  </w:r>
                </w:p>
              </w:tc>
              <w:tc>
                <w:tcPr>
                  <w:tcW w:w="541"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台</w:t>
                  </w:r>
                </w:p>
              </w:tc>
              <w:tc>
                <w:tcPr>
                  <w:tcW w:w="540"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1</w:t>
                  </w:r>
                </w:p>
              </w:tc>
              <w:tc>
                <w:tcPr>
                  <w:tcW w:w="841"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3"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1467"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渣浆泵</w:t>
                  </w:r>
                </w:p>
              </w:tc>
              <w:tc>
                <w:tcPr>
                  <w:tcW w:w="1154"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150ZJ-70</w:t>
                  </w:r>
                </w:p>
              </w:tc>
              <w:tc>
                <w:tcPr>
                  <w:tcW w:w="541"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台</w:t>
                  </w:r>
                </w:p>
              </w:tc>
              <w:tc>
                <w:tcPr>
                  <w:tcW w:w="540"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2</w:t>
                  </w:r>
                </w:p>
              </w:tc>
              <w:tc>
                <w:tcPr>
                  <w:tcW w:w="841"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一用一备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3"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1467"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清水离心泵</w:t>
                  </w:r>
                </w:p>
              </w:tc>
              <w:tc>
                <w:tcPr>
                  <w:tcW w:w="1154"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D200-50*3型</w:t>
                  </w:r>
                </w:p>
              </w:tc>
              <w:tc>
                <w:tcPr>
                  <w:tcW w:w="541"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台</w:t>
                  </w:r>
                </w:p>
              </w:tc>
              <w:tc>
                <w:tcPr>
                  <w:tcW w:w="540"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2</w:t>
                  </w:r>
                </w:p>
              </w:tc>
              <w:tc>
                <w:tcPr>
                  <w:tcW w:w="841"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一用一备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3"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p>
              </w:tc>
              <w:tc>
                <w:tcPr>
                  <w:tcW w:w="1467"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高压水枪</w:t>
                  </w:r>
                </w:p>
              </w:tc>
              <w:tc>
                <w:tcPr>
                  <w:tcW w:w="1154"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NGS12-HP3170A</w:t>
                  </w:r>
                </w:p>
              </w:tc>
              <w:tc>
                <w:tcPr>
                  <w:tcW w:w="541"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台</w:t>
                  </w:r>
                </w:p>
              </w:tc>
              <w:tc>
                <w:tcPr>
                  <w:tcW w:w="540"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3</w:t>
                  </w:r>
                </w:p>
              </w:tc>
              <w:tc>
                <w:tcPr>
                  <w:tcW w:w="841"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两用一备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3"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1467"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挖掘机</w:t>
                  </w:r>
                </w:p>
              </w:tc>
              <w:tc>
                <w:tcPr>
                  <w:tcW w:w="1154"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1m³</w:t>
                  </w:r>
                </w:p>
              </w:tc>
              <w:tc>
                <w:tcPr>
                  <w:tcW w:w="541"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台</w:t>
                  </w:r>
                </w:p>
              </w:tc>
              <w:tc>
                <w:tcPr>
                  <w:tcW w:w="540"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1</w:t>
                  </w:r>
                </w:p>
              </w:tc>
              <w:tc>
                <w:tcPr>
                  <w:tcW w:w="841"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3"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二</w:t>
                  </w:r>
                </w:p>
              </w:tc>
              <w:tc>
                <w:tcPr>
                  <w:tcW w:w="1467"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b/>
                      <w:bCs/>
                      <w:color w:val="auto"/>
                      <w:sz w:val="21"/>
                      <w:szCs w:val="21"/>
                      <w:highlight w:val="none"/>
                      <w:lang w:val="en-US" w:eastAsia="zh-CN" w:bidi="ar-SA"/>
                    </w:rPr>
                  </w:pPr>
                  <w:r>
                    <w:rPr>
                      <w:rFonts w:hint="default" w:ascii="Times New Roman" w:hAnsi="Times New Roman" w:eastAsia="宋体" w:cs="Times New Roman"/>
                      <w:b/>
                      <w:bCs/>
                      <w:color w:val="auto"/>
                      <w:sz w:val="21"/>
                      <w:szCs w:val="21"/>
                      <w:highlight w:val="none"/>
                      <w:lang w:val="en-US" w:eastAsia="zh-CN" w:bidi="ar-SA"/>
                    </w:rPr>
                    <w:t>选矿设备</w:t>
                  </w:r>
                </w:p>
              </w:tc>
              <w:tc>
                <w:tcPr>
                  <w:tcW w:w="1154"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p>
              </w:tc>
              <w:tc>
                <w:tcPr>
                  <w:tcW w:w="541" w:type="pct"/>
                  <w:tcBorders>
                    <w:tl2br w:val="nil"/>
                    <w:tr2bl w:val="nil"/>
                  </w:tcBorders>
                  <w:vAlign w:val="center"/>
                </w:tcPr>
                <w:p>
                  <w:pPr>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p>
              </w:tc>
              <w:tc>
                <w:tcPr>
                  <w:tcW w:w="540" w:type="pct"/>
                  <w:tcBorders>
                    <w:tl2br w:val="nil"/>
                    <w:tr2bl w:val="nil"/>
                  </w:tcBorders>
                  <w:shd w:val="clear" w:color="auto" w:fill="auto"/>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宋体" w:cs="Times New Roman"/>
                      <w:color w:val="auto"/>
                      <w:sz w:val="21"/>
                      <w:szCs w:val="21"/>
                      <w:highlight w:val="none"/>
                    </w:rPr>
                  </w:pPr>
                </w:p>
              </w:tc>
              <w:tc>
                <w:tcPr>
                  <w:tcW w:w="841" w:type="pct"/>
                  <w:tcBorders>
                    <w:tl2br w:val="nil"/>
                    <w:tr2bl w:val="nil"/>
                  </w:tcBorders>
                  <w:shd w:val="clear" w:color="auto" w:fill="auto"/>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宋体" w:cs="Times New Roman"/>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3"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1467"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浓密池</w:t>
                  </w:r>
                </w:p>
              </w:tc>
              <w:tc>
                <w:tcPr>
                  <w:tcW w:w="1154"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30米</w:t>
                  </w:r>
                </w:p>
              </w:tc>
              <w:tc>
                <w:tcPr>
                  <w:tcW w:w="541"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台</w:t>
                  </w:r>
                </w:p>
              </w:tc>
              <w:tc>
                <w:tcPr>
                  <w:tcW w:w="540"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841"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3"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1467"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旋流器</w:t>
                  </w:r>
                </w:p>
              </w:tc>
              <w:tc>
                <w:tcPr>
                  <w:tcW w:w="1154"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rPr>
                    <w:t>D500</w:t>
                  </w:r>
                </w:p>
              </w:tc>
              <w:tc>
                <w:tcPr>
                  <w:tcW w:w="541"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台</w:t>
                  </w:r>
                </w:p>
              </w:tc>
              <w:tc>
                <w:tcPr>
                  <w:tcW w:w="540"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w:t>
                  </w:r>
                </w:p>
              </w:tc>
              <w:tc>
                <w:tcPr>
                  <w:tcW w:w="841"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3"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1467"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球磨机</w:t>
                  </w:r>
                </w:p>
              </w:tc>
              <w:tc>
                <w:tcPr>
                  <w:tcW w:w="1154"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MQG2448</w:t>
                  </w:r>
                </w:p>
              </w:tc>
              <w:tc>
                <w:tcPr>
                  <w:tcW w:w="541"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台</w:t>
                  </w:r>
                </w:p>
              </w:tc>
              <w:tc>
                <w:tcPr>
                  <w:tcW w:w="540"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p>
              </w:tc>
              <w:tc>
                <w:tcPr>
                  <w:tcW w:w="841"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3"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p>
              </w:tc>
              <w:tc>
                <w:tcPr>
                  <w:tcW w:w="1467"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浮选机</w:t>
                  </w:r>
                </w:p>
              </w:tc>
              <w:tc>
                <w:tcPr>
                  <w:tcW w:w="1154"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KFY-16m³</w:t>
                  </w:r>
                </w:p>
              </w:tc>
              <w:tc>
                <w:tcPr>
                  <w:tcW w:w="541"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台</w:t>
                  </w:r>
                </w:p>
              </w:tc>
              <w:tc>
                <w:tcPr>
                  <w:tcW w:w="540"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w:t>
                  </w:r>
                </w:p>
              </w:tc>
              <w:tc>
                <w:tcPr>
                  <w:tcW w:w="841"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3"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1467"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浮选机</w:t>
                  </w:r>
                </w:p>
              </w:tc>
              <w:tc>
                <w:tcPr>
                  <w:tcW w:w="1154"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KFY-4m³</w:t>
                  </w:r>
                </w:p>
              </w:tc>
              <w:tc>
                <w:tcPr>
                  <w:tcW w:w="541"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台</w:t>
                  </w:r>
                </w:p>
              </w:tc>
              <w:tc>
                <w:tcPr>
                  <w:tcW w:w="540"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7</w:t>
                  </w:r>
                </w:p>
              </w:tc>
              <w:tc>
                <w:tcPr>
                  <w:tcW w:w="841"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3"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p>
              </w:tc>
              <w:tc>
                <w:tcPr>
                  <w:tcW w:w="1467"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板式压滤机</w:t>
                  </w:r>
                </w:p>
              </w:tc>
              <w:tc>
                <w:tcPr>
                  <w:tcW w:w="1154"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200㎡</w:t>
                  </w:r>
                </w:p>
              </w:tc>
              <w:tc>
                <w:tcPr>
                  <w:tcW w:w="541"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台</w:t>
                  </w:r>
                </w:p>
              </w:tc>
              <w:tc>
                <w:tcPr>
                  <w:tcW w:w="540"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w:t>
                  </w:r>
                </w:p>
              </w:tc>
              <w:tc>
                <w:tcPr>
                  <w:tcW w:w="841" w:type="pct"/>
                  <w:tcBorders>
                    <w:tl2br w:val="nil"/>
                    <w:tr2bl w:val="nil"/>
                  </w:tcBorders>
                  <w:shd w:val="clear" w:color="auto" w:fill="auto"/>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val="0"/>
                <w:color w:val="auto"/>
                <w:sz w:val="24"/>
                <w:szCs w:val="24"/>
              </w:rPr>
            </w:pPr>
            <w:r>
              <w:rPr>
                <w:rFonts w:hint="default" w:ascii="Times New Roman" w:hAnsi="Times New Roman" w:cs="Times New Roman"/>
                <w:b/>
                <w:bCs w:val="0"/>
                <w:color w:val="auto"/>
                <w:sz w:val="24"/>
                <w:szCs w:val="24"/>
                <w:lang w:val="en-US" w:eastAsia="zh-CN"/>
              </w:rPr>
              <w:t>6</w:t>
            </w:r>
            <w:r>
              <w:rPr>
                <w:rFonts w:hint="default" w:ascii="Times New Roman" w:hAnsi="Times New Roman" w:eastAsia="宋体" w:cs="Times New Roman"/>
                <w:b/>
                <w:bCs w:val="0"/>
                <w:color w:val="auto"/>
                <w:sz w:val="24"/>
                <w:szCs w:val="24"/>
                <w:lang w:val="en-US" w:eastAsia="zh-CN"/>
              </w:rPr>
              <w:t xml:space="preserve"> </w:t>
            </w:r>
            <w:r>
              <w:rPr>
                <w:rFonts w:hint="default" w:ascii="Times New Roman" w:hAnsi="Times New Roman" w:eastAsia="宋体" w:cs="Times New Roman"/>
                <w:b/>
                <w:bCs w:val="0"/>
                <w:color w:val="auto"/>
                <w:sz w:val="24"/>
                <w:szCs w:val="24"/>
              </w:rPr>
              <w:t>劳动定员及工作制度</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
                <w:color w:val="auto"/>
                <w:sz w:val="24"/>
                <w:szCs w:val="24"/>
                <w:lang w:val="en-US" w:eastAsia="zh-CN"/>
              </w:rPr>
            </w:pPr>
            <w:r>
              <w:rPr>
                <w:rFonts w:hint="default" w:ascii="Times New Roman" w:hAnsi="Times New Roman" w:eastAsia="宋体" w:cs="Times New Roman"/>
                <w:color w:val="auto"/>
                <w:sz w:val="24"/>
                <w:szCs w:val="24"/>
              </w:rPr>
              <w:t>本项目</w:t>
            </w:r>
            <w:r>
              <w:rPr>
                <w:rFonts w:hint="default" w:ascii="Times New Roman" w:hAnsi="Times New Roman" w:eastAsia="宋体" w:cs="Times New Roman"/>
                <w:color w:val="auto"/>
                <w:sz w:val="24"/>
                <w:szCs w:val="24"/>
                <w:lang w:val="en-US" w:eastAsia="zh-CN"/>
              </w:rPr>
              <w:t>新增劳动人员12</w:t>
            </w:r>
            <w:r>
              <w:rPr>
                <w:rFonts w:hint="default" w:ascii="Times New Roman" w:hAnsi="Times New Roman" w:eastAsia="宋体" w:cs="Times New Roman"/>
                <w:color w:val="auto"/>
                <w:sz w:val="24"/>
                <w:szCs w:val="24"/>
              </w:rPr>
              <w:t>人，采用三班两倒</w:t>
            </w:r>
            <w:r>
              <w:rPr>
                <w:rFonts w:hint="default" w:ascii="Times New Roman" w:hAnsi="Times New Roman" w:eastAsia="宋体" w:cs="Times New Roman"/>
                <w:color w:val="auto"/>
                <w:sz w:val="24"/>
                <w:szCs w:val="24"/>
                <w:lang w:val="en-US" w:eastAsia="zh-CN"/>
              </w:rPr>
              <w:t>制</w:t>
            </w:r>
            <w:r>
              <w:rPr>
                <w:rFonts w:hint="default" w:ascii="Times New Roman" w:hAnsi="Times New Roman" w:eastAsia="宋体" w:cs="Times New Roman"/>
                <w:color w:val="auto"/>
                <w:sz w:val="24"/>
                <w:szCs w:val="24"/>
              </w:rPr>
              <w:t>，年工作时间</w:t>
            </w:r>
            <w:r>
              <w:rPr>
                <w:rFonts w:hint="eastAsia" w:cs="Times New Roman"/>
                <w:color w:val="auto"/>
                <w:sz w:val="24"/>
                <w:szCs w:val="24"/>
                <w:lang w:val="en-US" w:eastAsia="zh-CN"/>
              </w:rPr>
              <w:t>350</w:t>
            </w:r>
            <w:r>
              <w:rPr>
                <w:rFonts w:hint="default" w:ascii="Times New Roman" w:hAnsi="Times New Roman" w:eastAsia="宋体" w:cs="Times New Roman"/>
                <w:color w:val="auto"/>
                <w:sz w:val="24"/>
                <w:szCs w:val="24"/>
              </w:rPr>
              <w:t>天，共</w:t>
            </w:r>
            <w:r>
              <w:rPr>
                <w:rFonts w:hint="eastAsia" w:cs="Times New Roman"/>
                <w:color w:val="auto"/>
                <w:sz w:val="24"/>
                <w:szCs w:val="24"/>
                <w:lang w:val="en-US" w:eastAsia="zh-CN"/>
              </w:rPr>
              <w:t>8400</w:t>
            </w:r>
            <w:r>
              <w:rPr>
                <w:rFonts w:hint="default" w:ascii="Times New Roman" w:hAnsi="Times New Roman" w:eastAsia="宋体" w:cs="Times New Roman"/>
                <w:color w:val="auto"/>
                <w:sz w:val="24"/>
                <w:szCs w:val="24"/>
              </w:rPr>
              <w:t>小时。</w:t>
            </w:r>
          </w:p>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color w:val="auto"/>
                <w:sz w:val="24"/>
                <w:szCs w:val="24"/>
              </w:rPr>
            </w:pPr>
            <w:r>
              <w:rPr>
                <w:rFonts w:hint="default" w:ascii="Times New Roman" w:hAnsi="Times New Roman" w:cs="Times New Roman"/>
                <w:b/>
                <w:color w:val="auto"/>
                <w:sz w:val="24"/>
                <w:szCs w:val="24"/>
                <w:lang w:val="en-US" w:eastAsia="zh-CN"/>
              </w:rPr>
              <w:t>7</w:t>
            </w:r>
            <w:r>
              <w:rPr>
                <w:rFonts w:hint="default" w:ascii="Times New Roman" w:hAnsi="Times New Roman" w:eastAsia="宋体" w:cs="Times New Roman"/>
                <w:b/>
                <w:color w:val="auto"/>
                <w:sz w:val="24"/>
                <w:szCs w:val="24"/>
                <w:lang w:val="en-US" w:eastAsia="zh-CN"/>
              </w:rPr>
              <w:t xml:space="preserve"> </w:t>
            </w:r>
            <w:r>
              <w:rPr>
                <w:rFonts w:hint="default" w:ascii="Times New Roman" w:hAnsi="Times New Roman" w:eastAsia="宋体" w:cs="Times New Roman"/>
                <w:b/>
                <w:color w:val="auto"/>
                <w:sz w:val="24"/>
                <w:szCs w:val="24"/>
              </w:rPr>
              <w:t>公用工程</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eastAsia="zh-CN"/>
              </w:rPr>
              <w:t>）供电</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本项目用电引自厂区现状供电设备，可满足本项目用电需求，依托设施可行。</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给</w:t>
            </w:r>
            <w:r>
              <w:rPr>
                <w:rFonts w:hint="default" w:ascii="Times New Roman" w:hAnsi="Times New Roman" w:eastAsia="宋体" w:cs="Times New Roman"/>
                <w:color w:val="auto"/>
                <w:sz w:val="24"/>
                <w:szCs w:val="24"/>
                <w:lang w:eastAsia="zh-CN"/>
              </w:rPr>
              <w:t>水</w:t>
            </w:r>
          </w:p>
          <w:p>
            <w:pPr>
              <w:keepNext w:val="0"/>
              <w:keepLines w:val="0"/>
              <w:pageBreakBefore w:val="0"/>
              <w:widowControl w:val="0"/>
              <w:kinsoku/>
              <w:wordWrap/>
              <w:overflowPunct/>
              <w:topLinePunct w:val="0"/>
              <w:autoSpaceDE/>
              <w:autoSpaceDN/>
              <w:bidi w:val="0"/>
              <w:adjustRightInd/>
              <w:snapToGrid/>
              <w:spacing w:line="500" w:lineRule="exact"/>
              <w:ind w:firstLine="475"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pacing w:val="2"/>
                <w:sz w:val="24"/>
                <w:szCs w:val="32"/>
              </w:rPr>
              <w:t>生产、生活用水取自厂区现状给水设施。</w:t>
            </w:r>
            <w:r>
              <w:rPr>
                <w:rFonts w:hint="default" w:ascii="Times New Roman" w:hAnsi="Times New Roman" w:eastAsia="宋体" w:cs="Times New Roman"/>
                <w:color w:val="auto"/>
                <w:sz w:val="24"/>
                <w:szCs w:val="24"/>
                <w:lang w:val="en-US" w:eastAsia="zh-CN"/>
              </w:rPr>
              <w:t>本项目用水主要为新增生活用水、选矿用水</w:t>
            </w:r>
            <w:r>
              <w:rPr>
                <w:rFonts w:hint="default" w:ascii="Times New Roman" w:hAnsi="Times New Roman" w:cs="Times New Roman"/>
                <w:color w:val="auto"/>
                <w:sz w:val="24"/>
                <w:szCs w:val="24"/>
                <w:lang w:val="en-US" w:eastAsia="zh-CN"/>
              </w:rPr>
              <w:t>、回采高压水枪用水、降尘用水</w:t>
            </w:r>
            <w:r>
              <w:rPr>
                <w:rFonts w:hint="default" w:ascii="Times New Roman" w:hAnsi="Times New Roman" w:eastAsia="宋体" w:cs="Times New Roman"/>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①生活用水</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32"/>
              </w:rPr>
              <w:t>本项目新增劳动</w:t>
            </w:r>
            <w:r>
              <w:rPr>
                <w:rFonts w:hint="default" w:ascii="Times New Roman" w:hAnsi="Times New Roman" w:eastAsia="宋体" w:cs="Times New Roman"/>
                <w:color w:val="auto"/>
                <w:sz w:val="24"/>
                <w:szCs w:val="32"/>
                <w:lang w:val="en-US" w:eastAsia="zh-CN"/>
              </w:rPr>
              <w:t>12</w:t>
            </w:r>
            <w:r>
              <w:rPr>
                <w:rFonts w:hint="default" w:ascii="Times New Roman" w:hAnsi="Times New Roman" w:eastAsia="宋体" w:cs="Times New Roman"/>
                <w:color w:val="auto"/>
                <w:sz w:val="24"/>
                <w:szCs w:val="32"/>
              </w:rPr>
              <w:t>人，</w:t>
            </w:r>
            <w:r>
              <w:rPr>
                <w:rFonts w:hint="default" w:ascii="Times New Roman" w:hAnsi="Times New Roman" w:eastAsia="宋体" w:cs="Times New Roman"/>
                <w:color w:val="auto"/>
                <w:sz w:val="24"/>
                <w:szCs w:val="32"/>
                <w:lang w:val="en-US" w:eastAsia="zh-CN"/>
              </w:rPr>
              <w:t>年生产</w:t>
            </w:r>
            <w:r>
              <w:rPr>
                <w:rFonts w:hint="eastAsia" w:cs="Times New Roman"/>
                <w:color w:val="auto"/>
                <w:sz w:val="24"/>
                <w:szCs w:val="32"/>
                <w:lang w:val="en-US" w:eastAsia="zh-CN"/>
              </w:rPr>
              <w:t>350</w:t>
            </w:r>
            <w:r>
              <w:rPr>
                <w:rFonts w:hint="default" w:ascii="Times New Roman" w:hAnsi="Times New Roman" w:eastAsia="宋体" w:cs="Times New Roman"/>
                <w:color w:val="auto"/>
                <w:sz w:val="24"/>
                <w:szCs w:val="32"/>
                <w:lang w:val="en-US" w:eastAsia="zh-CN"/>
              </w:rPr>
              <w:t>天，根据</w:t>
            </w:r>
            <w:r>
              <w:rPr>
                <w:rFonts w:hint="default" w:ascii="Times New Roman" w:hAnsi="Times New Roman" w:eastAsia="宋体" w:cs="Times New Roman"/>
                <w:color w:val="auto"/>
                <w:sz w:val="24"/>
                <w:szCs w:val="24"/>
                <w:lang w:val="en-US" w:eastAsia="zh-CN"/>
              </w:rPr>
              <w:t>《新疆维吾尔自治区生活用水定额》职工生活用水以100L/人·d计，生活用水量约为1.2</w:t>
            </w:r>
            <w:r>
              <w:rPr>
                <w:rFonts w:hint="default" w:ascii="Times New Roman" w:hAnsi="Times New Roman" w:eastAsia="宋体" w:cs="Times New Roman"/>
                <w:color w:val="auto"/>
                <w:sz w:val="24"/>
                <w:szCs w:val="32"/>
                <w:lang w:eastAsia="zh-CN"/>
              </w:rPr>
              <w:t>m³</w:t>
            </w:r>
            <w:r>
              <w:rPr>
                <w:rFonts w:hint="default" w:ascii="Times New Roman" w:hAnsi="Times New Roman" w:eastAsia="宋体" w:cs="Times New Roman"/>
                <w:color w:val="auto"/>
                <w:sz w:val="24"/>
                <w:szCs w:val="32"/>
              </w:rPr>
              <w:t>/d</w:t>
            </w:r>
            <w:r>
              <w:rPr>
                <w:rFonts w:hint="default" w:ascii="Times New Roman" w:hAnsi="Times New Roman" w:eastAsia="宋体" w:cs="Times New Roman"/>
                <w:color w:val="auto"/>
                <w:sz w:val="24"/>
                <w:szCs w:val="32"/>
                <w:lang w:eastAsia="zh-CN"/>
              </w:rPr>
              <w:t>，</w:t>
            </w:r>
            <w:r>
              <w:rPr>
                <w:rFonts w:hint="default" w:ascii="Times New Roman" w:hAnsi="Times New Roman" w:eastAsia="宋体" w:cs="Times New Roman"/>
                <w:color w:val="auto"/>
                <w:sz w:val="24"/>
                <w:szCs w:val="32"/>
                <w:lang w:val="en-US" w:eastAsia="zh-CN"/>
              </w:rPr>
              <w:t>即</w:t>
            </w:r>
            <w:r>
              <w:rPr>
                <w:rFonts w:hint="eastAsia" w:cs="Times New Roman"/>
                <w:color w:val="auto"/>
                <w:sz w:val="24"/>
                <w:szCs w:val="32"/>
                <w:lang w:val="en-US" w:eastAsia="zh-CN"/>
              </w:rPr>
              <w:t>420</w:t>
            </w:r>
            <w:r>
              <w:rPr>
                <w:rFonts w:hint="default" w:ascii="Times New Roman" w:hAnsi="Times New Roman" w:eastAsia="宋体" w:cs="Times New Roman"/>
                <w:color w:val="auto"/>
                <w:sz w:val="24"/>
                <w:szCs w:val="32"/>
                <w:lang w:eastAsia="zh-CN"/>
              </w:rPr>
              <w:t>m³</w:t>
            </w:r>
            <w:r>
              <w:rPr>
                <w:rFonts w:hint="default" w:ascii="Times New Roman" w:hAnsi="Times New Roman" w:eastAsia="宋体" w:cs="Times New Roman"/>
                <w:color w:val="auto"/>
                <w:sz w:val="24"/>
                <w:szCs w:val="32"/>
              </w:rPr>
              <w:t>/a。</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②选矿用水</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项目用水主要为矿磨浮选制浆用水，结合生产设备提供单位提供资料，选矿生产用水量系数取2.3m³/t-原矿，则年生产用水量为</w:t>
            </w:r>
            <w:r>
              <w:rPr>
                <w:rFonts w:hint="eastAsia" w:cs="Times New Roman"/>
                <w:color w:val="auto"/>
                <w:sz w:val="24"/>
                <w:szCs w:val="24"/>
                <w:highlight w:val="none"/>
                <w:lang w:val="en-US" w:eastAsia="zh-CN"/>
              </w:rPr>
              <w:t>52.24</w:t>
            </w:r>
            <w:r>
              <w:rPr>
                <w:rFonts w:hint="default" w:ascii="Times New Roman" w:hAnsi="Times New Roman" w:eastAsia="宋体" w:cs="Times New Roman"/>
                <w:color w:val="auto"/>
                <w:sz w:val="24"/>
                <w:szCs w:val="24"/>
                <w:highlight w:val="none"/>
                <w:lang w:val="en-US" w:eastAsia="zh-CN"/>
              </w:rPr>
              <w:t>万t×2.3m³/t-原矿=</w:t>
            </w:r>
            <w:r>
              <w:rPr>
                <w:rFonts w:hint="eastAsia" w:cs="Times New Roman"/>
                <w:color w:val="auto"/>
                <w:sz w:val="24"/>
                <w:szCs w:val="24"/>
                <w:highlight w:val="none"/>
                <w:lang w:val="en-US" w:eastAsia="zh-CN"/>
              </w:rPr>
              <w:t>120.15</w:t>
            </w:r>
            <w:r>
              <w:rPr>
                <w:rFonts w:hint="default" w:ascii="Times New Roman" w:hAnsi="Times New Roman" w:eastAsia="宋体" w:cs="Times New Roman"/>
                <w:color w:val="auto"/>
                <w:sz w:val="24"/>
                <w:szCs w:val="24"/>
                <w:highlight w:val="none"/>
                <w:lang w:val="en-US" w:eastAsia="zh-CN"/>
              </w:rPr>
              <w:t>万m³，即</w:t>
            </w:r>
            <w:r>
              <w:rPr>
                <w:rFonts w:hint="eastAsia" w:cs="Times New Roman"/>
                <w:color w:val="auto"/>
                <w:sz w:val="24"/>
                <w:szCs w:val="24"/>
                <w:highlight w:val="none"/>
                <w:lang w:val="en-US" w:eastAsia="zh-CN"/>
              </w:rPr>
              <w:t>3433</w:t>
            </w:r>
            <w:r>
              <w:rPr>
                <w:rFonts w:hint="default" w:ascii="Times New Roman" w:hAnsi="Times New Roman" w:eastAsia="宋体" w:cs="Times New Roman"/>
                <w:color w:val="auto"/>
                <w:sz w:val="24"/>
                <w:szCs w:val="24"/>
                <w:highlight w:val="none"/>
                <w:lang w:val="en-US" w:eastAsia="zh-CN"/>
              </w:rPr>
              <w:t>m³/d。选矿尾浆经浓密、压滤处理后，溢流清水进入清水池待用，由潜水泵泵送返回浮选生产工序。磨浮及沉淀等过程消耗水量取10%，则新鲜水补水量为</w:t>
            </w:r>
            <w:r>
              <w:rPr>
                <w:rFonts w:hint="eastAsia" w:cs="Times New Roman"/>
                <w:color w:val="auto"/>
                <w:sz w:val="24"/>
                <w:szCs w:val="24"/>
                <w:highlight w:val="none"/>
                <w:lang w:val="en-US" w:eastAsia="zh-CN"/>
              </w:rPr>
              <w:t>120.15</w:t>
            </w:r>
            <w:r>
              <w:rPr>
                <w:rFonts w:hint="default" w:ascii="Times New Roman" w:hAnsi="Times New Roman" w:eastAsia="宋体" w:cs="Times New Roman"/>
                <w:color w:val="auto"/>
                <w:sz w:val="24"/>
                <w:szCs w:val="24"/>
                <w:highlight w:val="none"/>
                <w:lang w:val="en-US" w:eastAsia="zh-CN"/>
              </w:rPr>
              <w:t>万m³/a×10%=</w:t>
            </w:r>
            <w:r>
              <w:rPr>
                <w:rFonts w:hint="eastAsia" w:cs="Times New Roman"/>
                <w:color w:val="auto"/>
                <w:sz w:val="24"/>
                <w:szCs w:val="24"/>
                <w:highlight w:val="none"/>
                <w:lang w:val="en-US" w:eastAsia="zh-CN"/>
              </w:rPr>
              <w:t>12.02</w:t>
            </w:r>
            <w:r>
              <w:rPr>
                <w:rFonts w:hint="default" w:ascii="Times New Roman" w:hAnsi="Times New Roman" w:eastAsia="宋体" w:cs="Times New Roman"/>
                <w:color w:val="auto"/>
                <w:sz w:val="24"/>
                <w:szCs w:val="24"/>
                <w:highlight w:val="none"/>
                <w:lang w:val="en-US" w:eastAsia="zh-CN"/>
              </w:rPr>
              <w:t>万m³/a，即34</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m³/d。</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③高压水枪用水</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cs="Times New Roman"/>
                <w:color w:val="auto"/>
                <w:sz w:val="24"/>
                <w:szCs w:val="32"/>
                <w:lang w:val="en-US" w:eastAsia="zh-CN"/>
              </w:rPr>
            </w:pPr>
            <w:r>
              <w:rPr>
                <w:rFonts w:hint="default" w:ascii="Times New Roman" w:hAnsi="Times New Roman" w:cs="Times New Roman"/>
                <w:color w:val="auto"/>
                <w:sz w:val="24"/>
                <w:szCs w:val="32"/>
                <w:lang w:val="en-US" w:eastAsia="zh-CN"/>
              </w:rPr>
              <w:t>项目采用高压水枪辅助冲采，项目回采规模为</w:t>
            </w:r>
            <w:r>
              <w:rPr>
                <w:rFonts w:hint="eastAsia" w:cs="Times New Roman"/>
                <w:color w:val="auto"/>
                <w:sz w:val="24"/>
                <w:szCs w:val="32"/>
                <w:highlight w:val="none"/>
                <w:lang w:val="en-US" w:eastAsia="zh-CN"/>
              </w:rPr>
              <w:t>32.65</w:t>
            </w:r>
            <w:r>
              <w:rPr>
                <w:rFonts w:hint="default" w:ascii="Times New Roman" w:hAnsi="Times New Roman" w:cs="Times New Roman"/>
                <w:color w:val="auto"/>
                <w:sz w:val="24"/>
                <w:szCs w:val="32"/>
                <w:highlight w:val="none"/>
                <w:lang w:val="en-US" w:eastAsia="zh-CN"/>
              </w:rPr>
              <w:t>万</w:t>
            </w:r>
            <w:r>
              <w:rPr>
                <w:rFonts w:hint="default" w:ascii="Times New Roman" w:hAnsi="Times New Roman" w:cs="Times New Roman"/>
                <w:color w:val="auto"/>
                <w:sz w:val="24"/>
                <w:szCs w:val="32"/>
                <w:lang w:val="en-US" w:eastAsia="zh-CN"/>
              </w:rPr>
              <w:t>m³/a，根据设计及经验资料，耗水定额取5m³/m³尾砂，则高压水枪用水量为46</w:t>
            </w:r>
            <w:r>
              <w:rPr>
                <w:rFonts w:hint="eastAsia" w:cs="Times New Roman"/>
                <w:color w:val="auto"/>
                <w:sz w:val="24"/>
                <w:szCs w:val="32"/>
                <w:lang w:val="en-US" w:eastAsia="zh-CN"/>
              </w:rPr>
              <w:t>64</w:t>
            </w:r>
            <w:r>
              <w:rPr>
                <w:rFonts w:hint="default" w:ascii="Times New Roman" w:hAnsi="Times New Roman" w:cs="Times New Roman"/>
                <w:color w:val="auto"/>
                <w:sz w:val="24"/>
                <w:szCs w:val="32"/>
                <w:lang w:val="en-US" w:eastAsia="zh-CN"/>
              </w:rPr>
              <w:t>m³/d（</w:t>
            </w:r>
            <w:r>
              <w:rPr>
                <w:rFonts w:hint="eastAsia" w:cs="Times New Roman"/>
                <w:color w:val="auto"/>
                <w:sz w:val="24"/>
                <w:szCs w:val="32"/>
                <w:lang w:val="en-US" w:eastAsia="zh-CN"/>
              </w:rPr>
              <w:t>163.25</w:t>
            </w:r>
            <w:r>
              <w:rPr>
                <w:rFonts w:hint="default" w:ascii="Times New Roman" w:hAnsi="Times New Roman" w:cs="Times New Roman"/>
                <w:color w:val="auto"/>
                <w:sz w:val="24"/>
                <w:szCs w:val="32"/>
                <w:lang w:val="en-US" w:eastAsia="zh-CN"/>
              </w:rPr>
              <w:t>万m³/a）</w:t>
            </w:r>
            <w:r>
              <w:rPr>
                <w:rFonts w:hint="default" w:ascii="Times New Roman" w:hAnsi="Times New Roman" w:cs="Times New Roman"/>
                <w:color w:val="auto"/>
                <w:sz w:val="24"/>
                <w:szCs w:val="32"/>
                <w:highlight w:val="none"/>
                <w:lang w:val="en-US" w:eastAsia="zh-CN"/>
              </w:rPr>
              <w:t>。冲采浆液以尾矿带水损耗，损耗量为用水量的10%，则补充水量为46</w:t>
            </w:r>
            <w:r>
              <w:rPr>
                <w:rFonts w:hint="eastAsia" w:cs="Times New Roman"/>
                <w:color w:val="auto"/>
                <w:sz w:val="24"/>
                <w:szCs w:val="32"/>
                <w:highlight w:val="none"/>
                <w:lang w:val="en-US" w:eastAsia="zh-CN"/>
              </w:rPr>
              <w:t>6.4</w:t>
            </w:r>
            <w:r>
              <w:rPr>
                <w:rFonts w:hint="default" w:ascii="Times New Roman" w:hAnsi="Times New Roman" w:cs="Times New Roman"/>
                <w:color w:val="auto"/>
                <w:sz w:val="24"/>
                <w:szCs w:val="32"/>
                <w:lang w:val="en-US" w:eastAsia="zh-CN"/>
              </w:rPr>
              <w:t>m³/d（</w:t>
            </w:r>
            <w:r>
              <w:rPr>
                <w:rFonts w:hint="default" w:ascii="Times New Roman" w:hAnsi="Times New Roman" w:cs="Times New Roman"/>
                <w:color w:val="auto"/>
                <w:sz w:val="24"/>
                <w:szCs w:val="32"/>
                <w:highlight w:val="none"/>
                <w:lang w:val="en-US" w:eastAsia="zh-CN"/>
              </w:rPr>
              <w:t>1</w:t>
            </w:r>
            <w:r>
              <w:rPr>
                <w:rFonts w:hint="eastAsia" w:cs="Times New Roman"/>
                <w:color w:val="auto"/>
                <w:sz w:val="24"/>
                <w:szCs w:val="32"/>
                <w:highlight w:val="none"/>
                <w:lang w:val="en-US" w:eastAsia="zh-CN"/>
              </w:rPr>
              <w:t>6.32</w:t>
            </w:r>
            <w:r>
              <w:rPr>
                <w:rFonts w:hint="default" w:ascii="Times New Roman" w:hAnsi="Times New Roman" w:cs="Times New Roman"/>
                <w:color w:val="auto"/>
                <w:sz w:val="24"/>
                <w:szCs w:val="32"/>
                <w:highlight w:val="none"/>
                <w:lang w:val="en-US" w:eastAsia="zh-CN"/>
              </w:rPr>
              <w:t>万m³/a）。</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④降尘用水</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降尘用水主要为回采干滩工作面洒水抑尘用水，需洒水面积约为10000㎡，参考同类型项目，喷洒用水量按2.5L/㎡·d计，则洒水抑尘用水量为100m³/d（25000m³/a）。该部分用水全部蒸发损耗。</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eastAsia"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综上计算，本项目新鲜水用</w:t>
            </w:r>
            <w:r>
              <w:rPr>
                <w:rFonts w:hint="eastAsia" w:ascii="Times New Roman" w:hAnsi="Times New Roman" w:eastAsia="宋体" w:cs="Times New Roman"/>
                <w:color w:val="auto"/>
                <w:sz w:val="24"/>
                <w:szCs w:val="24"/>
                <w:lang w:val="en-US" w:eastAsia="zh-CN"/>
              </w:rPr>
              <w:t>量为910.6</w:t>
            </w:r>
            <w:r>
              <w:rPr>
                <w:rFonts w:hint="default" w:ascii="Times New Roman" w:hAnsi="Times New Roman" w:eastAsia="宋体" w:cs="Times New Roman"/>
                <w:color w:val="auto"/>
                <w:sz w:val="24"/>
                <w:szCs w:val="24"/>
                <w:lang w:val="en-US" w:eastAsia="zh-CN"/>
              </w:rPr>
              <w:t>m³/d</w:t>
            </w:r>
            <w:r>
              <w:rPr>
                <w:rFonts w:hint="eastAsia" w:ascii="Times New Roman" w:hAnsi="Times New Roman" w:eastAsia="宋体" w:cs="Times New Roman"/>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（3）排水</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32"/>
                <w:lang w:val="en-US" w:eastAsia="zh-CN"/>
              </w:rPr>
              <w:t>本项目回采高压水枪用水闭路循环，无外排废水。</w:t>
            </w:r>
            <w:r>
              <w:rPr>
                <w:rFonts w:hint="default" w:ascii="Times New Roman" w:hAnsi="Times New Roman" w:eastAsia="宋体" w:cs="Times New Roman"/>
                <w:color w:val="auto"/>
                <w:sz w:val="24"/>
                <w:szCs w:val="24"/>
                <w:lang w:val="en-US" w:eastAsia="zh-CN"/>
              </w:rPr>
              <w:t>选矿尾浆经浓密、压滤处理后，溢流清水进入清水池待用，由潜水泵泵送返回浮选生产工序。</w:t>
            </w:r>
            <w:r>
              <w:rPr>
                <w:rFonts w:hint="eastAsia" w:cs="Times New Roman"/>
                <w:color w:val="auto"/>
                <w:sz w:val="24"/>
                <w:szCs w:val="24"/>
                <w:lang w:val="en-US" w:eastAsia="zh-CN"/>
              </w:rPr>
              <w:t>项目选矿回水量为3090</w:t>
            </w:r>
            <w:r>
              <w:rPr>
                <w:rFonts w:hint="default" w:ascii="Times New Roman" w:hAnsi="Times New Roman" w:eastAsia="宋体" w:cs="Times New Roman"/>
                <w:color w:val="auto"/>
                <w:sz w:val="24"/>
                <w:szCs w:val="24"/>
                <w:highlight w:val="none"/>
              </w:rPr>
              <w:t>m³/d</w:t>
            </w:r>
            <w:r>
              <w:rPr>
                <w:rFonts w:hint="default"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选矿工序总用水量为3433</w:t>
            </w:r>
            <w:r>
              <w:rPr>
                <w:rFonts w:hint="default" w:ascii="Times New Roman" w:hAnsi="Times New Roman" w:eastAsia="宋体" w:cs="Times New Roman"/>
                <w:color w:val="auto"/>
                <w:sz w:val="24"/>
                <w:szCs w:val="24"/>
                <w:highlight w:val="none"/>
              </w:rPr>
              <w:t>m³/d</w:t>
            </w:r>
            <w:r>
              <w:rPr>
                <w:rFonts w:hint="default"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回用率90%，满足行业准入条件要求。</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32"/>
                <w:lang w:eastAsia="zh-CN"/>
              </w:rPr>
            </w:pPr>
            <w:r>
              <w:rPr>
                <w:rFonts w:hint="default" w:ascii="Times New Roman" w:hAnsi="Times New Roman" w:eastAsia="宋体" w:cs="Times New Roman"/>
                <w:color w:val="auto"/>
                <w:sz w:val="24"/>
                <w:szCs w:val="24"/>
                <w:lang w:val="en-US" w:eastAsia="zh-CN"/>
              </w:rPr>
              <w:t>项目排水主要为新增生活污水</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32"/>
              </w:rPr>
              <w:t>生活污水排放量按用水量的80%计，则生活污水排放量约为</w:t>
            </w:r>
            <w:r>
              <w:rPr>
                <w:rFonts w:hint="default" w:ascii="Times New Roman" w:hAnsi="Times New Roman" w:eastAsia="宋体" w:cs="Times New Roman"/>
                <w:color w:val="auto"/>
                <w:sz w:val="24"/>
                <w:szCs w:val="32"/>
                <w:lang w:val="en-US" w:eastAsia="zh-CN"/>
              </w:rPr>
              <w:t>0.96</w:t>
            </w:r>
            <w:r>
              <w:rPr>
                <w:rFonts w:hint="default" w:ascii="Times New Roman" w:hAnsi="Times New Roman" w:eastAsia="宋体" w:cs="Times New Roman"/>
                <w:color w:val="auto"/>
                <w:sz w:val="24"/>
                <w:szCs w:val="32"/>
                <w:lang w:eastAsia="zh-CN"/>
              </w:rPr>
              <w:t>m³</w:t>
            </w:r>
            <w:r>
              <w:rPr>
                <w:rFonts w:hint="default" w:ascii="Times New Roman" w:hAnsi="Times New Roman" w:eastAsia="宋体" w:cs="Times New Roman"/>
                <w:color w:val="auto"/>
                <w:sz w:val="24"/>
                <w:szCs w:val="32"/>
              </w:rPr>
              <w:t>/d</w:t>
            </w:r>
            <w:r>
              <w:rPr>
                <w:rFonts w:hint="default" w:ascii="Times New Roman" w:hAnsi="Times New Roman" w:eastAsia="宋体" w:cs="Times New Roman"/>
                <w:color w:val="auto"/>
                <w:sz w:val="24"/>
                <w:szCs w:val="32"/>
                <w:lang w:eastAsia="zh-CN"/>
              </w:rPr>
              <w:t>，</w:t>
            </w:r>
            <w:r>
              <w:rPr>
                <w:rFonts w:hint="default" w:ascii="Times New Roman" w:hAnsi="Times New Roman" w:eastAsia="宋体" w:cs="Times New Roman"/>
                <w:color w:val="auto"/>
                <w:sz w:val="24"/>
                <w:szCs w:val="32"/>
                <w:lang w:val="en-US" w:eastAsia="zh-CN"/>
              </w:rPr>
              <w:t>即</w:t>
            </w:r>
            <w:r>
              <w:rPr>
                <w:rFonts w:hint="eastAsia" w:cs="Times New Roman"/>
                <w:color w:val="auto"/>
                <w:sz w:val="24"/>
                <w:szCs w:val="32"/>
                <w:lang w:val="en-US" w:eastAsia="zh-CN"/>
              </w:rPr>
              <w:t>336</w:t>
            </w:r>
            <w:r>
              <w:rPr>
                <w:rFonts w:hint="default" w:ascii="Times New Roman" w:hAnsi="Times New Roman" w:eastAsia="宋体" w:cs="Times New Roman"/>
                <w:color w:val="auto"/>
                <w:sz w:val="24"/>
                <w:szCs w:val="32"/>
                <w:lang w:eastAsia="zh-CN"/>
              </w:rPr>
              <w:t>m³</w:t>
            </w:r>
            <w:r>
              <w:rPr>
                <w:rFonts w:hint="default" w:ascii="Times New Roman" w:hAnsi="Times New Roman" w:eastAsia="宋体" w:cs="Times New Roman"/>
                <w:color w:val="auto"/>
                <w:sz w:val="24"/>
                <w:szCs w:val="32"/>
              </w:rPr>
              <w:t>/a</w:t>
            </w:r>
            <w:r>
              <w:rPr>
                <w:rFonts w:hint="default" w:ascii="Times New Roman" w:hAnsi="Times New Roman" w:eastAsia="宋体" w:cs="Times New Roman"/>
                <w:color w:val="auto"/>
                <w:sz w:val="24"/>
                <w:szCs w:val="32"/>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本项目给、排水平衡见表</w:t>
            </w:r>
            <w:r>
              <w:rPr>
                <w:rFonts w:hint="default" w:ascii="Times New Roman" w:hAnsi="Times New Roman" w:eastAsia="宋体" w:cs="Times New Roman"/>
                <w:color w:val="auto"/>
                <w:sz w:val="24"/>
                <w:szCs w:val="24"/>
                <w:lang w:val="en-US" w:eastAsia="zh-CN"/>
              </w:rPr>
              <w:t>2-</w:t>
            </w:r>
            <w:r>
              <w:rPr>
                <w:rFonts w:hint="default" w:ascii="Times New Roman" w:hAnsi="Times New Roman" w:cs="Times New Roman"/>
                <w:color w:val="auto"/>
                <w:sz w:val="24"/>
                <w:szCs w:val="24"/>
                <w:lang w:val="en-US" w:eastAsia="zh-CN"/>
              </w:rPr>
              <w:t>9</w:t>
            </w:r>
            <w:r>
              <w:rPr>
                <w:rFonts w:hint="default" w:ascii="Times New Roman" w:hAnsi="Times New Roman" w:eastAsia="宋体" w:cs="Times New Roman"/>
                <w:color w:val="auto"/>
                <w:sz w:val="24"/>
                <w:szCs w:val="24"/>
                <w:lang w:eastAsia="zh-CN"/>
              </w:rPr>
              <w:t>、图</w:t>
            </w:r>
            <w:r>
              <w:rPr>
                <w:rFonts w:hint="default" w:ascii="Times New Roman" w:hAnsi="Times New Roman" w:eastAsia="宋体" w:cs="Times New Roman"/>
                <w:color w:val="auto"/>
                <w:sz w:val="24"/>
                <w:szCs w:val="24"/>
                <w:lang w:val="en-US" w:eastAsia="zh-CN"/>
              </w:rPr>
              <w:t>2.1-1</w:t>
            </w:r>
            <w:r>
              <w:rPr>
                <w:rFonts w:hint="default" w:ascii="Times New Roman" w:hAnsi="Times New Roman" w:eastAsia="宋体" w:cs="Times New Roman"/>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eastAsia="zh-CN"/>
              </w:rPr>
              <w:t>表</w:t>
            </w:r>
            <w:r>
              <w:rPr>
                <w:rFonts w:hint="default" w:ascii="Times New Roman" w:hAnsi="Times New Roman" w:eastAsia="宋体" w:cs="Times New Roman"/>
                <w:b/>
                <w:bCs/>
                <w:color w:val="auto"/>
                <w:sz w:val="21"/>
                <w:szCs w:val="21"/>
                <w:lang w:val="en-US" w:eastAsia="zh-CN"/>
              </w:rPr>
              <w:t>2-</w:t>
            </w:r>
            <w:r>
              <w:rPr>
                <w:rFonts w:hint="default" w:ascii="Times New Roman" w:hAnsi="Times New Roman" w:cs="Times New Roman"/>
                <w:b/>
                <w:bCs/>
                <w:color w:val="auto"/>
                <w:sz w:val="21"/>
                <w:szCs w:val="21"/>
                <w:lang w:val="en-US" w:eastAsia="zh-CN"/>
              </w:rPr>
              <w:t>9   本</w:t>
            </w:r>
            <w:r>
              <w:rPr>
                <w:rFonts w:hint="default" w:ascii="Times New Roman" w:hAnsi="Times New Roman" w:eastAsia="宋体" w:cs="Times New Roman"/>
                <w:b/>
                <w:bCs/>
                <w:color w:val="auto"/>
                <w:sz w:val="21"/>
                <w:szCs w:val="21"/>
                <w:lang w:eastAsia="zh-CN"/>
              </w:rPr>
              <w:t>项目给、排水平衡表</w:t>
            </w:r>
            <w:r>
              <w:rPr>
                <w:rFonts w:hint="eastAsia" w:cs="Times New Roman"/>
                <w:b/>
                <w:bCs/>
                <w:color w:val="auto"/>
                <w:sz w:val="21"/>
                <w:szCs w:val="21"/>
                <w:lang w:val="en-US" w:eastAsia="zh-CN"/>
              </w:rPr>
              <w:t xml:space="preserve">     </w:t>
            </w:r>
            <w:r>
              <w:rPr>
                <w:rFonts w:hint="eastAsia" w:ascii="Times New Roman" w:hAnsi="Times New Roman" w:eastAsia="宋体" w:cs="Times New Roman"/>
                <w:b/>
                <w:bCs/>
                <w:color w:val="auto"/>
                <w:sz w:val="21"/>
                <w:szCs w:val="21"/>
                <w:lang w:val="en-US" w:eastAsia="zh-CN"/>
              </w:rPr>
              <w:t>单位：</w:t>
            </w:r>
            <w:r>
              <w:rPr>
                <w:rFonts w:hint="default" w:ascii="Times New Roman" w:hAnsi="Times New Roman" w:eastAsia="宋体" w:cs="Times New Roman"/>
                <w:b/>
                <w:bCs/>
                <w:color w:val="auto"/>
                <w:highlight w:val="none"/>
                <w:lang w:val="en-US" w:eastAsia="zh-CN"/>
              </w:rPr>
              <w:t>m³/d</w:t>
            </w:r>
          </w:p>
          <w:tbl>
            <w:tblPr>
              <w:tblStyle w:val="29"/>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27"/>
              <w:gridCol w:w="1231"/>
              <w:gridCol w:w="1111"/>
              <w:gridCol w:w="959"/>
              <w:gridCol w:w="1068"/>
              <w:gridCol w:w="1215"/>
              <w:gridCol w:w="79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65" w:type="pct"/>
                  <w:vMerge w:val="restar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用排水项目</w:t>
                  </w:r>
                </w:p>
              </w:tc>
              <w:tc>
                <w:tcPr>
                  <w:tcW w:w="1480" w:type="pct"/>
                  <w:gridSpan w:val="2"/>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给水</w:t>
                  </w:r>
                </w:p>
              </w:tc>
              <w:tc>
                <w:tcPr>
                  <w:tcW w:w="2553" w:type="pct"/>
                  <w:gridSpan w:val="4"/>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排水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65" w:type="pct"/>
                  <w:vMerge w:val="continue"/>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778"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新鲜水</w:t>
                  </w:r>
                </w:p>
              </w:tc>
              <w:tc>
                <w:tcPr>
                  <w:tcW w:w="702"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循环水</w:t>
                  </w:r>
                </w:p>
              </w:tc>
              <w:tc>
                <w:tcPr>
                  <w:tcW w:w="606"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损耗</w:t>
                  </w:r>
                </w:p>
              </w:tc>
              <w:tc>
                <w:tcPr>
                  <w:tcW w:w="675"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回用</w:t>
                  </w:r>
                </w:p>
              </w:tc>
              <w:tc>
                <w:tcPr>
                  <w:tcW w:w="768"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绿化、洒水</w:t>
                  </w:r>
                </w:p>
              </w:tc>
              <w:tc>
                <w:tcPr>
                  <w:tcW w:w="503" w:type="pct"/>
                  <w:tcBorders>
                    <w:tl2br w:val="nil"/>
                    <w:tr2bl w:val="nil"/>
                  </w:tcBorders>
                  <w:shd w:val="clear" w:color="auto" w:fill="auto"/>
                  <w:noWrap w:val="0"/>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排放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65"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降尘用水</w:t>
                  </w:r>
                </w:p>
              </w:tc>
              <w:tc>
                <w:tcPr>
                  <w:tcW w:w="778"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100</w:t>
                  </w:r>
                </w:p>
              </w:tc>
              <w:tc>
                <w:tcPr>
                  <w:tcW w:w="702"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606"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100</w:t>
                  </w:r>
                </w:p>
              </w:tc>
              <w:tc>
                <w:tcPr>
                  <w:tcW w:w="675"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768"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503" w:type="pct"/>
                  <w:tcBorders>
                    <w:tl2br w:val="nil"/>
                    <w:tr2bl w:val="nil"/>
                  </w:tcBorders>
                  <w:shd w:val="clear" w:color="auto" w:fill="auto"/>
                  <w:noWrap w:val="0"/>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65"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回采高压水枪</w:t>
                  </w:r>
                </w:p>
              </w:tc>
              <w:tc>
                <w:tcPr>
                  <w:tcW w:w="778"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466.4</w:t>
                  </w:r>
                </w:p>
              </w:tc>
              <w:tc>
                <w:tcPr>
                  <w:tcW w:w="702"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4197.6</w:t>
                  </w:r>
                </w:p>
              </w:tc>
              <w:tc>
                <w:tcPr>
                  <w:tcW w:w="606"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466.4</w:t>
                  </w:r>
                </w:p>
              </w:tc>
              <w:tc>
                <w:tcPr>
                  <w:tcW w:w="675"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4197.6</w:t>
                  </w:r>
                </w:p>
              </w:tc>
              <w:tc>
                <w:tcPr>
                  <w:tcW w:w="768"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503" w:type="pct"/>
                  <w:tcBorders>
                    <w:tl2br w:val="nil"/>
                    <w:tr2bl w:val="nil"/>
                  </w:tcBorders>
                  <w:shd w:val="clear" w:color="auto" w:fill="auto"/>
                  <w:noWrap w:val="0"/>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65"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选矿工序</w:t>
                  </w:r>
                </w:p>
              </w:tc>
              <w:tc>
                <w:tcPr>
                  <w:tcW w:w="778"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34</w:t>
                  </w:r>
                  <w:r>
                    <w:rPr>
                      <w:rFonts w:hint="eastAsia" w:eastAsia="宋体" w:cs="Times New Roman"/>
                      <w:color w:val="auto"/>
                      <w:highlight w:val="none"/>
                      <w:lang w:val="en-US" w:eastAsia="zh-CN"/>
                    </w:rPr>
                    <w:t>3</w:t>
                  </w:r>
                </w:p>
              </w:tc>
              <w:tc>
                <w:tcPr>
                  <w:tcW w:w="702"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3090</w:t>
                  </w:r>
                </w:p>
              </w:tc>
              <w:tc>
                <w:tcPr>
                  <w:tcW w:w="1137" w:type="dxa"/>
                  <w:tcBorders>
                    <w:tl2br w:val="nil"/>
                    <w:tr2bl w:val="nil"/>
                  </w:tcBorders>
                  <w:noWrap w:val="0"/>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343</w:t>
                  </w:r>
                </w:p>
              </w:tc>
              <w:tc>
                <w:tcPr>
                  <w:tcW w:w="1266" w:type="dxa"/>
                  <w:tcBorders>
                    <w:tl2br w:val="nil"/>
                    <w:tr2bl w:val="nil"/>
                  </w:tcBorders>
                  <w:noWrap w:val="0"/>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3090</w:t>
                  </w:r>
                </w:p>
              </w:tc>
              <w:tc>
                <w:tcPr>
                  <w:tcW w:w="768"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503" w:type="pct"/>
                  <w:tcBorders>
                    <w:tl2br w:val="nil"/>
                    <w:tr2bl w:val="nil"/>
                  </w:tcBorders>
                  <w:shd w:val="clear" w:color="auto" w:fill="auto"/>
                  <w:noWrap w:val="0"/>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65"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办公生活</w:t>
                  </w:r>
                </w:p>
              </w:tc>
              <w:tc>
                <w:tcPr>
                  <w:tcW w:w="778"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1.2</w:t>
                  </w:r>
                </w:p>
              </w:tc>
              <w:tc>
                <w:tcPr>
                  <w:tcW w:w="702"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606"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0.24</w:t>
                  </w:r>
                </w:p>
              </w:tc>
              <w:tc>
                <w:tcPr>
                  <w:tcW w:w="675"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768"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0.96</w:t>
                  </w:r>
                </w:p>
              </w:tc>
              <w:tc>
                <w:tcPr>
                  <w:tcW w:w="503" w:type="pct"/>
                  <w:tcBorders>
                    <w:tl2br w:val="nil"/>
                    <w:tr2bl w:val="nil"/>
                  </w:tcBorders>
                  <w:shd w:val="clear" w:color="auto" w:fill="auto"/>
                  <w:noWrap w:val="0"/>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65"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小计</w:t>
                  </w:r>
                </w:p>
              </w:tc>
              <w:tc>
                <w:tcPr>
                  <w:tcW w:w="121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910.6</w:t>
                  </w:r>
                </w:p>
              </w:tc>
              <w:tc>
                <w:tcPr>
                  <w:tcW w:w="109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7287.6</w:t>
                  </w:r>
                </w:p>
              </w:tc>
              <w:tc>
                <w:tcPr>
                  <w:tcW w:w="94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909.64</w:t>
                  </w:r>
                </w:p>
              </w:tc>
              <w:tc>
                <w:tcPr>
                  <w:tcW w:w="105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7287.6</w:t>
                  </w:r>
                </w:p>
              </w:tc>
              <w:tc>
                <w:tcPr>
                  <w:tcW w:w="120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0.96</w:t>
                  </w:r>
                </w:p>
              </w:tc>
              <w:tc>
                <w:tcPr>
                  <w:tcW w:w="503" w:type="pct"/>
                  <w:tcBorders>
                    <w:tl2br w:val="nil"/>
                    <w:tr2bl w:val="nil"/>
                  </w:tcBorders>
                  <w:shd w:val="clear" w:color="auto" w:fill="auto"/>
                  <w:noWrap w:val="0"/>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65" w:type="pct"/>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合计</w:t>
                  </w:r>
                </w:p>
              </w:tc>
              <w:tc>
                <w:tcPr>
                  <w:tcW w:w="1480" w:type="pct"/>
                  <w:gridSpan w:val="2"/>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8198.2</w:t>
                  </w:r>
                </w:p>
              </w:tc>
              <w:tc>
                <w:tcPr>
                  <w:tcW w:w="2553" w:type="pct"/>
                  <w:gridSpan w:val="4"/>
                  <w:tcBorders>
                    <w:tl2br w:val="nil"/>
                    <w:tr2bl w:val="nil"/>
                  </w:tcBorders>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8198.2</w:t>
                  </w:r>
                </w:p>
              </w:tc>
            </w:tr>
          </w:tbl>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sz w:val="21"/>
                <w:szCs w:val="21"/>
              </w:rPr>
            </w:pPr>
            <w:r>
              <w:rPr>
                <w:color w:val="auto"/>
              </w:rPr>
              <w:drawing>
                <wp:inline distT="0" distB="0" distL="114300" distR="114300">
                  <wp:extent cx="4796155" cy="3213100"/>
                  <wp:effectExtent l="0" t="0" r="4445" b="6350"/>
                  <wp:docPr id="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8"/>
                          <pic:cNvPicPr>
                            <a:picLocks noChangeAspect="1"/>
                          </pic:cNvPicPr>
                        </pic:nvPicPr>
                        <pic:blipFill>
                          <a:blip r:embed="rId7"/>
                          <a:stretch>
                            <a:fillRect/>
                          </a:stretch>
                        </pic:blipFill>
                        <pic:spPr>
                          <a:xfrm>
                            <a:off x="0" y="0"/>
                            <a:ext cx="4796155" cy="32131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图</w:t>
            </w:r>
            <w:r>
              <w:rPr>
                <w:rFonts w:hint="default" w:ascii="Times New Roman" w:hAnsi="Times New Roman" w:eastAsia="宋体" w:cs="Times New Roman"/>
                <w:b/>
                <w:bCs/>
                <w:color w:val="auto"/>
                <w:sz w:val="21"/>
                <w:szCs w:val="21"/>
                <w:highlight w:val="none"/>
                <w:lang w:val="en-US" w:eastAsia="zh-CN"/>
              </w:rPr>
              <w:t xml:space="preserve">2.1-1  </w:t>
            </w:r>
            <w:r>
              <w:rPr>
                <w:rFonts w:hint="default" w:ascii="Times New Roman" w:hAnsi="Times New Roman" w:cs="Times New Roman"/>
                <w:b/>
                <w:bCs/>
                <w:color w:val="auto"/>
                <w:sz w:val="21"/>
                <w:szCs w:val="21"/>
                <w:highlight w:val="none"/>
                <w:lang w:val="en-US" w:eastAsia="zh-CN"/>
              </w:rPr>
              <w:t>本</w:t>
            </w:r>
            <w:r>
              <w:rPr>
                <w:rFonts w:hint="default" w:ascii="Times New Roman" w:hAnsi="Times New Roman" w:eastAsia="宋体" w:cs="Times New Roman"/>
                <w:b/>
                <w:bCs/>
                <w:color w:val="auto"/>
                <w:sz w:val="21"/>
                <w:szCs w:val="21"/>
                <w:highlight w:val="none"/>
                <w:lang w:eastAsia="zh-CN"/>
              </w:rPr>
              <w:t>项目给、排水平衡</w:t>
            </w:r>
            <w:r>
              <w:rPr>
                <w:rFonts w:hint="default" w:ascii="Times New Roman" w:hAnsi="Times New Roman" w:eastAsia="宋体" w:cs="Times New Roman"/>
                <w:b/>
                <w:bCs/>
                <w:color w:val="auto"/>
                <w:sz w:val="21"/>
                <w:szCs w:val="21"/>
                <w:highlight w:val="none"/>
              </w:rPr>
              <w:t>图（单位：</w:t>
            </w:r>
            <w:r>
              <w:rPr>
                <w:rFonts w:hint="default" w:ascii="Times New Roman" w:hAnsi="Times New Roman" w:eastAsia="宋体" w:cs="Times New Roman"/>
                <w:b/>
                <w:bCs/>
                <w:color w:val="auto"/>
                <w:sz w:val="21"/>
                <w:szCs w:val="21"/>
                <w:highlight w:val="none"/>
                <w:lang w:eastAsia="zh-CN"/>
              </w:rPr>
              <w:t>m³</w:t>
            </w:r>
            <w:r>
              <w:rPr>
                <w:rFonts w:hint="default" w:ascii="Times New Roman" w:hAnsi="Times New Roman" w:eastAsia="宋体" w:cs="Times New Roman"/>
                <w:b/>
                <w:bCs/>
                <w:color w:val="auto"/>
                <w:sz w:val="21"/>
                <w:szCs w:val="21"/>
                <w:highlight w:val="none"/>
              </w:rPr>
              <w:t>/</w:t>
            </w:r>
            <w:r>
              <w:rPr>
                <w:rFonts w:hint="default" w:ascii="Times New Roman" w:hAnsi="Times New Roman" w:eastAsia="宋体" w:cs="Times New Roman"/>
                <w:b/>
                <w:bCs/>
                <w:color w:val="auto"/>
                <w:sz w:val="21"/>
                <w:szCs w:val="21"/>
                <w:highlight w:val="none"/>
                <w:lang w:val="en-US" w:eastAsia="zh-CN"/>
              </w:rPr>
              <w:t>d</w:t>
            </w:r>
            <w:r>
              <w:rPr>
                <w:rFonts w:hint="default" w:ascii="Times New Roman" w:hAnsi="Times New Roman" w:eastAsia="宋体" w:cs="Times New Roman"/>
                <w:b/>
                <w:bCs/>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eastAsia="zh-CN"/>
              </w:rPr>
              <w:t>表</w:t>
            </w:r>
            <w:r>
              <w:rPr>
                <w:rFonts w:hint="default" w:ascii="Times New Roman" w:hAnsi="Times New Roman" w:eastAsia="宋体" w:cs="Times New Roman"/>
                <w:b/>
                <w:bCs/>
                <w:color w:val="auto"/>
                <w:sz w:val="21"/>
                <w:szCs w:val="21"/>
                <w:lang w:val="en-US" w:eastAsia="zh-CN"/>
              </w:rPr>
              <w:t>2-</w:t>
            </w:r>
            <w:r>
              <w:rPr>
                <w:rFonts w:hint="default" w:ascii="Times New Roman" w:hAnsi="Times New Roman" w:cs="Times New Roman"/>
                <w:b/>
                <w:bCs/>
                <w:color w:val="auto"/>
                <w:sz w:val="21"/>
                <w:szCs w:val="21"/>
                <w:lang w:val="en-US" w:eastAsia="zh-CN"/>
              </w:rPr>
              <w:t xml:space="preserve">10   </w:t>
            </w:r>
            <w:r>
              <w:rPr>
                <w:rFonts w:hint="eastAsia" w:cs="Times New Roman"/>
                <w:b/>
                <w:bCs/>
                <w:color w:val="auto"/>
                <w:sz w:val="21"/>
                <w:szCs w:val="21"/>
                <w:lang w:val="en-US" w:eastAsia="zh-CN"/>
              </w:rPr>
              <w:t>全厂</w:t>
            </w:r>
            <w:r>
              <w:rPr>
                <w:rFonts w:hint="default" w:ascii="Times New Roman" w:hAnsi="Times New Roman" w:eastAsia="宋体" w:cs="Times New Roman"/>
                <w:b/>
                <w:bCs/>
                <w:color w:val="auto"/>
                <w:sz w:val="21"/>
                <w:szCs w:val="21"/>
                <w:lang w:eastAsia="zh-CN"/>
              </w:rPr>
              <w:t>给、排水平衡表</w:t>
            </w:r>
            <w:r>
              <w:rPr>
                <w:rFonts w:hint="eastAsia" w:ascii="Times New Roman" w:hAnsi="Times New Roman" w:eastAsia="宋体" w:cs="Times New Roman"/>
                <w:b/>
                <w:bCs/>
                <w:color w:val="auto"/>
                <w:sz w:val="21"/>
                <w:szCs w:val="21"/>
                <w:lang w:val="en-US" w:eastAsia="zh-CN"/>
              </w:rPr>
              <w:t xml:space="preserve">       单位：</w:t>
            </w:r>
            <w:r>
              <w:rPr>
                <w:rFonts w:hint="default" w:ascii="Times New Roman" w:hAnsi="Times New Roman" w:eastAsia="宋体" w:cs="Times New Roman"/>
                <w:b/>
                <w:bCs/>
                <w:color w:val="auto"/>
                <w:highlight w:val="none"/>
                <w:lang w:val="en-US" w:eastAsia="zh-CN"/>
              </w:rPr>
              <w:t>m³/d</w:t>
            </w:r>
          </w:p>
          <w:tbl>
            <w:tblPr>
              <w:tblStyle w:val="2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45"/>
              <w:gridCol w:w="1936"/>
              <w:gridCol w:w="1295"/>
              <w:gridCol w:w="941"/>
              <w:gridCol w:w="996"/>
              <w:gridCol w:w="913"/>
              <w:gridCol w:w="762"/>
              <w:gridCol w:w="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406" w:type="pct"/>
                  <w:vMerge w:val="restart"/>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工程</w:t>
                  </w:r>
                </w:p>
              </w:tc>
              <w:tc>
                <w:tcPr>
                  <w:tcW w:w="1220" w:type="pct"/>
                  <w:vMerge w:val="restart"/>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用排水项目</w:t>
                  </w:r>
                </w:p>
              </w:tc>
              <w:tc>
                <w:tcPr>
                  <w:tcW w:w="1410" w:type="pct"/>
                  <w:gridSpan w:val="2"/>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给水</w:t>
                  </w:r>
                </w:p>
              </w:tc>
              <w:tc>
                <w:tcPr>
                  <w:tcW w:w="1962" w:type="pct"/>
                  <w:gridSpan w:val="4"/>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排水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406" w:type="pct"/>
                  <w:vMerge w:val="continue"/>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1220" w:type="pct"/>
                  <w:vMerge w:val="continue"/>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816" w:type="pct"/>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新鲜水</w:t>
                  </w:r>
                </w:p>
              </w:tc>
              <w:tc>
                <w:tcPr>
                  <w:tcW w:w="593" w:type="pct"/>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循环水</w:t>
                  </w:r>
                </w:p>
              </w:tc>
              <w:tc>
                <w:tcPr>
                  <w:tcW w:w="628" w:type="pct"/>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损耗</w:t>
                  </w:r>
                </w:p>
              </w:tc>
              <w:tc>
                <w:tcPr>
                  <w:tcW w:w="575" w:type="pct"/>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回用</w:t>
                  </w:r>
                </w:p>
              </w:tc>
              <w:tc>
                <w:tcPr>
                  <w:tcW w:w="480" w:type="pct"/>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绿化、洒水</w:t>
                  </w:r>
                </w:p>
              </w:tc>
              <w:tc>
                <w:tcPr>
                  <w:tcW w:w="278" w:type="pct"/>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406" w:type="pct"/>
                  <w:vMerge w:val="restart"/>
                  <w:shd w:val="clear" w:color="auto" w:fill="auto"/>
                  <w:vAlign w:val="center"/>
                </w:tcPr>
                <w:p>
                  <w:pPr>
                    <w:pStyle w:val="87"/>
                    <w:keepNext w:val="0"/>
                    <w:keepLines w:val="0"/>
                    <w:widowControl/>
                    <w:suppressLineNumbers w:val="0"/>
                    <w:bidi w:val="0"/>
                    <w:spacing w:before="0" w:beforeAutospacing="0" w:after="0" w:afterAutospacing="0"/>
                    <w:ind w:left="0" w:right="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本项目</w:t>
                  </w:r>
                </w:p>
              </w:tc>
              <w:tc>
                <w:tcPr>
                  <w:tcW w:w="1220" w:type="pct"/>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降尘用水</w:t>
                  </w:r>
                </w:p>
              </w:tc>
              <w:tc>
                <w:tcPr>
                  <w:tcW w:w="816"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100</w:t>
                  </w:r>
                </w:p>
              </w:tc>
              <w:tc>
                <w:tcPr>
                  <w:tcW w:w="593"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p>
              </w:tc>
              <w:tc>
                <w:tcPr>
                  <w:tcW w:w="628"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100</w:t>
                  </w:r>
                </w:p>
              </w:tc>
              <w:tc>
                <w:tcPr>
                  <w:tcW w:w="575"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480"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278" w:type="pct"/>
                  <w:shd w:val="clear" w:color="auto" w:fill="auto"/>
                  <w:noWrap/>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406" w:type="pct"/>
                  <w:vMerge w:val="continue"/>
                  <w:shd w:val="clear" w:color="auto" w:fill="auto"/>
                  <w:vAlign w:val="center"/>
                </w:tcPr>
                <w:p>
                  <w:pPr>
                    <w:pStyle w:val="87"/>
                    <w:keepNext w:val="0"/>
                    <w:keepLines w:val="0"/>
                    <w:widowControl/>
                    <w:suppressLineNumbers w:val="0"/>
                    <w:bidi w:val="0"/>
                    <w:spacing w:before="0" w:beforeAutospacing="0" w:after="0" w:afterAutospacing="0"/>
                    <w:ind w:left="0" w:right="0"/>
                    <w:rPr>
                      <w:rFonts w:hint="eastAsia" w:ascii="Times New Roman" w:hAnsi="Times New Roman" w:eastAsia="宋体" w:cs="Times New Roman"/>
                      <w:color w:val="auto"/>
                      <w:highlight w:val="none"/>
                      <w:lang w:val="en-US" w:eastAsia="zh-CN"/>
                    </w:rPr>
                  </w:pPr>
                </w:p>
              </w:tc>
              <w:tc>
                <w:tcPr>
                  <w:tcW w:w="1220" w:type="pct"/>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回采高压水枪</w:t>
                  </w:r>
                </w:p>
              </w:tc>
              <w:tc>
                <w:tcPr>
                  <w:tcW w:w="816"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466.4</w:t>
                  </w:r>
                </w:p>
              </w:tc>
              <w:tc>
                <w:tcPr>
                  <w:tcW w:w="593"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4197.6</w:t>
                  </w:r>
                </w:p>
              </w:tc>
              <w:tc>
                <w:tcPr>
                  <w:tcW w:w="628"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466.4</w:t>
                  </w:r>
                </w:p>
              </w:tc>
              <w:tc>
                <w:tcPr>
                  <w:tcW w:w="575"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4197.6</w:t>
                  </w:r>
                </w:p>
              </w:tc>
              <w:tc>
                <w:tcPr>
                  <w:tcW w:w="480"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278" w:type="pct"/>
                  <w:shd w:val="clear" w:color="auto" w:fill="auto"/>
                  <w:noWrap/>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406" w:type="pct"/>
                  <w:vMerge w:val="continue"/>
                  <w:shd w:val="clear" w:color="auto" w:fill="auto"/>
                  <w:vAlign w:val="center"/>
                </w:tcPr>
                <w:p>
                  <w:pPr>
                    <w:pStyle w:val="87"/>
                    <w:keepNext w:val="0"/>
                    <w:keepLines w:val="0"/>
                    <w:widowControl/>
                    <w:suppressLineNumbers w:val="0"/>
                    <w:bidi w:val="0"/>
                    <w:spacing w:before="0" w:beforeAutospacing="0" w:after="0" w:afterAutospacing="0"/>
                    <w:ind w:left="0" w:right="0"/>
                    <w:rPr>
                      <w:rFonts w:hint="eastAsia" w:ascii="Times New Roman" w:hAnsi="Times New Roman" w:eastAsia="宋体" w:cs="Times New Roman"/>
                      <w:color w:val="auto"/>
                      <w:highlight w:val="none"/>
                      <w:lang w:val="en-US" w:eastAsia="zh-CN"/>
                    </w:rPr>
                  </w:pPr>
                </w:p>
              </w:tc>
              <w:tc>
                <w:tcPr>
                  <w:tcW w:w="1220" w:type="pct"/>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选矿工序</w:t>
                  </w:r>
                </w:p>
              </w:tc>
              <w:tc>
                <w:tcPr>
                  <w:tcW w:w="816"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34</w:t>
                  </w:r>
                  <w:r>
                    <w:rPr>
                      <w:rFonts w:hint="eastAsia" w:eastAsia="宋体" w:cs="Times New Roman"/>
                      <w:color w:val="auto"/>
                      <w:highlight w:val="none"/>
                      <w:lang w:val="en-US" w:eastAsia="zh-CN"/>
                    </w:rPr>
                    <w:t>3</w:t>
                  </w:r>
                </w:p>
              </w:tc>
              <w:tc>
                <w:tcPr>
                  <w:tcW w:w="593"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3090</w:t>
                  </w:r>
                </w:p>
              </w:tc>
              <w:tc>
                <w:tcPr>
                  <w:tcW w:w="628"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343</w:t>
                  </w:r>
                </w:p>
              </w:tc>
              <w:tc>
                <w:tcPr>
                  <w:tcW w:w="575"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3090</w:t>
                  </w:r>
                </w:p>
              </w:tc>
              <w:tc>
                <w:tcPr>
                  <w:tcW w:w="480"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278" w:type="pct"/>
                  <w:shd w:val="clear" w:color="auto" w:fill="auto"/>
                  <w:noWrap/>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406" w:type="pct"/>
                  <w:vMerge w:val="continue"/>
                  <w:shd w:val="clear" w:color="auto" w:fill="auto"/>
                  <w:vAlign w:val="center"/>
                </w:tcPr>
                <w:p>
                  <w:pPr>
                    <w:pStyle w:val="87"/>
                    <w:keepNext w:val="0"/>
                    <w:keepLines w:val="0"/>
                    <w:widowControl/>
                    <w:suppressLineNumbers w:val="0"/>
                    <w:bidi w:val="0"/>
                    <w:spacing w:before="0" w:beforeAutospacing="0" w:after="0" w:afterAutospacing="0"/>
                    <w:ind w:left="0" w:right="0"/>
                    <w:rPr>
                      <w:rFonts w:hint="eastAsia" w:ascii="Times New Roman" w:hAnsi="Times New Roman" w:eastAsia="宋体" w:cs="Times New Roman"/>
                      <w:color w:val="auto"/>
                      <w:highlight w:val="none"/>
                      <w:lang w:val="en-US" w:eastAsia="zh-CN"/>
                    </w:rPr>
                  </w:pPr>
                </w:p>
              </w:tc>
              <w:tc>
                <w:tcPr>
                  <w:tcW w:w="1220" w:type="pct"/>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办公生活</w:t>
                  </w:r>
                </w:p>
              </w:tc>
              <w:tc>
                <w:tcPr>
                  <w:tcW w:w="816"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1.2</w:t>
                  </w:r>
                </w:p>
              </w:tc>
              <w:tc>
                <w:tcPr>
                  <w:tcW w:w="593"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628"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0.24</w:t>
                  </w:r>
                </w:p>
              </w:tc>
              <w:tc>
                <w:tcPr>
                  <w:tcW w:w="575"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480"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0.96</w:t>
                  </w:r>
                </w:p>
              </w:tc>
              <w:tc>
                <w:tcPr>
                  <w:tcW w:w="278" w:type="pct"/>
                  <w:shd w:val="clear" w:color="auto" w:fill="auto"/>
                  <w:noWrap/>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406" w:type="pct"/>
                  <w:vMerge w:val="restart"/>
                  <w:shd w:val="clear" w:color="auto" w:fill="auto"/>
                  <w:vAlign w:val="center"/>
                </w:tcPr>
                <w:p>
                  <w:pPr>
                    <w:pStyle w:val="87"/>
                    <w:keepNext w:val="0"/>
                    <w:keepLines w:val="0"/>
                    <w:widowControl/>
                    <w:suppressLineNumbers w:val="0"/>
                    <w:bidi w:val="0"/>
                    <w:spacing w:before="0" w:beforeAutospacing="0" w:after="0" w:afterAutospacing="0"/>
                    <w:ind w:left="0" w:right="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原有工程</w:t>
                  </w:r>
                </w:p>
              </w:tc>
              <w:tc>
                <w:tcPr>
                  <w:tcW w:w="1220" w:type="pct"/>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选矿用水</w:t>
                  </w:r>
                </w:p>
              </w:tc>
              <w:tc>
                <w:tcPr>
                  <w:tcW w:w="816"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222.96</w:t>
                  </w:r>
                </w:p>
              </w:tc>
              <w:tc>
                <w:tcPr>
                  <w:tcW w:w="593"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1198.32</w:t>
                  </w:r>
                </w:p>
              </w:tc>
              <w:tc>
                <w:tcPr>
                  <w:tcW w:w="628"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222.96</w:t>
                  </w:r>
                </w:p>
              </w:tc>
              <w:tc>
                <w:tcPr>
                  <w:tcW w:w="575"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1198.32</w:t>
                  </w:r>
                </w:p>
              </w:tc>
              <w:tc>
                <w:tcPr>
                  <w:tcW w:w="480"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278"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406" w:type="pct"/>
                  <w:vMerge w:val="continue"/>
                  <w:shd w:val="clear" w:color="auto" w:fill="auto"/>
                  <w:vAlign w:val="center"/>
                </w:tcPr>
                <w:p>
                  <w:pPr>
                    <w:pStyle w:val="87"/>
                    <w:keepNext w:val="0"/>
                    <w:keepLines w:val="0"/>
                    <w:widowControl/>
                    <w:suppressLineNumbers w:val="0"/>
                    <w:bidi w:val="0"/>
                    <w:spacing w:before="0" w:beforeAutospacing="0" w:after="0" w:afterAutospacing="0"/>
                    <w:ind w:left="0" w:right="0"/>
                    <w:rPr>
                      <w:rFonts w:hint="eastAsia" w:ascii="Times New Roman" w:hAnsi="Times New Roman" w:eastAsia="宋体" w:cs="Times New Roman"/>
                      <w:color w:val="auto"/>
                      <w:highlight w:val="none"/>
                      <w:lang w:val="en-US" w:eastAsia="zh-CN"/>
                    </w:rPr>
                  </w:pPr>
                </w:p>
              </w:tc>
              <w:tc>
                <w:tcPr>
                  <w:tcW w:w="1220" w:type="pct"/>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浇洒道路及绿化用水</w:t>
                  </w:r>
                </w:p>
              </w:tc>
              <w:tc>
                <w:tcPr>
                  <w:tcW w:w="816"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24.86</w:t>
                  </w:r>
                </w:p>
              </w:tc>
              <w:tc>
                <w:tcPr>
                  <w:tcW w:w="593"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5.38</w:t>
                  </w:r>
                </w:p>
              </w:tc>
              <w:tc>
                <w:tcPr>
                  <w:tcW w:w="628"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30.24</w:t>
                  </w:r>
                </w:p>
              </w:tc>
              <w:tc>
                <w:tcPr>
                  <w:tcW w:w="575"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480"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278"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406" w:type="pct"/>
                  <w:vMerge w:val="continue"/>
                  <w:shd w:val="clear" w:color="auto" w:fill="auto"/>
                  <w:vAlign w:val="center"/>
                </w:tcPr>
                <w:p>
                  <w:pPr>
                    <w:pStyle w:val="87"/>
                    <w:keepNext w:val="0"/>
                    <w:keepLines w:val="0"/>
                    <w:widowControl/>
                    <w:suppressLineNumbers w:val="0"/>
                    <w:bidi w:val="0"/>
                    <w:spacing w:before="0" w:beforeAutospacing="0" w:after="0" w:afterAutospacing="0"/>
                    <w:ind w:left="0" w:right="0"/>
                    <w:rPr>
                      <w:rFonts w:hint="eastAsia" w:ascii="Times New Roman" w:hAnsi="Times New Roman" w:eastAsia="宋体" w:cs="Times New Roman"/>
                      <w:color w:val="auto"/>
                      <w:highlight w:val="none"/>
                      <w:lang w:val="en-US" w:eastAsia="zh-CN"/>
                    </w:rPr>
                  </w:pPr>
                </w:p>
              </w:tc>
              <w:tc>
                <w:tcPr>
                  <w:tcW w:w="1220" w:type="pct"/>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生活用水</w:t>
                  </w:r>
                </w:p>
              </w:tc>
              <w:tc>
                <w:tcPr>
                  <w:tcW w:w="816"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6.72</w:t>
                  </w:r>
                </w:p>
              </w:tc>
              <w:tc>
                <w:tcPr>
                  <w:tcW w:w="593"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628"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1.34</w:t>
                  </w:r>
                </w:p>
              </w:tc>
              <w:tc>
                <w:tcPr>
                  <w:tcW w:w="575"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480"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5.38</w:t>
                  </w:r>
                </w:p>
              </w:tc>
              <w:tc>
                <w:tcPr>
                  <w:tcW w:w="278"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406" w:type="pct"/>
                  <w:vMerge w:val="continue"/>
                  <w:shd w:val="clear" w:color="auto" w:fill="auto"/>
                  <w:vAlign w:val="center"/>
                </w:tcPr>
                <w:p>
                  <w:pPr>
                    <w:pStyle w:val="87"/>
                    <w:keepNext w:val="0"/>
                    <w:keepLines w:val="0"/>
                    <w:widowControl/>
                    <w:suppressLineNumbers w:val="0"/>
                    <w:bidi w:val="0"/>
                    <w:spacing w:before="0" w:beforeAutospacing="0" w:after="0" w:afterAutospacing="0"/>
                    <w:ind w:left="0" w:right="0"/>
                    <w:rPr>
                      <w:rFonts w:hint="eastAsia" w:ascii="Times New Roman" w:hAnsi="Times New Roman" w:eastAsia="宋体" w:cs="Times New Roman"/>
                      <w:color w:val="auto"/>
                      <w:highlight w:val="none"/>
                      <w:lang w:val="en-US" w:eastAsia="zh-CN"/>
                    </w:rPr>
                  </w:pPr>
                </w:p>
              </w:tc>
              <w:tc>
                <w:tcPr>
                  <w:tcW w:w="1220" w:type="pct"/>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eastAsia" w:eastAsia="宋体" w:cs="Times New Roman"/>
                      <w:color w:val="auto"/>
                      <w:highlight w:val="none"/>
                      <w:lang w:val="en-US" w:eastAsia="zh-CN"/>
                    </w:rPr>
                    <w:t>辅助建筑用水</w:t>
                  </w:r>
                </w:p>
              </w:tc>
              <w:tc>
                <w:tcPr>
                  <w:tcW w:w="816"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72</w:t>
                  </w:r>
                </w:p>
              </w:tc>
              <w:tc>
                <w:tcPr>
                  <w:tcW w:w="593"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0</w:t>
                  </w:r>
                </w:p>
              </w:tc>
              <w:tc>
                <w:tcPr>
                  <w:tcW w:w="628"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72</w:t>
                  </w:r>
                </w:p>
              </w:tc>
              <w:tc>
                <w:tcPr>
                  <w:tcW w:w="575"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0</w:t>
                  </w:r>
                </w:p>
              </w:tc>
              <w:tc>
                <w:tcPr>
                  <w:tcW w:w="480"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0</w:t>
                  </w:r>
                </w:p>
              </w:tc>
              <w:tc>
                <w:tcPr>
                  <w:tcW w:w="278"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406" w:type="pct"/>
                  <w:vMerge w:val="continue"/>
                  <w:shd w:val="clear" w:color="auto" w:fill="auto"/>
                  <w:vAlign w:val="center"/>
                </w:tcPr>
                <w:p>
                  <w:pPr>
                    <w:pStyle w:val="87"/>
                    <w:keepNext w:val="0"/>
                    <w:keepLines w:val="0"/>
                    <w:widowControl/>
                    <w:suppressLineNumbers w:val="0"/>
                    <w:bidi w:val="0"/>
                    <w:spacing w:before="0" w:beforeAutospacing="0" w:after="0" w:afterAutospacing="0"/>
                    <w:ind w:left="0" w:right="0"/>
                    <w:rPr>
                      <w:rFonts w:hint="eastAsia" w:ascii="Times New Roman" w:hAnsi="Times New Roman" w:eastAsia="宋体" w:cs="Times New Roman"/>
                      <w:color w:val="auto"/>
                      <w:highlight w:val="none"/>
                      <w:lang w:val="en-US" w:eastAsia="zh-CN"/>
                    </w:rPr>
                  </w:pPr>
                </w:p>
              </w:tc>
              <w:tc>
                <w:tcPr>
                  <w:tcW w:w="1220" w:type="pct"/>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未预见用水</w:t>
                  </w:r>
                </w:p>
              </w:tc>
              <w:tc>
                <w:tcPr>
                  <w:tcW w:w="816"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36.48</w:t>
                  </w:r>
                </w:p>
              </w:tc>
              <w:tc>
                <w:tcPr>
                  <w:tcW w:w="593"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628"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36.48</w:t>
                  </w:r>
                </w:p>
              </w:tc>
              <w:tc>
                <w:tcPr>
                  <w:tcW w:w="575"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p>
              </w:tc>
              <w:tc>
                <w:tcPr>
                  <w:tcW w:w="480"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p>
              </w:tc>
              <w:tc>
                <w:tcPr>
                  <w:tcW w:w="278" w:type="pct"/>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1627" w:type="pct"/>
                  <w:gridSpan w:val="2"/>
                  <w:shd w:val="clear" w:color="auto" w:fill="auto"/>
                  <w:noWrap/>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b/>
                      <w:bCs/>
                      <w:color w:val="auto"/>
                      <w:highlight w:val="none"/>
                      <w:lang w:val="en-US" w:eastAsia="zh-CN"/>
                    </w:rPr>
                    <w:t>合计</w:t>
                  </w:r>
                </w:p>
              </w:tc>
              <w:tc>
                <w:tcPr>
                  <w:tcW w:w="1295" w:type="dxa"/>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1273.62</w:t>
                  </w:r>
                </w:p>
              </w:tc>
              <w:tc>
                <w:tcPr>
                  <w:tcW w:w="941" w:type="dxa"/>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8491.3</w:t>
                  </w:r>
                </w:p>
              </w:tc>
              <w:tc>
                <w:tcPr>
                  <w:tcW w:w="996" w:type="dxa"/>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1272.66</w:t>
                  </w:r>
                </w:p>
              </w:tc>
              <w:tc>
                <w:tcPr>
                  <w:tcW w:w="913" w:type="dxa"/>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8485.92</w:t>
                  </w:r>
                </w:p>
              </w:tc>
              <w:tc>
                <w:tcPr>
                  <w:tcW w:w="762" w:type="dxa"/>
                  <w:shd w:val="clear" w:color="auto" w:fill="auto"/>
                  <w:noWrap/>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6.34</w:t>
                  </w:r>
                </w:p>
              </w:tc>
              <w:tc>
                <w:tcPr>
                  <w:tcW w:w="278" w:type="pct"/>
                  <w:shd w:val="clear" w:color="auto" w:fill="auto"/>
                  <w:noWrap/>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r>
          </w:tbl>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sz w:val="21"/>
                <w:szCs w:val="21"/>
                <w:highlight w:val="yellow"/>
              </w:rPr>
            </w:pPr>
            <w:r>
              <w:rPr>
                <w:color w:val="auto"/>
              </w:rPr>
              <w:drawing>
                <wp:inline distT="0" distB="0" distL="114300" distR="114300">
                  <wp:extent cx="4022090" cy="4615815"/>
                  <wp:effectExtent l="0" t="0" r="16510" b="13335"/>
                  <wp:docPr id="1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9"/>
                          <pic:cNvPicPr>
                            <a:picLocks noChangeAspect="1"/>
                          </pic:cNvPicPr>
                        </pic:nvPicPr>
                        <pic:blipFill>
                          <a:blip r:embed="rId8"/>
                          <a:stretch>
                            <a:fillRect/>
                          </a:stretch>
                        </pic:blipFill>
                        <pic:spPr>
                          <a:xfrm>
                            <a:off x="0" y="0"/>
                            <a:ext cx="4022090" cy="461581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sz w:val="21"/>
                <w:szCs w:val="21"/>
                <w:highlight w:val="yellow"/>
                <w:lang w:val="en-US" w:eastAsia="zh-CN"/>
              </w:rPr>
            </w:pPr>
            <w:r>
              <w:rPr>
                <w:rFonts w:hint="default" w:ascii="Times New Roman" w:hAnsi="Times New Roman" w:eastAsia="宋体" w:cs="Times New Roman"/>
                <w:b/>
                <w:bCs/>
                <w:color w:val="auto"/>
                <w:sz w:val="21"/>
                <w:szCs w:val="21"/>
                <w:highlight w:val="none"/>
              </w:rPr>
              <w:t>图</w:t>
            </w:r>
            <w:r>
              <w:rPr>
                <w:rFonts w:hint="default" w:ascii="Times New Roman" w:hAnsi="Times New Roman" w:eastAsia="宋体" w:cs="Times New Roman"/>
                <w:b/>
                <w:bCs/>
                <w:color w:val="auto"/>
                <w:sz w:val="21"/>
                <w:szCs w:val="21"/>
                <w:highlight w:val="none"/>
                <w:lang w:val="en-US" w:eastAsia="zh-CN"/>
              </w:rPr>
              <w:t xml:space="preserve">2.1-2  </w:t>
            </w:r>
            <w:r>
              <w:rPr>
                <w:rFonts w:hint="default" w:ascii="Times New Roman" w:hAnsi="Times New Roman" w:cs="Times New Roman"/>
                <w:b/>
                <w:bCs/>
                <w:color w:val="auto"/>
                <w:sz w:val="21"/>
                <w:szCs w:val="21"/>
                <w:highlight w:val="none"/>
                <w:lang w:val="en-US" w:eastAsia="zh-CN"/>
              </w:rPr>
              <w:t>全厂水平衡图</w:t>
            </w:r>
            <w:r>
              <w:rPr>
                <w:rFonts w:hint="default" w:ascii="Times New Roman" w:hAnsi="Times New Roman" w:eastAsia="宋体" w:cs="Times New Roman"/>
                <w:b/>
                <w:bCs/>
                <w:color w:val="auto"/>
                <w:sz w:val="21"/>
                <w:szCs w:val="21"/>
                <w:highlight w:val="none"/>
              </w:rPr>
              <w:t>（单位：</w:t>
            </w:r>
            <w:r>
              <w:rPr>
                <w:rFonts w:hint="default" w:ascii="Times New Roman" w:hAnsi="Times New Roman" w:eastAsia="宋体" w:cs="Times New Roman"/>
                <w:b/>
                <w:bCs/>
                <w:color w:val="auto"/>
                <w:sz w:val="21"/>
                <w:szCs w:val="21"/>
                <w:highlight w:val="none"/>
                <w:lang w:eastAsia="zh-CN"/>
              </w:rPr>
              <w:t>m³</w:t>
            </w:r>
            <w:r>
              <w:rPr>
                <w:rFonts w:hint="default" w:ascii="Times New Roman" w:hAnsi="Times New Roman" w:eastAsia="宋体" w:cs="Times New Roman"/>
                <w:b/>
                <w:bCs/>
                <w:color w:val="auto"/>
                <w:sz w:val="21"/>
                <w:szCs w:val="21"/>
                <w:highlight w:val="none"/>
              </w:rPr>
              <w:t>/</w:t>
            </w:r>
            <w:r>
              <w:rPr>
                <w:rFonts w:hint="default" w:ascii="Times New Roman" w:hAnsi="Times New Roman" w:eastAsia="宋体" w:cs="Times New Roman"/>
                <w:b/>
                <w:bCs/>
                <w:color w:val="auto"/>
                <w:sz w:val="21"/>
                <w:szCs w:val="21"/>
                <w:highlight w:val="none"/>
                <w:lang w:val="en-US" w:eastAsia="zh-CN"/>
              </w:rPr>
              <w:t>d</w:t>
            </w:r>
            <w:r>
              <w:rPr>
                <w:rFonts w:hint="default" w:ascii="Times New Roman" w:hAnsi="Times New Roman" w:eastAsia="宋体" w:cs="Times New Roman"/>
                <w:b/>
                <w:bCs/>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供热</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项目冬季不生产，值班人员采用电采暖。</w:t>
            </w:r>
          </w:p>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color w:val="auto"/>
                <w:sz w:val="24"/>
                <w:szCs w:val="24"/>
              </w:rPr>
            </w:pPr>
            <w:r>
              <w:rPr>
                <w:rFonts w:hint="default" w:ascii="Times New Roman" w:hAnsi="Times New Roman" w:cs="Times New Roman"/>
                <w:b/>
                <w:color w:val="auto"/>
                <w:sz w:val="24"/>
                <w:szCs w:val="24"/>
                <w:lang w:val="en-US" w:eastAsia="zh-CN"/>
              </w:rPr>
              <w:t>8</w:t>
            </w:r>
            <w:r>
              <w:rPr>
                <w:rFonts w:hint="default" w:ascii="Times New Roman" w:hAnsi="Times New Roman" w:eastAsia="宋体" w:cs="Times New Roman"/>
                <w:b/>
                <w:color w:val="auto"/>
                <w:sz w:val="24"/>
                <w:szCs w:val="24"/>
                <w:lang w:val="en-US" w:eastAsia="zh-CN"/>
              </w:rPr>
              <w:t xml:space="preserve"> </w:t>
            </w:r>
            <w:r>
              <w:rPr>
                <w:rFonts w:hint="default" w:ascii="Times New Roman" w:hAnsi="Times New Roman" w:eastAsia="宋体" w:cs="Times New Roman"/>
                <w:b/>
                <w:color w:val="auto"/>
                <w:sz w:val="24"/>
                <w:szCs w:val="24"/>
              </w:rPr>
              <w:t>总平面布置</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本次扩建精选车间位于选矿厂西侧空地，现有厂区呈矩形，划分为生产区、原料堆放区、成品区。在场地西侧建设1座2158.48㎡精选车间及浓密池，车间布置磨粉车间、浮选车间、成品区。办公生活区依托现状，位于选矿厂东侧350m。</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尾矿回采分为两个区，以库尾至堆积坝的区域为回采一区，尾矿坝为回采二区。开采及自卸车设备的停车、维修场地位于选矿厂的厂区之内。</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项目所在区域常年主导风向为东北风，办公及生活区位于厂区东侧，属于侧向及上风向区域，对办公生活影响较小，项目区整体布置合理。</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项目区</w:t>
            </w:r>
            <w:r>
              <w:rPr>
                <w:rFonts w:hint="default" w:ascii="Times New Roman" w:hAnsi="Times New Roman" w:cs="Times New Roman"/>
                <w:bCs/>
                <w:color w:val="auto"/>
                <w:sz w:val="24"/>
                <w:szCs w:val="24"/>
                <w:lang w:val="en-US" w:eastAsia="zh-CN"/>
              </w:rPr>
              <w:t>精选车间</w:t>
            </w:r>
            <w:r>
              <w:rPr>
                <w:rFonts w:hint="default" w:ascii="Times New Roman" w:hAnsi="Times New Roman" w:eastAsia="宋体" w:cs="Times New Roman"/>
                <w:bCs/>
                <w:color w:val="auto"/>
                <w:sz w:val="24"/>
                <w:szCs w:val="24"/>
                <w:lang w:val="en-US" w:eastAsia="zh-CN"/>
              </w:rPr>
              <w:t>平面布置见附图4。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66" w:hRule="atLeast"/>
          <w:jc w:val="center"/>
        </w:trPr>
        <w:tc>
          <w:tcPr>
            <w:tcW w:w="823" w:type="dxa"/>
            <w:noWrap w:val="0"/>
            <w:vAlign w:val="center"/>
          </w:tcPr>
          <w:p>
            <w:pPr>
              <w:pStyle w:val="27"/>
              <w:adjustRightInd w:val="0"/>
              <w:snapToGrid w:val="0"/>
              <w:spacing w:before="0" w:beforeAutospacing="0" w:after="0" w:afterAutospacing="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工艺流程和产排污</w:t>
            </w:r>
            <w:r>
              <w:rPr>
                <w:rFonts w:hint="default" w:ascii="Times New Roman" w:hAnsi="Times New Roman" w:eastAsia="宋体" w:cs="Times New Roman"/>
                <w:color w:val="auto"/>
                <w:sz w:val="24"/>
                <w:szCs w:val="24"/>
              </w:rPr>
              <w:t>环节</w:t>
            </w:r>
          </w:p>
        </w:tc>
        <w:tc>
          <w:tcPr>
            <w:tcW w:w="8161"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1施工期工艺流程和产排污环节</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本次改扩建内容主要为尾砂输送管道铺设、尾砂回水泵的安装；1500t/a尾矿回采精选车间建设包括磨矿间、浮选间、浓密池、成品区，总占地面积2158.48㎡。公共设施依托原有。根据现场调查，彩钢结构厂房已建成，设备尚未安装完成。尾矿回采工程未施工。</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rPr>
              <w:t>（</w:t>
            </w:r>
            <w:r>
              <w:rPr>
                <w:rFonts w:hint="default" w:ascii="Times New Roman" w:hAnsi="Times New Roman" w:eastAsia="宋体" w:cs="Times New Roman"/>
                <w:bCs/>
                <w:color w:val="auto"/>
                <w:sz w:val="24"/>
                <w:szCs w:val="24"/>
                <w:lang w:val="en-US" w:eastAsia="zh-CN"/>
              </w:rPr>
              <w:t>1</w:t>
            </w:r>
            <w:r>
              <w:rPr>
                <w:rFonts w:hint="default" w:ascii="Times New Roman" w:hAnsi="Times New Roman" w:eastAsia="宋体" w:cs="Times New Roman"/>
                <w:bCs/>
                <w:color w:val="auto"/>
                <w:sz w:val="24"/>
                <w:szCs w:val="24"/>
              </w:rPr>
              <w:t>）</w:t>
            </w:r>
            <w:r>
              <w:rPr>
                <w:rFonts w:hint="default" w:ascii="Times New Roman" w:hAnsi="Times New Roman" w:eastAsia="宋体" w:cs="Times New Roman"/>
                <w:bCs/>
                <w:color w:val="auto"/>
                <w:sz w:val="24"/>
                <w:szCs w:val="24"/>
                <w:lang w:val="en-US" w:eastAsia="zh-CN"/>
              </w:rPr>
              <w:t>工艺流程</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b w:val="0"/>
                <w:bCs w:val="0"/>
                <w:color w:val="auto"/>
                <w:sz w:val="24"/>
                <w:szCs w:val="24"/>
                <w:lang w:eastAsia="zh-CN"/>
              </w:rPr>
              <w:t>主要施工活动为场地平整、打桩、土方开挖、基础建设、主体工程、装饰装修、设备安装等。施工期为</w:t>
            </w:r>
            <w:r>
              <w:rPr>
                <w:rFonts w:hint="default" w:ascii="Times New Roman" w:hAnsi="Times New Roman" w:eastAsia="宋体" w:cs="Times New Roman"/>
                <w:b w:val="0"/>
                <w:bCs w:val="0"/>
                <w:color w:val="auto"/>
                <w:sz w:val="24"/>
                <w:szCs w:val="24"/>
                <w:lang w:val="en-US" w:eastAsia="zh-CN"/>
              </w:rPr>
              <w:t>6</w:t>
            </w:r>
            <w:r>
              <w:rPr>
                <w:rFonts w:hint="default" w:ascii="Times New Roman" w:hAnsi="Times New Roman" w:eastAsia="宋体" w:cs="Times New Roman"/>
                <w:b w:val="0"/>
                <w:bCs w:val="0"/>
                <w:color w:val="auto"/>
                <w:sz w:val="24"/>
                <w:szCs w:val="24"/>
                <w:lang w:eastAsia="zh-CN"/>
              </w:rPr>
              <w:t>个月。</w:t>
            </w:r>
            <w:r>
              <w:rPr>
                <w:rFonts w:hint="default" w:ascii="Times New Roman" w:hAnsi="Times New Roman" w:eastAsia="宋体" w:cs="Times New Roman"/>
                <w:bCs/>
                <w:color w:val="auto"/>
                <w:sz w:val="24"/>
                <w:szCs w:val="24"/>
              </w:rPr>
              <w:t>施工期主要工艺流程如下。</w:t>
            </w:r>
          </w:p>
          <w:p>
            <w:pPr>
              <w:spacing w:line="360" w:lineRule="auto"/>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color w:val="auto"/>
                <w:sz w:val="21"/>
                <w:szCs w:val="21"/>
              </w:rPr>
              <w:object>
                <v:shape id="_x0000_i1025" o:spt="75" type="#_x0000_t75" style="height:96.6pt;width:358.1pt;" o:ole="t" filled="f" stroked="f" coordsize="21600,21600">
                  <v:path/>
                  <v:fill on="f" focussize="0,0"/>
                  <v:stroke on="f"/>
                  <v:imagedata r:id="rId10" o:title=""/>
                  <o:lock v:ext="edit" aspectratio="t"/>
                  <w10:wrap type="none"/>
                  <w10:anchorlock/>
                </v:shape>
                <o:OLEObject Type="Embed" ProgID="Visio.Drawing.11" ShapeID="_x0000_i1025" DrawAspect="Content" ObjectID="_1468075725" r:id="rId9">
                  <o:LockedField>false</o:LockedField>
                </o:OLEObject>
              </w:object>
            </w:r>
          </w:p>
          <w:p>
            <w:pPr>
              <w:spacing w:line="360" w:lineRule="auto"/>
              <w:ind w:firstLine="422" w:firstLineChars="20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图2</w:t>
            </w:r>
            <w:r>
              <w:rPr>
                <w:rFonts w:hint="default" w:ascii="Times New Roman" w:hAnsi="Times New Roman" w:eastAsia="宋体" w:cs="Times New Roman"/>
                <w:b/>
                <w:color w:val="auto"/>
                <w:sz w:val="21"/>
                <w:szCs w:val="21"/>
                <w:lang w:val="en-US" w:eastAsia="zh-CN"/>
              </w:rPr>
              <w:t>.2</w:t>
            </w:r>
            <w:r>
              <w:rPr>
                <w:rFonts w:hint="default" w:ascii="Times New Roman" w:hAnsi="Times New Roman" w:eastAsia="宋体" w:cs="Times New Roman"/>
                <w:b/>
                <w:color w:val="auto"/>
                <w:sz w:val="21"/>
                <w:szCs w:val="21"/>
              </w:rPr>
              <w:t>-</w:t>
            </w:r>
            <w:r>
              <w:rPr>
                <w:rFonts w:hint="default" w:ascii="Times New Roman" w:hAnsi="Times New Roman" w:eastAsia="宋体" w:cs="Times New Roman"/>
                <w:b/>
                <w:color w:val="auto"/>
                <w:sz w:val="21"/>
                <w:szCs w:val="21"/>
                <w:lang w:val="en-US" w:eastAsia="zh-CN"/>
              </w:rPr>
              <w:t>1</w:t>
            </w:r>
            <w:r>
              <w:rPr>
                <w:rFonts w:hint="default" w:ascii="Times New Roman" w:hAnsi="Times New Roman" w:eastAsia="宋体" w:cs="Times New Roman"/>
                <w:b/>
                <w:color w:val="auto"/>
                <w:sz w:val="21"/>
                <w:szCs w:val="21"/>
              </w:rPr>
              <w:t>施工期工艺流程图</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（2）产污环节</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废水：主要为施工产生的施工废水。</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废气：主要为场地平整、基础工程施工、材料运输堆放等过程中产生的扬尘和施工机械废气。</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噪声：主要来源于建设过程中，各种施工机械设备的运行噪声及车辆噪声。</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固废：主要为施工过程中产生的建筑垃圾和施工人员产生的生活垃圾。</w:t>
            </w:r>
          </w:p>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snapToGrid w:val="0"/>
                <w:color w:val="auto"/>
                <w:kern w:val="0"/>
                <w:sz w:val="24"/>
                <w:szCs w:val="24"/>
              </w:rPr>
            </w:pPr>
            <w:r>
              <w:rPr>
                <w:rFonts w:hint="default" w:ascii="Times New Roman" w:hAnsi="Times New Roman" w:eastAsia="宋体" w:cs="Times New Roman"/>
                <w:b/>
                <w:bCs/>
                <w:snapToGrid w:val="0"/>
                <w:color w:val="auto"/>
                <w:kern w:val="0"/>
                <w:sz w:val="24"/>
                <w:szCs w:val="24"/>
              </w:rPr>
              <w:t>2运营期工艺流程和产排污环节</w:t>
            </w:r>
          </w:p>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color w:val="auto"/>
                <w:sz w:val="24"/>
                <w:szCs w:val="24"/>
                <w:highlight w:val="yellow"/>
                <w:lang w:val="en-US" w:eastAsia="zh-CN"/>
              </w:rPr>
            </w:pPr>
            <w:r>
              <w:rPr>
                <w:rFonts w:hint="default" w:ascii="Times New Roman" w:hAnsi="Times New Roman" w:eastAsia="宋体" w:cs="Times New Roman"/>
                <w:b/>
                <w:bCs/>
                <w:color w:val="auto"/>
                <w:sz w:val="24"/>
                <w:szCs w:val="24"/>
                <w:lang w:val="en-US" w:eastAsia="zh-CN"/>
              </w:rPr>
              <w:t>2.1</w:t>
            </w:r>
            <w:r>
              <w:rPr>
                <w:rFonts w:hint="default" w:ascii="Times New Roman" w:hAnsi="Times New Roman" w:eastAsia="宋体" w:cs="Times New Roman"/>
                <w:b/>
                <w:bCs/>
                <w:color w:val="auto"/>
                <w:sz w:val="24"/>
                <w:szCs w:val="24"/>
                <w:highlight w:val="none"/>
                <w:lang w:val="en-US" w:eastAsia="zh-CN"/>
              </w:rPr>
              <w:t>尾矿回采工艺</w:t>
            </w:r>
          </w:p>
          <w:p>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rPr>
              <w:drawing>
                <wp:inline distT="0" distB="0" distL="114300" distR="114300">
                  <wp:extent cx="2819400" cy="2622550"/>
                  <wp:effectExtent l="0" t="0" r="0" b="6350"/>
                  <wp:docPr id="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5"/>
                          <pic:cNvPicPr>
                            <a:picLocks noChangeAspect="1"/>
                          </pic:cNvPicPr>
                        </pic:nvPicPr>
                        <pic:blipFill>
                          <a:blip r:embed="rId11"/>
                          <a:stretch>
                            <a:fillRect/>
                          </a:stretch>
                        </pic:blipFill>
                        <pic:spPr>
                          <a:xfrm>
                            <a:off x="0" y="0"/>
                            <a:ext cx="2819400" cy="2622550"/>
                          </a:xfrm>
                          <a:prstGeom prst="rect">
                            <a:avLst/>
                          </a:prstGeom>
                          <a:noFill/>
                          <a:ln>
                            <a:noFill/>
                          </a:ln>
                        </pic:spPr>
                      </pic:pic>
                    </a:graphicData>
                  </a:graphic>
                </wp:inline>
              </w:drawing>
            </w:r>
          </w:p>
          <w:p>
            <w:pPr>
              <w:spacing w:line="360" w:lineRule="auto"/>
              <w:ind w:firstLine="422" w:firstLineChars="200"/>
              <w:jc w:val="center"/>
              <w:rPr>
                <w:rFonts w:hint="default" w:ascii="Times New Roman" w:hAnsi="Times New Roman" w:eastAsia="宋体" w:cs="Times New Roman"/>
                <w:b/>
                <w:color w:val="auto"/>
                <w:sz w:val="21"/>
                <w:szCs w:val="21"/>
                <w:lang w:val="en-US" w:eastAsia="zh-CN"/>
              </w:rPr>
            </w:pPr>
            <w:r>
              <w:rPr>
                <w:rFonts w:hint="default" w:ascii="Times New Roman" w:hAnsi="Times New Roman" w:eastAsia="宋体" w:cs="Times New Roman"/>
                <w:b/>
                <w:color w:val="auto"/>
                <w:sz w:val="21"/>
                <w:szCs w:val="21"/>
                <w:lang w:val="en-US" w:eastAsia="zh-CN"/>
              </w:rPr>
              <w:t>图2.2-2 运营期回采工艺及产污环节</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（1）回采方案</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尾砂回采主要</w:t>
            </w:r>
            <w:r>
              <w:rPr>
                <w:rFonts w:hint="default" w:ascii="Times New Roman" w:hAnsi="Times New Roman" w:eastAsia="宋体" w:cs="Times New Roman"/>
                <w:color w:val="auto"/>
                <w:sz w:val="24"/>
                <w:szCs w:val="24"/>
                <w:lang w:val="en-US" w:eastAsia="zh-CN"/>
              </w:rPr>
              <w:t>采用湿式回采，回采设计将尾矿库分为</w:t>
            </w:r>
            <w:r>
              <w:rPr>
                <w:rFonts w:hint="default" w:ascii="Times New Roman" w:hAnsi="Times New Roman" w:cs="Times New Roman"/>
                <w:color w:val="auto"/>
                <w:sz w:val="24"/>
                <w:szCs w:val="24"/>
                <w:lang w:val="en-US" w:eastAsia="zh-CN"/>
              </w:rPr>
              <w:t>二</w:t>
            </w:r>
            <w:r>
              <w:rPr>
                <w:rFonts w:hint="default" w:ascii="Times New Roman" w:hAnsi="Times New Roman" w:eastAsia="宋体" w:cs="Times New Roman"/>
                <w:color w:val="auto"/>
                <w:sz w:val="24"/>
                <w:szCs w:val="24"/>
                <w:lang w:val="en-US" w:eastAsia="zh-CN"/>
              </w:rPr>
              <w:t>个区进行回采，Ⅰ采区为尾砂区，Ⅱ区尾矿坝体区域。Ⅰ采区采用采砂船直接水采，从库尾向Ⅱ区后退式回采，在垂直方向自上而下分层开采。利用水枪或</w:t>
            </w:r>
            <w:r>
              <w:rPr>
                <w:rFonts w:hint="default" w:ascii="Times New Roman" w:hAnsi="Times New Roman" w:cs="Times New Roman"/>
                <w:color w:val="auto"/>
                <w:sz w:val="24"/>
                <w:szCs w:val="24"/>
                <w:lang w:val="en-US" w:eastAsia="zh-CN"/>
              </w:rPr>
              <w:t>采砂船底搅拌器</w:t>
            </w:r>
            <w:r>
              <w:rPr>
                <w:rFonts w:hint="default" w:ascii="Times New Roman" w:hAnsi="Times New Roman" w:eastAsia="宋体" w:cs="Times New Roman"/>
                <w:color w:val="auto"/>
                <w:sz w:val="24"/>
                <w:szCs w:val="24"/>
                <w:lang w:val="en-US" w:eastAsia="zh-CN"/>
              </w:rPr>
              <w:t>造浆后再泵送至选厂再利用，总体由东向西方向进行。待尾砂回采完毕后再回采Ⅱ区尾矿坝体。</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（2）回采顺序</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尾矿库选用分区回采，回采取砂顺序总体按先库尾后库外、先上后下、分带、分层开采的原则进行，尾矿库I区随开采分层的相邻条带同步下降。</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在水平方向上采用后退式全面回采（即由库尾向坝体方向开采），Ⅰ区垂直方向上自上而下分层开采，开采段高2.0m，工作坡比不大于1:3，共分为10个分层。分区边界工作面边坡为回采动态临时边坡，其安全与边坡高度及尾砂内摩擦角息息相关根据尾砂粒径与内摩擦角研究试验情况，坡比不大于1:3，且区域一回采时坑内水深不得大于1.5m，同时在尾矿回采期间应加强临时边坡的监测，以确保分区工作面边坡的稳定。</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（3）回采工艺</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w:t>
            </w:r>
            <w:r>
              <w:rPr>
                <w:rFonts w:hint="default" w:ascii="Times New Roman" w:hAnsi="Times New Roman" w:cs="Times New Roman"/>
                <w:color w:val="auto"/>
                <w:sz w:val="24"/>
                <w:szCs w:val="24"/>
                <w:lang w:val="en-US" w:eastAsia="zh-CN"/>
              </w:rPr>
              <w:t>项目</w:t>
            </w:r>
            <w:r>
              <w:rPr>
                <w:rFonts w:hint="default" w:ascii="Times New Roman" w:hAnsi="Times New Roman" w:eastAsia="宋体" w:cs="Times New Roman"/>
                <w:color w:val="auto"/>
                <w:sz w:val="24"/>
                <w:szCs w:val="24"/>
                <w:lang w:val="en-US" w:eastAsia="zh-CN"/>
              </w:rPr>
              <w:t>采用简易绞吸式采砂船进行湿式回采。尾矿库回采水平方向采取平行坝轴线方向的条带式开采、垂直方向分层开采，一区回采采用采砂船进行直接水采；为了能够使绞吸式采砂船进入库区进行回采作业，在尾矿库库尾开挖基坑，基坑尺寸为：长×宽×深＝30×20×3.0m，为了确保基坑边坡稳定基坑边坡坡比不陡于1:3，绞吸式采砂船在基坑中组装，组装完成后使采砂船漂浮起来，达到正常工作状态。绞吸式采砂船排砂管通过管道浮筒将尾砂输送到岸边缓冲池，管道浮筒为LLDPE（线性低密度聚乙烯）材质，内径为335mm，外径为700mm，长300mm，每隔2m设置1个管道浮筒。</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Ⅰ区采坑利用</w:t>
            </w:r>
            <w:r>
              <w:rPr>
                <w:rFonts w:hint="default" w:ascii="Times New Roman" w:hAnsi="Times New Roman" w:cs="Times New Roman"/>
                <w:color w:val="auto"/>
                <w:sz w:val="24"/>
                <w:szCs w:val="24"/>
                <w:lang w:val="en-US" w:eastAsia="zh-CN"/>
              </w:rPr>
              <w:t>采砂船</w:t>
            </w:r>
            <w:r>
              <w:rPr>
                <w:rFonts w:hint="default" w:ascii="Times New Roman" w:hAnsi="Times New Roman" w:eastAsia="宋体" w:cs="Times New Roman"/>
                <w:color w:val="auto"/>
                <w:sz w:val="24"/>
                <w:szCs w:val="24"/>
                <w:lang w:val="en-US" w:eastAsia="zh-CN"/>
              </w:rPr>
              <w:t>造浆再泵送至选厂再利用。回采过程中特别需要注意的是应严格控制尾砂干滩坡度，保持尾砂滩面坡度自坝前向库内不小于2.0%。挖掘机作业过程中很难满足采坑边坡不陡于1:3，采用人工高压水枪辅助冲采使得采坑边坡不陡于1:3。</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尾矿库回采顺序为同一回采分层高度2m。具体回采工艺顺序为：I1（一区第一分层）—I2（一区第二分层）—I3（一区第三分层）—I4（一区第四分层）—I5（一区第五分层））……尾砂回采结束—Ⅱ区。</w:t>
            </w:r>
          </w:p>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2.2选矿工艺</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color w:val="auto"/>
              </w:rPr>
              <w:drawing>
                <wp:inline distT="0" distB="0" distL="114300" distR="114300">
                  <wp:extent cx="3542665" cy="3921125"/>
                  <wp:effectExtent l="0" t="0" r="635" b="3175"/>
                  <wp:docPr id="1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0"/>
                          <pic:cNvPicPr>
                            <a:picLocks noChangeAspect="1"/>
                          </pic:cNvPicPr>
                        </pic:nvPicPr>
                        <pic:blipFill>
                          <a:blip r:embed="rId12"/>
                          <a:stretch>
                            <a:fillRect/>
                          </a:stretch>
                        </pic:blipFill>
                        <pic:spPr>
                          <a:xfrm>
                            <a:off x="0" y="0"/>
                            <a:ext cx="3542665" cy="392112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color w:val="auto"/>
                <w:sz w:val="21"/>
                <w:szCs w:val="21"/>
                <w:highlight w:val="none"/>
                <w:lang w:val="en-US" w:eastAsia="zh-CN"/>
              </w:rPr>
              <w:t>图2.2-3  选矿生产线工艺流程及产污节点图</w:t>
            </w:r>
          </w:p>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工艺流程简述：</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磨矿分级：尾矿库回采的尾矿经渣浆泵送至球磨机，球磨机内钢球的撞击和研磨作用，使矿石进一步细化。磨矿后的矿浆通过渣浆泵输送至水力旋流器进行分级。水力旋流器依据离心力和重力的作用，将矿浆中的粗细颗粒分离。细颗粒的矿浆作为合格产品进入浮选作业，而粗颗粒的矿浆则返回球磨机重新磨矿（砂磨矿细度-200目90%以上）。</w:t>
            </w:r>
            <w:r>
              <w:rPr>
                <w:rFonts w:hint="eastAsia" w:ascii="Times New Roman" w:hAnsi="Times New Roman" w:cs="Times New Roman"/>
                <w:color w:val="auto"/>
                <w:sz w:val="24"/>
                <w:szCs w:val="24"/>
                <w:lang w:val="en-US" w:eastAsia="zh-CN"/>
              </w:rPr>
              <w:t>此工序产生废水、噪声，废水进入集水池返回选矿厂回用水池循环利用。</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浓密：</w:t>
            </w:r>
            <w:r>
              <w:rPr>
                <w:rFonts w:hint="default" w:ascii="Times New Roman" w:hAnsi="Times New Roman" w:eastAsia="宋体" w:cs="Times New Roman"/>
                <w:color w:val="auto"/>
                <w:sz w:val="24"/>
                <w:szCs w:val="24"/>
              </w:rPr>
              <w:t>旋流器溢流矿浆进入浓密池进行沉降浓缩，分离部分溢流水</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通过溢流堰排入选矿厂现有回水池，循环利用于工艺。</w:t>
            </w:r>
            <w:r>
              <w:rPr>
                <w:rFonts w:hint="eastAsia" w:ascii="Times New Roman" w:hAnsi="Times New Roman" w:cs="Times New Roman"/>
                <w:color w:val="auto"/>
                <w:sz w:val="24"/>
                <w:szCs w:val="24"/>
                <w:lang w:val="en-US" w:eastAsia="zh-CN"/>
              </w:rPr>
              <w:t>此工序产生废水、噪声，废水进入集水池返回选矿厂回用水池循环利用。</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浮选：</w:t>
            </w:r>
            <w:r>
              <w:rPr>
                <w:rFonts w:hint="default" w:ascii="Times New Roman" w:hAnsi="Times New Roman" w:eastAsia="宋体" w:cs="Times New Roman"/>
                <w:color w:val="auto"/>
                <w:sz w:val="24"/>
                <w:szCs w:val="24"/>
              </w:rPr>
              <w:t>浓密池底流矿浆送入搅拌桶，同步投加浮选药剂充分搅拌调浆</w:t>
            </w:r>
            <w:r>
              <w:rPr>
                <w:rFonts w:hint="default" w:ascii="Times New Roman" w:hAnsi="Times New Roman" w:eastAsia="宋体" w:cs="Times New Roman"/>
                <w:color w:val="auto"/>
                <w:sz w:val="24"/>
                <w:szCs w:val="24"/>
                <w:lang w:val="en-US" w:eastAsia="zh-CN"/>
              </w:rPr>
              <w:t>，调节矿浆的酸碱度，接着依次添加捕收剂和起泡剂，捕收剂能够选择性地吸附在金矿物表面，使其具有疏水性；起泡剂则在矿浆中形成大量稳定的气泡。通过浮选机的搅拌和充气，金矿物附着在气泡上，上浮至矿浆表面形成泡沫层，刮出泡沫层即得到金精矿。浮选后的金精矿经泵送至成品缓冲池，压滤后金精矿入库堆存。</w:t>
            </w:r>
            <w:r>
              <w:rPr>
                <w:rFonts w:hint="eastAsia" w:ascii="Times New Roman" w:hAnsi="Times New Roman" w:cs="Times New Roman"/>
                <w:color w:val="auto"/>
                <w:sz w:val="24"/>
                <w:szCs w:val="24"/>
                <w:lang w:val="en-US" w:eastAsia="zh-CN"/>
              </w:rPr>
              <w:t>此工序产生废水、噪声，废水进入集水池返回选矿厂回用水池循环利用。</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浮选后的尾矿矿浆通过管道输送至下游选矿厂新建尾矿库堆存。</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本项目工艺中产污节点汇总见下表。</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0" w:firstLineChars="0"/>
              <w:jc w:val="center"/>
              <w:textAlignment w:val="auto"/>
              <w:rPr>
                <w:rFonts w:hint="default" w:ascii="Times New Roman" w:hAnsi="Times New Roman" w:eastAsia="宋体" w:cs="Times New Roman"/>
                <w:b/>
                <w:bCs w:val="0"/>
                <w:color w:val="auto"/>
                <w:szCs w:val="21"/>
                <w:lang w:val="en-US" w:eastAsia="zh-CN"/>
              </w:rPr>
            </w:pPr>
            <w:r>
              <w:rPr>
                <w:rFonts w:hint="default" w:ascii="Times New Roman" w:hAnsi="Times New Roman" w:eastAsia="宋体" w:cs="Times New Roman"/>
                <w:b/>
                <w:bCs w:val="0"/>
                <w:color w:val="auto"/>
                <w:szCs w:val="21"/>
                <w:lang w:val="en-US" w:eastAsia="zh-CN"/>
              </w:rPr>
              <w:t>表2-</w:t>
            </w:r>
            <w:r>
              <w:rPr>
                <w:rFonts w:hint="default" w:ascii="Times New Roman" w:hAnsi="Times New Roman" w:cs="Times New Roman"/>
                <w:b/>
                <w:bCs w:val="0"/>
                <w:color w:val="auto"/>
                <w:szCs w:val="21"/>
                <w:lang w:val="en-US" w:eastAsia="zh-CN"/>
              </w:rPr>
              <w:t>11</w:t>
            </w:r>
            <w:r>
              <w:rPr>
                <w:rFonts w:hint="default" w:ascii="Times New Roman" w:hAnsi="Times New Roman" w:eastAsia="宋体" w:cs="Times New Roman"/>
                <w:b/>
                <w:bCs w:val="0"/>
                <w:color w:val="auto"/>
                <w:szCs w:val="21"/>
                <w:lang w:val="en-US" w:eastAsia="zh-CN"/>
              </w:rPr>
              <w:t xml:space="preserve">  项目主要产污节点汇总表</w:t>
            </w:r>
          </w:p>
          <w:tbl>
            <w:tblPr>
              <w:tblStyle w:val="29"/>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411"/>
              <w:gridCol w:w="1444"/>
              <w:gridCol w:w="801"/>
              <w:gridCol w:w="2016"/>
              <w:gridCol w:w="324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60" w:type="pct"/>
                  <w:vMerge w:val="restar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类别</w:t>
                  </w:r>
                </w:p>
              </w:tc>
              <w:tc>
                <w:tcPr>
                  <w:tcW w:w="1418" w:type="pct"/>
                  <w:gridSpan w:val="2"/>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产污环节</w:t>
                  </w:r>
                </w:p>
              </w:tc>
              <w:tc>
                <w:tcPr>
                  <w:tcW w:w="1273" w:type="pct"/>
                  <w:vMerge w:val="restar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主要污染物</w:t>
                  </w:r>
                </w:p>
              </w:tc>
              <w:tc>
                <w:tcPr>
                  <w:tcW w:w="2046" w:type="pct"/>
                  <w:vMerge w:val="restar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治理措施</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60" w:type="pct"/>
                  <w:vMerge w:val="continue"/>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912"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来源（工序、装置）</w:t>
                  </w:r>
                </w:p>
              </w:tc>
              <w:tc>
                <w:tcPr>
                  <w:tcW w:w="505"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编号</w:t>
                  </w:r>
                </w:p>
              </w:tc>
              <w:tc>
                <w:tcPr>
                  <w:tcW w:w="1273" w:type="pct"/>
                  <w:vMerge w:val="continue"/>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2046" w:type="pct"/>
                  <w:vMerge w:val="continue"/>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60" w:type="pct"/>
                  <w:vMerge w:val="restar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废气</w:t>
                  </w:r>
                </w:p>
              </w:tc>
              <w:tc>
                <w:tcPr>
                  <w:tcW w:w="912"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成品装卸和堆放</w:t>
                  </w:r>
                </w:p>
              </w:tc>
              <w:tc>
                <w:tcPr>
                  <w:tcW w:w="505"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G1</w:t>
                  </w:r>
                </w:p>
              </w:tc>
              <w:tc>
                <w:tcPr>
                  <w:tcW w:w="1273"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颗粒物</w:t>
                  </w:r>
                  <w:r>
                    <w:rPr>
                      <w:rFonts w:hint="eastAsia" w:eastAsia="宋体" w:cs="Times New Roman"/>
                      <w:color w:val="auto"/>
                      <w:highlight w:val="none"/>
                      <w:lang w:eastAsia="zh-CN"/>
                    </w:rPr>
                    <w:t>、</w:t>
                  </w:r>
                  <w:r>
                    <w:rPr>
                      <w:rFonts w:hint="default" w:ascii="Times New Roman" w:hAnsi="Times New Roman" w:eastAsia="宋体" w:cs="Times New Roman"/>
                      <w:color w:val="auto"/>
                      <w:kern w:val="0"/>
                      <w:szCs w:val="21"/>
                      <w:lang w:val="en-US" w:eastAsia="zh-CN"/>
                    </w:rPr>
                    <w:t>锑及其化合物</w:t>
                  </w:r>
                </w:p>
              </w:tc>
              <w:tc>
                <w:tcPr>
                  <w:tcW w:w="2046"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封闭车间、围挡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60" w:type="pct"/>
                  <w:vMerge w:val="continue"/>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912"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尾矿库干滩粉尘</w:t>
                  </w:r>
                </w:p>
              </w:tc>
              <w:tc>
                <w:tcPr>
                  <w:tcW w:w="505"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G2</w:t>
                  </w:r>
                </w:p>
              </w:tc>
              <w:tc>
                <w:tcPr>
                  <w:tcW w:w="1273"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颗粒物</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kern w:val="0"/>
                      <w:szCs w:val="21"/>
                      <w:lang w:val="en-US" w:eastAsia="zh-CN"/>
                    </w:rPr>
                    <w:t>锑及其化合物</w:t>
                  </w:r>
                </w:p>
              </w:tc>
              <w:tc>
                <w:tcPr>
                  <w:tcW w:w="2046"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采取尾矿分段排矿，减少干滩面积，压实洒水降尘</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60" w:type="pct"/>
                  <w:vMerge w:val="continue"/>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912"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生活区食堂</w:t>
                  </w:r>
                </w:p>
              </w:tc>
              <w:tc>
                <w:tcPr>
                  <w:tcW w:w="505"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G3</w:t>
                  </w:r>
                </w:p>
              </w:tc>
              <w:tc>
                <w:tcPr>
                  <w:tcW w:w="1273"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油烟</w:t>
                  </w:r>
                </w:p>
              </w:tc>
              <w:tc>
                <w:tcPr>
                  <w:tcW w:w="2046"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油烟净化器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60" w:type="pct"/>
                  <w:vMerge w:val="restar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废水</w:t>
                  </w:r>
                </w:p>
              </w:tc>
              <w:tc>
                <w:tcPr>
                  <w:tcW w:w="912"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选矿</w:t>
                  </w:r>
                </w:p>
              </w:tc>
              <w:tc>
                <w:tcPr>
                  <w:tcW w:w="505"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W1</w:t>
                  </w:r>
                  <w:r>
                    <w:rPr>
                      <w:rFonts w:hint="eastAsia" w:ascii="Times New Roman" w:hAnsi="Times New Roman" w:eastAsia="宋体" w:cs="Times New Roman"/>
                      <w:color w:val="auto"/>
                      <w:highlight w:val="none"/>
                      <w:lang w:val="en-US" w:eastAsia="zh-CN"/>
                    </w:rPr>
                    <w:t>-W5</w:t>
                  </w:r>
                </w:p>
              </w:tc>
              <w:tc>
                <w:tcPr>
                  <w:tcW w:w="1273"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pH、COD、SS、总硬度、溶解性总固体、氨氮、总磷、总氮、氟化物、铅、镉、砷、汞等。</w:t>
                  </w:r>
                </w:p>
              </w:tc>
              <w:tc>
                <w:tcPr>
                  <w:tcW w:w="2046"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0"/>
                      <w:sz w:val="21"/>
                      <w:szCs w:val="21"/>
                      <w:highlight w:val="none"/>
                    </w:rPr>
                    <w:t>选矿工艺废水浓缩后进入集水池返回选矿厂高位水池处理后返回选矿工艺循环使用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60" w:type="pct"/>
                  <w:vMerge w:val="continue"/>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912"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办公生活</w:t>
                  </w:r>
                </w:p>
              </w:tc>
              <w:tc>
                <w:tcPr>
                  <w:tcW w:w="505"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W2</w:t>
                  </w:r>
                </w:p>
              </w:tc>
              <w:tc>
                <w:tcPr>
                  <w:tcW w:w="1273"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pH、COD、BOD</w:t>
                  </w:r>
                  <w:r>
                    <w:rPr>
                      <w:rFonts w:hint="default" w:ascii="Times New Roman" w:hAnsi="Times New Roman" w:eastAsia="宋体" w:cs="Times New Roman"/>
                      <w:color w:val="auto"/>
                      <w:highlight w:val="none"/>
                      <w:vertAlign w:val="subscript"/>
                      <w:lang w:val="en-US" w:eastAsia="zh-CN"/>
                    </w:rPr>
                    <w:t>5</w:t>
                  </w:r>
                  <w:r>
                    <w:rPr>
                      <w:rFonts w:hint="default" w:ascii="Times New Roman" w:hAnsi="Times New Roman" w:eastAsia="宋体" w:cs="Times New Roman"/>
                      <w:color w:val="auto"/>
                      <w:highlight w:val="none"/>
                      <w:lang w:val="en-US" w:eastAsia="zh-CN"/>
                    </w:rPr>
                    <w:t>、SS、氨氮、动植物油、粪大肠菌群等。</w:t>
                  </w:r>
                </w:p>
              </w:tc>
              <w:tc>
                <w:tcPr>
                  <w:tcW w:w="2046"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现状一体化污水处理设施处理达标后，用于项目区绿化、洒水等。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60"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噪声</w:t>
                  </w:r>
                </w:p>
              </w:tc>
              <w:tc>
                <w:tcPr>
                  <w:tcW w:w="1418" w:type="pct"/>
                  <w:gridSpan w:val="2"/>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球磨机、浮选机、板框压滤机以及各种风机、泵类</w:t>
                  </w:r>
                </w:p>
              </w:tc>
              <w:tc>
                <w:tcPr>
                  <w:tcW w:w="1273"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L</w:t>
                  </w:r>
                  <w:r>
                    <w:rPr>
                      <w:rFonts w:hint="default" w:ascii="Times New Roman" w:hAnsi="Times New Roman" w:eastAsia="宋体" w:cs="Times New Roman"/>
                      <w:color w:val="auto"/>
                      <w:highlight w:val="none"/>
                      <w:vertAlign w:val="baseline"/>
                      <w:lang w:val="en-US" w:eastAsia="zh-CN"/>
                    </w:rPr>
                    <w:t>d、Ln</w:t>
                  </w:r>
                </w:p>
              </w:tc>
              <w:tc>
                <w:tcPr>
                  <w:tcW w:w="2046"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建筑物隔声</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安装隔声罩、消声器、基础</w:t>
                  </w:r>
                  <w:r>
                    <w:rPr>
                      <w:rFonts w:hint="default" w:ascii="Times New Roman" w:hAnsi="Times New Roman" w:eastAsia="宋体" w:cs="Times New Roman"/>
                      <w:color w:val="auto"/>
                      <w:highlight w:val="none"/>
                      <w:lang w:val="en-US" w:eastAsia="zh-CN"/>
                    </w:rPr>
                    <w:t>减振</w:t>
                  </w:r>
                  <w:r>
                    <w:rPr>
                      <w:rFonts w:hint="default" w:ascii="Times New Roman" w:hAnsi="Times New Roman" w:eastAsia="宋体" w:cs="Times New Roman"/>
                      <w:color w:val="auto"/>
                      <w:highlight w:val="none"/>
                    </w:rPr>
                    <w:t>等</w:t>
                  </w:r>
                  <w:r>
                    <w:rPr>
                      <w:rFonts w:hint="default" w:ascii="Times New Roman" w:hAnsi="Times New Roman" w:eastAsia="宋体" w:cs="Times New Roman"/>
                      <w:color w:val="auto"/>
                      <w:highlight w:val="none"/>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60" w:type="pct"/>
                  <w:vMerge w:val="restar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固废</w:t>
                  </w:r>
                </w:p>
              </w:tc>
              <w:tc>
                <w:tcPr>
                  <w:tcW w:w="912"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坝体拆除</w:t>
                  </w:r>
                </w:p>
              </w:tc>
              <w:tc>
                <w:tcPr>
                  <w:tcW w:w="505"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rPr>
                    <w:t>S</w:t>
                  </w:r>
                  <w:r>
                    <w:rPr>
                      <w:rFonts w:hint="default" w:ascii="Times New Roman" w:hAnsi="Times New Roman" w:eastAsia="宋体" w:cs="Times New Roman"/>
                      <w:color w:val="auto"/>
                      <w:highlight w:val="none"/>
                      <w:lang w:val="en-US" w:eastAsia="zh-CN"/>
                    </w:rPr>
                    <w:t>1</w:t>
                  </w:r>
                </w:p>
              </w:tc>
              <w:tc>
                <w:tcPr>
                  <w:tcW w:w="1273"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拆除石方</w:t>
                  </w:r>
                </w:p>
              </w:tc>
              <w:tc>
                <w:tcPr>
                  <w:tcW w:w="2046"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rPr>
                    <w:t>拆除的砂质粉土用于库底回填平整，剩余的碎石料外运作为建材二次利用，其他建筑垃圾外运建筑垃圾处置场合规处置。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60" w:type="pct"/>
                  <w:vMerge w:val="continue"/>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912"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选矿</w:t>
                  </w:r>
                </w:p>
              </w:tc>
              <w:tc>
                <w:tcPr>
                  <w:tcW w:w="505"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S2</w:t>
                  </w:r>
                </w:p>
              </w:tc>
              <w:tc>
                <w:tcPr>
                  <w:tcW w:w="1273"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尾矿</w:t>
                  </w:r>
                </w:p>
              </w:tc>
              <w:tc>
                <w:tcPr>
                  <w:tcW w:w="2046"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经由管道输送至下游新建尾矿库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60" w:type="pct"/>
                  <w:vMerge w:val="continue"/>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912"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设备维修保养</w:t>
                  </w:r>
                </w:p>
              </w:tc>
              <w:tc>
                <w:tcPr>
                  <w:tcW w:w="505"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S3</w:t>
                  </w:r>
                </w:p>
              </w:tc>
              <w:tc>
                <w:tcPr>
                  <w:tcW w:w="1273"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rPr>
                    <w:t>废机油</w:t>
                  </w:r>
                </w:p>
              </w:tc>
              <w:tc>
                <w:tcPr>
                  <w:tcW w:w="2046"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rPr>
                    <w:t>在</w:t>
                  </w:r>
                  <w:r>
                    <w:rPr>
                      <w:rFonts w:hint="default" w:ascii="Times New Roman" w:hAnsi="Times New Roman" w:eastAsia="宋体" w:cs="Times New Roman"/>
                      <w:color w:val="auto"/>
                      <w:highlight w:val="none"/>
                      <w:lang w:eastAsia="zh-CN"/>
                    </w:rPr>
                    <w:t>危废贮存点</w:t>
                  </w:r>
                  <w:r>
                    <w:rPr>
                      <w:rFonts w:hint="default" w:ascii="Times New Roman" w:hAnsi="Times New Roman" w:eastAsia="宋体" w:cs="Times New Roman"/>
                      <w:color w:val="auto"/>
                      <w:highlight w:val="none"/>
                    </w:rPr>
                    <w:t>暂存，由有资质单位拉运处理。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60" w:type="pct"/>
                  <w:vMerge w:val="continue"/>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912"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浮选药剂储存及使用</w:t>
                  </w:r>
                </w:p>
              </w:tc>
              <w:tc>
                <w:tcPr>
                  <w:tcW w:w="505"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S4</w:t>
                  </w:r>
                </w:p>
              </w:tc>
              <w:tc>
                <w:tcPr>
                  <w:tcW w:w="1273"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粘染药剂的</w:t>
                  </w:r>
                  <w:r>
                    <w:rPr>
                      <w:rFonts w:hint="default" w:ascii="Times New Roman" w:hAnsi="Times New Roman" w:eastAsia="宋体" w:cs="Times New Roman"/>
                      <w:color w:val="auto"/>
                      <w:highlight w:val="none"/>
                    </w:rPr>
                    <w:t>废包装</w:t>
                  </w:r>
                </w:p>
              </w:tc>
              <w:tc>
                <w:tcPr>
                  <w:tcW w:w="2046"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rPr>
                    <w:t>暂存于</w:t>
                  </w:r>
                  <w:r>
                    <w:rPr>
                      <w:rFonts w:hint="default" w:ascii="Times New Roman" w:hAnsi="Times New Roman" w:eastAsia="宋体" w:cs="Times New Roman"/>
                      <w:color w:val="auto"/>
                      <w:highlight w:val="none"/>
                      <w:lang w:eastAsia="zh-CN"/>
                    </w:rPr>
                    <w:t>危废贮存点</w:t>
                  </w:r>
                  <w:r>
                    <w:rPr>
                      <w:rFonts w:hint="default" w:ascii="Times New Roman" w:hAnsi="Times New Roman" w:eastAsia="宋体" w:cs="Times New Roman"/>
                      <w:color w:val="auto"/>
                      <w:highlight w:val="none"/>
                    </w:rPr>
                    <w:t>内，</w:t>
                  </w:r>
                  <w:r>
                    <w:rPr>
                      <w:rFonts w:hint="default" w:ascii="Times New Roman" w:hAnsi="Times New Roman" w:eastAsia="宋体" w:cs="Times New Roman"/>
                      <w:color w:val="auto"/>
                      <w:highlight w:val="none"/>
                      <w:lang w:eastAsia="zh-CN"/>
                    </w:rPr>
                    <w:t>购买药剂时返回原</w:t>
                  </w:r>
                  <w:r>
                    <w:rPr>
                      <w:rFonts w:hint="default" w:ascii="Times New Roman" w:hAnsi="Times New Roman" w:eastAsia="宋体" w:cs="Times New Roman"/>
                      <w:color w:val="auto"/>
                      <w:highlight w:val="none"/>
                    </w:rPr>
                    <w:t>厂家重复利用。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60" w:type="pct"/>
                  <w:vMerge w:val="continue"/>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912"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办公生活</w:t>
                  </w:r>
                </w:p>
              </w:tc>
              <w:tc>
                <w:tcPr>
                  <w:tcW w:w="505"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S5</w:t>
                  </w:r>
                </w:p>
              </w:tc>
              <w:tc>
                <w:tcPr>
                  <w:tcW w:w="1273"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生活垃圾</w:t>
                  </w:r>
                </w:p>
              </w:tc>
              <w:tc>
                <w:tcPr>
                  <w:tcW w:w="2046"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在厂内集中收集后，运往邻厂新疆路源矿业有限公司垃圾填埋场填埋处置</w:t>
                  </w:r>
                </w:p>
              </w:tc>
            </w:tr>
          </w:tbl>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snapToGrid w:val="0"/>
                <w:color w:val="auto"/>
                <w:kern w:val="0"/>
                <w:sz w:val="24"/>
                <w:szCs w:val="24"/>
                <w:lang w:val="en-US" w:eastAsia="zh-CN"/>
              </w:rPr>
            </w:pPr>
            <w:bookmarkStart w:id="2" w:name="_Toc18559"/>
            <w:r>
              <w:rPr>
                <w:rFonts w:hint="default" w:ascii="Times New Roman" w:hAnsi="Times New Roman" w:eastAsia="宋体" w:cs="Times New Roman"/>
                <w:b/>
                <w:bCs/>
                <w:snapToGrid w:val="0"/>
                <w:color w:val="auto"/>
                <w:kern w:val="0"/>
                <w:sz w:val="24"/>
                <w:szCs w:val="24"/>
                <w:lang w:val="en-US" w:eastAsia="zh-CN"/>
              </w:rPr>
              <w:t>3 物料平衡分析</w:t>
            </w:r>
            <w:bookmarkEnd w:id="2"/>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项目采用金锑矿选矿尾矿为原料，进一步浮选金精矿，对资源进行充分利用。</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highlight w:val="yellow"/>
                <w:lang w:val="en-US" w:eastAsia="zh-CN"/>
              </w:rPr>
            </w:pPr>
            <w:r>
              <w:rPr>
                <w:rFonts w:hint="eastAsia" w:cs="Times New Roman"/>
                <w:color w:val="auto"/>
                <w:sz w:val="24"/>
                <w:szCs w:val="24"/>
                <w:highlight w:val="none"/>
                <w:lang w:val="en-US" w:eastAsia="zh-CN"/>
              </w:rPr>
              <w:t>项目</w:t>
            </w:r>
            <w:r>
              <w:rPr>
                <w:rFonts w:hint="default" w:ascii="Times New Roman" w:hAnsi="Times New Roman" w:eastAsia="宋体" w:cs="Times New Roman"/>
                <w:color w:val="auto"/>
                <w:sz w:val="24"/>
                <w:szCs w:val="24"/>
                <w:highlight w:val="none"/>
                <w:lang w:val="en-US" w:eastAsia="zh-CN"/>
              </w:rPr>
              <w:t>回采尾砂32.65万m³</w:t>
            </w:r>
            <w:r>
              <w:rPr>
                <w:rFonts w:hint="eastAsia" w:cs="Times New Roman"/>
                <w:color w:val="auto"/>
                <w:sz w:val="24"/>
                <w:szCs w:val="24"/>
                <w:highlight w:val="none"/>
                <w:lang w:val="en-US" w:eastAsia="zh-CN"/>
              </w:rPr>
              <w:t>/a</w:t>
            </w:r>
            <w:r>
              <w:rPr>
                <w:rFonts w:hint="default" w:ascii="Times New Roman" w:hAnsi="Times New Roman" w:eastAsia="宋体" w:cs="Times New Roman"/>
                <w:color w:val="auto"/>
                <w:sz w:val="24"/>
                <w:szCs w:val="24"/>
                <w:highlight w:val="none"/>
                <w:lang w:val="en-US" w:eastAsia="zh-CN"/>
              </w:rPr>
              <w:t>，尾砂干容重1.6t/m³</w:t>
            </w:r>
            <w:r>
              <w:rPr>
                <w:rFonts w:hint="eastAsia" w:cs="Times New Roman"/>
                <w:color w:val="auto"/>
                <w:sz w:val="24"/>
                <w:szCs w:val="24"/>
                <w:highlight w:val="none"/>
                <w:lang w:val="en-US" w:eastAsia="zh-CN"/>
              </w:rPr>
              <w:t>，则</w:t>
            </w:r>
            <w:r>
              <w:rPr>
                <w:rFonts w:hint="default" w:ascii="Times New Roman" w:hAnsi="Times New Roman" w:eastAsia="宋体" w:cs="Times New Roman"/>
                <w:color w:val="auto"/>
                <w:sz w:val="24"/>
                <w:szCs w:val="24"/>
                <w:highlight w:val="none"/>
                <w:lang w:val="en-US" w:eastAsia="zh-CN"/>
              </w:rPr>
              <w:t>原料</w:t>
            </w:r>
            <w:r>
              <w:rPr>
                <w:rFonts w:hint="eastAsia" w:cs="Times New Roman"/>
                <w:color w:val="auto"/>
                <w:sz w:val="24"/>
                <w:szCs w:val="24"/>
                <w:highlight w:val="none"/>
                <w:lang w:val="en-US" w:eastAsia="zh-CN"/>
              </w:rPr>
              <w:t>尾矿</w:t>
            </w:r>
            <w:r>
              <w:rPr>
                <w:rFonts w:hint="default" w:ascii="Times New Roman" w:hAnsi="Times New Roman" w:eastAsia="宋体" w:cs="Times New Roman"/>
                <w:color w:val="auto"/>
                <w:sz w:val="24"/>
                <w:szCs w:val="24"/>
                <w:highlight w:val="none"/>
                <w:lang w:val="en-US" w:eastAsia="zh-CN"/>
              </w:rPr>
              <w:t>总量=326500m³×1.6t/m³=522400t/a（进入浮选系统原矿量）</w:t>
            </w:r>
            <w:r>
              <w:rPr>
                <w:rFonts w:hint="eastAsia" w:cs="Times New Roman"/>
                <w:color w:val="auto"/>
                <w:sz w:val="24"/>
                <w:szCs w:val="24"/>
                <w:highlight w:val="none"/>
                <w:lang w:val="en-US" w:eastAsia="zh-CN"/>
              </w:rPr>
              <w:t>。根据尾矿分离浮选实验结果，金精矿产率6.94%，二次尾矿产率93.06%，则金精矿产出36254.5t/a，二次尾矿产出为486145.44t/a。</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物料平衡分析</w:t>
            </w:r>
            <w:r>
              <w:rPr>
                <w:rFonts w:hint="eastAsia" w:cs="Times New Roman"/>
                <w:color w:val="auto"/>
                <w:sz w:val="24"/>
                <w:szCs w:val="24"/>
                <w:lang w:val="en-US" w:eastAsia="zh-CN"/>
              </w:rPr>
              <w:t>表</w:t>
            </w:r>
            <w:r>
              <w:rPr>
                <w:rFonts w:hint="default" w:ascii="Times New Roman" w:hAnsi="Times New Roman" w:eastAsia="宋体" w:cs="Times New Roman"/>
                <w:color w:val="auto"/>
                <w:sz w:val="24"/>
                <w:szCs w:val="24"/>
                <w:lang w:val="en-US" w:eastAsia="zh-CN"/>
              </w:rPr>
              <w:t>如下：</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表2-1</w:t>
            </w:r>
            <w:r>
              <w:rPr>
                <w:rFonts w:hint="default" w:ascii="Times New Roman" w:hAnsi="Times New Roman" w:cs="Times New Roman"/>
                <w:b/>
                <w:bCs w:val="0"/>
                <w:color w:val="auto"/>
                <w:sz w:val="21"/>
                <w:szCs w:val="21"/>
                <w:highlight w:val="none"/>
                <w:lang w:val="en-US" w:eastAsia="zh-CN"/>
              </w:rPr>
              <w:t>2</w:t>
            </w:r>
            <w:r>
              <w:rPr>
                <w:rFonts w:hint="default" w:ascii="Times New Roman" w:hAnsi="Times New Roman" w:eastAsia="宋体" w:cs="Times New Roman"/>
                <w:b/>
                <w:bCs w:val="0"/>
                <w:color w:val="auto"/>
                <w:sz w:val="21"/>
                <w:szCs w:val="21"/>
                <w:highlight w:val="none"/>
                <w:lang w:val="en-US" w:eastAsia="zh-CN"/>
              </w:rPr>
              <w:t xml:space="preserve">   物料平衡分析表</w:t>
            </w:r>
          </w:p>
          <w:tbl>
            <w:tblPr>
              <w:tblStyle w:val="29"/>
              <w:tblW w:w="4996"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075"/>
              <w:gridCol w:w="1300"/>
              <w:gridCol w:w="1604"/>
              <w:gridCol w:w="846"/>
              <w:gridCol w:w="1283"/>
              <w:gridCol w:w="180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1501" w:type="pct"/>
                  <w:gridSpan w:val="2"/>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投入</w:t>
                  </w:r>
                </w:p>
              </w:tc>
              <w:tc>
                <w:tcPr>
                  <w:tcW w:w="3498" w:type="pct"/>
                  <w:gridSpan w:val="4"/>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产出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679"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名称</w:t>
                  </w:r>
                </w:p>
              </w:tc>
              <w:tc>
                <w:tcPr>
                  <w:tcW w:w="821"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数量（t/a）</w:t>
                  </w:r>
                </w:p>
              </w:tc>
              <w:tc>
                <w:tcPr>
                  <w:tcW w:w="1014"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名称</w:t>
                  </w:r>
                </w:p>
              </w:tc>
              <w:tc>
                <w:tcPr>
                  <w:tcW w:w="534"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产率%</w:t>
                  </w:r>
                </w:p>
              </w:tc>
              <w:tc>
                <w:tcPr>
                  <w:tcW w:w="811"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数量（t/a）</w:t>
                  </w:r>
                </w:p>
              </w:tc>
              <w:tc>
                <w:tcPr>
                  <w:tcW w:w="1138"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去向</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679"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尾砂</w:t>
                  </w:r>
                </w:p>
              </w:tc>
              <w:tc>
                <w:tcPr>
                  <w:tcW w:w="821"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5224</w:t>
                  </w:r>
                  <w:r>
                    <w:rPr>
                      <w:rFonts w:hint="default" w:ascii="Times New Roman" w:hAnsi="Times New Roman" w:eastAsia="宋体" w:cs="Times New Roman"/>
                      <w:color w:val="auto"/>
                      <w:highlight w:val="none"/>
                      <w:lang w:val="en-US" w:eastAsia="zh-CN"/>
                    </w:rPr>
                    <w:t>00</w:t>
                  </w:r>
                </w:p>
              </w:tc>
              <w:tc>
                <w:tcPr>
                  <w:tcW w:w="1014"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金精矿</w:t>
                  </w:r>
                </w:p>
              </w:tc>
              <w:tc>
                <w:tcPr>
                  <w:tcW w:w="534"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6.94</w:t>
                  </w:r>
                </w:p>
              </w:tc>
              <w:tc>
                <w:tcPr>
                  <w:tcW w:w="811"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36254.5</w:t>
                  </w:r>
                </w:p>
              </w:tc>
              <w:tc>
                <w:tcPr>
                  <w:tcW w:w="1138"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外售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679"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821"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1014"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二次尾矿</w:t>
                  </w:r>
                </w:p>
              </w:tc>
              <w:tc>
                <w:tcPr>
                  <w:tcW w:w="534"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93.06</w:t>
                  </w:r>
                </w:p>
              </w:tc>
              <w:tc>
                <w:tcPr>
                  <w:tcW w:w="811"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486145</w:t>
                  </w:r>
                  <w:r>
                    <w:rPr>
                      <w:rFonts w:hint="eastAsia" w:eastAsia="宋体" w:cs="Times New Roman"/>
                      <w:color w:val="auto"/>
                      <w:highlight w:val="none"/>
                      <w:lang w:val="en-US" w:eastAsia="zh-CN"/>
                    </w:rPr>
                    <w:t>.44</w:t>
                  </w:r>
                </w:p>
              </w:tc>
              <w:tc>
                <w:tcPr>
                  <w:tcW w:w="1138"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排放至下游尾矿库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679"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821"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1014"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成品堆放</w:t>
                  </w:r>
                  <w:r>
                    <w:rPr>
                      <w:rFonts w:hint="default" w:ascii="Times New Roman" w:hAnsi="Times New Roman" w:eastAsia="宋体" w:cs="Times New Roman"/>
                      <w:color w:val="auto"/>
                      <w:highlight w:val="none"/>
                      <w:lang w:val="en-US" w:eastAsia="zh-CN"/>
                    </w:rPr>
                    <w:t>粉尘</w:t>
                  </w:r>
                </w:p>
              </w:tc>
              <w:tc>
                <w:tcPr>
                  <w:tcW w:w="534"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eastAsia="宋体" w:cs="Times New Roman"/>
                      <w:color w:val="auto"/>
                      <w:highlight w:val="none"/>
                      <w:lang w:val="en-US" w:eastAsia="zh-CN"/>
                    </w:rPr>
                  </w:pPr>
                  <w:r>
                    <w:rPr>
                      <w:rFonts w:hint="eastAsia" w:eastAsia="宋体" w:cs="Times New Roman"/>
                      <w:color w:val="auto"/>
                      <w:highlight w:val="none"/>
                      <w:lang w:val="en-US" w:eastAsia="zh-CN"/>
                    </w:rPr>
                    <w:t>/</w:t>
                  </w:r>
                </w:p>
              </w:tc>
              <w:tc>
                <w:tcPr>
                  <w:tcW w:w="811"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w:t>
                  </w:r>
                  <w:r>
                    <w:rPr>
                      <w:rFonts w:hint="eastAsia" w:eastAsia="宋体" w:cs="Times New Roman"/>
                      <w:color w:val="auto"/>
                      <w:highlight w:val="none"/>
                      <w:lang w:val="en-US" w:eastAsia="zh-CN"/>
                    </w:rPr>
                    <w:t>6</w:t>
                  </w:r>
                  <w:r>
                    <w:rPr>
                      <w:rFonts w:hint="default" w:ascii="Times New Roman" w:hAnsi="Times New Roman" w:eastAsia="宋体" w:cs="Times New Roman"/>
                      <w:color w:val="auto"/>
                      <w:highlight w:val="none"/>
                      <w:lang w:val="en-US" w:eastAsia="zh-CN"/>
                    </w:rPr>
                    <w:t>6</w:t>
                  </w:r>
                </w:p>
              </w:tc>
              <w:tc>
                <w:tcPr>
                  <w:tcW w:w="1138"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yellow"/>
                      <w:lang w:val="en-US" w:eastAsia="zh-CN"/>
                    </w:rPr>
                  </w:pPr>
                  <w:r>
                    <w:rPr>
                      <w:rFonts w:hint="default" w:ascii="Times New Roman" w:hAnsi="Times New Roman" w:eastAsia="宋体" w:cs="Times New Roman"/>
                      <w:color w:val="auto"/>
                      <w:highlight w:val="none"/>
                      <w:lang w:val="en-US" w:eastAsia="zh-CN"/>
                    </w:rPr>
                    <w:t>逸散到大气</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679"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合计</w:t>
                  </w:r>
                </w:p>
              </w:tc>
              <w:tc>
                <w:tcPr>
                  <w:tcW w:w="821"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5224</w:t>
                  </w:r>
                  <w:r>
                    <w:rPr>
                      <w:rFonts w:hint="default" w:ascii="Times New Roman" w:hAnsi="Times New Roman" w:eastAsia="宋体" w:cs="Times New Roman"/>
                      <w:color w:val="auto"/>
                      <w:highlight w:val="none"/>
                      <w:lang w:val="en-US" w:eastAsia="zh-CN"/>
                    </w:rPr>
                    <w:t>00</w:t>
                  </w:r>
                </w:p>
              </w:tc>
              <w:tc>
                <w:tcPr>
                  <w:tcW w:w="1014"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534"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811"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5224</w:t>
                  </w:r>
                  <w:r>
                    <w:rPr>
                      <w:rFonts w:hint="default" w:ascii="Times New Roman" w:hAnsi="Times New Roman" w:eastAsia="宋体" w:cs="Times New Roman"/>
                      <w:color w:val="auto"/>
                      <w:highlight w:val="none"/>
                      <w:lang w:val="en-US" w:eastAsia="zh-CN"/>
                    </w:rPr>
                    <w:t>00</w:t>
                  </w:r>
                </w:p>
              </w:tc>
              <w:tc>
                <w:tcPr>
                  <w:tcW w:w="1138" w:type="pct"/>
                  <w:tcBorders>
                    <w:tl2br w:val="nil"/>
                    <w:tr2bl w:val="nil"/>
                  </w:tcBorders>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r>
          </w:tbl>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snapToGrid w:val="0"/>
                <w:color w:val="auto"/>
                <w:kern w:val="0"/>
                <w:sz w:val="24"/>
                <w:szCs w:val="24"/>
                <w:lang w:val="en-US" w:eastAsia="zh-CN"/>
              </w:rPr>
            </w:pPr>
            <w:r>
              <w:rPr>
                <w:rFonts w:hint="default" w:ascii="Times New Roman" w:hAnsi="Times New Roman" w:eastAsia="宋体" w:cs="Times New Roman"/>
                <w:b/>
                <w:bCs/>
                <w:snapToGrid w:val="0"/>
                <w:color w:val="auto"/>
                <w:kern w:val="0"/>
                <w:sz w:val="24"/>
                <w:szCs w:val="24"/>
                <w:lang w:val="en-US" w:eastAsia="zh-CN"/>
              </w:rPr>
              <w:t>4 金元素平衡</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highlight w:val="none"/>
                <w:lang w:val="en-US" w:eastAsia="zh-CN"/>
              </w:rPr>
              <w:t>根据尾矿分离浮选实验结果，金精矿品位9.90g/t，二次尾矿品位0.22g/t，原尾砂品位0.89g/t，金精矿产出36254.5t/a，二次尾矿产出为486145.44t/a，经计算，金精矿中金含量0.359t/a，二次尾矿中金含量0.106t/a，回收率77.2%。</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项目金元素平衡分析见下表。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w:t>
            </w:r>
            <w:r>
              <w:rPr>
                <w:rFonts w:hint="default" w:ascii="Times New Roman" w:hAnsi="Times New Roman" w:cs="Times New Roman"/>
                <w:b/>
                <w:bCs w:val="0"/>
                <w:color w:val="auto"/>
                <w:sz w:val="21"/>
                <w:szCs w:val="21"/>
                <w:lang w:val="en-US" w:eastAsia="zh-CN"/>
              </w:rPr>
              <w:t>2-13</w:t>
            </w:r>
            <w:r>
              <w:rPr>
                <w:rFonts w:hint="default" w:ascii="Times New Roman" w:hAnsi="Times New Roman" w:eastAsia="宋体" w:cs="Times New Roman"/>
                <w:b/>
                <w:bCs w:val="0"/>
                <w:color w:val="auto"/>
                <w:sz w:val="21"/>
                <w:szCs w:val="21"/>
                <w:lang w:val="en-US" w:eastAsia="zh-CN"/>
              </w:rPr>
              <w:t xml:space="preserve">    金元素平衡表</w:t>
            </w:r>
          </w:p>
          <w:tbl>
            <w:tblPr>
              <w:tblStyle w:val="2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910"/>
              <w:gridCol w:w="1060"/>
              <w:gridCol w:w="1081"/>
              <w:gridCol w:w="913"/>
              <w:gridCol w:w="913"/>
              <w:gridCol w:w="1060"/>
              <w:gridCol w:w="1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97" w:type="pct"/>
                  <w:gridSpan w:val="4"/>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eastAsiaTheme="minorEastAsia"/>
                      <w:color w:val="auto"/>
                      <w:kern w:val="2"/>
                      <w:sz w:val="21"/>
                      <w:highlight w:val="none"/>
                      <w:lang w:val="en-US" w:eastAsia="zh-CN"/>
                    </w:rPr>
                  </w:pPr>
                  <w:r>
                    <w:rPr>
                      <w:rFonts w:hint="default" w:ascii="Times New Roman" w:hAnsi="Times New Roman" w:cs="Times New Roman" w:eastAsiaTheme="minorEastAsia"/>
                      <w:color w:val="auto"/>
                      <w:kern w:val="2"/>
                      <w:sz w:val="21"/>
                      <w:highlight w:val="none"/>
                      <w:lang w:val="en-US" w:eastAsia="zh-CN"/>
                    </w:rPr>
                    <w:t>投入</w:t>
                  </w:r>
                </w:p>
              </w:tc>
              <w:tc>
                <w:tcPr>
                  <w:tcW w:w="2502" w:type="pct"/>
                  <w:gridSpan w:val="4"/>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eastAsiaTheme="minorEastAsia"/>
                      <w:color w:val="auto"/>
                      <w:kern w:val="2"/>
                      <w:sz w:val="21"/>
                      <w:highlight w:val="none"/>
                      <w:lang w:val="en-US" w:eastAsia="zh-CN"/>
                    </w:rPr>
                  </w:pPr>
                  <w:r>
                    <w:rPr>
                      <w:rFonts w:hint="default" w:ascii="Times New Roman" w:hAnsi="Times New Roman" w:cs="Times New Roman" w:eastAsiaTheme="minorEastAsia"/>
                      <w:color w:val="auto"/>
                      <w:kern w:val="2"/>
                      <w:sz w:val="21"/>
                      <w:highlight w:val="none"/>
                      <w:lang w:val="en-US" w:eastAsia="zh-CN"/>
                    </w:rPr>
                    <w:t>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74" w:type="pct"/>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eastAsiaTheme="minorEastAsia"/>
                      <w:color w:val="auto"/>
                      <w:kern w:val="2"/>
                      <w:highlight w:val="none"/>
                    </w:rPr>
                  </w:pPr>
                  <w:r>
                    <w:rPr>
                      <w:rFonts w:hint="default" w:ascii="Times New Roman" w:hAnsi="Times New Roman" w:cs="Times New Roman" w:eastAsiaTheme="minorEastAsia"/>
                      <w:color w:val="auto"/>
                      <w:kern w:val="2"/>
                      <w:sz w:val="21"/>
                      <w:highlight w:val="none"/>
                    </w:rPr>
                    <w:t>名称</w:t>
                  </w:r>
                </w:p>
              </w:tc>
              <w:tc>
                <w:tcPr>
                  <w:tcW w:w="574" w:type="pct"/>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cs="Times New Roman" w:eastAsiaTheme="minorEastAsia"/>
                      <w:color w:val="auto"/>
                      <w:kern w:val="2"/>
                      <w:sz w:val="21"/>
                      <w:highlight w:val="none"/>
                      <w:lang w:val="en-US" w:eastAsia="zh-CN"/>
                    </w:rPr>
                  </w:pPr>
                  <w:r>
                    <w:rPr>
                      <w:rFonts w:hint="eastAsia" w:cs="Times New Roman" w:eastAsiaTheme="minorEastAsia"/>
                      <w:color w:val="auto"/>
                      <w:kern w:val="2"/>
                      <w:sz w:val="21"/>
                      <w:highlight w:val="none"/>
                      <w:lang w:val="en-US" w:eastAsia="zh-CN"/>
                    </w:rPr>
                    <w:t>数量</w:t>
                  </w:r>
                </w:p>
              </w:tc>
              <w:tc>
                <w:tcPr>
                  <w:tcW w:w="668" w:type="pct"/>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cs="Times New Roman" w:eastAsiaTheme="minorEastAsia"/>
                      <w:color w:val="auto"/>
                      <w:kern w:val="2"/>
                      <w:highlight w:val="none"/>
                      <w:lang w:val="en-US" w:eastAsia="zh-CN"/>
                    </w:rPr>
                  </w:pPr>
                  <w:r>
                    <w:rPr>
                      <w:rFonts w:hint="eastAsia" w:cs="Times New Roman" w:eastAsiaTheme="minorEastAsia"/>
                      <w:color w:val="auto"/>
                      <w:kern w:val="2"/>
                      <w:highlight w:val="none"/>
                      <w:lang w:val="en-US" w:eastAsia="zh-CN"/>
                    </w:rPr>
                    <w:t>金</w:t>
                  </w:r>
                  <w:r>
                    <w:rPr>
                      <w:rFonts w:hint="default" w:ascii="Times New Roman" w:hAnsi="Times New Roman" w:cs="Times New Roman" w:eastAsiaTheme="minorEastAsia"/>
                      <w:color w:val="auto"/>
                      <w:kern w:val="2"/>
                      <w:highlight w:val="none"/>
                      <w:lang w:val="en-US" w:eastAsia="zh-CN"/>
                    </w:rPr>
                    <w:t>（t/a）</w:t>
                  </w:r>
                </w:p>
              </w:tc>
              <w:tc>
                <w:tcPr>
                  <w:tcW w:w="680" w:type="pct"/>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eastAsia" w:cs="Times New Roman" w:eastAsiaTheme="minorEastAsia"/>
                      <w:color w:val="auto"/>
                      <w:kern w:val="2"/>
                      <w:highlight w:val="none"/>
                      <w:lang w:val="en-US" w:eastAsia="zh-CN"/>
                    </w:rPr>
                  </w:pPr>
                  <w:r>
                    <w:rPr>
                      <w:rFonts w:hint="default" w:ascii="Times New Roman" w:hAnsi="Times New Roman" w:cs="Times New Roman" w:eastAsiaTheme="minorEastAsia"/>
                      <w:color w:val="auto"/>
                      <w:kern w:val="2"/>
                      <w:sz w:val="21"/>
                      <w:szCs w:val="21"/>
                      <w:highlight w:val="none"/>
                      <w:lang w:val="en-US" w:eastAsia="zh-CN"/>
                    </w:rPr>
                    <w:t>品位</w:t>
                  </w:r>
                  <w:r>
                    <w:rPr>
                      <w:rFonts w:hint="eastAsia" w:ascii="Times New Roman" w:hAnsi="Times New Roman" w:cs="Times New Roman" w:eastAsiaTheme="minorEastAsia"/>
                      <w:color w:val="auto"/>
                      <w:kern w:val="2"/>
                      <w:sz w:val="21"/>
                      <w:szCs w:val="21"/>
                      <w:highlight w:val="none"/>
                      <w:lang w:val="en-US" w:eastAsia="zh-CN"/>
                    </w:rPr>
                    <w:t>（</w:t>
                  </w:r>
                  <w:r>
                    <w:rPr>
                      <w:rFonts w:hint="default" w:ascii="Times New Roman" w:hAnsi="Times New Roman" w:eastAsia="宋体" w:cs="Times New Roman"/>
                      <w:color w:val="auto"/>
                      <w:highlight w:val="none"/>
                      <w:lang w:val="en-US" w:eastAsia="zh-CN"/>
                    </w:rPr>
                    <w:t>g/t</w:t>
                  </w:r>
                  <w:r>
                    <w:rPr>
                      <w:rFonts w:hint="eastAsia" w:ascii="Times New Roman" w:hAnsi="Times New Roman" w:eastAsia="宋体" w:cs="Times New Roman"/>
                      <w:color w:val="auto"/>
                      <w:highlight w:val="none"/>
                      <w:lang w:val="en-US" w:eastAsia="zh-CN"/>
                    </w:rPr>
                    <w:t>）</w:t>
                  </w:r>
                </w:p>
              </w:tc>
              <w:tc>
                <w:tcPr>
                  <w:tcW w:w="575" w:type="pct"/>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eastAsiaTheme="minorEastAsia"/>
                      <w:color w:val="auto"/>
                      <w:kern w:val="2"/>
                      <w:sz w:val="21"/>
                      <w:highlight w:val="none"/>
                      <w:lang w:val="en-US" w:eastAsia="zh-CN"/>
                    </w:rPr>
                  </w:pPr>
                  <w:r>
                    <w:rPr>
                      <w:rFonts w:hint="default" w:ascii="Times New Roman" w:hAnsi="Times New Roman" w:cs="Times New Roman" w:eastAsiaTheme="minorEastAsia"/>
                      <w:color w:val="auto"/>
                      <w:kern w:val="2"/>
                      <w:sz w:val="21"/>
                      <w:highlight w:val="none"/>
                    </w:rPr>
                    <w:t>名称</w:t>
                  </w:r>
                </w:p>
              </w:tc>
              <w:tc>
                <w:tcPr>
                  <w:tcW w:w="575" w:type="pct"/>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cs="Times New Roman" w:eastAsiaTheme="minorEastAsia"/>
                      <w:color w:val="auto"/>
                      <w:kern w:val="2"/>
                      <w:sz w:val="21"/>
                      <w:highlight w:val="none"/>
                      <w:lang w:val="en-US" w:eastAsia="zh-CN"/>
                    </w:rPr>
                  </w:pPr>
                  <w:r>
                    <w:rPr>
                      <w:rFonts w:hint="eastAsia" w:cs="Times New Roman" w:eastAsiaTheme="minorEastAsia"/>
                      <w:color w:val="auto"/>
                      <w:kern w:val="2"/>
                      <w:sz w:val="21"/>
                      <w:highlight w:val="none"/>
                      <w:lang w:val="en-US" w:eastAsia="zh-CN"/>
                    </w:rPr>
                    <w:t>数量</w:t>
                  </w:r>
                </w:p>
              </w:tc>
              <w:tc>
                <w:tcPr>
                  <w:tcW w:w="668" w:type="pct"/>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cs="Times New Roman" w:eastAsiaTheme="minorEastAsia"/>
                      <w:color w:val="auto"/>
                      <w:kern w:val="2"/>
                      <w:highlight w:val="none"/>
                      <w:lang w:eastAsia="zh-CN"/>
                    </w:rPr>
                  </w:pPr>
                  <w:r>
                    <w:rPr>
                      <w:rFonts w:hint="default" w:ascii="Times New Roman" w:hAnsi="Times New Roman" w:cs="Times New Roman" w:eastAsiaTheme="minorEastAsia"/>
                      <w:color w:val="auto"/>
                      <w:kern w:val="2"/>
                      <w:highlight w:val="none"/>
                      <w:lang w:val="en-US" w:eastAsia="zh-CN"/>
                    </w:rPr>
                    <w:t>数量（t/a）</w:t>
                  </w:r>
                </w:p>
              </w:tc>
              <w:tc>
                <w:tcPr>
                  <w:tcW w:w="682" w:type="pct"/>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cs="Times New Roman" w:eastAsiaTheme="minorEastAsia"/>
                      <w:color w:val="auto"/>
                      <w:kern w:val="2"/>
                      <w:highlight w:val="none"/>
                      <w:lang w:val="en-US" w:eastAsia="zh-CN"/>
                    </w:rPr>
                  </w:pPr>
                  <w:r>
                    <w:rPr>
                      <w:rFonts w:hint="default" w:ascii="Times New Roman" w:hAnsi="Times New Roman" w:cs="Times New Roman" w:eastAsiaTheme="minorEastAsia"/>
                      <w:color w:val="auto"/>
                      <w:kern w:val="2"/>
                      <w:sz w:val="21"/>
                      <w:szCs w:val="21"/>
                      <w:highlight w:val="none"/>
                      <w:lang w:val="en-US" w:eastAsia="zh-CN"/>
                    </w:rPr>
                    <w:t>品位</w:t>
                  </w:r>
                  <w:r>
                    <w:rPr>
                      <w:rFonts w:hint="eastAsia" w:ascii="Times New Roman" w:hAnsi="Times New Roman" w:cs="Times New Roman" w:eastAsiaTheme="minorEastAsia"/>
                      <w:color w:val="auto"/>
                      <w:kern w:val="2"/>
                      <w:sz w:val="21"/>
                      <w:szCs w:val="21"/>
                      <w:highlight w:val="none"/>
                      <w:lang w:val="en-US" w:eastAsia="zh-CN"/>
                    </w:rPr>
                    <w:t>（</w:t>
                  </w:r>
                  <w:r>
                    <w:rPr>
                      <w:rFonts w:hint="default" w:ascii="Times New Roman" w:hAnsi="Times New Roman" w:eastAsia="宋体" w:cs="Times New Roman"/>
                      <w:color w:val="auto"/>
                      <w:highlight w:val="none"/>
                      <w:lang w:val="en-US" w:eastAsia="zh-CN"/>
                    </w:rPr>
                    <w:t>g/t</w:t>
                  </w:r>
                  <w:r>
                    <w:rPr>
                      <w:rFonts w:hint="eastAsia" w:ascii="Times New Roman" w:hAnsi="Times New Roman" w:cs="Times New Roman" w:eastAsiaTheme="minorEastAsia"/>
                      <w:color w:val="auto"/>
                      <w:kern w:val="2"/>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74" w:type="pct"/>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cs="Times New Roman" w:eastAsiaTheme="minorEastAsia"/>
                      <w:color w:val="auto"/>
                      <w:kern w:val="2"/>
                      <w:highlight w:val="none"/>
                      <w:lang w:val="en-US" w:eastAsia="zh-CN"/>
                    </w:rPr>
                  </w:pPr>
                  <w:r>
                    <w:rPr>
                      <w:rFonts w:hint="default" w:ascii="Times New Roman" w:hAnsi="Times New Roman" w:cs="Times New Roman" w:eastAsiaTheme="minorEastAsia"/>
                      <w:color w:val="auto"/>
                      <w:kern w:val="2"/>
                      <w:highlight w:val="none"/>
                      <w:lang w:val="en-US" w:eastAsia="zh-CN"/>
                    </w:rPr>
                    <w:t>原尾砂</w:t>
                  </w:r>
                </w:p>
              </w:tc>
              <w:tc>
                <w:tcPr>
                  <w:tcW w:w="574" w:type="pct"/>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cs="Times New Roman" w:eastAsiaTheme="minorEastAsia"/>
                      <w:color w:val="auto"/>
                      <w:kern w:val="2"/>
                      <w:highlight w:val="none"/>
                      <w:lang w:val="en-US" w:eastAsia="zh-CN"/>
                    </w:rPr>
                  </w:pPr>
                  <w:r>
                    <w:rPr>
                      <w:rFonts w:hint="eastAsia" w:cs="Times New Roman" w:eastAsiaTheme="minorEastAsia"/>
                      <w:color w:val="auto"/>
                      <w:kern w:val="2"/>
                      <w:highlight w:val="none"/>
                      <w:lang w:val="en-US" w:eastAsia="zh-CN"/>
                    </w:rPr>
                    <w:t>522400</w:t>
                  </w:r>
                </w:p>
              </w:tc>
              <w:tc>
                <w:tcPr>
                  <w:tcW w:w="668" w:type="pct"/>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eastAsiaTheme="minorEastAsia"/>
                      <w:color w:val="auto"/>
                      <w:kern w:val="2"/>
                      <w:szCs w:val="21"/>
                      <w:highlight w:val="none"/>
                      <w:lang w:val="en-US" w:eastAsia="zh-CN"/>
                    </w:rPr>
                  </w:pPr>
                  <w:r>
                    <w:rPr>
                      <w:rFonts w:hint="eastAsia" w:cs="Times New Roman" w:eastAsiaTheme="minorEastAsia"/>
                      <w:color w:val="auto"/>
                      <w:kern w:val="2"/>
                      <w:szCs w:val="21"/>
                      <w:highlight w:val="none"/>
                      <w:lang w:val="en-US" w:eastAsia="zh-CN"/>
                    </w:rPr>
                    <w:t>0.465</w:t>
                  </w:r>
                </w:p>
              </w:tc>
              <w:tc>
                <w:tcPr>
                  <w:tcW w:w="680" w:type="pct"/>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s="Times New Roman" w:eastAsiaTheme="minorEastAsia"/>
                      <w:color w:val="auto"/>
                      <w:kern w:val="2"/>
                      <w:szCs w:val="21"/>
                      <w:highlight w:val="none"/>
                      <w:lang w:val="en-US" w:eastAsia="zh-CN"/>
                    </w:rPr>
                  </w:pPr>
                  <w:r>
                    <w:rPr>
                      <w:rFonts w:hint="eastAsia" w:cs="Times New Roman" w:eastAsiaTheme="minorEastAsia"/>
                      <w:color w:val="auto"/>
                      <w:kern w:val="2"/>
                      <w:szCs w:val="21"/>
                      <w:highlight w:val="none"/>
                      <w:lang w:val="en-US" w:eastAsia="zh-CN"/>
                    </w:rPr>
                    <w:t>0.89</w:t>
                  </w:r>
                </w:p>
              </w:tc>
              <w:tc>
                <w:tcPr>
                  <w:tcW w:w="575" w:type="pct"/>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cs="Times New Roman" w:eastAsiaTheme="minorEastAsia"/>
                      <w:color w:val="auto"/>
                      <w:kern w:val="2"/>
                      <w:sz w:val="21"/>
                      <w:szCs w:val="21"/>
                      <w:highlight w:val="none"/>
                      <w:lang w:val="en-US" w:eastAsia="zh-CN"/>
                    </w:rPr>
                  </w:pPr>
                  <w:r>
                    <w:rPr>
                      <w:rFonts w:hint="default" w:ascii="Times New Roman" w:hAnsi="Times New Roman" w:eastAsia="宋体" w:cs="Times New Roman"/>
                      <w:color w:val="auto"/>
                      <w:highlight w:val="none"/>
                      <w:lang w:val="en-US" w:eastAsia="zh-CN"/>
                    </w:rPr>
                    <w:t>金精矿</w:t>
                  </w:r>
                </w:p>
              </w:tc>
              <w:tc>
                <w:tcPr>
                  <w:tcW w:w="899" w:type="dxa"/>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36254.5</w:t>
                  </w:r>
                </w:p>
              </w:tc>
              <w:tc>
                <w:tcPr>
                  <w:tcW w:w="668" w:type="pct"/>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eastAsiaTheme="minorEastAsia"/>
                      <w:color w:val="auto"/>
                      <w:kern w:val="2"/>
                      <w:szCs w:val="21"/>
                      <w:highlight w:val="none"/>
                      <w:lang w:val="en-US" w:eastAsia="zh-CN"/>
                    </w:rPr>
                  </w:pPr>
                  <w:r>
                    <w:rPr>
                      <w:rFonts w:hint="default" w:ascii="Times New Roman" w:hAnsi="Times New Roman" w:cs="Times New Roman" w:eastAsiaTheme="minorEastAsia"/>
                      <w:color w:val="auto"/>
                      <w:kern w:val="2"/>
                      <w:szCs w:val="21"/>
                      <w:highlight w:val="none"/>
                      <w:lang w:val="en-US" w:eastAsia="zh-CN"/>
                    </w:rPr>
                    <w:t>0.</w:t>
                  </w:r>
                  <w:r>
                    <w:rPr>
                      <w:rFonts w:hint="eastAsia" w:cs="Times New Roman" w:eastAsiaTheme="minorEastAsia"/>
                      <w:color w:val="auto"/>
                      <w:kern w:val="2"/>
                      <w:szCs w:val="21"/>
                      <w:highlight w:val="none"/>
                      <w:lang w:val="en-US" w:eastAsia="zh-CN"/>
                    </w:rPr>
                    <w:t>359</w:t>
                  </w:r>
                </w:p>
              </w:tc>
              <w:tc>
                <w:tcPr>
                  <w:tcW w:w="682" w:type="pct"/>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eastAsiaTheme="minorEastAsia"/>
                      <w:color w:val="auto"/>
                      <w:kern w:val="2"/>
                      <w:szCs w:val="21"/>
                      <w:highlight w:val="none"/>
                      <w:lang w:val="en-US" w:eastAsia="zh-CN"/>
                    </w:rPr>
                  </w:pPr>
                  <w:r>
                    <w:rPr>
                      <w:rFonts w:hint="default" w:ascii="Times New Roman" w:hAnsi="Times New Roman" w:eastAsia="宋体" w:cs="Times New Roman"/>
                      <w:color w:val="auto"/>
                      <w:highlight w:val="none"/>
                      <w:lang w:val="en-US" w:eastAsia="zh-CN"/>
                    </w:rPr>
                    <w:t>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74" w:type="pct"/>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eastAsia" w:ascii="Times New Roman" w:hAnsi="Times New Roman" w:cs="Times New Roman" w:eastAsiaTheme="minorEastAsia"/>
                      <w:color w:val="auto"/>
                      <w:kern w:val="2"/>
                      <w:highlight w:val="none"/>
                      <w:lang w:val="en-US" w:eastAsia="zh-CN"/>
                    </w:rPr>
                  </w:pPr>
                  <w:r>
                    <w:rPr>
                      <w:rFonts w:hint="eastAsia" w:cs="Times New Roman" w:eastAsiaTheme="minorEastAsia"/>
                      <w:color w:val="auto"/>
                      <w:kern w:val="2"/>
                      <w:highlight w:val="none"/>
                      <w:lang w:val="en-US" w:eastAsia="zh-CN"/>
                    </w:rPr>
                    <w:t>/</w:t>
                  </w:r>
                </w:p>
              </w:tc>
              <w:tc>
                <w:tcPr>
                  <w:tcW w:w="574" w:type="pct"/>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eastAsia" w:ascii="Times New Roman" w:hAnsi="Times New Roman" w:cs="Times New Roman" w:eastAsiaTheme="minorEastAsia"/>
                      <w:color w:val="auto"/>
                      <w:kern w:val="2"/>
                      <w:highlight w:val="none"/>
                      <w:lang w:val="en-US" w:eastAsia="zh-CN"/>
                    </w:rPr>
                  </w:pPr>
                  <w:r>
                    <w:rPr>
                      <w:rFonts w:hint="eastAsia" w:cs="Times New Roman" w:eastAsiaTheme="minorEastAsia"/>
                      <w:color w:val="auto"/>
                      <w:kern w:val="2"/>
                      <w:highlight w:val="none"/>
                      <w:lang w:val="en-US" w:eastAsia="zh-CN"/>
                    </w:rPr>
                    <w:t>/</w:t>
                  </w:r>
                </w:p>
              </w:tc>
              <w:tc>
                <w:tcPr>
                  <w:tcW w:w="668" w:type="pct"/>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cs="Times New Roman" w:eastAsiaTheme="minorEastAsia"/>
                      <w:color w:val="auto"/>
                      <w:kern w:val="2"/>
                      <w:szCs w:val="21"/>
                      <w:highlight w:val="none"/>
                      <w:lang w:val="en-US" w:eastAsia="zh-CN"/>
                    </w:rPr>
                  </w:pPr>
                  <w:r>
                    <w:rPr>
                      <w:rFonts w:hint="eastAsia" w:cs="Times New Roman" w:eastAsiaTheme="minorEastAsia"/>
                      <w:color w:val="auto"/>
                      <w:kern w:val="2"/>
                      <w:szCs w:val="21"/>
                      <w:highlight w:val="none"/>
                      <w:lang w:val="en-US" w:eastAsia="zh-CN"/>
                    </w:rPr>
                    <w:t>/</w:t>
                  </w:r>
                </w:p>
              </w:tc>
              <w:tc>
                <w:tcPr>
                  <w:tcW w:w="680" w:type="pct"/>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cs="Times New Roman" w:eastAsiaTheme="minorEastAsia"/>
                      <w:color w:val="auto"/>
                      <w:kern w:val="2"/>
                      <w:szCs w:val="21"/>
                      <w:highlight w:val="none"/>
                      <w:lang w:val="en-US" w:eastAsia="zh-CN"/>
                    </w:rPr>
                  </w:pPr>
                  <w:r>
                    <w:rPr>
                      <w:rFonts w:hint="eastAsia" w:cs="Times New Roman" w:eastAsiaTheme="minorEastAsia"/>
                      <w:color w:val="auto"/>
                      <w:kern w:val="2"/>
                      <w:szCs w:val="21"/>
                      <w:highlight w:val="none"/>
                      <w:lang w:val="en-US" w:eastAsia="zh-CN"/>
                    </w:rPr>
                    <w:t>/</w:t>
                  </w:r>
                </w:p>
              </w:tc>
              <w:tc>
                <w:tcPr>
                  <w:tcW w:w="575" w:type="pct"/>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cs="Times New Roman" w:eastAsiaTheme="minorEastAsia"/>
                      <w:color w:val="auto"/>
                      <w:kern w:val="2"/>
                      <w:sz w:val="21"/>
                      <w:szCs w:val="21"/>
                      <w:highlight w:val="none"/>
                    </w:rPr>
                  </w:pPr>
                  <w:r>
                    <w:rPr>
                      <w:rFonts w:hint="default" w:ascii="Times New Roman" w:hAnsi="Times New Roman" w:eastAsia="宋体" w:cs="Times New Roman"/>
                      <w:color w:val="auto"/>
                      <w:highlight w:val="none"/>
                      <w:lang w:val="en-US" w:eastAsia="zh-CN"/>
                    </w:rPr>
                    <w:t>二次尾矿</w:t>
                  </w:r>
                </w:p>
              </w:tc>
              <w:tc>
                <w:tcPr>
                  <w:tcW w:w="899" w:type="dxa"/>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486145</w:t>
                  </w:r>
                  <w:r>
                    <w:rPr>
                      <w:rFonts w:hint="eastAsia" w:eastAsia="宋体" w:cs="Times New Roman"/>
                      <w:color w:val="auto"/>
                      <w:highlight w:val="none"/>
                      <w:lang w:val="en-US" w:eastAsia="zh-CN"/>
                    </w:rPr>
                    <w:t>.44</w:t>
                  </w:r>
                </w:p>
              </w:tc>
              <w:tc>
                <w:tcPr>
                  <w:tcW w:w="668" w:type="pct"/>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eastAsiaTheme="minorEastAsia"/>
                      <w:color w:val="auto"/>
                      <w:kern w:val="2"/>
                      <w:szCs w:val="21"/>
                      <w:highlight w:val="none"/>
                      <w:lang w:val="en-US" w:eastAsia="zh-CN"/>
                    </w:rPr>
                  </w:pPr>
                  <w:r>
                    <w:rPr>
                      <w:rFonts w:hint="default" w:ascii="Times New Roman" w:hAnsi="Times New Roman" w:cs="Times New Roman" w:eastAsiaTheme="minorEastAsia"/>
                      <w:color w:val="auto"/>
                      <w:kern w:val="2"/>
                      <w:szCs w:val="21"/>
                      <w:highlight w:val="none"/>
                      <w:lang w:val="en-US" w:eastAsia="zh-CN"/>
                    </w:rPr>
                    <w:t>0.</w:t>
                  </w:r>
                  <w:r>
                    <w:rPr>
                      <w:rFonts w:hint="eastAsia" w:cs="Times New Roman" w:eastAsiaTheme="minorEastAsia"/>
                      <w:color w:val="auto"/>
                      <w:kern w:val="2"/>
                      <w:szCs w:val="21"/>
                      <w:highlight w:val="none"/>
                      <w:lang w:val="en-US" w:eastAsia="zh-CN"/>
                    </w:rPr>
                    <w:t>106</w:t>
                  </w:r>
                </w:p>
              </w:tc>
              <w:tc>
                <w:tcPr>
                  <w:tcW w:w="682" w:type="pct"/>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eastAsiaTheme="minorEastAsia"/>
                      <w:color w:val="auto"/>
                      <w:kern w:val="2"/>
                      <w:szCs w:val="21"/>
                      <w:highlight w:val="none"/>
                      <w:lang w:val="en-US" w:eastAsia="zh-CN"/>
                    </w:rPr>
                  </w:pPr>
                  <w:r>
                    <w:rPr>
                      <w:rFonts w:hint="default" w:ascii="Times New Roman" w:hAnsi="Times New Roman" w:eastAsia="宋体" w:cs="Times New Roman"/>
                      <w:color w:val="auto"/>
                      <w:highlight w:val="none"/>
                      <w:lang w:val="en-US" w:eastAsia="zh-CN"/>
                    </w:rPr>
                    <w:t>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74" w:type="pct"/>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cs="Times New Roman" w:eastAsiaTheme="minorEastAsia"/>
                      <w:color w:val="auto"/>
                      <w:kern w:val="2"/>
                      <w:highlight w:val="none"/>
                      <w:lang w:val="en-US" w:eastAsia="zh-CN"/>
                    </w:rPr>
                  </w:pPr>
                  <w:r>
                    <w:rPr>
                      <w:rFonts w:hint="default" w:ascii="Times New Roman" w:hAnsi="Times New Roman" w:cs="Times New Roman" w:eastAsiaTheme="minorEastAsia"/>
                      <w:color w:val="auto"/>
                      <w:kern w:val="2"/>
                      <w:highlight w:val="none"/>
                      <w:lang w:val="en-US" w:eastAsia="zh-CN"/>
                    </w:rPr>
                    <w:t>合计</w:t>
                  </w:r>
                </w:p>
              </w:tc>
              <w:tc>
                <w:tcPr>
                  <w:tcW w:w="574" w:type="pct"/>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cs="Times New Roman" w:eastAsiaTheme="minorEastAsia"/>
                      <w:color w:val="auto"/>
                      <w:kern w:val="2"/>
                      <w:highlight w:val="none"/>
                      <w:lang w:val="en-US" w:eastAsia="zh-CN"/>
                    </w:rPr>
                  </w:pPr>
                </w:p>
              </w:tc>
              <w:tc>
                <w:tcPr>
                  <w:tcW w:w="668" w:type="pct"/>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eastAsiaTheme="minorEastAsia"/>
                      <w:color w:val="auto"/>
                      <w:kern w:val="2"/>
                      <w:szCs w:val="21"/>
                      <w:highlight w:val="none"/>
                      <w:lang w:val="en-US" w:eastAsia="zh-CN"/>
                    </w:rPr>
                  </w:pPr>
                  <w:r>
                    <w:rPr>
                      <w:rFonts w:hint="default" w:ascii="Times New Roman" w:hAnsi="Times New Roman" w:cs="Times New Roman" w:eastAsiaTheme="minorEastAsia"/>
                      <w:color w:val="auto"/>
                      <w:kern w:val="2"/>
                      <w:szCs w:val="21"/>
                      <w:highlight w:val="none"/>
                      <w:lang w:val="en-US" w:eastAsia="zh-CN"/>
                    </w:rPr>
                    <w:t>0.</w:t>
                  </w:r>
                  <w:r>
                    <w:rPr>
                      <w:rFonts w:hint="eastAsia" w:cs="Times New Roman" w:eastAsiaTheme="minorEastAsia"/>
                      <w:color w:val="auto"/>
                      <w:kern w:val="2"/>
                      <w:szCs w:val="21"/>
                      <w:highlight w:val="none"/>
                      <w:lang w:val="en-US" w:eastAsia="zh-CN"/>
                    </w:rPr>
                    <w:t>465</w:t>
                  </w:r>
                </w:p>
              </w:tc>
              <w:tc>
                <w:tcPr>
                  <w:tcW w:w="680" w:type="pct"/>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eastAsiaTheme="minorEastAsia"/>
                      <w:color w:val="auto"/>
                      <w:kern w:val="2"/>
                      <w:szCs w:val="21"/>
                      <w:highlight w:val="none"/>
                      <w:lang w:val="en-US" w:eastAsia="zh-CN"/>
                    </w:rPr>
                  </w:pPr>
                </w:p>
              </w:tc>
              <w:tc>
                <w:tcPr>
                  <w:tcW w:w="575" w:type="pct"/>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cs="Times New Roman" w:eastAsiaTheme="minorEastAsia"/>
                      <w:color w:val="auto"/>
                      <w:kern w:val="2"/>
                      <w:sz w:val="21"/>
                      <w:szCs w:val="21"/>
                      <w:highlight w:val="none"/>
                      <w:lang w:val="en-US" w:eastAsia="zh-CN"/>
                    </w:rPr>
                  </w:pPr>
                  <w:r>
                    <w:rPr>
                      <w:rFonts w:hint="default" w:ascii="Times New Roman" w:hAnsi="Times New Roman" w:cs="Times New Roman" w:eastAsiaTheme="minorEastAsia"/>
                      <w:color w:val="auto"/>
                      <w:kern w:val="2"/>
                      <w:sz w:val="21"/>
                      <w:szCs w:val="21"/>
                      <w:highlight w:val="none"/>
                      <w:lang w:val="en-US" w:eastAsia="zh-CN"/>
                    </w:rPr>
                    <w:t>合计</w:t>
                  </w:r>
                </w:p>
              </w:tc>
              <w:tc>
                <w:tcPr>
                  <w:tcW w:w="575" w:type="pct"/>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cs="Times New Roman" w:eastAsiaTheme="minorEastAsia"/>
                      <w:color w:val="auto"/>
                      <w:kern w:val="2"/>
                      <w:sz w:val="21"/>
                      <w:szCs w:val="21"/>
                      <w:highlight w:val="none"/>
                      <w:lang w:val="en-US" w:eastAsia="zh-CN"/>
                    </w:rPr>
                  </w:pPr>
                </w:p>
              </w:tc>
              <w:tc>
                <w:tcPr>
                  <w:tcW w:w="668" w:type="pct"/>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eastAsiaTheme="minorEastAsia"/>
                      <w:color w:val="auto"/>
                      <w:kern w:val="2"/>
                      <w:szCs w:val="21"/>
                      <w:highlight w:val="none"/>
                      <w:lang w:val="en-US" w:eastAsia="zh-CN"/>
                    </w:rPr>
                  </w:pPr>
                  <w:r>
                    <w:rPr>
                      <w:rFonts w:hint="default" w:ascii="Times New Roman" w:hAnsi="Times New Roman" w:cs="Times New Roman" w:eastAsiaTheme="minorEastAsia"/>
                      <w:color w:val="auto"/>
                      <w:kern w:val="2"/>
                      <w:szCs w:val="21"/>
                      <w:highlight w:val="none"/>
                      <w:lang w:val="en-US" w:eastAsia="zh-CN"/>
                    </w:rPr>
                    <w:t>0.</w:t>
                  </w:r>
                  <w:r>
                    <w:rPr>
                      <w:rFonts w:hint="eastAsia" w:cs="Times New Roman" w:eastAsiaTheme="minorEastAsia"/>
                      <w:color w:val="auto"/>
                      <w:kern w:val="2"/>
                      <w:szCs w:val="21"/>
                      <w:highlight w:val="none"/>
                      <w:lang w:val="en-US" w:eastAsia="zh-CN"/>
                    </w:rPr>
                    <w:t>465</w:t>
                  </w:r>
                </w:p>
              </w:tc>
              <w:tc>
                <w:tcPr>
                  <w:tcW w:w="682" w:type="pct"/>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eastAsiaTheme="minorEastAsia"/>
                      <w:color w:val="auto"/>
                      <w:kern w:val="2"/>
                      <w:szCs w:val="21"/>
                      <w:highlight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color w:val="auto"/>
                <w:sz w:val="24"/>
                <w:szCs w:val="24"/>
              </w:rPr>
            </w:pPr>
          </w:p>
          <w:p>
            <w:pPr>
              <w:pStyle w:val="15"/>
              <w:ind w:left="0" w:leftChars="0" w:firstLine="0" w:firstLineChars="0"/>
              <w:rPr>
                <w:rFonts w:hint="default" w:ascii="Times New Roman" w:hAnsi="Times New Roman" w:eastAsia="宋体" w:cs="Times New Roman"/>
                <w:color w:val="auto"/>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07" w:hRule="atLeast"/>
          <w:jc w:val="center"/>
        </w:trPr>
        <w:tc>
          <w:tcPr>
            <w:tcW w:w="823" w:type="dxa"/>
            <w:noWrap w:val="0"/>
            <w:vAlign w:val="center"/>
          </w:tcPr>
          <w:p>
            <w:pPr>
              <w:pStyle w:val="27"/>
              <w:adjustRightInd w:val="0"/>
              <w:snapToGrid w:val="0"/>
              <w:spacing w:before="0" w:beforeAutospacing="0" w:after="0" w:afterAutospacing="0"/>
              <w:jc w:val="center"/>
              <w:rPr>
                <w:rFonts w:hint="default" w:ascii="Times New Roman" w:hAnsi="Times New Roman" w:cs="Times New Roman"/>
                <w:color w:val="auto"/>
                <w:sz w:val="24"/>
                <w:szCs w:val="24"/>
              </w:rPr>
            </w:pPr>
            <w:r>
              <w:rPr>
                <w:rFonts w:hint="default" w:ascii="Times New Roman" w:hAnsi="Times New Roman" w:cs="Times New Roman"/>
                <w:bCs/>
                <w:color w:val="auto"/>
                <w:kern w:val="2"/>
                <w:sz w:val="24"/>
                <w:szCs w:val="24"/>
              </w:rPr>
              <w:t>与项目有关的原有环境污染问题</w:t>
            </w:r>
          </w:p>
        </w:tc>
        <w:tc>
          <w:tcPr>
            <w:tcW w:w="8161"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458" w:firstLineChars="195"/>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pacing w:val="-3"/>
                <w:sz w:val="24"/>
                <w:szCs w:val="24"/>
              </w:rPr>
              <w:t>1现有工程环境保护手续履行情况</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2017年5月</w:t>
            </w:r>
            <w:r>
              <w:rPr>
                <w:rFonts w:hint="default" w:ascii="Times New Roman" w:hAnsi="Times New Roman" w:cs="Times New Roman"/>
                <w:color w:val="auto"/>
                <w:sz w:val="24"/>
                <w:szCs w:val="24"/>
                <w:lang w:val="en-US" w:eastAsia="zh-CN"/>
              </w:rPr>
              <w:t>23日</w:t>
            </w:r>
            <w:r>
              <w:rPr>
                <w:rFonts w:hint="default" w:ascii="Times New Roman" w:hAnsi="Times New Roman" w:eastAsia="宋体" w:cs="Times New Roman"/>
                <w:color w:val="auto"/>
                <w:sz w:val="24"/>
                <w:szCs w:val="24"/>
              </w:rPr>
              <w:t>取得《关于且末县邦泰矿业投资有限公司新疆且末县屈库勒克东金（锑）矿450吨/天选矿工程环境影响报告书的批复》（新环函〔2017〕734号）；</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2017年5月</w:t>
            </w:r>
            <w:r>
              <w:rPr>
                <w:rFonts w:hint="default" w:ascii="Times New Roman" w:hAnsi="Times New Roman" w:cs="Times New Roman"/>
                <w:color w:val="auto"/>
                <w:sz w:val="24"/>
                <w:szCs w:val="24"/>
                <w:lang w:val="en-US" w:eastAsia="zh-CN"/>
              </w:rPr>
              <w:t>23日取得</w:t>
            </w:r>
            <w:r>
              <w:rPr>
                <w:rFonts w:hint="default"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关于且末县邦泰矿业投资有限公司新疆且末县屈库勒克东金(锑)450吨/天采矿工程环境影响报告书的批复</w:t>
            </w:r>
            <w:r>
              <w:rPr>
                <w:rFonts w:hint="default"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新环函〔2017〕744号</w:t>
            </w:r>
            <w:r>
              <w:rPr>
                <w:rFonts w:hint="default" w:ascii="Times New Roman" w:hAnsi="Times New Roman" w:cs="Times New Roman"/>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2019年8月3日且末县邦泰矿业投资有限公司组织召开了《新疆且末县屈库勒克东金（锑）矿450吨/天选矿工程》竣工环境保护现场验收会，通过验收并取得了验收意见；</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2023年11月2日取得固定污染源排污登记回执，登记编号916528255605471190001X，有效</w:t>
            </w:r>
            <w:r>
              <w:rPr>
                <w:rFonts w:hint="default" w:ascii="Times New Roman" w:hAnsi="Times New Roman" w:cs="Times New Roman"/>
                <w:color w:val="auto"/>
                <w:sz w:val="24"/>
                <w:szCs w:val="24"/>
                <w:lang w:eastAsia="zh-CN"/>
              </w:rPr>
              <w:t>期为</w:t>
            </w:r>
            <w:r>
              <w:rPr>
                <w:rFonts w:hint="default" w:ascii="Times New Roman" w:hAnsi="Times New Roman" w:eastAsia="宋体" w:cs="Times New Roman"/>
                <w:color w:val="auto"/>
                <w:sz w:val="24"/>
                <w:szCs w:val="24"/>
              </w:rPr>
              <w:t>2023年11月2日至2028年11月1日；</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2024年10月，邦泰公司发布了《新疆且末县屈库勒克东金（锑）矿450t/d采选工程尾矿库突发环境事件应急预案》并完成备案，备案编号：652825-2021-030-L。</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2025年9月29日取得新疆维吾尔自治区生态环境厅出具的《关于且末县邦泰矿业投资有限公司新疆且末县屈库勒克东金锑矿450t/d选矿厂新建尾矿库工程环境影响报告书的批复》（新环审〔2025〕234号）。</w:t>
            </w:r>
          </w:p>
          <w:p>
            <w:pPr>
              <w:keepNext w:val="0"/>
              <w:keepLines w:val="0"/>
              <w:pageBreakBefore w:val="0"/>
              <w:widowControl w:val="0"/>
              <w:kinsoku/>
              <w:wordWrap/>
              <w:overflowPunct/>
              <w:topLinePunct w:val="0"/>
              <w:autoSpaceDE/>
              <w:autoSpaceDN/>
              <w:bidi w:val="0"/>
              <w:adjustRightInd/>
              <w:snapToGrid/>
              <w:spacing w:line="500" w:lineRule="exact"/>
              <w:ind w:firstLine="458" w:firstLineChars="195"/>
              <w:textAlignment w:val="auto"/>
              <w:rPr>
                <w:rFonts w:hint="default" w:ascii="Times New Roman" w:hAnsi="Times New Roman" w:cs="Times New Roman"/>
                <w:b/>
                <w:bCs/>
                <w:color w:val="auto"/>
                <w:spacing w:val="-3"/>
                <w:sz w:val="24"/>
                <w:szCs w:val="24"/>
                <w:lang w:val="en-US" w:eastAsia="zh-CN"/>
              </w:rPr>
            </w:pPr>
            <w:r>
              <w:rPr>
                <w:rFonts w:hint="default" w:ascii="Times New Roman" w:hAnsi="Times New Roman" w:cs="Times New Roman"/>
                <w:b/>
                <w:bCs/>
                <w:color w:val="auto"/>
                <w:spacing w:val="-3"/>
                <w:sz w:val="24"/>
                <w:szCs w:val="24"/>
                <w:lang w:val="en-US" w:eastAsia="zh-CN"/>
              </w:rPr>
              <w:t>2 现有选矿厂</w:t>
            </w:r>
          </w:p>
          <w:p>
            <w:pPr>
              <w:pStyle w:val="78"/>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（1）建设内容</w:t>
            </w:r>
          </w:p>
          <w:p>
            <w:pPr>
              <w:pStyle w:val="78"/>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现有工程</w:t>
            </w:r>
            <w:r>
              <w:rPr>
                <w:rFonts w:hint="default" w:ascii="Times New Roman" w:hAnsi="Times New Roman" w:eastAsia="宋体" w:cs="Times New Roman"/>
                <w:color w:val="auto"/>
                <w:highlight w:val="none"/>
                <w:lang w:val="en-US" w:eastAsia="zh-CN"/>
              </w:rPr>
              <w:t>位于且末县南180°方向，直距约107km，尾矿库位于选矿厂下游西南侧，直线距离约300m，生活区位于选矿厂东侧350m，选矿厂中心地理坐标为东经85°14′53.967″，北纬37°12′23.030″。</w:t>
            </w:r>
          </w:p>
          <w:p>
            <w:pPr>
              <w:pStyle w:val="78"/>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现有工程主要由选矿工程（破碎、磨矿、筛分、选别、浓缩等工艺对应的车间等），尾矿库、辅助工程，公用工程和环保工程组成。</w:t>
            </w:r>
          </w:p>
          <w:p>
            <w:pPr>
              <w:pStyle w:val="78"/>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选矿厂处理矿石能力450t/d(13.5万t/a)，采用破碎-筛分-磨矿分级-浮选-浓缩工艺，产品为金精矿、金锑精矿。</w:t>
            </w:r>
          </w:p>
          <w:p>
            <w:pPr>
              <w:pStyle w:val="78"/>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辅助工程主要设施综合维修车间、生产运输系统、厂区绿化。</w:t>
            </w:r>
          </w:p>
          <w:p>
            <w:pPr>
              <w:pStyle w:val="78"/>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公用工程主要包括有生活区（含办公区、宿舍区、食堂等）、供排水、供电、供热及消防设施等。</w:t>
            </w:r>
          </w:p>
          <w:p>
            <w:pPr>
              <w:pStyle w:val="78"/>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环保工程包括粉尘治理工程、尾矿浓缩、选矿工艺回水系统、尾矿矿浆压滤系统、生活污水处理系统、事故池、生活垃圾填埋场等。主要建设内容见表2-14。</w:t>
            </w:r>
          </w:p>
          <w:p>
            <w:pPr>
              <w:spacing w:line="480" w:lineRule="exact"/>
              <w:ind w:firstLine="482"/>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2-14</w:t>
            </w:r>
            <w:r>
              <w:rPr>
                <w:rFonts w:hint="default" w:ascii="Times New Roman" w:hAnsi="Times New Roman" w:eastAsia="宋体" w:cs="Times New Roman"/>
                <w:b/>
                <w:bCs/>
                <w:color w:val="auto"/>
                <w:sz w:val="21"/>
                <w:szCs w:val="21"/>
                <w:highlight w:val="none"/>
              </w:rPr>
              <w:t xml:space="preserve">     </w:t>
            </w:r>
            <w:r>
              <w:rPr>
                <w:rFonts w:hint="default" w:ascii="Times New Roman" w:hAnsi="Times New Roman" w:eastAsia="宋体" w:cs="Times New Roman"/>
                <w:b/>
                <w:bCs/>
                <w:color w:val="auto"/>
                <w:sz w:val="21"/>
                <w:szCs w:val="21"/>
                <w:highlight w:val="none"/>
                <w:lang w:val="en-US" w:eastAsia="zh-CN"/>
              </w:rPr>
              <w:t>现有工程</w:t>
            </w:r>
            <w:r>
              <w:rPr>
                <w:rFonts w:hint="default" w:ascii="Times New Roman" w:hAnsi="Times New Roman" w:eastAsia="宋体" w:cs="Times New Roman"/>
                <w:b/>
                <w:bCs/>
                <w:color w:val="auto"/>
                <w:sz w:val="21"/>
                <w:szCs w:val="21"/>
                <w:highlight w:val="none"/>
              </w:rPr>
              <w:t>项目组成表</w:t>
            </w:r>
          </w:p>
          <w:tbl>
            <w:tblPr>
              <w:tblStyle w:val="29"/>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7"/>
              <w:gridCol w:w="723"/>
              <w:gridCol w:w="801"/>
              <w:gridCol w:w="558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473" w:type="pct"/>
                  <w:gridSpan w:val="3"/>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工程类别</w:t>
                  </w:r>
                </w:p>
              </w:tc>
              <w:tc>
                <w:tcPr>
                  <w:tcW w:w="3526" w:type="pct"/>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eastAsia="宋体" w:cs="Times New Roman"/>
                      <w:b/>
                      <w:bCs/>
                      <w:color w:val="auto"/>
                      <w:kern w:val="0"/>
                      <w:sz w:val="21"/>
                      <w:szCs w:val="21"/>
                      <w:highlight w:val="none"/>
                      <w:lang w:val="en-US" w:eastAsia="zh-CN"/>
                    </w:rPr>
                    <w:t>现有</w:t>
                  </w:r>
                  <w:r>
                    <w:rPr>
                      <w:rFonts w:hint="default" w:ascii="Times New Roman" w:hAnsi="Times New Roman" w:eastAsia="宋体" w:cs="Times New Roman"/>
                      <w:b/>
                      <w:bCs/>
                      <w:color w:val="auto"/>
                      <w:kern w:val="0"/>
                      <w:sz w:val="21"/>
                      <w:szCs w:val="21"/>
                      <w:highlight w:val="none"/>
                    </w:rPr>
                    <w:t>工程内容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510" w:type="pct"/>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主体</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工程</w:t>
                  </w:r>
                </w:p>
              </w:tc>
              <w:tc>
                <w:tcPr>
                  <w:tcW w:w="963" w:type="pct"/>
                  <w:gridSpan w:val="2"/>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选矿厂</w:t>
                  </w:r>
                </w:p>
              </w:tc>
              <w:tc>
                <w:tcPr>
                  <w:tcW w:w="3526" w:type="pct"/>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破碎车间（含原矿仓）、筛分车间、粉矿仓、磨选主厂房、精矿脱水车间、压滤车间等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10" w:type="pct"/>
                  <w:vMerge w:val="restart"/>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辅助工程</w:t>
                  </w:r>
                </w:p>
              </w:tc>
              <w:tc>
                <w:tcPr>
                  <w:tcW w:w="963" w:type="pct"/>
                  <w:gridSpan w:val="2"/>
                  <w:vMerge w:val="restart"/>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尾矿库</w:t>
                  </w:r>
                </w:p>
              </w:tc>
              <w:tc>
                <w:tcPr>
                  <w:tcW w:w="3526" w:type="pct"/>
                  <w:vMerge w:val="restart"/>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尾矿库位于选矿厂西南侧约0.3km的沟谷中，有效库容80.17×10</w:t>
                  </w:r>
                  <w:r>
                    <w:rPr>
                      <w:rFonts w:hint="default" w:ascii="Times New Roman" w:hAnsi="Times New Roman" w:eastAsia="宋体" w:cs="Times New Roman"/>
                      <w:bCs/>
                      <w:color w:val="auto"/>
                      <w:kern w:val="0"/>
                      <w:sz w:val="21"/>
                      <w:szCs w:val="21"/>
                      <w:highlight w:val="none"/>
                      <w:vertAlign w:val="superscript"/>
                    </w:rPr>
                    <w:t>4</w:t>
                  </w:r>
                  <w:r>
                    <w:rPr>
                      <w:rFonts w:hint="default" w:ascii="Times New Roman" w:hAnsi="Times New Roman" w:eastAsia="宋体" w:cs="Times New Roman"/>
                      <w:bCs/>
                      <w:color w:val="auto"/>
                      <w:kern w:val="0"/>
                      <w:sz w:val="21"/>
                      <w:szCs w:val="21"/>
                      <w:highlight w:val="none"/>
                      <w:lang w:val="en-US" w:eastAsia="zh-CN"/>
                    </w:rPr>
                    <w:t>m³</w:t>
                  </w:r>
                  <w:r>
                    <w:rPr>
                      <w:rFonts w:hint="default" w:ascii="Times New Roman" w:hAnsi="Times New Roman" w:eastAsia="宋体" w:cs="Times New Roman"/>
                      <w:bCs/>
                      <w:color w:val="auto"/>
                      <w:kern w:val="0"/>
                      <w:sz w:val="21"/>
                      <w:szCs w:val="21"/>
                      <w:highlight w:val="none"/>
                    </w:rPr>
                    <w:t>，服务年限7a。</w:t>
                  </w:r>
                  <w:r>
                    <w:rPr>
                      <w:rFonts w:hint="default" w:ascii="Times New Roman" w:hAnsi="Times New Roman" w:eastAsia="宋体" w:cs="Times New Roman"/>
                      <w:bCs/>
                      <w:color w:val="auto"/>
                      <w:kern w:val="0"/>
                      <w:sz w:val="21"/>
                      <w:szCs w:val="21"/>
                      <w:highlight w:val="none"/>
                      <w:lang w:val="en-US" w:eastAsia="zh-CN"/>
                    </w:rPr>
                    <w:t>建设内容为</w:t>
                  </w:r>
                  <w:r>
                    <w:rPr>
                      <w:rFonts w:hint="default" w:ascii="Times New Roman" w:hAnsi="Times New Roman" w:eastAsia="宋体" w:cs="Times New Roman"/>
                      <w:bCs/>
                      <w:color w:val="auto"/>
                      <w:kern w:val="0"/>
                      <w:sz w:val="21"/>
                      <w:szCs w:val="21"/>
                      <w:highlight w:val="none"/>
                    </w:rPr>
                    <w:t>尾矿坝、排水设施、截洪设施、回水设施，坝体与库区防渗。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10" w:type="pct"/>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Cs/>
                      <w:color w:val="auto"/>
                      <w:kern w:val="0"/>
                      <w:sz w:val="21"/>
                      <w:szCs w:val="21"/>
                      <w:highlight w:val="none"/>
                    </w:rPr>
                  </w:pPr>
                </w:p>
              </w:tc>
              <w:tc>
                <w:tcPr>
                  <w:tcW w:w="963" w:type="pct"/>
                  <w:gridSpan w:val="2"/>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highlight w:val="none"/>
                    </w:rPr>
                  </w:pPr>
                </w:p>
              </w:tc>
              <w:tc>
                <w:tcPr>
                  <w:tcW w:w="3526" w:type="pct"/>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10" w:type="pct"/>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Cs/>
                      <w:color w:val="auto"/>
                      <w:kern w:val="0"/>
                      <w:sz w:val="21"/>
                      <w:szCs w:val="21"/>
                      <w:highlight w:val="none"/>
                    </w:rPr>
                  </w:pPr>
                </w:p>
              </w:tc>
              <w:tc>
                <w:tcPr>
                  <w:tcW w:w="963" w:type="pct"/>
                  <w:gridSpan w:val="2"/>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highlight w:val="none"/>
                    </w:rPr>
                  </w:pPr>
                </w:p>
              </w:tc>
              <w:tc>
                <w:tcPr>
                  <w:tcW w:w="3526" w:type="pct"/>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510" w:type="pct"/>
                  <w:vMerge w:val="restart"/>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公用工程</w:t>
                  </w:r>
                </w:p>
              </w:tc>
              <w:tc>
                <w:tcPr>
                  <w:tcW w:w="457" w:type="pct"/>
                  <w:vMerge w:val="restart"/>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给、排水</w:t>
                  </w:r>
                </w:p>
              </w:tc>
              <w:tc>
                <w:tcPr>
                  <w:tcW w:w="505" w:type="pct"/>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给水</w:t>
                  </w:r>
                </w:p>
              </w:tc>
              <w:tc>
                <w:tcPr>
                  <w:tcW w:w="3526" w:type="pct"/>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选矿厂水源地位于选厂南面的喀拉米兰河，该水源水量能满足选矿工程用水需求。采用蓄水池形式，河水进入蓄水池后再由水泵泵送回高位水池进一步处理。经制水间处理后供给生产、生活使用。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510" w:type="pct"/>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Cs/>
                      <w:color w:val="auto"/>
                      <w:kern w:val="0"/>
                      <w:sz w:val="21"/>
                      <w:szCs w:val="21"/>
                      <w:highlight w:val="none"/>
                    </w:rPr>
                  </w:pPr>
                </w:p>
              </w:tc>
              <w:tc>
                <w:tcPr>
                  <w:tcW w:w="457" w:type="pct"/>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highlight w:val="none"/>
                    </w:rPr>
                  </w:pPr>
                </w:p>
              </w:tc>
              <w:tc>
                <w:tcPr>
                  <w:tcW w:w="505" w:type="pct"/>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排水</w:t>
                  </w:r>
                </w:p>
              </w:tc>
              <w:tc>
                <w:tcPr>
                  <w:tcW w:w="3526" w:type="pct"/>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选矿工艺废水浓缩后进入集水池返回选矿厂高位水池处理后返回选矿工艺循环使用，尾矿废水返回选矿厂高位水池处理后返回选矿工艺循环使用。生活污水经地埋式处理设施处理后用于厂区、道路及生活区降尘使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510" w:type="pct"/>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Cs/>
                      <w:color w:val="auto"/>
                      <w:kern w:val="0"/>
                      <w:sz w:val="21"/>
                      <w:szCs w:val="21"/>
                      <w:highlight w:val="none"/>
                    </w:rPr>
                  </w:pPr>
                </w:p>
              </w:tc>
              <w:tc>
                <w:tcPr>
                  <w:tcW w:w="963" w:type="pct"/>
                  <w:gridSpan w:val="2"/>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供热工程</w:t>
                  </w:r>
                </w:p>
              </w:tc>
              <w:tc>
                <w:tcPr>
                  <w:tcW w:w="3526" w:type="pct"/>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生活区采暖采用发热电缆采暖，选厂供暖采用电热水锅炉。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510" w:type="pct"/>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Cs/>
                      <w:color w:val="auto"/>
                      <w:kern w:val="0"/>
                      <w:sz w:val="21"/>
                      <w:szCs w:val="21"/>
                      <w:highlight w:val="none"/>
                    </w:rPr>
                  </w:pPr>
                </w:p>
              </w:tc>
              <w:tc>
                <w:tcPr>
                  <w:tcW w:w="963" w:type="pct"/>
                  <w:gridSpan w:val="2"/>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供电工程</w:t>
                  </w:r>
                </w:p>
              </w:tc>
              <w:tc>
                <w:tcPr>
                  <w:tcW w:w="3526" w:type="pct"/>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sz w:val="21"/>
                      <w:szCs w:val="21"/>
                      <w:highlight w:val="none"/>
                    </w:rPr>
                    <w:t>自卡特里西选矿工业集中区110kV变电站架设10kV输电线路至选厂。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510" w:type="pct"/>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Cs/>
                      <w:color w:val="auto"/>
                      <w:kern w:val="0"/>
                      <w:sz w:val="21"/>
                      <w:szCs w:val="21"/>
                      <w:highlight w:val="none"/>
                    </w:rPr>
                  </w:pPr>
                </w:p>
              </w:tc>
              <w:tc>
                <w:tcPr>
                  <w:tcW w:w="963" w:type="pct"/>
                  <w:gridSpan w:val="2"/>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生活区</w:t>
                  </w:r>
                </w:p>
              </w:tc>
              <w:tc>
                <w:tcPr>
                  <w:tcW w:w="3526" w:type="pct"/>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生活区位于选厂东侧，直线距离约350m，含办公楼、宿舍楼及食堂等。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510" w:type="pct"/>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运输工程</w:t>
                  </w:r>
                </w:p>
              </w:tc>
              <w:tc>
                <w:tcPr>
                  <w:tcW w:w="963" w:type="pct"/>
                  <w:gridSpan w:val="2"/>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道路</w:t>
                  </w:r>
                </w:p>
              </w:tc>
              <w:tc>
                <w:tcPr>
                  <w:tcW w:w="3526" w:type="pct"/>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包括选矿厂内到达各个车间的道路与到达尾矿库的道路。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510" w:type="pct"/>
                  <w:vMerge w:val="restart"/>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环保工程</w:t>
                  </w:r>
                </w:p>
              </w:tc>
              <w:tc>
                <w:tcPr>
                  <w:tcW w:w="963" w:type="pct"/>
                  <w:gridSpan w:val="2"/>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粉尘治理工程</w:t>
                  </w:r>
                </w:p>
              </w:tc>
              <w:tc>
                <w:tcPr>
                  <w:tcW w:w="3526" w:type="pct"/>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对矿石转载、堆场、运输道路及工业场地适时洒水降尘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510" w:type="pct"/>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Cs/>
                      <w:color w:val="auto"/>
                      <w:kern w:val="0"/>
                      <w:sz w:val="21"/>
                      <w:szCs w:val="21"/>
                      <w:highlight w:val="none"/>
                    </w:rPr>
                  </w:pPr>
                </w:p>
              </w:tc>
              <w:tc>
                <w:tcPr>
                  <w:tcW w:w="963" w:type="pct"/>
                  <w:gridSpan w:val="2"/>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工艺粉尘</w:t>
                  </w:r>
                </w:p>
              </w:tc>
              <w:tc>
                <w:tcPr>
                  <w:tcW w:w="3526" w:type="pct"/>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破碎车间、筛分车间、粉矿仓配套建设旋喷嘴水雾降尘除尘器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510" w:type="pct"/>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Cs/>
                      <w:color w:val="auto"/>
                      <w:kern w:val="0"/>
                      <w:sz w:val="21"/>
                      <w:szCs w:val="21"/>
                      <w:highlight w:val="none"/>
                    </w:rPr>
                  </w:pPr>
                </w:p>
              </w:tc>
              <w:tc>
                <w:tcPr>
                  <w:tcW w:w="963" w:type="pct"/>
                  <w:gridSpan w:val="2"/>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lang w:val="en-US" w:eastAsia="zh-CN"/>
                    </w:rPr>
                    <w:t>生活污水</w:t>
                  </w:r>
                </w:p>
              </w:tc>
              <w:tc>
                <w:tcPr>
                  <w:tcW w:w="3526" w:type="pct"/>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生活区设置地埋式一体化污水处理设施，收集作业人员生活污水。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510" w:type="pct"/>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Cs/>
                      <w:color w:val="auto"/>
                      <w:kern w:val="0"/>
                      <w:sz w:val="21"/>
                      <w:szCs w:val="21"/>
                      <w:highlight w:val="none"/>
                    </w:rPr>
                  </w:pPr>
                </w:p>
              </w:tc>
              <w:tc>
                <w:tcPr>
                  <w:tcW w:w="963" w:type="pct"/>
                  <w:gridSpan w:val="2"/>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生活</w:t>
                  </w:r>
                  <w:r>
                    <w:rPr>
                      <w:rFonts w:hint="default" w:ascii="Times New Roman" w:hAnsi="Times New Roman" w:eastAsia="宋体" w:cs="Times New Roman"/>
                      <w:color w:val="auto"/>
                      <w:kern w:val="0"/>
                      <w:sz w:val="21"/>
                      <w:szCs w:val="21"/>
                      <w:highlight w:val="none"/>
                    </w:rPr>
                    <w:t>垃圾</w:t>
                  </w:r>
                </w:p>
              </w:tc>
              <w:tc>
                <w:tcPr>
                  <w:tcW w:w="3526" w:type="pct"/>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建设有垃圾收集房，收集后的垃圾运往邻厂新疆路源矿业有限公司垃圾</w:t>
                  </w:r>
                  <w:r>
                    <w:rPr>
                      <w:rFonts w:hint="default" w:ascii="Times New Roman" w:hAnsi="Times New Roman" w:eastAsia="宋体" w:cs="Times New Roman"/>
                      <w:color w:val="auto"/>
                      <w:kern w:val="0"/>
                      <w:sz w:val="21"/>
                      <w:szCs w:val="21"/>
                      <w:highlight w:val="none"/>
                      <w:lang w:val="en-US" w:eastAsia="zh-CN"/>
                    </w:rPr>
                    <w:t>填埋场</w:t>
                  </w:r>
                  <w:r>
                    <w:rPr>
                      <w:rFonts w:hint="default" w:ascii="Times New Roman" w:hAnsi="Times New Roman" w:eastAsia="宋体" w:cs="Times New Roman"/>
                      <w:color w:val="auto"/>
                      <w:kern w:val="0"/>
                      <w:sz w:val="21"/>
                      <w:szCs w:val="21"/>
                      <w:highlight w:val="none"/>
                    </w:rPr>
                    <w:t>。</w:t>
                  </w:r>
                </w:p>
              </w:tc>
            </w:tr>
          </w:tbl>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lang w:val="en-US" w:eastAsia="zh-CN"/>
              </w:rPr>
            </w:pPr>
            <w:r>
              <w:rPr>
                <w:rFonts w:hint="default" w:ascii="Times New Roman" w:hAnsi="Times New Roman" w:eastAsia="宋体" w:cs="Times New Roman"/>
                <w:color w:val="auto"/>
                <w:spacing w:val="1"/>
                <w:sz w:val="24"/>
                <w:szCs w:val="24"/>
                <w:lang w:val="en-US" w:eastAsia="zh-CN"/>
              </w:rPr>
              <w:t>（2）产品方案</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lang w:val="en-US" w:eastAsia="zh-CN"/>
              </w:rPr>
            </w:pPr>
            <w:r>
              <w:rPr>
                <w:rFonts w:hint="default" w:ascii="Times New Roman" w:hAnsi="Times New Roman" w:eastAsia="宋体" w:cs="Times New Roman"/>
                <w:color w:val="auto"/>
                <w:spacing w:val="1"/>
                <w:sz w:val="24"/>
                <w:szCs w:val="24"/>
                <w:lang w:val="en-US" w:eastAsia="zh-CN"/>
              </w:rPr>
              <w:t>选厂年产金精矿8050.75t，金锑精矿2267.40t。尾矿量12.4681万t/a。</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lang w:val="en-US" w:eastAsia="zh-CN"/>
              </w:rPr>
            </w:pPr>
            <w:r>
              <w:rPr>
                <w:rFonts w:hint="default" w:ascii="Times New Roman" w:hAnsi="Times New Roman" w:eastAsia="宋体" w:cs="Times New Roman"/>
                <w:color w:val="auto"/>
                <w:spacing w:val="1"/>
                <w:sz w:val="24"/>
                <w:szCs w:val="24"/>
                <w:lang w:val="en-US" w:eastAsia="zh-CN"/>
              </w:rPr>
              <w:t>（3）原辅材料</w:t>
            </w:r>
          </w:p>
          <w:p>
            <w:pPr>
              <w:spacing w:line="480" w:lineRule="exact"/>
              <w:ind w:firstLine="482"/>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2-15</w:t>
            </w:r>
            <w:r>
              <w:rPr>
                <w:rFonts w:hint="default" w:ascii="Times New Roman" w:hAnsi="Times New Roman" w:eastAsia="宋体" w:cs="Times New Roman"/>
                <w:b/>
                <w:bCs/>
                <w:color w:val="auto"/>
                <w:sz w:val="21"/>
                <w:szCs w:val="21"/>
                <w:highlight w:val="none"/>
              </w:rPr>
              <w:t xml:space="preserve">    </w:t>
            </w:r>
            <w:r>
              <w:rPr>
                <w:rFonts w:hint="default" w:ascii="Times New Roman" w:hAnsi="Times New Roman" w:eastAsia="宋体" w:cs="Times New Roman"/>
                <w:b/>
                <w:bCs/>
                <w:color w:val="auto"/>
                <w:sz w:val="21"/>
                <w:szCs w:val="21"/>
                <w:highlight w:val="none"/>
                <w:lang w:val="en-US" w:eastAsia="zh-CN"/>
              </w:rPr>
              <w:t>现有工程</w:t>
            </w:r>
            <w:r>
              <w:rPr>
                <w:rFonts w:hint="default" w:ascii="Times New Roman" w:hAnsi="Times New Roman" w:eastAsia="宋体" w:cs="Times New Roman"/>
                <w:b/>
                <w:bCs/>
                <w:color w:val="auto"/>
                <w:sz w:val="21"/>
                <w:szCs w:val="21"/>
                <w:highlight w:val="none"/>
              </w:rPr>
              <w:t>主要原材料消耗表</w:t>
            </w:r>
          </w:p>
          <w:tbl>
            <w:tblPr>
              <w:tblStyle w:val="29"/>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82"/>
              <w:gridCol w:w="1909"/>
              <w:gridCol w:w="1214"/>
              <w:gridCol w:w="1458"/>
              <w:gridCol w:w="174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00" w:type="pct"/>
                  <w:vAlign w:val="center"/>
                </w:tcPr>
                <w:p>
                  <w:pPr>
                    <w:adjustRightInd w:val="0"/>
                    <w:snapToGrid w:val="0"/>
                    <w:spacing w:line="280" w:lineRule="exact"/>
                    <w:jc w:val="center"/>
                    <w:rPr>
                      <w:rFonts w:hint="default" w:ascii="Times New Roman" w:hAnsi="Times New Roman" w:eastAsia="宋体" w:cs="Times New Roman"/>
                      <w:color w:val="auto"/>
                      <w:spacing w:val="6"/>
                      <w:szCs w:val="21"/>
                    </w:rPr>
                  </w:pPr>
                  <w:r>
                    <w:rPr>
                      <w:rFonts w:hint="default" w:ascii="Times New Roman" w:hAnsi="Times New Roman" w:eastAsia="宋体" w:cs="Times New Roman"/>
                      <w:color w:val="auto"/>
                      <w:spacing w:val="6"/>
                      <w:szCs w:val="21"/>
                    </w:rPr>
                    <w:t>序号</w:t>
                  </w:r>
                </w:p>
              </w:tc>
              <w:tc>
                <w:tcPr>
                  <w:tcW w:w="1206" w:type="pct"/>
                  <w:vAlign w:val="center"/>
                </w:tcPr>
                <w:p>
                  <w:pPr>
                    <w:adjustRightInd w:val="0"/>
                    <w:snapToGrid w:val="0"/>
                    <w:spacing w:line="280" w:lineRule="exact"/>
                    <w:jc w:val="center"/>
                    <w:rPr>
                      <w:rFonts w:hint="default" w:ascii="Times New Roman" w:hAnsi="Times New Roman" w:eastAsia="宋体" w:cs="Times New Roman"/>
                      <w:color w:val="auto"/>
                      <w:spacing w:val="6"/>
                      <w:szCs w:val="21"/>
                    </w:rPr>
                  </w:pPr>
                  <w:r>
                    <w:rPr>
                      <w:rFonts w:hint="default" w:ascii="Times New Roman" w:hAnsi="Times New Roman" w:eastAsia="宋体" w:cs="Times New Roman"/>
                      <w:color w:val="auto"/>
                      <w:spacing w:val="6"/>
                      <w:szCs w:val="21"/>
                    </w:rPr>
                    <w:t>材料名称</w:t>
                  </w:r>
                </w:p>
              </w:tc>
              <w:tc>
                <w:tcPr>
                  <w:tcW w:w="767" w:type="pct"/>
                  <w:vAlign w:val="center"/>
                </w:tcPr>
                <w:p>
                  <w:pPr>
                    <w:adjustRightInd w:val="0"/>
                    <w:snapToGrid w:val="0"/>
                    <w:spacing w:line="280" w:lineRule="exact"/>
                    <w:jc w:val="center"/>
                    <w:rPr>
                      <w:rFonts w:hint="default" w:ascii="Times New Roman" w:hAnsi="Times New Roman" w:eastAsia="宋体" w:cs="Times New Roman"/>
                      <w:color w:val="auto"/>
                      <w:spacing w:val="6"/>
                      <w:szCs w:val="21"/>
                    </w:rPr>
                  </w:pPr>
                  <w:r>
                    <w:rPr>
                      <w:rFonts w:hint="default" w:ascii="Times New Roman" w:hAnsi="Times New Roman" w:eastAsia="宋体" w:cs="Times New Roman"/>
                      <w:color w:val="auto"/>
                      <w:spacing w:val="6"/>
                      <w:szCs w:val="21"/>
                    </w:rPr>
                    <w:t>单位</w:t>
                  </w:r>
                </w:p>
              </w:tc>
              <w:tc>
                <w:tcPr>
                  <w:tcW w:w="921" w:type="pct"/>
                  <w:vAlign w:val="center"/>
                </w:tcPr>
                <w:p>
                  <w:pPr>
                    <w:adjustRightInd w:val="0"/>
                    <w:snapToGrid w:val="0"/>
                    <w:spacing w:line="280" w:lineRule="exact"/>
                    <w:jc w:val="center"/>
                    <w:rPr>
                      <w:rFonts w:hint="default" w:ascii="Times New Roman" w:hAnsi="Times New Roman" w:eastAsia="宋体" w:cs="Times New Roman"/>
                      <w:color w:val="auto"/>
                      <w:spacing w:val="6"/>
                      <w:szCs w:val="21"/>
                    </w:rPr>
                  </w:pPr>
                  <w:r>
                    <w:rPr>
                      <w:rFonts w:hint="default" w:ascii="Times New Roman" w:hAnsi="Times New Roman" w:eastAsia="宋体" w:cs="Times New Roman"/>
                      <w:color w:val="auto"/>
                      <w:spacing w:val="6"/>
                      <w:szCs w:val="21"/>
                    </w:rPr>
                    <w:t>单耗</w:t>
                  </w:r>
                </w:p>
              </w:tc>
              <w:tc>
                <w:tcPr>
                  <w:tcW w:w="1105" w:type="pct"/>
                  <w:vAlign w:val="center"/>
                </w:tcPr>
                <w:p>
                  <w:pPr>
                    <w:adjustRightInd w:val="0"/>
                    <w:snapToGrid w:val="0"/>
                    <w:spacing w:line="280" w:lineRule="exact"/>
                    <w:jc w:val="center"/>
                    <w:rPr>
                      <w:rFonts w:hint="default" w:ascii="Times New Roman" w:hAnsi="Times New Roman" w:eastAsia="宋体" w:cs="Times New Roman"/>
                      <w:color w:val="auto"/>
                      <w:spacing w:val="6"/>
                      <w:szCs w:val="21"/>
                    </w:rPr>
                  </w:pPr>
                  <w:r>
                    <w:rPr>
                      <w:rFonts w:hint="default" w:ascii="Times New Roman" w:hAnsi="Times New Roman" w:eastAsia="宋体" w:cs="Times New Roman"/>
                      <w:color w:val="auto"/>
                      <w:spacing w:val="6"/>
                      <w:szCs w:val="21"/>
                    </w:rPr>
                    <w:t>年耗(t)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00" w:type="pct"/>
                  <w:vAlign w:val="center"/>
                </w:tcPr>
                <w:p>
                  <w:pPr>
                    <w:adjustRightInd w:val="0"/>
                    <w:snapToGrid w:val="0"/>
                    <w:spacing w:line="280" w:lineRule="exact"/>
                    <w:jc w:val="center"/>
                    <w:rPr>
                      <w:rFonts w:hint="default" w:ascii="Times New Roman" w:hAnsi="Times New Roman" w:eastAsia="宋体" w:cs="Times New Roman"/>
                      <w:color w:val="auto"/>
                      <w:spacing w:val="6"/>
                      <w:szCs w:val="21"/>
                    </w:rPr>
                  </w:pPr>
                  <w:r>
                    <w:rPr>
                      <w:rFonts w:hint="default" w:ascii="Times New Roman" w:hAnsi="Times New Roman" w:eastAsia="宋体" w:cs="Times New Roman"/>
                      <w:color w:val="auto"/>
                      <w:spacing w:val="6"/>
                      <w:szCs w:val="21"/>
                    </w:rPr>
                    <w:t>1</w:t>
                  </w:r>
                </w:p>
              </w:tc>
              <w:tc>
                <w:tcPr>
                  <w:tcW w:w="1206" w:type="pct"/>
                  <w:vAlign w:val="center"/>
                </w:tcPr>
                <w:p>
                  <w:pPr>
                    <w:autoSpaceDN w:val="0"/>
                    <w:adjustRightInd w:val="0"/>
                    <w:snapToGrid w:val="0"/>
                    <w:spacing w:line="280" w:lineRule="exact"/>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碳酸钠</w:t>
                  </w:r>
                </w:p>
              </w:tc>
              <w:tc>
                <w:tcPr>
                  <w:tcW w:w="767" w:type="pct"/>
                  <w:vAlign w:val="center"/>
                </w:tcPr>
                <w:p>
                  <w:pPr>
                    <w:adjustRightInd w:val="0"/>
                    <w:snapToGrid w:val="0"/>
                    <w:spacing w:line="280" w:lineRule="exact"/>
                    <w:jc w:val="center"/>
                    <w:rPr>
                      <w:rFonts w:hint="default" w:ascii="Times New Roman" w:hAnsi="Times New Roman" w:eastAsia="宋体" w:cs="Times New Roman"/>
                      <w:color w:val="auto"/>
                      <w:spacing w:val="6"/>
                      <w:szCs w:val="21"/>
                    </w:rPr>
                  </w:pPr>
                  <w:r>
                    <w:rPr>
                      <w:rFonts w:hint="default" w:ascii="Times New Roman" w:hAnsi="Times New Roman" w:eastAsia="宋体" w:cs="Times New Roman"/>
                      <w:color w:val="auto"/>
                      <w:spacing w:val="6"/>
                      <w:szCs w:val="21"/>
                    </w:rPr>
                    <w:t>kg/t</w:t>
                  </w:r>
                </w:p>
              </w:tc>
              <w:tc>
                <w:tcPr>
                  <w:tcW w:w="921" w:type="pct"/>
                  <w:vAlign w:val="center"/>
                </w:tcPr>
                <w:p>
                  <w:pPr>
                    <w:autoSpaceDN w:val="0"/>
                    <w:adjustRightInd w:val="0"/>
                    <w:snapToGrid w:val="0"/>
                    <w:spacing w:line="280" w:lineRule="exact"/>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1.50</w:t>
                  </w:r>
                </w:p>
              </w:tc>
              <w:tc>
                <w:tcPr>
                  <w:tcW w:w="1105" w:type="pct"/>
                  <w:vAlign w:val="center"/>
                </w:tcPr>
                <w:p>
                  <w:pPr>
                    <w:adjustRightInd w:val="0"/>
                    <w:snapToGrid w:val="0"/>
                    <w:spacing w:line="28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202.5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00" w:type="pct"/>
                  <w:vAlign w:val="center"/>
                </w:tcPr>
                <w:p>
                  <w:pPr>
                    <w:adjustRightInd w:val="0"/>
                    <w:snapToGrid w:val="0"/>
                    <w:spacing w:line="280" w:lineRule="exact"/>
                    <w:jc w:val="center"/>
                    <w:rPr>
                      <w:rFonts w:hint="default" w:ascii="Times New Roman" w:hAnsi="Times New Roman" w:eastAsia="宋体" w:cs="Times New Roman"/>
                      <w:color w:val="auto"/>
                      <w:spacing w:val="6"/>
                      <w:szCs w:val="21"/>
                    </w:rPr>
                  </w:pPr>
                  <w:r>
                    <w:rPr>
                      <w:rFonts w:hint="default" w:ascii="Times New Roman" w:hAnsi="Times New Roman" w:eastAsia="宋体" w:cs="Times New Roman"/>
                      <w:color w:val="auto"/>
                      <w:spacing w:val="6"/>
                      <w:szCs w:val="21"/>
                    </w:rPr>
                    <w:t>2</w:t>
                  </w:r>
                </w:p>
              </w:tc>
              <w:tc>
                <w:tcPr>
                  <w:tcW w:w="1206" w:type="pct"/>
                  <w:vAlign w:val="center"/>
                </w:tcPr>
                <w:p>
                  <w:pPr>
                    <w:autoSpaceDN w:val="0"/>
                    <w:adjustRightInd w:val="0"/>
                    <w:snapToGrid w:val="0"/>
                    <w:spacing w:line="280" w:lineRule="exact"/>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硝酸铅</w:t>
                  </w:r>
                </w:p>
              </w:tc>
              <w:tc>
                <w:tcPr>
                  <w:tcW w:w="767" w:type="pct"/>
                  <w:vAlign w:val="center"/>
                </w:tcPr>
                <w:p>
                  <w:pPr>
                    <w:adjustRightInd w:val="0"/>
                    <w:snapToGrid w:val="0"/>
                    <w:spacing w:line="280" w:lineRule="exact"/>
                    <w:jc w:val="center"/>
                    <w:rPr>
                      <w:rFonts w:hint="default" w:ascii="Times New Roman" w:hAnsi="Times New Roman" w:eastAsia="宋体" w:cs="Times New Roman"/>
                      <w:color w:val="auto"/>
                      <w:spacing w:val="6"/>
                      <w:szCs w:val="21"/>
                    </w:rPr>
                  </w:pPr>
                  <w:r>
                    <w:rPr>
                      <w:rFonts w:hint="default" w:ascii="Times New Roman" w:hAnsi="Times New Roman" w:eastAsia="宋体" w:cs="Times New Roman"/>
                      <w:color w:val="auto"/>
                      <w:spacing w:val="6"/>
                      <w:szCs w:val="21"/>
                    </w:rPr>
                    <w:t>kg/t</w:t>
                  </w:r>
                </w:p>
              </w:tc>
              <w:tc>
                <w:tcPr>
                  <w:tcW w:w="921" w:type="pct"/>
                  <w:vAlign w:val="center"/>
                </w:tcPr>
                <w:p>
                  <w:pPr>
                    <w:autoSpaceDN w:val="0"/>
                    <w:adjustRightInd w:val="0"/>
                    <w:snapToGrid w:val="0"/>
                    <w:spacing w:line="280" w:lineRule="exact"/>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0.70</w:t>
                  </w:r>
                </w:p>
              </w:tc>
              <w:tc>
                <w:tcPr>
                  <w:tcW w:w="1105" w:type="pct"/>
                  <w:vAlign w:val="center"/>
                </w:tcPr>
                <w:p>
                  <w:pPr>
                    <w:adjustRightInd w:val="0"/>
                    <w:snapToGrid w:val="0"/>
                    <w:spacing w:line="28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94.5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00" w:type="pct"/>
                  <w:vAlign w:val="center"/>
                </w:tcPr>
                <w:p>
                  <w:pPr>
                    <w:adjustRightInd w:val="0"/>
                    <w:snapToGrid w:val="0"/>
                    <w:spacing w:line="280" w:lineRule="exact"/>
                    <w:jc w:val="center"/>
                    <w:rPr>
                      <w:rFonts w:hint="default" w:ascii="Times New Roman" w:hAnsi="Times New Roman" w:eastAsia="宋体" w:cs="Times New Roman"/>
                      <w:color w:val="auto"/>
                      <w:spacing w:val="6"/>
                      <w:szCs w:val="21"/>
                    </w:rPr>
                  </w:pPr>
                  <w:r>
                    <w:rPr>
                      <w:rFonts w:hint="default" w:ascii="Times New Roman" w:hAnsi="Times New Roman" w:eastAsia="宋体" w:cs="Times New Roman"/>
                      <w:color w:val="auto"/>
                      <w:spacing w:val="6"/>
                      <w:szCs w:val="21"/>
                    </w:rPr>
                    <w:t>3</w:t>
                  </w:r>
                </w:p>
              </w:tc>
              <w:tc>
                <w:tcPr>
                  <w:tcW w:w="1206" w:type="pct"/>
                  <w:vAlign w:val="center"/>
                </w:tcPr>
                <w:p>
                  <w:pPr>
                    <w:autoSpaceDN w:val="0"/>
                    <w:adjustRightInd w:val="0"/>
                    <w:snapToGrid w:val="0"/>
                    <w:spacing w:line="280" w:lineRule="exact"/>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硫酸铵</w:t>
                  </w:r>
                </w:p>
              </w:tc>
              <w:tc>
                <w:tcPr>
                  <w:tcW w:w="767" w:type="pct"/>
                  <w:vAlign w:val="center"/>
                </w:tcPr>
                <w:p>
                  <w:pPr>
                    <w:adjustRightInd w:val="0"/>
                    <w:snapToGrid w:val="0"/>
                    <w:spacing w:line="280" w:lineRule="exact"/>
                    <w:jc w:val="center"/>
                    <w:rPr>
                      <w:rFonts w:hint="default" w:ascii="Times New Roman" w:hAnsi="Times New Roman" w:eastAsia="宋体" w:cs="Times New Roman"/>
                      <w:color w:val="auto"/>
                      <w:spacing w:val="6"/>
                      <w:szCs w:val="21"/>
                    </w:rPr>
                  </w:pPr>
                  <w:r>
                    <w:rPr>
                      <w:rFonts w:hint="default" w:ascii="Times New Roman" w:hAnsi="Times New Roman" w:eastAsia="宋体" w:cs="Times New Roman"/>
                      <w:color w:val="auto"/>
                      <w:spacing w:val="6"/>
                      <w:szCs w:val="21"/>
                    </w:rPr>
                    <w:t>kg/t</w:t>
                  </w:r>
                </w:p>
              </w:tc>
              <w:tc>
                <w:tcPr>
                  <w:tcW w:w="921" w:type="pct"/>
                  <w:vAlign w:val="center"/>
                </w:tcPr>
                <w:p>
                  <w:pPr>
                    <w:autoSpaceDN w:val="0"/>
                    <w:adjustRightInd w:val="0"/>
                    <w:snapToGrid w:val="0"/>
                    <w:spacing w:line="280" w:lineRule="exact"/>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0.50</w:t>
                  </w:r>
                </w:p>
              </w:tc>
              <w:tc>
                <w:tcPr>
                  <w:tcW w:w="1105" w:type="pct"/>
                  <w:vAlign w:val="center"/>
                </w:tcPr>
                <w:p>
                  <w:pPr>
                    <w:adjustRightInd w:val="0"/>
                    <w:snapToGrid w:val="0"/>
                    <w:spacing w:line="28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67.5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00" w:type="pct"/>
                  <w:vAlign w:val="center"/>
                </w:tcPr>
                <w:p>
                  <w:pPr>
                    <w:adjustRightInd w:val="0"/>
                    <w:snapToGrid w:val="0"/>
                    <w:spacing w:line="280" w:lineRule="exact"/>
                    <w:jc w:val="center"/>
                    <w:rPr>
                      <w:rFonts w:hint="default" w:ascii="Times New Roman" w:hAnsi="Times New Roman" w:eastAsia="宋体" w:cs="Times New Roman"/>
                      <w:color w:val="auto"/>
                      <w:spacing w:val="6"/>
                      <w:szCs w:val="21"/>
                    </w:rPr>
                  </w:pPr>
                  <w:r>
                    <w:rPr>
                      <w:rFonts w:hint="default" w:ascii="Times New Roman" w:hAnsi="Times New Roman" w:eastAsia="宋体" w:cs="Times New Roman"/>
                      <w:color w:val="auto"/>
                      <w:spacing w:val="6"/>
                      <w:szCs w:val="21"/>
                    </w:rPr>
                    <w:t>4</w:t>
                  </w:r>
                </w:p>
              </w:tc>
              <w:tc>
                <w:tcPr>
                  <w:tcW w:w="1206" w:type="pct"/>
                  <w:vAlign w:val="center"/>
                </w:tcPr>
                <w:p>
                  <w:pPr>
                    <w:autoSpaceDN w:val="0"/>
                    <w:adjustRightInd w:val="0"/>
                    <w:snapToGrid w:val="0"/>
                    <w:spacing w:line="280" w:lineRule="exact"/>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六偏磷酸钠</w:t>
                  </w:r>
                </w:p>
              </w:tc>
              <w:tc>
                <w:tcPr>
                  <w:tcW w:w="767" w:type="pct"/>
                  <w:vAlign w:val="center"/>
                </w:tcPr>
                <w:p>
                  <w:pPr>
                    <w:adjustRightInd w:val="0"/>
                    <w:snapToGrid w:val="0"/>
                    <w:spacing w:line="280" w:lineRule="exact"/>
                    <w:jc w:val="center"/>
                    <w:rPr>
                      <w:rFonts w:hint="default" w:ascii="Times New Roman" w:hAnsi="Times New Roman" w:eastAsia="宋体" w:cs="Times New Roman"/>
                      <w:color w:val="auto"/>
                      <w:spacing w:val="6"/>
                      <w:szCs w:val="21"/>
                    </w:rPr>
                  </w:pPr>
                  <w:r>
                    <w:rPr>
                      <w:rFonts w:hint="default" w:ascii="Times New Roman" w:hAnsi="Times New Roman" w:eastAsia="宋体" w:cs="Times New Roman"/>
                      <w:color w:val="auto"/>
                      <w:spacing w:val="6"/>
                      <w:szCs w:val="21"/>
                    </w:rPr>
                    <w:t>kg/t</w:t>
                  </w:r>
                </w:p>
              </w:tc>
              <w:tc>
                <w:tcPr>
                  <w:tcW w:w="921" w:type="pct"/>
                  <w:vAlign w:val="center"/>
                </w:tcPr>
                <w:p>
                  <w:pPr>
                    <w:autoSpaceDN w:val="0"/>
                    <w:adjustRightInd w:val="0"/>
                    <w:snapToGrid w:val="0"/>
                    <w:spacing w:line="280" w:lineRule="exact"/>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0.050</w:t>
                  </w:r>
                </w:p>
              </w:tc>
              <w:tc>
                <w:tcPr>
                  <w:tcW w:w="1105" w:type="pct"/>
                  <w:vAlign w:val="center"/>
                </w:tcPr>
                <w:p>
                  <w:pPr>
                    <w:adjustRightInd w:val="0"/>
                    <w:snapToGrid w:val="0"/>
                    <w:spacing w:line="28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6.75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00" w:type="pct"/>
                  <w:vAlign w:val="center"/>
                </w:tcPr>
                <w:p>
                  <w:pPr>
                    <w:adjustRightInd w:val="0"/>
                    <w:snapToGrid w:val="0"/>
                    <w:spacing w:line="280" w:lineRule="exact"/>
                    <w:jc w:val="center"/>
                    <w:rPr>
                      <w:rFonts w:hint="default" w:ascii="Times New Roman" w:hAnsi="Times New Roman" w:eastAsia="宋体" w:cs="Times New Roman"/>
                      <w:color w:val="auto"/>
                      <w:spacing w:val="6"/>
                      <w:szCs w:val="21"/>
                    </w:rPr>
                  </w:pPr>
                  <w:r>
                    <w:rPr>
                      <w:rFonts w:hint="default" w:ascii="Times New Roman" w:hAnsi="Times New Roman" w:eastAsia="宋体" w:cs="Times New Roman"/>
                      <w:color w:val="auto"/>
                      <w:spacing w:val="6"/>
                      <w:szCs w:val="21"/>
                    </w:rPr>
                    <w:t>5</w:t>
                  </w:r>
                </w:p>
              </w:tc>
              <w:tc>
                <w:tcPr>
                  <w:tcW w:w="1206" w:type="pct"/>
                  <w:vAlign w:val="center"/>
                </w:tcPr>
                <w:p>
                  <w:pPr>
                    <w:autoSpaceDN w:val="0"/>
                    <w:adjustRightInd w:val="0"/>
                    <w:snapToGrid w:val="0"/>
                    <w:spacing w:line="280" w:lineRule="exact"/>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丁黄药</w:t>
                  </w:r>
                </w:p>
              </w:tc>
              <w:tc>
                <w:tcPr>
                  <w:tcW w:w="767" w:type="pct"/>
                  <w:vAlign w:val="center"/>
                </w:tcPr>
                <w:p>
                  <w:pPr>
                    <w:adjustRightInd w:val="0"/>
                    <w:snapToGrid w:val="0"/>
                    <w:spacing w:line="280" w:lineRule="exact"/>
                    <w:jc w:val="center"/>
                    <w:rPr>
                      <w:rFonts w:hint="default" w:ascii="Times New Roman" w:hAnsi="Times New Roman" w:eastAsia="宋体" w:cs="Times New Roman"/>
                      <w:color w:val="auto"/>
                      <w:spacing w:val="6"/>
                      <w:szCs w:val="21"/>
                    </w:rPr>
                  </w:pPr>
                  <w:r>
                    <w:rPr>
                      <w:rFonts w:hint="default" w:ascii="Times New Roman" w:hAnsi="Times New Roman" w:eastAsia="宋体" w:cs="Times New Roman"/>
                      <w:color w:val="auto"/>
                      <w:spacing w:val="6"/>
                      <w:szCs w:val="21"/>
                    </w:rPr>
                    <w:t>kg/t</w:t>
                  </w:r>
                </w:p>
              </w:tc>
              <w:tc>
                <w:tcPr>
                  <w:tcW w:w="921" w:type="pct"/>
                  <w:vAlign w:val="center"/>
                </w:tcPr>
                <w:p>
                  <w:pPr>
                    <w:autoSpaceDN w:val="0"/>
                    <w:adjustRightInd w:val="0"/>
                    <w:snapToGrid w:val="0"/>
                    <w:spacing w:line="280" w:lineRule="exact"/>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0.20</w:t>
                  </w:r>
                </w:p>
              </w:tc>
              <w:tc>
                <w:tcPr>
                  <w:tcW w:w="1105" w:type="pct"/>
                  <w:vAlign w:val="center"/>
                </w:tcPr>
                <w:p>
                  <w:pPr>
                    <w:adjustRightInd w:val="0"/>
                    <w:snapToGrid w:val="0"/>
                    <w:spacing w:line="28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00" w:type="pct"/>
                  <w:vAlign w:val="center"/>
                </w:tcPr>
                <w:p>
                  <w:pPr>
                    <w:adjustRightInd w:val="0"/>
                    <w:snapToGrid w:val="0"/>
                    <w:spacing w:line="280" w:lineRule="exact"/>
                    <w:jc w:val="center"/>
                    <w:rPr>
                      <w:rFonts w:hint="default" w:ascii="Times New Roman" w:hAnsi="Times New Roman" w:eastAsia="宋体" w:cs="Times New Roman"/>
                      <w:color w:val="auto"/>
                      <w:spacing w:val="6"/>
                      <w:szCs w:val="21"/>
                    </w:rPr>
                  </w:pPr>
                  <w:r>
                    <w:rPr>
                      <w:rFonts w:hint="default" w:ascii="Times New Roman" w:hAnsi="Times New Roman" w:eastAsia="宋体" w:cs="Times New Roman"/>
                      <w:color w:val="auto"/>
                      <w:spacing w:val="6"/>
                      <w:szCs w:val="21"/>
                    </w:rPr>
                    <w:t>6</w:t>
                  </w:r>
                </w:p>
              </w:tc>
              <w:tc>
                <w:tcPr>
                  <w:tcW w:w="1206" w:type="pct"/>
                  <w:vAlign w:val="center"/>
                </w:tcPr>
                <w:p>
                  <w:pPr>
                    <w:autoSpaceDN w:val="0"/>
                    <w:adjustRightInd w:val="0"/>
                    <w:snapToGrid w:val="0"/>
                    <w:spacing w:line="280" w:lineRule="exact"/>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丁铵黑药</w:t>
                  </w:r>
                </w:p>
              </w:tc>
              <w:tc>
                <w:tcPr>
                  <w:tcW w:w="767" w:type="pct"/>
                  <w:vAlign w:val="center"/>
                </w:tcPr>
                <w:p>
                  <w:pPr>
                    <w:adjustRightInd w:val="0"/>
                    <w:snapToGrid w:val="0"/>
                    <w:spacing w:line="280" w:lineRule="exact"/>
                    <w:jc w:val="center"/>
                    <w:rPr>
                      <w:rFonts w:hint="default" w:ascii="Times New Roman" w:hAnsi="Times New Roman" w:eastAsia="宋体" w:cs="Times New Roman"/>
                      <w:color w:val="auto"/>
                      <w:spacing w:val="6"/>
                      <w:szCs w:val="21"/>
                    </w:rPr>
                  </w:pPr>
                  <w:r>
                    <w:rPr>
                      <w:rFonts w:hint="default" w:ascii="Times New Roman" w:hAnsi="Times New Roman" w:eastAsia="宋体" w:cs="Times New Roman"/>
                      <w:color w:val="auto"/>
                      <w:spacing w:val="6"/>
                      <w:szCs w:val="21"/>
                    </w:rPr>
                    <w:t>kg/t</w:t>
                  </w:r>
                </w:p>
              </w:tc>
              <w:tc>
                <w:tcPr>
                  <w:tcW w:w="921" w:type="pct"/>
                  <w:vAlign w:val="center"/>
                </w:tcPr>
                <w:p>
                  <w:pPr>
                    <w:autoSpaceDN w:val="0"/>
                    <w:adjustRightInd w:val="0"/>
                    <w:snapToGrid w:val="0"/>
                    <w:spacing w:line="280" w:lineRule="exact"/>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0.080</w:t>
                  </w:r>
                </w:p>
              </w:tc>
              <w:tc>
                <w:tcPr>
                  <w:tcW w:w="1105" w:type="pct"/>
                  <w:vAlign w:val="center"/>
                </w:tcPr>
                <w:p>
                  <w:pPr>
                    <w:adjustRightInd w:val="0"/>
                    <w:snapToGrid w:val="0"/>
                    <w:spacing w:line="28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10.8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00" w:type="pct"/>
                  <w:vAlign w:val="center"/>
                </w:tcPr>
                <w:p>
                  <w:pPr>
                    <w:adjustRightInd w:val="0"/>
                    <w:snapToGrid w:val="0"/>
                    <w:spacing w:line="280" w:lineRule="exact"/>
                    <w:jc w:val="center"/>
                    <w:rPr>
                      <w:rFonts w:hint="default" w:ascii="Times New Roman" w:hAnsi="Times New Roman" w:eastAsia="宋体" w:cs="Times New Roman"/>
                      <w:color w:val="auto"/>
                      <w:spacing w:val="6"/>
                      <w:szCs w:val="21"/>
                    </w:rPr>
                  </w:pPr>
                  <w:r>
                    <w:rPr>
                      <w:rFonts w:hint="default" w:ascii="Times New Roman" w:hAnsi="Times New Roman" w:eastAsia="宋体" w:cs="Times New Roman"/>
                      <w:color w:val="auto"/>
                      <w:spacing w:val="6"/>
                      <w:szCs w:val="21"/>
                    </w:rPr>
                    <w:t>7</w:t>
                  </w:r>
                </w:p>
              </w:tc>
              <w:tc>
                <w:tcPr>
                  <w:tcW w:w="1206" w:type="pct"/>
                  <w:vAlign w:val="center"/>
                </w:tcPr>
                <w:p>
                  <w:pPr>
                    <w:autoSpaceDN w:val="0"/>
                    <w:adjustRightInd w:val="0"/>
                    <w:snapToGrid w:val="0"/>
                    <w:spacing w:line="280" w:lineRule="exact"/>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r>
                    <w:rPr>
                      <w:rFonts w:hint="default" w:ascii="Times New Roman" w:hAnsi="Times New Roman" w:eastAsia="宋体" w:cs="Times New Roman"/>
                      <w:color w:val="auto"/>
                      <w:szCs w:val="21"/>
                      <w:vertAlign w:val="superscript"/>
                    </w:rPr>
                    <w:t>#</w:t>
                  </w:r>
                  <w:r>
                    <w:rPr>
                      <w:rFonts w:hint="default" w:ascii="Times New Roman" w:hAnsi="Times New Roman" w:eastAsia="宋体" w:cs="Times New Roman"/>
                      <w:color w:val="auto"/>
                      <w:szCs w:val="21"/>
                    </w:rPr>
                    <w:t>油</w:t>
                  </w:r>
                </w:p>
              </w:tc>
              <w:tc>
                <w:tcPr>
                  <w:tcW w:w="767" w:type="pct"/>
                  <w:vAlign w:val="center"/>
                </w:tcPr>
                <w:p>
                  <w:pPr>
                    <w:adjustRightInd w:val="0"/>
                    <w:snapToGrid w:val="0"/>
                    <w:spacing w:line="280" w:lineRule="exact"/>
                    <w:jc w:val="center"/>
                    <w:rPr>
                      <w:rFonts w:hint="default" w:ascii="Times New Roman" w:hAnsi="Times New Roman" w:eastAsia="宋体" w:cs="Times New Roman"/>
                      <w:color w:val="auto"/>
                      <w:spacing w:val="6"/>
                      <w:szCs w:val="21"/>
                    </w:rPr>
                  </w:pPr>
                  <w:r>
                    <w:rPr>
                      <w:rFonts w:hint="default" w:ascii="Times New Roman" w:hAnsi="Times New Roman" w:eastAsia="宋体" w:cs="Times New Roman"/>
                      <w:color w:val="auto"/>
                      <w:spacing w:val="6"/>
                      <w:szCs w:val="21"/>
                    </w:rPr>
                    <w:t>kg/t</w:t>
                  </w:r>
                </w:p>
              </w:tc>
              <w:tc>
                <w:tcPr>
                  <w:tcW w:w="921" w:type="pct"/>
                  <w:vAlign w:val="center"/>
                </w:tcPr>
                <w:p>
                  <w:pPr>
                    <w:autoSpaceDN w:val="0"/>
                    <w:adjustRightInd w:val="0"/>
                    <w:snapToGrid w:val="0"/>
                    <w:spacing w:line="280" w:lineRule="exact"/>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0.020</w:t>
                  </w:r>
                </w:p>
              </w:tc>
              <w:tc>
                <w:tcPr>
                  <w:tcW w:w="1105" w:type="pct"/>
                  <w:vAlign w:val="center"/>
                </w:tcPr>
                <w:p>
                  <w:pPr>
                    <w:adjustRightInd w:val="0"/>
                    <w:snapToGrid w:val="0"/>
                    <w:spacing w:line="28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2.7</w:t>
                  </w:r>
                </w:p>
              </w:tc>
            </w:tr>
          </w:tbl>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lang w:val="en-US" w:eastAsia="zh-CN"/>
              </w:rPr>
            </w:pPr>
            <w:r>
              <w:rPr>
                <w:rFonts w:hint="default" w:ascii="Times New Roman" w:hAnsi="Times New Roman" w:eastAsia="宋体" w:cs="Times New Roman"/>
                <w:color w:val="auto"/>
                <w:spacing w:val="1"/>
                <w:sz w:val="24"/>
                <w:szCs w:val="24"/>
                <w:lang w:val="en-US" w:eastAsia="zh-CN"/>
              </w:rPr>
              <w:t>（4）平面布置</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lang w:val="en-US" w:eastAsia="zh-CN"/>
              </w:rPr>
            </w:pPr>
            <w:r>
              <w:rPr>
                <w:rFonts w:hint="default" w:ascii="Times New Roman" w:hAnsi="Times New Roman" w:eastAsia="宋体" w:cs="Times New Roman"/>
                <w:color w:val="auto"/>
                <w:spacing w:val="1"/>
                <w:sz w:val="24"/>
                <w:szCs w:val="24"/>
                <w:lang w:val="en-US" w:eastAsia="zh-CN"/>
              </w:rPr>
              <w:t>选矿厂由原料场、破碎间、粉矿仓（含筛分间）、磨选及浓缩间、药剂间、10KV配电室、浓缩配电室、锅炉房、除尘、循环水泵房、新水蓄水池及加压泵站、化验室等组成。原料堆场设置在选矿厂东侧，紧邻破碎间，单体金矿与锑金矿分别堆放。原料堆场设置在选矿厂东侧边界。</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lang w:val="en-US" w:eastAsia="zh-CN"/>
              </w:rPr>
            </w:pPr>
            <w:r>
              <w:rPr>
                <w:rFonts w:hint="default" w:ascii="Times New Roman" w:hAnsi="Times New Roman" w:eastAsia="宋体" w:cs="Times New Roman"/>
                <w:color w:val="auto"/>
                <w:spacing w:val="1"/>
                <w:sz w:val="24"/>
                <w:szCs w:val="24"/>
                <w:lang w:val="en-US" w:eastAsia="zh-CN"/>
              </w:rPr>
              <w:t>选矿厂生活区由办公楼、宿舍楼、食堂、配电室、锅炉房等组成，位于选矿厂东侧350m处。</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lang w:val="en-US" w:eastAsia="zh-CN"/>
              </w:rPr>
            </w:pPr>
            <w:r>
              <w:rPr>
                <w:rFonts w:hint="default" w:ascii="Times New Roman" w:hAnsi="Times New Roman" w:eastAsia="宋体" w:cs="Times New Roman"/>
                <w:color w:val="auto"/>
                <w:spacing w:val="1"/>
                <w:sz w:val="24"/>
                <w:szCs w:val="24"/>
                <w:lang w:val="en-US" w:eastAsia="zh-CN"/>
              </w:rPr>
              <w:t>（5）生产工艺</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lang w:val="en-US" w:eastAsia="zh-CN"/>
              </w:rPr>
            </w:pPr>
            <w:r>
              <w:rPr>
                <w:rFonts w:hint="default" w:ascii="Times New Roman" w:hAnsi="Times New Roman" w:eastAsia="宋体" w:cs="Times New Roman"/>
                <w:color w:val="auto"/>
                <w:spacing w:val="1"/>
                <w:sz w:val="24"/>
                <w:szCs w:val="24"/>
                <w:lang w:val="en-US" w:eastAsia="zh-CN"/>
              </w:rPr>
              <w:t>现有工程工艺流程见图</w:t>
            </w:r>
            <w:r>
              <w:rPr>
                <w:rFonts w:hint="default" w:ascii="Times New Roman" w:hAnsi="Times New Roman" w:cs="Times New Roman"/>
                <w:color w:val="auto"/>
                <w:spacing w:val="1"/>
                <w:sz w:val="24"/>
                <w:szCs w:val="24"/>
                <w:lang w:val="en-US" w:eastAsia="zh-CN"/>
              </w:rPr>
              <w:t>2.3</w:t>
            </w:r>
            <w:r>
              <w:rPr>
                <w:rFonts w:hint="default" w:ascii="Times New Roman" w:hAnsi="Times New Roman" w:eastAsia="宋体" w:cs="Times New Roman"/>
                <w:color w:val="auto"/>
                <w:spacing w:val="1"/>
                <w:sz w:val="24"/>
                <w:szCs w:val="24"/>
                <w:lang w:val="en-US" w:eastAsia="zh-CN"/>
              </w:rPr>
              <w:t>-1、</w:t>
            </w:r>
            <w:r>
              <w:rPr>
                <w:rFonts w:hint="default" w:ascii="Times New Roman" w:hAnsi="Times New Roman" w:cs="Times New Roman"/>
                <w:color w:val="auto"/>
                <w:spacing w:val="1"/>
                <w:sz w:val="24"/>
                <w:szCs w:val="24"/>
                <w:lang w:val="en-US" w:eastAsia="zh-CN"/>
              </w:rPr>
              <w:t>2.3</w:t>
            </w:r>
            <w:r>
              <w:rPr>
                <w:rFonts w:hint="default" w:ascii="Times New Roman" w:hAnsi="Times New Roman" w:eastAsia="宋体" w:cs="Times New Roman"/>
                <w:color w:val="auto"/>
                <w:spacing w:val="1"/>
                <w:sz w:val="24"/>
                <w:szCs w:val="24"/>
                <w:lang w:val="en-US" w:eastAsia="zh-CN"/>
              </w:rPr>
              <w:t>-2。</w:t>
            </w:r>
          </w:p>
          <w:p>
            <w:pPr>
              <w:adjustRightInd w:val="0"/>
              <w:snapToGrid w:val="0"/>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8"/>
                <w:highlight w:val="none"/>
              </w:rPr>
              <w:drawing>
                <wp:inline distT="0" distB="0" distL="0" distR="0">
                  <wp:extent cx="3999230" cy="3714115"/>
                  <wp:effectExtent l="0" t="0" r="1270" b="635"/>
                  <wp:docPr id="11" name="图片 11" descr="破碎磨矿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破碎磨矿流程"/>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999230" cy="3714115"/>
                          </a:xfrm>
                          <a:prstGeom prst="rect">
                            <a:avLst/>
                          </a:prstGeom>
                          <a:noFill/>
                          <a:ln>
                            <a:noFill/>
                          </a:ln>
                        </pic:spPr>
                      </pic:pic>
                    </a:graphicData>
                  </a:graphic>
                </wp:inline>
              </w:drawing>
            </w:r>
          </w:p>
          <w:p>
            <w:pPr>
              <w:adjustRightInd w:val="0"/>
              <w:snapToGrid w:val="0"/>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1"/>
                <w:szCs w:val="21"/>
                <w:highlight w:val="none"/>
              </w:rPr>
              <w:t>图</w:t>
            </w:r>
            <w:r>
              <w:rPr>
                <w:rFonts w:hint="default" w:ascii="Times New Roman" w:hAnsi="Times New Roman" w:cs="Times New Roman"/>
                <w:b/>
                <w:bCs/>
                <w:color w:val="auto"/>
                <w:sz w:val="21"/>
                <w:szCs w:val="21"/>
                <w:highlight w:val="none"/>
                <w:lang w:val="en-US" w:eastAsia="zh-CN"/>
              </w:rPr>
              <w:t>2.3</w:t>
            </w:r>
            <w:r>
              <w:rPr>
                <w:rFonts w:hint="default" w:ascii="Times New Roman" w:hAnsi="Times New Roman" w:eastAsia="宋体" w:cs="Times New Roman"/>
                <w:b/>
                <w:bCs/>
                <w:color w:val="auto"/>
                <w:sz w:val="21"/>
                <w:szCs w:val="21"/>
                <w:highlight w:val="none"/>
              </w:rPr>
              <w:t>-1 破碎磨矿流程图</w:t>
            </w:r>
            <w:r>
              <w:rPr>
                <w:rFonts w:hint="default" w:ascii="Times New Roman" w:hAnsi="Times New Roman" w:cs="Times New Roman"/>
                <w:color w:val="auto"/>
                <w:sz w:val="28"/>
                <w:highlight w:val="none"/>
              </w:rPr>
              <w:drawing>
                <wp:inline distT="0" distB="0" distL="0" distR="0">
                  <wp:extent cx="4959350" cy="2859405"/>
                  <wp:effectExtent l="0" t="0" r="3175" b="7620"/>
                  <wp:docPr id="14" name="图片 14" descr="无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无标题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959350" cy="2859405"/>
                          </a:xfrm>
                          <a:prstGeom prst="rect">
                            <a:avLst/>
                          </a:prstGeom>
                          <a:noFill/>
                          <a:ln>
                            <a:noFill/>
                          </a:ln>
                        </pic:spPr>
                      </pic:pic>
                    </a:graphicData>
                  </a:graphic>
                </wp:inline>
              </w:drawing>
            </w:r>
          </w:p>
          <w:p>
            <w:pPr>
              <w:adjustRightInd w:val="0"/>
              <w:snapToGrid w:val="0"/>
              <w:spacing w:line="36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图</w:t>
            </w:r>
            <w:r>
              <w:rPr>
                <w:rFonts w:hint="default" w:ascii="Times New Roman" w:hAnsi="Times New Roman" w:cs="Times New Roman"/>
                <w:b/>
                <w:bCs/>
                <w:color w:val="auto"/>
                <w:sz w:val="21"/>
                <w:szCs w:val="21"/>
                <w:highlight w:val="none"/>
                <w:lang w:val="en-US" w:eastAsia="zh-CN"/>
              </w:rPr>
              <w:t>2.3</w:t>
            </w:r>
            <w:r>
              <w:rPr>
                <w:rFonts w:hint="default" w:ascii="Times New Roman" w:hAnsi="Times New Roman" w:eastAsia="宋体" w:cs="Times New Roman"/>
                <w:b/>
                <w:bCs/>
                <w:color w:val="auto"/>
                <w:sz w:val="21"/>
                <w:szCs w:val="21"/>
                <w:highlight w:val="none"/>
              </w:rPr>
              <w:t>-2  浮选、浓缩、过滤流程图</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lang w:val="en-US" w:eastAsia="zh-CN"/>
              </w:rPr>
            </w:pPr>
            <w:r>
              <w:rPr>
                <w:rFonts w:hint="default" w:ascii="Times New Roman" w:hAnsi="Times New Roman" w:eastAsia="宋体" w:cs="Times New Roman"/>
                <w:color w:val="auto"/>
                <w:spacing w:val="1"/>
                <w:sz w:val="24"/>
                <w:szCs w:val="24"/>
                <w:lang w:val="en-US" w:eastAsia="zh-CN"/>
              </w:rPr>
              <w:t>现有工程流程如下：破碎采用两段一闭路破碎，原料由汽车运输至原料场（生产状态经料场由铲车倒装后入粗碎仓），仓下原料经ZGB1200×4000重型板式给料机给入1台C80颚式破碎机，破碎产品经过1#胶带机运至筛分间，经过2YA2160振动筛筛分后，筛下产物由3#胶带机运至磨矿仓，筛上产物经2#胶带机给入GP100MF圆锥破碎机，细碎产品再经1#胶带机运至筛分间形成闭路循环。磨矿仓下产品经电振给入4#胶带机运至1#磨机（型号MQG2430）。</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lang w:val="en-US" w:eastAsia="zh-CN"/>
              </w:rPr>
            </w:pPr>
            <w:r>
              <w:rPr>
                <w:rFonts w:hint="default" w:ascii="Times New Roman" w:hAnsi="Times New Roman" w:eastAsia="宋体" w:cs="Times New Roman"/>
                <w:color w:val="auto"/>
                <w:spacing w:val="1"/>
                <w:sz w:val="24"/>
                <w:szCs w:val="24"/>
                <w:lang w:val="en-US" w:eastAsia="zh-CN"/>
              </w:rPr>
              <w:t>1#磨机（MQG2400×3000）排矿自流至FG2000双螺旋分级机，螺旋分级机返砂与磨机形成闭路，分级机溢流经渣浆泵泵至FX350-4旋流器组，旋流器沉砂自流至2#磨机（MQY2400×3000），旋流器溢流自流至1#矿浆搅拌桶，经过一粗、两精、五扫后，浮选金精矿经泵泵至Φ9m高效浓缩池沉降后，底流泵至两台TC20陶瓷过滤机，过滤后金精矿、锑金精矿入库分别堆存，Φ9m高效浓缩池溢流水回循环高位水池。浮选尾矿泵至一台Φ18高效浓缩池沉淀，溢流回循环高位水池，底流泵至尾矿库。</w:t>
            </w:r>
          </w:p>
          <w:p>
            <w:pPr>
              <w:keepNext w:val="0"/>
              <w:keepLines w:val="0"/>
              <w:pageBreakBefore w:val="0"/>
              <w:widowControl w:val="0"/>
              <w:kinsoku/>
              <w:wordWrap/>
              <w:overflowPunct/>
              <w:topLinePunct w:val="0"/>
              <w:autoSpaceDE/>
              <w:autoSpaceDN/>
              <w:bidi w:val="0"/>
              <w:adjustRightInd/>
              <w:snapToGrid/>
              <w:spacing w:line="500" w:lineRule="exact"/>
              <w:ind w:firstLine="458" w:firstLineChars="195"/>
              <w:textAlignment w:val="auto"/>
              <w:rPr>
                <w:rFonts w:hint="default" w:ascii="Times New Roman" w:hAnsi="Times New Roman" w:cs="Times New Roman"/>
                <w:b/>
                <w:bCs/>
                <w:color w:val="auto"/>
                <w:spacing w:val="-3"/>
                <w:sz w:val="24"/>
                <w:szCs w:val="24"/>
                <w:lang w:val="en-US" w:eastAsia="zh-CN"/>
              </w:rPr>
            </w:pPr>
            <w:r>
              <w:rPr>
                <w:rFonts w:hint="default" w:ascii="Times New Roman" w:hAnsi="Times New Roman" w:cs="Times New Roman"/>
                <w:b/>
                <w:bCs/>
                <w:color w:val="auto"/>
                <w:spacing w:val="-3"/>
                <w:sz w:val="24"/>
                <w:szCs w:val="24"/>
                <w:lang w:val="en-US" w:eastAsia="zh-CN"/>
              </w:rPr>
              <w:t>3 现有尾矿库</w:t>
            </w:r>
          </w:p>
          <w:p>
            <w:pPr>
              <w:keepNext w:val="0"/>
              <w:keepLines w:val="0"/>
              <w:pageBreakBefore w:val="0"/>
              <w:widowControl w:val="0"/>
              <w:kinsoku/>
              <w:wordWrap/>
              <w:overflowPunct/>
              <w:topLinePunct w:val="0"/>
              <w:autoSpaceDE/>
              <w:autoSpaceDN/>
              <w:bidi w:val="0"/>
              <w:adjustRightInd/>
              <w:snapToGrid/>
              <w:spacing w:line="500" w:lineRule="exact"/>
              <w:ind w:firstLine="456" w:firstLineChars="195"/>
              <w:textAlignment w:val="auto"/>
              <w:rPr>
                <w:rFonts w:hint="default" w:ascii="Times New Roman" w:hAnsi="Times New Roman" w:cs="Times New Roman"/>
                <w:b w:val="0"/>
                <w:bCs w:val="0"/>
                <w:color w:val="auto"/>
                <w:spacing w:val="-3"/>
                <w:sz w:val="24"/>
                <w:szCs w:val="24"/>
                <w:lang w:val="en-US" w:eastAsia="zh-CN"/>
              </w:rPr>
            </w:pPr>
            <w:r>
              <w:rPr>
                <w:rFonts w:hint="default" w:ascii="Times New Roman" w:hAnsi="Times New Roman" w:cs="Times New Roman"/>
                <w:b w:val="0"/>
                <w:bCs w:val="0"/>
                <w:color w:val="auto"/>
                <w:spacing w:val="-3"/>
                <w:sz w:val="24"/>
                <w:szCs w:val="24"/>
                <w:lang w:val="en-US" w:eastAsia="zh-CN"/>
              </w:rPr>
              <w:t>现有尾矿库于2017年设计，2019年7月建成，尾矿库尾一次性筑坝筑坝材料为粘性土料，最大坝高为29.5m，上下游坝坡均为1:2.5，上、下游坝坡在标高3054m设置马道一条，马道顶宽度为2.0m，总库容74.6×10</w:t>
            </w:r>
            <w:r>
              <w:rPr>
                <w:rFonts w:hint="default" w:ascii="Times New Roman" w:hAnsi="Times New Roman" w:cs="Times New Roman"/>
                <w:b w:val="0"/>
                <w:bCs w:val="0"/>
                <w:color w:val="auto"/>
                <w:spacing w:val="-3"/>
                <w:sz w:val="24"/>
                <w:szCs w:val="24"/>
                <w:vertAlign w:val="superscript"/>
                <w:lang w:val="en-US" w:eastAsia="zh-CN"/>
              </w:rPr>
              <w:t>4</w:t>
            </w:r>
            <w:r>
              <w:rPr>
                <w:rFonts w:hint="default" w:ascii="Times New Roman" w:hAnsi="Times New Roman" w:cs="Times New Roman"/>
                <w:b w:val="0"/>
                <w:bCs w:val="0"/>
                <w:color w:val="auto"/>
                <w:spacing w:val="-3"/>
                <w:sz w:val="24"/>
                <w:szCs w:val="24"/>
                <w:lang w:val="en-US" w:eastAsia="zh-CN"/>
              </w:rPr>
              <w:t>m³，为五等库。主要内容如下：</w:t>
            </w:r>
          </w:p>
          <w:p>
            <w:pPr>
              <w:keepNext w:val="0"/>
              <w:keepLines w:val="0"/>
              <w:pageBreakBefore w:val="0"/>
              <w:widowControl w:val="0"/>
              <w:kinsoku/>
              <w:wordWrap/>
              <w:overflowPunct/>
              <w:topLinePunct w:val="0"/>
              <w:autoSpaceDE/>
              <w:autoSpaceDN/>
              <w:bidi w:val="0"/>
              <w:adjustRightInd/>
              <w:snapToGrid/>
              <w:spacing w:line="500" w:lineRule="exact"/>
              <w:ind w:firstLine="456" w:firstLineChars="195"/>
              <w:textAlignment w:val="auto"/>
              <w:rPr>
                <w:rFonts w:hint="default" w:ascii="Times New Roman" w:hAnsi="Times New Roman" w:cs="Times New Roman"/>
                <w:b w:val="0"/>
                <w:bCs w:val="0"/>
                <w:color w:val="auto"/>
                <w:spacing w:val="-3"/>
                <w:sz w:val="24"/>
                <w:szCs w:val="24"/>
                <w:lang w:val="en-US" w:eastAsia="zh-CN"/>
              </w:rPr>
            </w:pPr>
            <w:r>
              <w:rPr>
                <w:rFonts w:hint="default" w:ascii="Times New Roman" w:hAnsi="Times New Roman" w:cs="Times New Roman"/>
                <w:b w:val="0"/>
                <w:bCs w:val="0"/>
                <w:color w:val="auto"/>
                <w:spacing w:val="-3"/>
                <w:sz w:val="24"/>
                <w:szCs w:val="24"/>
                <w:lang w:val="en-US" w:eastAsia="zh-CN"/>
              </w:rPr>
              <w:t>（1）坝体设计</w:t>
            </w:r>
          </w:p>
          <w:p>
            <w:pPr>
              <w:keepNext w:val="0"/>
              <w:keepLines w:val="0"/>
              <w:pageBreakBefore w:val="0"/>
              <w:widowControl w:val="0"/>
              <w:kinsoku/>
              <w:wordWrap/>
              <w:overflowPunct/>
              <w:topLinePunct w:val="0"/>
              <w:autoSpaceDE/>
              <w:autoSpaceDN/>
              <w:bidi w:val="0"/>
              <w:adjustRightInd/>
              <w:snapToGrid/>
              <w:spacing w:line="500" w:lineRule="exact"/>
              <w:ind w:firstLine="456" w:firstLineChars="195"/>
              <w:textAlignment w:val="auto"/>
              <w:rPr>
                <w:rFonts w:hint="default" w:ascii="Times New Roman" w:hAnsi="Times New Roman" w:cs="Times New Roman"/>
                <w:b w:val="0"/>
                <w:bCs w:val="0"/>
                <w:color w:val="auto"/>
                <w:spacing w:val="-3"/>
                <w:sz w:val="24"/>
                <w:szCs w:val="24"/>
                <w:lang w:val="en-US" w:eastAsia="zh-CN"/>
              </w:rPr>
            </w:pPr>
            <w:r>
              <w:rPr>
                <w:rFonts w:hint="default" w:ascii="Times New Roman" w:hAnsi="Times New Roman" w:cs="Times New Roman"/>
                <w:b w:val="0"/>
                <w:bCs w:val="0"/>
                <w:color w:val="auto"/>
                <w:spacing w:val="-3"/>
                <w:sz w:val="24"/>
                <w:szCs w:val="24"/>
                <w:lang w:val="en-US" w:eastAsia="zh-CN"/>
              </w:rPr>
              <w:t>尾矿坝为一次筑坝不透水土坝。尾矿坝筑坝材料为当地粘性土料。坝顶标高3068.0m，坝顶宽度为5.0m，坝长372.98m，最大坝高29.5m。上、下游坝坡比均为1:2.5，上、下坝坡游均采用碎石护坡，厚度为20cm。</w:t>
            </w:r>
          </w:p>
          <w:p>
            <w:pPr>
              <w:keepNext w:val="0"/>
              <w:keepLines w:val="0"/>
              <w:pageBreakBefore w:val="0"/>
              <w:widowControl w:val="0"/>
              <w:kinsoku/>
              <w:wordWrap/>
              <w:overflowPunct/>
              <w:topLinePunct w:val="0"/>
              <w:autoSpaceDE/>
              <w:autoSpaceDN/>
              <w:bidi w:val="0"/>
              <w:adjustRightInd/>
              <w:snapToGrid/>
              <w:spacing w:line="500" w:lineRule="exact"/>
              <w:ind w:firstLine="456" w:firstLineChars="195"/>
              <w:textAlignment w:val="auto"/>
              <w:rPr>
                <w:rFonts w:hint="default" w:ascii="Times New Roman" w:hAnsi="Times New Roman" w:cs="Times New Roman"/>
                <w:b w:val="0"/>
                <w:bCs w:val="0"/>
                <w:color w:val="auto"/>
                <w:spacing w:val="-3"/>
                <w:sz w:val="24"/>
                <w:szCs w:val="24"/>
                <w:lang w:val="en-US" w:eastAsia="zh-CN"/>
              </w:rPr>
            </w:pPr>
            <w:r>
              <w:rPr>
                <w:rFonts w:hint="default" w:ascii="Times New Roman" w:hAnsi="Times New Roman" w:cs="Times New Roman"/>
                <w:b w:val="0"/>
                <w:bCs w:val="0"/>
                <w:color w:val="auto"/>
                <w:spacing w:val="-3"/>
                <w:sz w:val="24"/>
                <w:szCs w:val="24"/>
                <w:lang w:val="en-US" w:eastAsia="zh-CN"/>
              </w:rPr>
              <w:t>（2）尾矿库排水系统设计</w:t>
            </w:r>
          </w:p>
          <w:p>
            <w:pPr>
              <w:keepNext w:val="0"/>
              <w:keepLines w:val="0"/>
              <w:pageBreakBefore w:val="0"/>
              <w:widowControl w:val="0"/>
              <w:kinsoku/>
              <w:wordWrap/>
              <w:overflowPunct/>
              <w:topLinePunct w:val="0"/>
              <w:autoSpaceDE/>
              <w:autoSpaceDN/>
              <w:bidi w:val="0"/>
              <w:adjustRightInd/>
              <w:snapToGrid/>
              <w:spacing w:line="500" w:lineRule="exact"/>
              <w:ind w:firstLine="456" w:firstLineChars="195"/>
              <w:textAlignment w:val="auto"/>
              <w:rPr>
                <w:rFonts w:hint="default" w:ascii="Times New Roman" w:hAnsi="Times New Roman" w:cs="Times New Roman"/>
                <w:b w:val="0"/>
                <w:bCs w:val="0"/>
                <w:color w:val="auto"/>
                <w:spacing w:val="-3"/>
                <w:sz w:val="24"/>
                <w:szCs w:val="24"/>
                <w:lang w:val="en-US" w:eastAsia="zh-CN"/>
              </w:rPr>
            </w:pPr>
            <w:r>
              <w:rPr>
                <w:rFonts w:hint="default" w:ascii="Times New Roman" w:hAnsi="Times New Roman" w:cs="Times New Roman"/>
                <w:b w:val="0"/>
                <w:bCs w:val="0"/>
                <w:color w:val="auto"/>
                <w:spacing w:val="-3"/>
                <w:sz w:val="24"/>
                <w:szCs w:val="24"/>
                <w:lang w:val="en-US" w:eastAsia="zh-CN"/>
              </w:rPr>
              <w:t>现有尾矿库为五等库，防洪标准为100年一遇。尾矿坝为一次筑成的土坝，尾矿库的排洪设施采用坝肩溢洪道，为开敞式正槽溢洪道。溢洪道采用浆砌石结构。进口宽度为1.2m，高度为1.0m，溢洪道全长为65.5m，溢洪道后接泄洪渠。泄洪渠横断面为梯形，底宽0.8m，边坡比为1:1，深度为0.8m，全长251.7m，浆砌石结构。</w:t>
            </w:r>
            <w:r>
              <w:rPr>
                <w:rFonts w:hint="default" w:ascii="Times New Roman" w:hAnsi="Times New Roman" w:cs="Times New Roman"/>
                <w:color w:val="auto"/>
                <w:sz w:val="24"/>
                <w:szCs w:val="24"/>
              </w:rPr>
              <w:t>砌护厚度为0.2m。泄洪渠末端接200m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集水池。</w:t>
            </w:r>
          </w:p>
          <w:p>
            <w:pPr>
              <w:keepNext w:val="0"/>
              <w:keepLines w:val="0"/>
              <w:pageBreakBefore w:val="0"/>
              <w:widowControl w:val="0"/>
              <w:kinsoku/>
              <w:wordWrap/>
              <w:overflowPunct/>
              <w:topLinePunct w:val="0"/>
              <w:autoSpaceDE/>
              <w:autoSpaceDN/>
              <w:bidi w:val="0"/>
              <w:adjustRightInd/>
              <w:snapToGrid/>
              <w:spacing w:line="500" w:lineRule="exact"/>
              <w:ind w:firstLine="456" w:firstLineChars="195"/>
              <w:textAlignment w:val="auto"/>
              <w:rPr>
                <w:rFonts w:hint="default" w:ascii="Times New Roman" w:hAnsi="Times New Roman" w:cs="Times New Roman"/>
                <w:b w:val="0"/>
                <w:bCs w:val="0"/>
                <w:color w:val="auto"/>
                <w:spacing w:val="-3"/>
                <w:sz w:val="24"/>
                <w:szCs w:val="24"/>
                <w:lang w:val="en-US" w:eastAsia="zh-CN"/>
              </w:rPr>
            </w:pPr>
            <w:r>
              <w:rPr>
                <w:rFonts w:hint="default" w:ascii="Times New Roman" w:hAnsi="Times New Roman" w:cs="Times New Roman"/>
                <w:b w:val="0"/>
                <w:bCs w:val="0"/>
                <w:color w:val="auto"/>
                <w:spacing w:val="-3"/>
                <w:sz w:val="24"/>
                <w:szCs w:val="24"/>
                <w:lang w:val="en-US" w:eastAsia="zh-CN"/>
              </w:rPr>
              <w:t>（3）尾矿输送及回水系统</w:t>
            </w:r>
          </w:p>
          <w:p>
            <w:pPr>
              <w:keepNext w:val="0"/>
              <w:keepLines w:val="0"/>
              <w:pageBreakBefore w:val="0"/>
              <w:widowControl w:val="0"/>
              <w:kinsoku/>
              <w:wordWrap/>
              <w:overflowPunct/>
              <w:topLinePunct w:val="0"/>
              <w:autoSpaceDE/>
              <w:autoSpaceDN/>
              <w:bidi w:val="0"/>
              <w:adjustRightInd/>
              <w:snapToGrid/>
              <w:spacing w:line="500" w:lineRule="exact"/>
              <w:ind w:firstLine="456" w:firstLineChars="195"/>
              <w:textAlignment w:val="auto"/>
              <w:rPr>
                <w:rFonts w:hint="default" w:ascii="Times New Roman" w:hAnsi="Times New Roman" w:cs="Times New Roman"/>
                <w:b w:val="0"/>
                <w:bCs w:val="0"/>
                <w:color w:val="auto"/>
                <w:spacing w:val="-3"/>
                <w:sz w:val="24"/>
                <w:szCs w:val="24"/>
                <w:lang w:val="en-US" w:eastAsia="zh-CN"/>
              </w:rPr>
            </w:pPr>
            <w:r>
              <w:rPr>
                <w:rFonts w:hint="default" w:ascii="Times New Roman" w:hAnsi="Times New Roman" w:cs="Times New Roman"/>
                <w:b w:val="0"/>
                <w:bCs w:val="0"/>
                <w:color w:val="auto"/>
                <w:spacing w:val="-3"/>
                <w:sz w:val="24"/>
                <w:szCs w:val="24"/>
                <w:lang w:val="en-US" w:eastAsia="zh-CN"/>
              </w:rPr>
              <w:t>尾矿输送采用自流方式。尾矿输送由主厂房敷设至尾矿坝坝顶。尾矿输送管线由主厂房敷设至尾矿坝坝顶，采用1条DN200超高分子量聚乙烯复合钢衬管，压力等级2.0MPa，管长700m，沿地表架设。</w:t>
            </w:r>
          </w:p>
          <w:p>
            <w:pPr>
              <w:keepNext w:val="0"/>
              <w:keepLines w:val="0"/>
              <w:pageBreakBefore w:val="0"/>
              <w:widowControl w:val="0"/>
              <w:kinsoku/>
              <w:wordWrap/>
              <w:overflowPunct/>
              <w:topLinePunct w:val="0"/>
              <w:autoSpaceDE/>
              <w:autoSpaceDN/>
              <w:bidi w:val="0"/>
              <w:adjustRightInd/>
              <w:snapToGrid/>
              <w:spacing w:line="500" w:lineRule="exact"/>
              <w:ind w:firstLine="456" w:firstLineChars="195"/>
              <w:textAlignment w:val="auto"/>
              <w:rPr>
                <w:rFonts w:hint="default" w:ascii="Times New Roman" w:hAnsi="Times New Roman" w:cs="Times New Roman"/>
                <w:b w:val="0"/>
                <w:bCs w:val="0"/>
                <w:color w:val="auto"/>
                <w:spacing w:val="-3"/>
                <w:sz w:val="24"/>
                <w:szCs w:val="24"/>
                <w:lang w:val="en-US" w:eastAsia="zh-CN"/>
              </w:rPr>
            </w:pPr>
            <w:r>
              <w:rPr>
                <w:rFonts w:hint="default" w:ascii="Times New Roman" w:hAnsi="Times New Roman" w:cs="Times New Roman"/>
                <w:b w:val="0"/>
                <w:bCs w:val="0"/>
                <w:color w:val="auto"/>
                <w:spacing w:val="-3"/>
                <w:sz w:val="24"/>
                <w:szCs w:val="24"/>
                <w:lang w:val="en-US" w:eastAsia="zh-CN"/>
              </w:rPr>
              <w:t>尾矿库回水采用浮船式。浮船上安装尾矿回水泵，采用SLW80-315A卧式单级离心泵，额定参数：Q=46.5m³/h，H=110m，电机功率N=37kW，一用一备。回水管材采用DN125高密度聚乙烯复合管，压力等级1.6MPa，总长900m，直埋敷设，埋设深度不小于1.9m，冬季管道放空。</w:t>
            </w:r>
          </w:p>
          <w:p>
            <w:pPr>
              <w:keepNext w:val="0"/>
              <w:keepLines w:val="0"/>
              <w:pageBreakBefore w:val="0"/>
              <w:widowControl w:val="0"/>
              <w:kinsoku/>
              <w:wordWrap/>
              <w:overflowPunct/>
              <w:topLinePunct w:val="0"/>
              <w:autoSpaceDE/>
              <w:autoSpaceDN/>
              <w:bidi w:val="0"/>
              <w:adjustRightInd/>
              <w:snapToGrid/>
              <w:spacing w:line="500" w:lineRule="exact"/>
              <w:ind w:firstLine="456" w:firstLineChars="195"/>
              <w:textAlignment w:val="auto"/>
              <w:rPr>
                <w:rFonts w:hint="default" w:ascii="Times New Roman" w:hAnsi="Times New Roman" w:cs="Times New Roman"/>
                <w:b w:val="0"/>
                <w:bCs w:val="0"/>
                <w:color w:val="auto"/>
                <w:spacing w:val="-3"/>
                <w:sz w:val="24"/>
                <w:szCs w:val="24"/>
                <w:lang w:val="en-US" w:eastAsia="zh-CN"/>
              </w:rPr>
            </w:pPr>
            <w:r>
              <w:rPr>
                <w:rFonts w:hint="default" w:ascii="Times New Roman" w:hAnsi="Times New Roman" w:cs="Times New Roman"/>
                <w:b w:val="0"/>
                <w:bCs w:val="0"/>
                <w:color w:val="auto"/>
                <w:spacing w:val="-3"/>
                <w:sz w:val="24"/>
                <w:szCs w:val="24"/>
                <w:lang w:val="en-US" w:eastAsia="zh-CN"/>
              </w:rPr>
              <w:t>（5）监测系统</w:t>
            </w:r>
          </w:p>
          <w:p>
            <w:pPr>
              <w:keepNext w:val="0"/>
              <w:keepLines w:val="0"/>
              <w:pageBreakBefore w:val="0"/>
              <w:widowControl w:val="0"/>
              <w:kinsoku/>
              <w:wordWrap/>
              <w:overflowPunct/>
              <w:topLinePunct w:val="0"/>
              <w:autoSpaceDE/>
              <w:autoSpaceDN/>
              <w:bidi w:val="0"/>
              <w:adjustRightInd/>
              <w:snapToGrid/>
              <w:spacing w:line="500" w:lineRule="exact"/>
              <w:ind w:firstLine="456" w:firstLineChars="195"/>
              <w:textAlignment w:val="auto"/>
              <w:rPr>
                <w:rFonts w:hint="default" w:ascii="Times New Roman" w:hAnsi="Times New Roman" w:cs="Times New Roman"/>
                <w:b w:val="0"/>
                <w:bCs w:val="0"/>
                <w:color w:val="auto"/>
                <w:spacing w:val="-3"/>
                <w:sz w:val="24"/>
                <w:szCs w:val="24"/>
                <w:lang w:val="en-US" w:eastAsia="zh-CN"/>
              </w:rPr>
            </w:pPr>
            <w:r>
              <w:rPr>
                <w:rFonts w:hint="default" w:ascii="Times New Roman" w:hAnsi="Times New Roman" w:cs="Times New Roman"/>
                <w:b w:val="0"/>
                <w:bCs w:val="0"/>
                <w:color w:val="auto"/>
                <w:spacing w:val="-3"/>
                <w:sz w:val="24"/>
                <w:szCs w:val="24"/>
                <w:lang w:val="en-US" w:eastAsia="zh-CN"/>
              </w:rPr>
              <w:t>坝体人工位移监测点10个，在线位移监测点3个、坝体在线浸润线观测点3个、水位标尺2处（在线监测1个）、雨水在线监测点1个，库内浮船设施、库区道路、坝体照明、库区影像监测3处。</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0" w:firstLineChars="0"/>
              <w:jc w:val="center"/>
              <w:textAlignment w:val="auto"/>
              <w:rPr>
                <w:rFonts w:hint="default" w:ascii="Times New Roman" w:hAnsi="Times New Roman" w:eastAsia="宋体" w:cs="Times New Roman"/>
                <w:b/>
                <w:bCs w:val="0"/>
                <w:color w:val="auto"/>
                <w:szCs w:val="21"/>
                <w:lang w:val="en-US" w:eastAsia="zh-CN"/>
              </w:rPr>
            </w:pPr>
            <w:r>
              <w:rPr>
                <w:rFonts w:hint="default" w:ascii="Times New Roman" w:hAnsi="Times New Roman" w:eastAsia="宋体" w:cs="Times New Roman"/>
                <w:b/>
                <w:bCs w:val="0"/>
                <w:color w:val="auto"/>
                <w:szCs w:val="21"/>
                <w:lang w:val="en-US" w:eastAsia="zh-CN"/>
              </w:rPr>
              <w:t>表</w:t>
            </w:r>
            <w:r>
              <w:rPr>
                <w:rFonts w:hint="default" w:ascii="Times New Roman" w:hAnsi="Times New Roman" w:cs="Times New Roman"/>
                <w:b/>
                <w:bCs w:val="0"/>
                <w:color w:val="auto"/>
                <w:szCs w:val="21"/>
                <w:lang w:val="en-US" w:eastAsia="zh-CN"/>
              </w:rPr>
              <w:t>2-16</w:t>
            </w:r>
            <w:r>
              <w:rPr>
                <w:rFonts w:hint="default" w:ascii="Times New Roman" w:hAnsi="Times New Roman" w:eastAsia="宋体" w:cs="Times New Roman"/>
                <w:b/>
                <w:bCs w:val="0"/>
                <w:color w:val="auto"/>
                <w:szCs w:val="21"/>
                <w:lang w:val="en-US" w:eastAsia="zh-CN"/>
              </w:rPr>
              <w:t xml:space="preserve">    现有尾矿库设计主要技术指标表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
            <w:tblGrid>
              <w:gridCol w:w="655"/>
              <w:gridCol w:w="2649"/>
              <w:gridCol w:w="1285"/>
              <w:gridCol w:w="1477"/>
              <w:gridCol w:w="186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项目</w:t>
                  </w:r>
                </w:p>
              </w:tc>
              <w:tc>
                <w:tcPr>
                  <w:tcW w:w="1668"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名称</w:t>
                  </w:r>
                </w:p>
              </w:tc>
              <w:tc>
                <w:tcPr>
                  <w:tcW w:w="809" w:type="pct"/>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单位</w:t>
                  </w:r>
                </w:p>
              </w:tc>
              <w:tc>
                <w:tcPr>
                  <w:tcW w:w="930"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数量</w:t>
                  </w:r>
                </w:p>
              </w:tc>
              <w:tc>
                <w:tcPr>
                  <w:tcW w:w="1177"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vMerge w:val="restar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水文</w:t>
                  </w:r>
                </w:p>
              </w:tc>
              <w:tc>
                <w:tcPr>
                  <w:tcW w:w="1668" w:type="pct"/>
                  <w:noWrap w:val="0"/>
                  <w:vAlign w:val="top"/>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尾矿库汇水面积</w:t>
                  </w:r>
                </w:p>
              </w:tc>
              <w:tc>
                <w:tcPr>
                  <w:tcW w:w="8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km</w:t>
                  </w:r>
                  <w:r>
                    <w:rPr>
                      <w:rFonts w:hint="default" w:ascii="Times New Roman" w:hAnsi="Times New Roman" w:cs="Times New Roman"/>
                      <w:color w:val="auto"/>
                      <w:sz w:val="21"/>
                      <w:szCs w:val="21"/>
                      <w:vertAlign w:val="superscript"/>
                    </w:rPr>
                    <w:t>2</w:t>
                  </w:r>
                </w:p>
              </w:tc>
              <w:tc>
                <w:tcPr>
                  <w:tcW w:w="930" w:type="pct"/>
                  <w:noWrap w:val="0"/>
                  <w:vAlign w:val="top"/>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0.3</w:t>
                  </w:r>
                </w:p>
              </w:tc>
              <w:tc>
                <w:tcPr>
                  <w:tcW w:w="1177" w:type="pct"/>
                  <w:tcBorders>
                    <w:bottom w:val="single" w:color="auto" w:sz="4" w:space="0"/>
                  </w:tcBorders>
                  <w:noWrap w:val="0"/>
                  <w:vAlign w:val="center"/>
                </w:tcPr>
                <w:p>
                  <w:pPr>
                    <w:spacing w:line="280" w:lineRule="exact"/>
                    <w:jc w:val="center"/>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vMerge w:val="continue"/>
                  <w:noWrap w:val="0"/>
                  <w:vAlign w:val="center"/>
                </w:tcPr>
                <w:p>
                  <w:pPr>
                    <w:spacing w:line="280" w:lineRule="exact"/>
                    <w:jc w:val="center"/>
                    <w:rPr>
                      <w:rFonts w:hint="default" w:ascii="Times New Roman" w:hAnsi="Times New Roman" w:cs="Times New Roman"/>
                      <w:color w:val="auto"/>
                      <w:sz w:val="21"/>
                      <w:szCs w:val="21"/>
                    </w:rPr>
                  </w:pPr>
                </w:p>
              </w:tc>
              <w:tc>
                <w:tcPr>
                  <w:tcW w:w="1668" w:type="pct"/>
                  <w:noWrap w:val="0"/>
                  <w:vAlign w:val="top"/>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洪峰流量</w:t>
                  </w:r>
                </w:p>
              </w:tc>
              <w:tc>
                <w:tcPr>
                  <w:tcW w:w="8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/s</w:t>
                  </w:r>
                </w:p>
              </w:tc>
              <w:tc>
                <w:tcPr>
                  <w:tcW w:w="930" w:type="pct"/>
                  <w:noWrap w:val="0"/>
                  <w:vAlign w:val="top"/>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0.37</w:t>
                  </w:r>
                </w:p>
              </w:tc>
              <w:tc>
                <w:tcPr>
                  <w:tcW w:w="1177" w:type="pct"/>
                  <w:tcBorders>
                    <w:bottom w:val="single" w:color="auto" w:sz="4" w:space="0"/>
                  </w:tcBorders>
                  <w:noWrap w:val="0"/>
                  <w:vAlign w:val="center"/>
                </w:tcPr>
                <w:p>
                  <w:pPr>
                    <w:spacing w:line="280" w:lineRule="exact"/>
                    <w:jc w:val="center"/>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vMerge w:val="continue"/>
                  <w:noWrap w:val="0"/>
                  <w:vAlign w:val="center"/>
                </w:tcPr>
                <w:p>
                  <w:pPr>
                    <w:spacing w:line="280" w:lineRule="exact"/>
                    <w:jc w:val="center"/>
                    <w:rPr>
                      <w:rFonts w:hint="default" w:ascii="Times New Roman" w:hAnsi="Times New Roman" w:cs="Times New Roman"/>
                      <w:color w:val="auto"/>
                      <w:sz w:val="21"/>
                      <w:szCs w:val="21"/>
                    </w:rPr>
                  </w:pPr>
                </w:p>
              </w:tc>
              <w:tc>
                <w:tcPr>
                  <w:tcW w:w="1668" w:type="pct"/>
                  <w:noWrap w:val="0"/>
                  <w:vAlign w:val="top"/>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洪水总量</w:t>
                  </w:r>
                </w:p>
              </w:tc>
              <w:tc>
                <w:tcPr>
                  <w:tcW w:w="8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w:t>
                  </w:r>
                  <w:r>
                    <w:rPr>
                      <w:rFonts w:hint="default" w:ascii="Times New Roman" w:hAnsi="Times New Roman" w:cs="Times New Roman"/>
                      <w:color w:val="auto"/>
                      <w:sz w:val="21"/>
                      <w:szCs w:val="21"/>
                      <w:vertAlign w:val="superscript"/>
                    </w:rPr>
                    <w:t>3</w:t>
                  </w:r>
                </w:p>
              </w:tc>
              <w:tc>
                <w:tcPr>
                  <w:tcW w:w="930" w:type="pct"/>
                  <w:noWrap w:val="0"/>
                  <w:vAlign w:val="top"/>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6418.5</w:t>
                  </w:r>
                </w:p>
              </w:tc>
              <w:tc>
                <w:tcPr>
                  <w:tcW w:w="1177" w:type="pct"/>
                  <w:tcBorders>
                    <w:top w:val="single" w:color="auto" w:sz="4" w:space="0"/>
                  </w:tcBorders>
                  <w:noWrap w:val="0"/>
                  <w:vAlign w:val="center"/>
                </w:tcPr>
                <w:p>
                  <w:pPr>
                    <w:spacing w:line="280" w:lineRule="exact"/>
                    <w:jc w:val="center"/>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vMerge w:val="continue"/>
                  <w:tcBorders>
                    <w:bottom w:val="single" w:color="auto" w:sz="4" w:space="0"/>
                  </w:tcBorders>
                  <w:noWrap w:val="0"/>
                  <w:vAlign w:val="center"/>
                </w:tcPr>
                <w:p>
                  <w:pPr>
                    <w:spacing w:line="280" w:lineRule="exact"/>
                    <w:jc w:val="center"/>
                    <w:rPr>
                      <w:rFonts w:hint="default" w:ascii="Times New Roman" w:hAnsi="Times New Roman" w:cs="Times New Roman"/>
                      <w:color w:val="auto"/>
                      <w:sz w:val="21"/>
                      <w:szCs w:val="21"/>
                    </w:rPr>
                  </w:pPr>
                </w:p>
              </w:tc>
              <w:tc>
                <w:tcPr>
                  <w:tcW w:w="1668"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防洪标准</w:t>
                  </w:r>
                </w:p>
              </w:tc>
              <w:tc>
                <w:tcPr>
                  <w:tcW w:w="809" w:type="pct"/>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w:t>
                  </w:r>
                </w:p>
              </w:tc>
              <w:tc>
                <w:tcPr>
                  <w:tcW w:w="930"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w:t>
                  </w:r>
                </w:p>
              </w:tc>
              <w:tc>
                <w:tcPr>
                  <w:tcW w:w="1177" w:type="pct"/>
                  <w:noWrap w:val="0"/>
                  <w:vAlign w:val="center"/>
                </w:tcPr>
                <w:p>
                  <w:pPr>
                    <w:spacing w:line="280" w:lineRule="exact"/>
                    <w:jc w:val="center"/>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tcBorders>
                    <w:top w:val="single" w:color="auto" w:sz="4" w:space="0"/>
                  </w:tcBorders>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库容</w:t>
                  </w:r>
                </w:p>
              </w:tc>
              <w:tc>
                <w:tcPr>
                  <w:tcW w:w="1668"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总库容</w:t>
                  </w:r>
                </w:p>
              </w:tc>
              <w:tc>
                <w:tcPr>
                  <w:tcW w:w="809" w:type="pct"/>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w:t>
                  </w:r>
                  <w:r>
                    <w:rPr>
                      <w:rFonts w:hint="default" w:ascii="Times New Roman" w:hAnsi="Times New Roman" w:cs="Times New Roman"/>
                      <w:color w:val="auto"/>
                      <w:sz w:val="21"/>
                      <w:szCs w:val="21"/>
                      <w:vertAlign w:val="superscript"/>
                    </w:rPr>
                    <w:t>4</w:t>
                  </w:r>
                  <w:r>
                    <w:rPr>
                      <w:rFonts w:hint="default" w:ascii="Times New Roman" w:hAnsi="Times New Roman" w:cs="Times New Roman"/>
                      <w:color w:val="auto"/>
                      <w:sz w:val="21"/>
                      <w:szCs w:val="21"/>
                    </w:rPr>
                    <w:t>m</w:t>
                  </w:r>
                  <w:r>
                    <w:rPr>
                      <w:rFonts w:hint="default" w:ascii="Times New Roman" w:hAnsi="Times New Roman" w:cs="Times New Roman"/>
                      <w:color w:val="auto"/>
                      <w:sz w:val="21"/>
                      <w:szCs w:val="21"/>
                      <w:vertAlign w:val="superscript"/>
                    </w:rPr>
                    <w:t>3</w:t>
                  </w:r>
                </w:p>
              </w:tc>
              <w:tc>
                <w:tcPr>
                  <w:tcW w:w="930"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74.60</w:t>
                  </w:r>
                </w:p>
              </w:tc>
              <w:tc>
                <w:tcPr>
                  <w:tcW w:w="1177" w:type="pct"/>
                  <w:noWrap w:val="0"/>
                  <w:vAlign w:val="center"/>
                </w:tcPr>
                <w:p>
                  <w:pPr>
                    <w:spacing w:line="280" w:lineRule="exact"/>
                    <w:jc w:val="center"/>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vMerge w:val="restart"/>
                  <w:noWrap w:val="0"/>
                  <w:vAlign w:val="center"/>
                </w:tcPr>
                <w:p>
                  <w:pPr>
                    <w:spacing w:line="280" w:lineRule="exact"/>
                    <w:ind w:firstLine="210" w:firstLineChars="10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尾</w:t>
                  </w:r>
                </w:p>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 矿</w:t>
                  </w:r>
                </w:p>
                <w:p>
                  <w:pPr>
                    <w:spacing w:line="280" w:lineRule="exact"/>
                    <w:ind w:firstLine="210" w:firstLineChars="10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坝</w:t>
                  </w:r>
                </w:p>
              </w:tc>
              <w:tc>
                <w:tcPr>
                  <w:tcW w:w="1668"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坝体结构型式</w:t>
                  </w:r>
                </w:p>
              </w:tc>
              <w:tc>
                <w:tcPr>
                  <w:tcW w:w="809" w:type="pct"/>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cs="Times New Roman"/>
                      <w:color w:val="auto"/>
                      <w:sz w:val="21"/>
                      <w:szCs w:val="21"/>
                    </w:rPr>
                  </w:pPr>
                </w:p>
              </w:tc>
              <w:tc>
                <w:tcPr>
                  <w:tcW w:w="930" w:type="pct"/>
                  <w:noWrap w:val="0"/>
                  <w:vAlign w:val="center"/>
                </w:tcPr>
                <w:p>
                  <w:pPr>
                    <w:spacing w:line="280" w:lineRule="exact"/>
                    <w:jc w:val="center"/>
                    <w:rPr>
                      <w:rFonts w:hint="default" w:ascii="Times New Roman" w:hAnsi="Times New Roman" w:cs="Times New Roman"/>
                      <w:color w:val="auto"/>
                      <w:sz w:val="21"/>
                      <w:szCs w:val="21"/>
                    </w:rPr>
                  </w:pPr>
                </w:p>
              </w:tc>
              <w:tc>
                <w:tcPr>
                  <w:tcW w:w="1177"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不透水土坝</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vMerge w:val="continue"/>
                  <w:noWrap w:val="0"/>
                  <w:vAlign w:val="center"/>
                </w:tcPr>
                <w:p>
                  <w:pPr>
                    <w:spacing w:line="280" w:lineRule="exact"/>
                    <w:ind w:firstLine="210" w:firstLineChars="100"/>
                    <w:jc w:val="center"/>
                    <w:rPr>
                      <w:rFonts w:hint="default" w:ascii="Times New Roman" w:hAnsi="Times New Roman" w:cs="Times New Roman"/>
                      <w:color w:val="auto"/>
                      <w:sz w:val="21"/>
                      <w:szCs w:val="21"/>
                    </w:rPr>
                  </w:pPr>
                </w:p>
              </w:tc>
              <w:tc>
                <w:tcPr>
                  <w:tcW w:w="1668"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最大坝高</w:t>
                  </w:r>
                </w:p>
              </w:tc>
              <w:tc>
                <w:tcPr>
                  <w:tcW w:w="809" w:type="pct"/>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w:t>
                  </w:r>
                </w:p>
              </w:tc>
              <w:tc>
                <w:tcPr>
                  <w:tcW w:w="930"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29.5</w:t>
                  </w:r>
                </w:p>
              </w:tc>
              <w:tc>
                <w:tcPr>
                  <w:tcW w:w="1177" w:type="pct"/>
                  <w:noWrap w:val="0"/>
                  <w:vAlign w:val="center"/>
                </w:tcPr>
                <w:p>
                  <w:pPr>
                    <w:spacing w:line="280" w:lineRule="exact"/>
                    <w:jc w:val="center"/>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vMerge w:val="continue"/>
                  <w:noWrap w:val="0"/>
                  <w:vAlign w:val="center"/>
                </w:tcPr>
                <w:p>
                  <w:pPr>
                    <w:spacing w:line="280" w:lineRule="exact"/>
                    <w:ind w:firstLine="210" w:firstLineChars="100"/>
                    <w:jc w:val="center"/>
                    <w:rPr>
                      <w:rFonts w:hint="default" w:ascii="Times New Roman" w:hAnsi="Times New Roman" w:cs="Times New Roman"/>
                      <w:color w:val="auto"/>
                      <w:sz w:val="21"/>
                      <w:szCs w:val="21"/>
                    </w:rPr>
                  </w:pPr>
                </w:p>
              </w:tc>
              <w:tc>
                <w:tcPr>
                  <w:tcW w:w="1668"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坝顶标高</w:t>
                  </w:r>
                </w:p>
              </w:tc>
              <w:tc>
                <w:tcPr>
                  <w:tcW w:w="809" w:type="pct"/>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w:t>
                  </w:r>
                </w:p>
              </w:tc>
              <w:tc>
                <w:tcPr>
                  <w:tcW w:w="930"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3068.0</w:t>
                  </w:r>
                </w:p>
              </w:tc>
              <w:tc>
                <w:tcPr>
                  <w:tcW w:w="1177" w:type="pct"/>
                  <w:noWrap w:val="0"/>
                  <w:vAlign w:val="center"/>
                </w:tcPr>
                <w:p>
                  <w:pPr>
                    <w:spacing w:line="280" w:lineRule="exact"/>
                    <w:jc w:val="center"/>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vMerge w:val="continue"/>
                  <w:noWrap w:val="0"/>
                  <w:vAlign w:val="center"/>
                </w:tcPr>
                <w:p>
                  <w:pPr>
                    <w:spacing w:line="280" w:lineRule="exact"/>
                    <w:ind w:firstLine="210" w:firstLineChars="100"/>
                    <w:jc w:val="center"/>
                    <w:rPr>
                      <w:rFonts w:hint="default" w:ascii="Times New Roman" w:hAnsi="Times New Roman" w:cs="Times New Roman"/>
                      <w:color w:val="auto"/>
                      <w:sz w:val="21"/>
                      <w:szCs w:val="21"/>
                    </w:rPr>
                  </w:pPr>
                </w:p>
              </w:tc>
              <w:tc>
                <w:tcPr>
                  <w:tcW w:w="1668"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坝轴线长度</w:t>
                  </w:r>
                </w:p>
              </w:tc>
              <w:tc>
                <w:tcPr>
                  <w:tcW w:w="809" w:type="pct"/>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w:t>
                  </w:r>
                </w:p>
              </w:tc>
              <w:tc>
                <w:tcPr>
                  <w:tcW w:w="930"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372.98</w:t>
                  </w:r>
                </w:p>
              </w:tc>
              <w:tc>
                <w:tcPr>
                  <w:tcW w:w="1177" w:type="pct"/>
                  <w:noWrap w:val="0"/>
                  <w:vAlign w:val="center"/>
                </w:tcPr>
                <w:p>
                  <w:pPr>
                    <w:spacing w:line="280" w:lineRule="exact"/>
                    <w:jc w:val="center"/>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vMerge w:val="continue"/>
                  <w:noWrap w:val="0"/>
                  <w:vAlign w:val="center"/>
                </w:tcPr>
                <w:p>
                  <w:pPr>
                    <w:spacing w:line="280" w:lineRule="exact"/>
                    <w:jc w:val="center"/>
                    <w:rPr>
                      <w:rFonts w:hint="default" w:ascii="Times New Roman" w:hAnsi="Times New Roman" w:cs="Times New Roman"/>
                      <w:color w:val="auto"/>
                      <w:sz w:val="21"/>
                      <w:szCs w:val="21"/>
                    </w:rPr>
                  </w:pPr>
                </w:p>
              </w:tc>
              <w:tc>
                <w:tcPr>
                  <w:tcW w:w="1668"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地震基本烈度</w:t>
                  </w:r>
                </w:p>
              </w:tc>
              <w:tc>
                <w:tcPr>
                  <w:tcW w:w="809" w:type="pct"/>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度</w:t>
                  </w:r>
                </w:p>
              </w:tc>
              <w:tc>
                <w:tcPr>
                  <w:tcW w:w="930"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w:t>
                  </w:r>
                </w:p>
              </w:tc>
              <w:tc>
                <w:tcPr>
                  <w:tcW w:w="1177" w:type="pct"/>
                  <w:noWrap w:val="0"/>
                  <w:vAlign w:val="center"/>
                </w:tcPr>
                <w:p>
                  <w:pPr>
                    <w:spacing w:line="280" w:lineRule="exact"/>
                    <w:jc w:val="center"/>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vMerge w:val="restart"/>
                  <w:noWrap w:val="0"/>
                  <w:vAlign w:val="center"/>
                </w:tcPr>
                <w:p>
                  <w:pPr>
                    <w:spacing w:line="280" w:lineRule="exact"/>
                    <w:ind w:firstLine="105" w:firstLineChars="5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排洪</w:t>
                  </w:r>
                </w:p>
                <w:p>
                  <w:pPr>
                    <w:spacing w:line="280" w:lineRule="exact"/>
                    <w:ind w:firstLine="105" w:firstLineChars="5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构筑</w:t>
                  </w:r>
                </w:p>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物</w:t>
                  </w:r>
                </w:p>
              </w:tc>
              <w:tc>
                <w:tcPr>
                  <w:tcW w:w="1668"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溢洪道长度</w:t>
                  </w:r>
                </w:p>
              </w:tc>
              <w:tc>
                <w:tcPr>
                  <w:tcW w:w="809" w:type="pct"/>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w:t>
                  </w:r>
                </w:p>
              </w:tc>
              <w:tc>
                <w:tcPr>
                  <w:tcW w:w="930"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65.5</w:t>
                  </w:r>
                </w:p>
              </w:tc>
              <w:tc>
                <w:tcPr>
                  <w:tcW w:w="1177" w:type="pct"/>
                  <w:noWrap w:val="0"/>
                  <w:vAlign w:val="center"/>
                </w:tcPr>
                <w:p>
                  <w:pPr>
                    <w:spacing w:line="280" w:lineRule="exact"/>
                    <w:jc w:val="center"/>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vMerge w:val="continue"/>
                  <w:noWrap w:val="0"/>
                  <w:vAlign w:val="center"/>
                </w:tcPr>
                <w:p>
                  <w:pPr>
                    <w:spacing w:line="280" w:lineRule="exact"/>
                    <w:ind w:firstLine="105" w:firstLineChars="50"/>
                    <w:jc w:val="center"/>
                    <w:rPr>
                      <w:rFonts w:hint="default" w:ascii="Times New Roman" w:hAnsi="Times New Roman" w:cs="Times New Roman"/>
                      <w:color w:val="auto"/>
                      <w:sz w:val="21"/>
                      <w:szCs w:val="21"/>
                    </w:rPr>
                  </w:pPr>
                </w:p>
              </w:tc>
              <w:tc>
                <w:tcPr>
                  <w:tcW w:w="1668"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溢洪道宽度</w:t>
                  </w:r>
                </w:p>
              </w:tc>
              <w:tc>
                <w:tcPr>
                  <w:tcW w:w="809" w:type="pct"/>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w:t>
                  </w:r>
                </w:p>
              </w:tc>
              <w:tc>
                <w:tcPr>
                  <w:tcW w:w="930"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w:t>
                  </w:r>
                </w:p>
              </w:tc>
              <w:tc>
                <w:tcPr>
                  <w:tcW w:w="1177" w:type="pct"/>
                  <w:noWrap w:val="0"/>
                  <w:vAlign w:val="center"/>
                </w:tcPr>
                <w:p>
                  <w:pPr>
                    <w:spacing w:line="280" w:lineRule="exact"/>
                    <w:jc w:val="center"/>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vMerge w:val="continue"/>
                  <w:noWrap w:val="0"/>
                  <w:vAlign w:val="center"/>
                </w:tcPr>
                <w:p>
                  <w:pPr>
                    <w:spacing w:line="280" w:lineRule="exact"/>
                    <w:ind w:firstLine="105" w:firstLineChars="50"/>
                    <w:jc w:val="center"/>
                    <w:rPr>
                      <w:rFonts w:hint="default" w:ascii="Times New Roman" w:hAnsi="Times New Roman" w:cs="Times New Roman"/>
                      <w:color w:val="auto"/>
                      <w:sz w:val="21"/>
                      <w:szCs w:val="21"/>
                    </w:rPr>
                  </w:pPr>
                </w:p>
              </w:tc>
              <w:tc>
                <w:tcPr>
                  <w:tcW w:w="1668"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泄洪渠长度</w:t>
                  </w:r>
                </w:p>
              </w:tc>
              <w:tc>
                <w:tcPr>
                  <w:tcW w:w="809" w:type="pct"/>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w:t>
                  </w:r>
                </w:p>
              </w:tc>
              <w:tc>
                <w:tcPr>
                  <w:tcW w:w="930"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251.7</w:t>
                  </w:r>
                </w:p>
              </w:tc>
              <w:tc>
                <w:tcPr>
                  <w:tcW w:w="1177" w:type="pct"/>
                  <w:noWrap w:val="0"/>
                  <w:vAlign w:val="center"/>
                </w:tcPr>
                <w:p>
                  <w:pPr>
                    <w:spacing w:line="280" w:lineRule="exact"/>
                    <w:jc w:val="center"/>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vMerge w:val="continue"/>
                  <w:noWrap w:val="0"/>
                  <w:vAlign w:val="center"/>
                </w:tcPr>
                <w:p>
                  <w:pPr>
                    <w:spacing w:line="280" w:lineRule="exact"/>
                    <w:ind w:firstLine="105" w:firstLineChars="50"/>
                    <w:jc w:val="center"/>
                    <w:rPr>
                      <w:rFonts w:hint="default" w:ascii="Times New Roman" w:hAnsi="Times New Roman" w:cs="Times New Roman"/>
                      <w:color w:val="auto"/>
                      <w:sz w:val="21"/>
                      <w:szCs w:val="21"/>
                    </w:rPr>
                  </w:pPr>
                </w:p>
              </w:tc>
              <w:tc>
                <w:tcPr>
                  <w:tcW w:w="1668"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泄洪渠断面</w:t>
                  </w:r>
                </w:p>
              </w:tc>
              <w:tc>
                <w:tcPr>
                  <w:tcW w:w="809" w:type="pct"/>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cs="Times New Roman"/>
                      <w:color w:val="auto"/>
                      <w:sz w:val="21"/>
                      <w:szCs w:val="21"/>
                    </w:rPr>
                  </w:pPr>
                </w:p>
              </w:tc>
              <w:tc>
                <w:tcPr>
                  <w:tcW w:w="930"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梯形</w:t>
                  </w:r>
                </w:p>
              </w:tc>
              <w:tc>
                <w:tcPr>
                  <w:tcW w:w="1177" w:type="pct"/>
                  <w:noWrap w:val="0"/>
                  <w:vAlign w:val="center"/>
                </w:tcPr>
                <w:p>
                  <w:pPr>
                    <w:spacing w:line="280" w:lineRule="exact"/>
                    <w:jc w:val="center"/>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vMerge w:val="continue"/>
                  <w:noWrap w:val="0"/>
                  <w:vAlign w:val="center"/>
                </w:tcPr>
                <w:p>
                  <w:pPr>
                    <w:spacing w:line="280" w:lineRule="exact"/>
                    <w:jc w:val="center"/>
                    <w:rPr>
                      <w:rFonts w:hint="default" w:ascii="Times New Roman" w:hAnsi="Times New Roman" w:cs="Times New Roman"/>
                      <w:color w:val="auto"/>
                      <w:sz w:val="21"/>
                      <w:szCs w:val="21"/>
                    </w:rPr>
                  </w:pPr>
                </w:p>
              </w:tc>
              <w:tc>
                <w:tcPr>
                  <w:tcW w:w="1668"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集水池</w:t>
                  </w:r>
                </w:p>
              </w:tc>
              <w:tc>
                <w:tcPr>
                  <w:tcW w:w="809" w:type="pct"/>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w:t>
                  </w:r>
                  <w:r>
                    <w:rPr>
                      <w:rFonts w:hint="default" w:ascii="Times New Roman" w:hAnsi="Times New Roman" w:cs="Times New Roman"/>
                      <w:color w:val="auto"/>
                      <w:sz w:val="21"/>
                      <w:szCs w:val="21"/>
                      <w:vertAlign w:val="superscript"/>
                    </w:rPr>
                    <w:t>3</w:t>
                  </w:r>
                </w:p>
              </w:tc>
              <w:tc>
                <w:tcPr>
                  <w:tcW w:w="930"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200</w:t>
                  </w:r>
                </w:p>
              </w:tc>
              <w:tc>
                <w:tcPr>
                  <w:tcW w:w="1177" w:type="pct"/>
                  <w:noWrap w:val="0"/>
                  <w:vAlign w:val="center"/>
                </w:tcPr>
                <w:p>
                  <w:pPr>
                    <w:spacing w:line="280" w:lineRule="exact"/>
                    <w:jc w:val="center"/>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vMerge w:val="restar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回水</w:t>
                  </w:r>
                </w:p>
              </w:tc>
              <w:tc>
                <w:tcPr>
                  <w:tcW w:w="1668"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回水管线</w:t>
                  </w:r>
                </w:p>
              </w:tc>
              <w:tc>
                <w:tcPr>
                  <w:tcW w:w="809" w:type="pct"/>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w:t>
                  </w:r>
                </w:p>
              </w:tc>
              <w:tc>
                <w:tcPr>
                  <w:tcW w:w="930"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900</w:t>
                  </w:r>
                </w:p>
              </w:tc>
              <w:tc>
                <w:tcPr>
                  <w:tcW w:w="1177" w:type="pct"/>
                  <w:noWrap w:val="0"/>
                  <w:vAlign w:val="center"/>
                </w:tcPr>
                <w:p>
                  <w:pPr>
                    <w:spacing w:line="280" w:lineRule="exact"/>
                    <w:jc w:val="center"/>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vMerge w:val="continue"/>
                  <w:noWrap w:val="0"/>
                  <w:vAlign w:val="center"/>
                </w:tcPr>
                <w:p>
                  <w:pPr>
                    <w:spacing w:line="280" w:lineRule="exact"/>
                    <w:jc w:val="center"/>
                    <w:rPr>
                      <w:rFonts w:hint="default" w:ascii="Times New Roman" w:hAnsi="Times New Roman" w:cs="Times New Roman"/>
                      <w:color w:val="auto"/>
                      <w:sz w:val="21"/>
                      <w:szCs w:val="21"/>
                    </w:rPr>
                  </w:pPr>
                </w:p>
              </w:tc>
              <w:tc>
                <w:tcPr>
                  <w:tcW w:w="1668"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回水泵</w:t>
                  </w:r>
                </w:p>
              </w:tc>
              <w:tc>
                <w:tcPr>
                  <w:tcW w:w="809" w:type="pct"/>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台</w:t>
                  </w:r>
                </w:p>
              </w:tc>
              <w:tc>
                <w:tcPr>
                  <w:tcW w:w="930"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1177" w:type="pc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SLW80-315A</w:t>
                  </w:r>
                </w:p>
              </w:tc>
            </w:tr>
          </w:tbl>
          <w:p>
            <w:pPr>
              <w:keepNext w:val="0"/>
              <w:keepLines w:val="0"/>
              <w:pageBreakBefore w:val="0"/>
              <w:widowControl w:val="0"/>
              <w:kinsoku/>
              <w:wordWrap/>
              <w:overflowPunct/>
              <w:topLinePunct w:val="0"/>
              <w:autoSpaceDE/>
              <w:autoSpaceDN/>
              <w:bidi w:val="0"/>
              <w:adjustRightInd/>
              <w:snapToGrid/>
              <w:spacing w:line="500" w:lineRule="exact"/>
              <w:ind w:firstLine="456" w:firstLineChars="195"/>
              <w:textAlignment w:val="auto"/>
              <w:rPr>
                <w:rFonts w:hint="default" w:ascii="Times New Roman" w:hAnsi="Times New Roman" w:cs="Times New Roman"/>
                <w:b w:val="0"/>
                <w:bCs w:val="0"/>
                <w:color w:val="auto"/>
                <w:spacing w:val="-3"/>
                <w:sz w:val="24"/>
                <w:szCs w:val="24"/>
                <w:lang w:val="en-US" w:eastAsia="zh-CN"/>
              </w:rPr>
            </w:pPr>
            <w:r>
              <w:rPr>
                <w:rFonts w:hint="default" w:ascii="Times New Roman" w:hAnsi="Times New Roman" w:cs="Times New Roman"/>
                <w:b w:val="0"/>
                <w:bCs w:val="0"/>
                <w:color w:val="auto"/>
                <w:spacing w:val="-3"/>
                <w:sz w:val="24"/>
                <w:szCs w:val="24"/>
                <w:lang w:val="en-US" w:eastAsia="zh-CN"/>
              </w:rPr>
              <w:t>（6）尾矿库现状</w:t>
            </w:r>
          </w:p>
          <w:p>
            <w:pPr>
              <w:keepNext w:val="0"/>
              <w:keepLines w:val="0"/>
              <w:pageBreakBefore w:val="0"/>
              <w:widowControl w:val="0"/>
              <w:kinsoku/>
              <w:wordWrap/>
              <w:overflowPunct/>
              <w:topLinePunct w:val="0"/>
              <w:autoSpaceDE/>
              <w:autoSpaceDN/>
              <w:bidi w:val="0"/>
              <w:adjustRightInd/>
              <w:snapToGrid/>
              <w:spacing w:line="500" w:lineRule="exact"/>
              <w:ind w:firstLine="456" w:firstLineChars="195"/>
              <w:textAlignment w:val="auto"/>
              <w:rPr>
                <w:rFonts w:hint="default" w:ascii="Times New Roman" w:hAnsi="Times New Roman" w:cs="Times New Roman"/>
                <w:b w:val="0"/>
                <w:bCs w:val="0"/>
                <w:color w:val="auto"/>
                <w:spacing w:val="-3"/>
                <w:sz w:val="24"/>
                <w:szCs w:val="24"/>
                <w:lang w:val="en-US" w:eastAsia="zh-CN"/>
              </w:rPr>
            </w:pPr>
            <w:r>
              <w:rPr>
                <w:rFonts w:hint="default" w:ascii="Times New Roman" w:hAnsi="Times New Roman" w:cs="Times New Roman"/>
                <w:b w:val="0"/>
                <w:bCs w:val="0"/>
                <w:color w:val="auto"/>
                <w:spacing w:val="-3"/>
                <w:sz w:val="24"/>
                <w:szCs w:val="24"/>
                <w:lang w:val="en-US" w:eastAsia="zh-CN"/>
              </w:rPr>
              <w:t>尾矿库已堆存尾矿量约65.29×10</w:t>
            </w:r>
            <w:r>
              <w:rPr>
                <w:rFonts w:hint="default" w:ascii="Times New Roman" w:hAnsi="Times New Roman" w:cs="Times New Roman"/>
                <w:b w:val="0"/>
                <w:bCs w:val="0"/>
                <w:color w:val="auto"/>
                <w:spacing w:val="-3"/>
                <w:sz w:val="24"/>
                <w:szCs w:val="24"/>
                <w:vertAlign w:val="superscript"/>
                <w:lang w:val="en-US" w:eastAsia="zh-CN"/>
              </w:rPr>
              <w:t>4</w:t>
            </w:r>
            <w:r>
              <w:rPr>
                <w:rFonts w:hint="default" w:ascii="Times New Roman" w:hAnsi="Times New Roman" w:cs="Times New Roman"/>
                <w:b w:val="0"/>
                <w:bCs w:val="0"/>
                <w:color w:val="auto"/>
                <w:spacing w:val="-3"/>
                <w:sz w:val="24"/>
                <w:szCs w:val="24"/>
                <w:lang w:val="en-US" w:eastAsia="zh-CN"/>
              </w:rPr>
              <w:t>m³，剩余库容约为3.38×10</w:t>
            </w:r>
            <w:r>
              <w:rPr>
                <w:rFonts w:hint="default" w:ascii="Times New Roman" w:hAnsi="Times New Roman" w:cs="Times New Roman"/>
                <w:b w:val="0"/>
                <w:bCs w:val="0"/>
                <w:color w:val="auto"/>
                <w:spacing w:val="-3"/>
                <w:sz w:val="24"/>
                <w:szCs w:val="24"/>
                <w:vertAlign w:val="superscript"/>
                <w:lang w:val="en-US" w:eastAsia="zh-CN"/>
              </w:rPr>
              <w:t>4</w:t>
            </w:r>
            <w:r>
              <w:rPr>
                <w:rFonts w:hint="default" w:ascii="Times New Roman" w:hAnsi="Times New Roman" w:cs="Times New Roman"/>
                <w:b w:val="0"/>
                <w:bCs w:val="0"/>
                <w:color w:val="auto"/>
                <w:spacing w:val="-3"/>
                <w:sz w:val="24"/>
                <w:szCs w:val="24"/>
                <w:lang w:val="en-US" w:eastAsia="zh-CN"/>
              </w:rPr>
              <w:t>m³，剩余服务年限约为0.27年。</w:t>
            </w:r>
            <w:r>
              <w:rPr>
                <w:rFonts w:hint="default" w:ascii="Times New Roman" w:hAnsi="Times New Roman" w:cs="Times New Roman"/>
                <w:b w:val="0"/>
                <w:bCs w:val="0"/>
                <w:color w:val="auto"/>
                <w:spacing w:val="-3"/>
                <w:sz w:val="24"/>
                <w:szCs w:val="24"/>
                <w:highlight w:val="none"/>
                <w:lang w:val="en-US" w:eastAsia="zh-CN"/>
              </w:rPr>
              <w:t>排放尾砂含水率约74.5%。</w:t>
            </w:r>
          </w:p>
          <w:p>
            <w:pPr>
              <w:keepNext w:val="0"/>
              <w:keepLines w:val="0"/>
              <w:pageBreakBefore w:val="0"/>
              <w:widowControl w:val="0"/>
              <w:kinsoku/>
              <w:wordWrap/>
              <w:overflowPunct/>
              <w:topLinePunct w:val="0"/>
              <w:autoSpaceDE/>
              <w:autoSpaceDN/>
              <w:bidi w:val="0"/>
              <w:adjustRightInd/>
              <w:snapToGrid/>
              <w:spacing w:line="500" w:lineRule="exact"/>
              <w:ind w:firstLine="456" w:firstLineChars="195"/>
              <w:textAlignment w:val="auto"/>
              <w:rPr>
                <w:rFonts w:hint="default" w:ascii="Times New Roman" w:hAnsi="Times New Roman" w:eastAsia="宋体" w:cs="Times New Roman"/>
                <w:b w:val="0"/>
                <w:bCs w:val="0"/>
                <w:color w:val="auto"/>
                <w:spacing w:val="-3"/>
                <w:sz w:val="24"/>
                <w:szCs w:val="24"/>
                <w:lang w:val="en-US" w:eastAsia="zh-CN"/>
              </w:rPr>
            </w:pPr>
            <w:r>
              <w:rPr>
                <w:rFonts w:hint="eastAsia" w:cs="Times New Roman"/>
                <w:b w:val="0"/>
                <w:bCs w:val="0"/>
                <w:color w:val="auto"/>
                <w:spacing w:val="-3"/>
                <w:sz w:val="24"/>
                <w:szCs w:val="24"/>
                <w:lang w:val="en-US" w:eastAsia="zh-CN"/>
              </w:rPr>
              <w:t>本次环评收集现有工程历年尾矿浸出数据，根据2017年2月10日乌鲁木齐谱尼测试科技有限公司出具的尾砂毒性浸出实验报告可知，项目选矿厂排出的尾矿属一般固体废物。</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0" w:firstLineChars="0"/>
              <w:jc w:val="center"/>
              <w:textAlignment w:val="auto"/>
              <w:rPr>
                <w:rFonts w:hint="default" w:ascii="Times New Roman" w:hAnsi="Times New Roman" w:eastAsia="宋体" w:cs="Times New Roman"/>
                <w:b/>
                <w:bCs w:val="0"/>
                <w:color w:val="auto"/>
                <w:szCs w:val="21"/>
                <w:lang w:val="en-US" w:eastAsia="zh-CN"/>
              </w:rPr>
            </w:pPr>
            <w:r>
              <w:rPr>
                <w:rFonts w:hint="eastAsia" w:ascii="Times New Roman" w:hAnsi="Times New Roman" w:eastAsia="宋体" w:cs="Times New Roman"/>
                <w:b/>
                <w:bCs w:val="0"/>
                <w:color w:val="auto"/>
                <w:szCs w:val="21"/>
                <w:lang w:val="en-US" w:eastAsia="zh-CN"/>
              </w:rPr>
              <w:t>表2-17    尾矿砂淋溶试验结果一览表     单位：mg/L</w:t>
            </w:r>
          </w:p>
          <w:tbl>
            <w:tblPr>
              <w:tblStyle w:val="29"/>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09"/>
              <w:gridCol w:w="1521"/>
              <w:gridCol w:w="1860"/>
              <w:gridCol w:w="1860"/>
              <w:gridCol w:w="186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511" w:type="pct"/>
                  <w:vAlign w:val="center"/>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样品名称</w:t>
                  </w:r>
                </w:p>
              </w:tc>
              <w:tc>
                <w:tcPr>
                  <w:tcW w:w="961" w:type="pct"/>
                  <w:vAlign w:val="center"/>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检测项目</w:t>
                  </w:r>
                </w:p>
              </w:tc>
              <w:tc>
                <w:tcPr>
                  <w:tcW w:w="1175" w:type="pct"/>
                  <w:vAlign w:val="center"/>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检测结果</w:t>
                  </w:r>
                </w:p>
              </w:tc>
              <w:tc>
                <w:tcPr>
                  <w:tcW w:w="1175" w:type="pct"/>
                </w:tcPr>
                <w:p>
                  <w:pPr>
                    <w:spacing w:line="280" w:lineRule="exact"/>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危险废物鉴别标准 浸出毒性鉴别》（GB5085.3-2007）</w:t>
                  </w:r>
                </w:p>
              </w:tc>
              <w:tc>
                <w:tcPr>
                  <w:tcW w:w="1176" w:type="pct"/>
                </w:tcPr>
                <w:p>
                  <w:pPr>
                    <w:spacing w:line="280" w:lineRule="exact"/>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《污水综合排放标准》（GB8978-1996）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511" w:type="pct"/>
                  <w:vMerge w:val="restart"/>
                  <w:vAlign w:val="center"/>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尾矿砂</w:t>
                  </w:r>
                </w:p>
              </w:tc>
              <w:tc>
                <w:tcPr>
                  <w:tcW w:w="961" w:type="pct"/>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锌</w:t>
                  </w:r>
                </w:p>
              </w:tc>
              <w:tc>
                <w:tcPr>
                  <w:tcW w:w="1175" w:type="pct"/>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0.125</w:t>
                  </w:r>
                </w:p>
              </w:tc>
              <w:tc>
                <w:tcPr>
                  <w:tcW w:w="1838" w:type="dxa"/>
                  <w:vAlign w:val="top"/>
                </w:tcPr>
                <w:p>
                  <w:pPr>
                    <w:spacing w:line="280" w:lineRule="exact"/>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100</w:t>
                  </w:r>
                </w:p>
              </w:tc>
              <w:tc>
                <w:tcPr>
                  <w:tcW w:w="1839" w:type="dxa"/>
                  <w:vAlign w:val="top"/>
                </w:tcPr>
                <w:p>
                  <w:pPr>
                    <w:spacing w:line="280" w:lineRule="exact"/>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511" w:type="pct"/>
                  <w:vMerge w:val="continue"/>
                </w:tcPr>
                <w:p>
                  <w:pPr>
                    <w:spacing w:line="280" w:lineRule="exact"/>
                    <w:jc w:val="center"/>
                    <w:rPr>
                      <w:rFonts w:hint="default" w:ascii="Times New Roman" w:hAnsi="Times New Roman" w:eastAsia="宋体" w:cs="Times New Roman"/>
                      <w:color w:val="auto"/>
                      <w:sz w:val="21"/>
                      <w:szCs w:val="21"/>
                    </w:rPr>
                  </w:pPr>
                </w:p>
              </w:tc>
              <w:tc>
                <w:tcPr>
                  <w:tcW w:w="961" w:type="pct"/>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镉</w:t>
                  </w:r>
                </w:p>
              </w:tc>
              <w:tc>
                <w:tcPr>
                  <w:tcW w:w="1175" w:type="pct"/>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＜0.005</w:t>
                  </w:r>
                </w:p>
              </w:tc>
              <w:tc>
                <w:tcPr>
                  <w:tcW w:w="1838" w:type="dxa"/>
                  <w:vAlign w:val="top"/>
                </w:tcPr>
                <w:p>
                  <w:pPr>
                    <w:spacing w:line="280" w:lineRule="exact"/>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w:t>
                  </w:r>
                </w:p>
              </w:tc>
              <w:tc>
                <w:tcPr>
                  <w:tcW w:w="1839" w:type="dxa"/>
                  <w:vAlign w:val="top"/>
                </w:tcPr>
                <w:p>
                  <w:pPr>
                    <w:spacing w:line="280" w:lineRule="exact"/>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0.1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511" w:type="pct"/>
                  <w:vMerge w:val="continue"/>
                </w:tcPr>
                <w:p>
                  <w:pPr>
                    <w:spacing w:line="280" w:lineRule="exact"/>
                    <w:jc w:val="center"/>
                    <w:rPr>
                      <w:rFonts w:hint="default" w:ascii="Times New Roman" w:hAnsi="Times New Roman" w:eastAsia="宋体" w:cs="Times New Roman"/>
                      <w:color w:val="auto"/>
                      <w:sz w:val="21"/>
                      <w:szCs w:val="21"/>
                    </w:rPr>
                  </w:pPr>
                </w:p>
              </w:tc>
              <w:tc>
                <w:tcPr>
                  <w:tcW w:w="961" w:type="pct"/>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铅</w:t>
                  </w:r>
                </w:p>
              </w:tc>
              <w:tc>
                <w:tcPr>
                  <w:tcW w:w="1175" w:type="pct"/>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＜0.1</w:t>
                  </w:r>
                </w:p>
              </w:tc>
              <w:tc>
                <w:tcPr>
                  <w:tcW w:w="1838" w:type="dxa"/>
                  <w:vAlign w:val="top"/>
                </w:tcPr>
                <w:p>
                  <w:pPr>
                    <w:spacing w:line="280" w:lineRule="exact"/>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w:t>
                  </w:r>
                </w:p>
              </w:tc>
              <w:tc>
                <w:tcPr>
                  <w:tcW w:w="1839" w:type="dxa"/>
                  <w:vAlign w:val="top"/>
                </w:tcPr>
                <w:p>
                  <w:pPr>
                    <w:spacing w:line="280" w:lineRule="exact"/>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511" w:type="pct"/>
                  <w:vMerge w:val="continue"/>
                </w:tcPr>
                <w:p>
                  <w:pPr>
                    <w:spacing w:line="280" w:lineRule="exact"/>
                    <w:jc w:val="center"/>
                    <w:rPr>
                      <w:rFonts w:hint="default" w:ascii="Times New Roman" w:hAnsi="Times New Roman" w:eastAsia="宋体" w:cs="Times New Roman"/>
                      <w:color w:val="auto"/>
                      <w:sz w:val="21"/>
                      <w:szCs w:val="21"/>
                    </w:rPr>
                  </w:pPr>
                </w:p>
              </w:tc>
              <w:tc>
                <w:tcPr>
                  <w:tcW w:w="961" w:type="pct"/>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铬（六价）</w:t>
                  </w:r>
                </w:p>
              </w:tc>
              <w:tc>
                <w:tcPr>
                  <w:tcW w:w="1175" w:type="pct"/>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＜0.004</w:t>
                  </w:r>
                </w:p>
              </w:tc>
              <w:tc>
                <w:tcPr>
                  <w:tcW w:w="1838" w:type="dxa"/>
                  <w:vAlign w:val="top"/>
                </w:tcPr>
                <w:p>
                  <w:pPr>
                    <w:spacing w:line="280" w:lineRule="exact"/>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5</w:t>
                  </w:r>
                </w:p>
              </w:tc>
              <w:tc>
                <w:tcPr>
                  <w:tcW w:w="1839" w:type="dxa"/>
                  <w:vAlign w:val="top"/>
                </w:tcPr>
                <w:p>
                  <w:pPr>
                    <w:spacing w:line="280" w:lineRule="exact"/>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511" w:type="pct"/>
                  <w:vMerge w:val="continue"/>
                </w:tcPr>
                <w:p>
                  <w:pPr>
                    <w:spacing w:line="280" w:lineRule="exact"/>
                    <w:jc w:val="center"/>
                    <w:rPr>
                      <w:rFonts w:hint="default" w:ascii="Times New Roman" w:hAnsi="Times New Roman" w:eastAsia="宋体" w:cs="Times New Roman"/>
                      <w:color w:val="auto"/>
                      <w:sz w:val="21"/>
                      <w:szCs w:val="21"/>
                    </w:rPr>
                  </w:pPr>
                </w:p>
              </w:tc>
              <w:tc>
                <w:tcPr>
                  <w:tcW w:w="961" w:type="pct"/>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汞</w:t>
                  </w:r>
                </w:p>
              </w:tc>
              <w:tc>
                <w:tcPr>
                  <w:tcW w:w="1175" w:type="pct"/>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0.0012</w:t>
                  </w:r>
                </w:p>
              </w:tc>
              <w:tc>
                <w:tcPr>
                  <w:tcW w:w="1838" w:type="dxa"/>
                  <w:vAlign w:val="top"/>
                </w:tcPr>
                <w:p>
                  <w:pPr>
                    <w:spacing w:line="280" w:lineRule="exact"/>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0.1</w:t>
                  </w:r>
                </w:p>
              </w:tc>
              <w:tc>
                <w:tcPr>
                  <w:tcW w:w="1839" w:type="dxa"/>
                  <w:vAlign w:val="top"/>
                </w:tcPr>
                <w:p>
                  <w:pPr>
                    <w:spacing w:line="280" w:lineRule="exact"/>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0.05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511" w:type="pct"/>
                  <w:vMerge w:val="continue"/>
                </w:tcPr>
                <w:p>
                  <w:pPr>
                    <w:spacing w:line="280" w:lineRule="exact"/>
                    <w:jc w:val="center"/>
                    <w:rPr>
                      <w:rFonts w:hint="default" w:ascii="Times New Roman" w:hAnsi="Times New Roman" w:eastAsia="宋体" w:cs="Times New Roman"/>
                      <w:color w:val="auto"/>
                      <w:sz w:val="21"/>
                      <w:szCs w:val="21"/>
                    </w:rPr>
                  </w:pPr>
                </w:p>
              </w:tc>
              <w:tc>
                <w:tcPr>
                  <w:tcW w:w="961" w:type="pct"/>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砷</w:t>
                  </w:r>
                </w:p>
              </w:tc>
              <w:tc>
                <w:tcPr>
                  <w:tcW w:w="1175" w:type="pct"/>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0.0029</w:t>
                  </w:r>
                </w:p>
              </w:tc>
              <w:tc>
                <w:tcPr>
                  <w:tcW w:w="1838" w:type="dxa"/>
                  <w:vAlign w:val="top"/>
                </w:tcPr>
                <w:p>
                  <w:pPr>
                    <w:spacing w:line="280" w:lineRule="exact"/>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5</w:t>
                  </w:r>
                </w:p>
              </w:tc>
              <w:tc>
                <w:tcPr>
                  <w:tcW w:w="1839" w:type="dxa"/>
                  <w:vAlign w:val="top"/>
                </w:tcPr>
                <w:p>
                  <w:pPr>
                    <w:spacing w:line="280" w:lineRule="exact"/>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511" w:type="pct"/>
                  <w:vMerge w:val="continue"/>
                </w:tcPr>
                <w:p>
                  <w:pPr>
                    <w:spacing w:line="280" w:lineRule="exact"/>
                    <w:jc w:val="center"/>
                    <w:rPr>
                      <w:rFonts w:hint="default" w:ascii="Times New Roman" w:hAnsi="Times New Roman" w:eastAsia="宋体" w:cs="Times New Roman"/>
                      <w:color w:val="auto"/>
                      <w:sz w:val="21"/>
                      <w:szCs w:val="21"/>
                    </w:rPr>
                  </w:pPr>
                </w:p>
              </w:tc>
              <w:tc>
                <w:tcPr>
                  <w:tcW w:w="961" w:type="pct"/>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铜</w:t>
                  </w:r>
                </w:p>
              </w:tc>
              <w:tc>
                <w:tcPr>
                  <w:tcW w:w="1175" w:type="pct"/>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＜0.02</w:t>
                  </w:r>
                </w:p>
              </w:tc>
              <w:tc>
                <w:tcPr>
                  <w:tcW w:w="1838" w:type="dxa"/>
                  <w:vAlign w:val="top"/>
                </w:tcPr>
                <w:p>
                  <w:pPr>
                    <w:spacing w:line="280" w:lineRule="exact"/>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100</w:t>
                  </w:r>
                </w:p>
              </w:tc>
              <w:tc>
                <w:tcPr>
                  <w:tcW w:w="1839" w:type="dxa"/>
                  <w:vAlign w:val="top"/>
                </w:tcPr>
                <w:p>
                  <w:pPr>
                    <w:spacing w:line="280" w:lineRule="exact"/>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511" w:type="pct"/>
                  <w:vMerge w:val="continue"/>
                </w:tcPr>
                <w:p>
                  <w:pPr>
                    <w:spacing w:line="280" w:lineRule="exact"/>
                    <w:jc w:val="center"/>
                    <w:rPr>
                      <w:rFonts w:hint="default" w:ascii="Times New Roman" w:hAnsi="Times New Roman" w:eastAsia="宋体" w:cs="Times New Roman"/>
                      <w:color w:val="auto"/>
                      <w:sz w:val="21"/>
                      <w:szCs w:val="21"/>
                    </w:rPr>
                  </w:pPr>
                </w:p>
              </w:tc>
              <w:tc>
                <w:tcPr>
                  <w:tcW w:w="961" w:type="pct"/>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总银</w:t>
                  </w:r>
                </w:p>
              </w:tc>
              <w:tc>
                <w:tcPr>
                  <w:tcW w:w="1175" w:type="pct"/>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＜0.01</w:t>
                  </w:r>
                </w:p>
              </w:tc>
              <w:tc>
                <w:tcPr>
                  <w:tcW w:w="1838" w:type="dxa"/>
                  <w:vAlign w:val="top"/>
                </w:tcPr>
                <w:p>
                  <w:pPr>
                    <w:spacing w:line="280" w:lineRule="exact"/>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5</w:t>
                  </w:r>
                </w:p>
              </w:tc>
              <w:tc>
                <w:tcPr>
                  <w:tcW w:w="1839" w:type="dxa"/>
                  <w:vAlign w:val="top"/>
                </w:tcPr>
                <w:p>
                  <w:pPr>
                    <w:spacing w:line="280" w:lineRule="exact"/>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0.5</w:t>
                  </w:r>
                </w:p>
              </w:tc>
            </w:tr>
          </w:tbl>
          <w:p>
            <w:pPr>
              <w:keepNext w:val="0"/>
              <w:keepLines w:val="0"/>
              <w:pageBreakBefore w:val="0"/>
              <w:widowControl w:val="0"/>
              <w:kinsoku/>
              <w:wordWrap/>
              <w:overflowPunct/>
              <w:topLinePunct w:val="0"/>
              <w:autoSpaceDE/>
              <w:autoSpaceDN/>
              <w:bidi w:val="0"/>
              <w:adjustRightInd/>
              <w:snapToGrid/>
              <w:spacing w:line="500" w:lineRule="exact"/>
              <w:ind w:firstLine="456" w:firstLineChars="195"/>
              <w:textAlignment w:val="auto"/>
              <w:rPr>
                <w:rFonts w:hint="default" w:ascii="Times New Roman" w:hAnsi="Times New Roman" w:eastAsia="宋体" w:cs="Times New Roman"/>
                <w:b w:val="0"/>
                <w:bCs w:val="0"/>
                <w:color w:val="auto"/>
                <w:spacing w:val="-3"/>
                <w:sz w:val="24"/>
                <w:szCs w:val="24"/>
                <w:lang w:val="en-US" w:eastAsia="zh-CN"/>
              </w:rPr>
            </w:pPr>
            <w:r>
              <w:rPr>
                <w:rFonts w:hint="default" w:ascii="Times New Roman" w:hAnsi="Times New Roman" w:eastAsia="宋体" w:cs="Times New Roman"/>
                <w:b w:val="0"/>
                <w:bCs w:val="0"/>
                <w:color w:val="auto"/>
                <w:spacing w:val="-3"/>
                <w:sz w:val="24"/>
                <w:szCs w:val="24"/>
                <w:lang w:val="en-US" w:eastAsia="zh-CN"/>
              </w:rPr>
              <w:t>202</w:t>
            </w:r>
            <w:r>
              <w:rPr>
                <w:rFonts w:hint="eastAsia" w:ascii="Times New Roman" w:hAnsi="Times New Roman" w:eastAsia="宋体" w:cs="Times New Roman"/>
                <w:b w:val="0"/>
                <w:bCs w:val="0"/>
                <w:color w:val="auto"/>
                <w:spacing w:val="-3"/>
                <w:sz w:val="24"/>
                <w:szCs w:val="24"/>
                <w:lang w:val="en-US" w:eastAsia="zh-CN"/>
              </w:rPr>
              <w:t>5</w:t>
            </w:r>
            <w:r>
              <w:rPr>
                <w:rFonts w:hint="default" w:ascii="Times New Roman" w:hAnsi="Times New Roman" w:eastAsia="宋体" w:cs="Times New Roman"/>
                <w:b w:val="0"/>
                <w:bCs w:val="0"/>
                <w:color w:val="auto"/>
                <w:spacing w:val="-3"/>
                <w:sz w:val="24"/>
                <w:szCs w:val="24"/>
                <w:lang w:val="en-US" w:eastAsia="zh-CN"/>
              </w:rPr>
              <w:t>年</w:t>
            </w:r>
            <w:r>
              <w:rPr>
                <w:rFonts w:hint="eastAsia" w:ascii="Times New Roman" w:hAnsi="Times New Roman" w:eastAsia="宋体" w:cs="Times New Roman"/>
                <w:b w:val="0"/>
                <w:bCs w:val="0"/>
                <w:color w:val="auto"/>
                <w:spacing w:val="-3"/>
                <w:sz w:val="24"/>
                <w:szCs w:val="24"/>
                <w:lang w:val="en-US" w:eastAsia="zh-CN"/>
              </w:rPr>
              <w:t>1</w:t>
            </w:r>
            <w:r>
              <w:rPr>
                <w:rFonts w:hint="default" w:ascii="Times New Roman" w:hAnsi="Times New Roman" w:eastAsia="宋体" w:cs="Times New Roman"/>
                <w:b w:val="0"/>
                <w:bCs w:val="0"/>
                <w:color w:val="auto"/>
                <w:spacing w:val="-3"/>
                <w:sz w:val="24"/>
                <w:szCs w:val="24"/>
                <w:lang w:val="en-US" w:eastAsia="zh-CN"/>
              </w:rPr>
              <w:t>月委托</w:t>
            </w:r>
            <w:r>
              <w:rPr>
                <w:rFonts w:hint="eastAsia" w:ascii="Times New Roman" w:hAnsi="Times New Roman" w:eastAsia="宋体" w:cs="Times New Roman"/>
                <w:b w:val="0"/>
                <w:bCs w:val="0"/>
                <w:color w:val="auto"/>
                <w:spacing w:val="-3"/>
                <w:sz w:val="24"/>
                <w:szCs w:val="24"/>
                <w:lang w:val="en-US" w:eastAsia="zh-CN"/>
              </w:rPr>
              <w:t>新疆玉泽环保科技有限公司</w:t>
            </w:r>
            <w:r>
              <w:rPr>
                <w:rFonts w:hint="default" w:ascii="Times New Roman" w:hAnsi="Times New Roman" w:eastAsia="宋体" w:cs="Times New Roman"/>
                <w:b w:val="0"/>
                <w:bCs w:val="0"/>
                <w:color w:val="auto"/>
                <w:spacing w:val="-3"/>
                <w:sz w:val="24"/>
                <w:szCs w:val="24"/>
                <w:lang w:val="en-US" w:eastAsia="zh-CN"/>
              </w:rPr>
              <w:t>对本项目尾砂进行浸出毒性试验，</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0" w:firstLineChars="0"/>
              <w:jc w:val="center"/>
              <w:textAlignment w:val="auto"/>
              <w:rPr>
                <w:rFonts w:hint="default" w:ascii="Times New Roman" w:hAnsi="Times New Roman" w:eastAsia="宋体" w:cs="Times New Roman"/>
                <w:b/>
                <w:bCs w:val="0"/>
                <w:color w:val="auto"/>
                <w:szCs w:val="21"/>
                <w:lang w:val="en-US" w:eastAsia="zh-CN"/>
              </w:rPr>
            </w:pPr>
            <w:r>
              <w:rPr>
                <w:rFonts w:hint="default" w:ascii="Times New Roman" w:hAnsi="Times New Roman" w:eastAsia="宋体" w:cs="Times New Roman"/>
                <w:b/>
                <w:bCs w:val="0"/>
                <w:color w:val="auto"/>
                <w:szCs w:val="21"/>
                <w:lang w:val="en-US" w:eastAsia="zh-CN"/>
              </w:rPr>
              <w:t>表</w:t>
            </w:r>
            <w:r>
              <w:rPr>
                <w:rFonts w:hint="eastAsia" w:ascii="Times New Roman" w:hAnsi="Times New Roman" w:eastAsia="宋体" w:cs="Times New Roman"/>
                <w:b/>
                <w:bCs w:val="0"/>
                <w:color w:val="auto"/>
                <w:szCs w:val="21"/>
                <w:lang w:val="en-US" w:eastAsia="zh-CN"/>
              </w:rPr>
              <w:t>2-18</w:t>
            </w:r>
            <w:r>
              <w:rPr>
                <w:rFonts w:hint="default" w:ascii="Times New Roman" w:hAnsi="Times New Roman" w:eastAsia="宋体" w:cs="Times New Roman"/>
                <w:b/>
                <w:bCs w:val="0"/>
                <w:color w:val="auto"/>
                <w:szCs w:val="21"/>
                <w:lang w:val="en-US" w:eastAsia="zh-CN"/>
              </w:rPr>
              <w:t xml:space="preserve">     尾砂浸出试验结果统计  (mg/L，pH除外)</w:t>
            </w:r>
          </w:p>
          <w:tbl>
            <w:tblPr>
              <w:tblStyle w:val="29"/>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8"/>
              <w:gridCol w:w="1452"/>
              <w:gridCol w:w="1789"/>
              <w:gridCol w:w="2174"/>
              <w:gridCol w:w="181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jc w:val="center"/>
              </w:trPr>
              <w:tc>
                <w:tcPr>
                  <w:tcW w:w="428" w:type="pct"/>
                  <w:tcBorders>
                    <w:top w:val="single" w:color="auto" w:sz="12" w:space="0"/>
                  </w:tcBorders>
                  <w:shd w:val="clear" w:color="auto" w:fill="auto"/>
                  <w:noWrap w:val="0"/>
                  <w:vAlign w:val="center"/>
                </w:tcPr>
                <w:p>
                  <w:pPr>
                    <w:pStyle w:val="105"/>
                    <w:widowControl w:val="0"/>
                    <w:adjustRightInd w:val="0"/>
                    <w:snapToGrid w:val="0"/>
                    <w:spacing w:before="0" w:after="0" w:line="40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917" w:type="pct"/>
                  <w:tcBorders>
                    <w:top w:val="single" w:color="auto" w:sz="12" w:space="0"/>
                  </w:tcBorders>
                  <w:shd w:val="clear" w:color="auto" w:fill="auto"/>
                  <w:noWrap w:val="0"/>
                  <w:vAlign w:val="center"/>
                </w:tcPr>
                <w:p>
                  <w:pPr>
                    <w:pStyle w:val="105"/>
                    <w:widowControl w:val="0"/>
                    <w:adjustRightInd w:val="0"/>
                    <w:snapToGrid w:val="0"/>
                    <w:spacing w:before="0" w:after="0" w:line="40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检测项目</w:t>
                  </w:r>
                </w:p>
              </w:tc>
              <w:tc>
                <w:tcPr>
                  <w:tcW w:w="1130" w:type="pct"/>
                  <w:tcBorders>
                    <w:top w:val="single" w:color="auto" w:sz="12" w:space="0"/>
                  </w:tcBorders>
                  <w:shd w:val="clear" w:color="auto" w:fill="auto"/>
                  <w:noWrap w:val="0"/>
                  <w:vAlign w:val="center"/>
                </w:tcPr>
                <w:p>
                  <w:pPr>
                    <w:pStyle w:val="105"/>
                    <w:widowControl w:val="0"/>
                    <w:adjustRightInd w:val="0"/>
                    <w:snapToGrid w:val="0"/>
                    <w:spacing w:before="0" w:after="0" w:line="40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检测结果</w:t>
                  </w:r>
                </w:p>
              </w:tc>
              <w:tc>
                <w:tcPr>
                  <w:tcW w:w="1373" w:type="pct"/>
                  <w:tcBorders>
                    <w:top w:val="single" w:color="auto" w:sz="12" w:space="0"/>
                  </w:tcBorders>
                  <w:shd w:val="clear" w:color="auto" w:fill="auto"/>
                  <w:noWrap w:val="0"/>
                  <w:vAlign w:val="center"/>
                </w:tcPr>
                <w:p>
                  <w:pPr>
                    <w:spacing w:line="280" w:lineRule="exact"/>
                    <w:jc w:val="center"/>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《危险废物鉴别标准 浸出毒性鉴别》</w:t>
                  </w:r>
                </w:p>
              </w:tc>
              <w:tc>
                <w:tcPr>
                  <w:tcW w:w="1148" w:type="pct"/>
                  <w:tcBorders>
                    <w:top w:val="single" w:color="auto" w:sz="12" w:space="0"/>
                  </w:tcBorders>
                  <w:shd w:val="clear" w:color="auto" w:fill="auto"/>
                  <w:noWrap w:val="0"/>
                  <w:vAlign w:val="center"/>
                </w:tcPr>
                <w:p>
                  <w:pPr>
                    <w:spacing w:line="280" w:lineRule="exact"/>
                    <w:jc w:val="center"/>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《污水综合排放标准》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jc w:val="center"/>
              </w:trPr>
              <w:tc>
                <w:tcPr>
                  <w:tcW w:w="428" w:type="pct"/>
                  <w:noWrap w:val="0"/>
                  <w:vAlign w:val="center"/>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917" w:type="pct"/>
                  <w:noWrap w:val="0"/>
                  <w:vAlign w:val="center"/>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pH</w:t>
                  </w:r>
                </w:p>
              </w:tc>
              <w:tc>
                <w:tcPr>
                  <w:tcW w:w="1130" w:type="pct"/>
                  <w:noWrap w:val="0"/>
                  <w:vAlign w:val="center"/>
                </w:tcPr>
                <w:p>
                  <w:pPr>
                    <w:spacing w:line="280" w:lineRule="exact"/>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8.9</w:t>
                  </w:r>
                </w:p>
              </w:tc>
              <w:tc>
                <w:tcPr>
                  <w:tcW w:w="1373" w:type="pct"/>
                  <w:noWrap w:val="0"/>
                  <w:vAlign w:val="center"/>
                </w:tcPr>
                <w:p>
                  <w:pPr>
                    <w:spacing w:line="280" w:lineRule="exact"/>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148" w:type="pct"/>
                  <w:noWrap w:val="0"/>
                  <w:vAlign w:val="center"/>
                </w:tcPr>
                <w:p>
                  <w:pPr>
                    <w:spacing w:line="280" w:lineRule="exact"/>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6-9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jc w:val="center"/>
              </w:trPr>
              <w:tc>
                <w:tcPr>
                  <w:tcW w:w="428" w:type="pct"/>
                  <w:noWrap w:val="0"/>
                  <w:vAlign w:val="center"/>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917" w:type="pct"/>
                  <w:noWrap w:val="0"/>
                  <w:vAlign w:val="center"/>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铬（六价）</w:t>
                  </w:r>
                </w:p>
              </w:tc>
              <w:tc>
                <w:tcPr>
                  <w:tcW w:w="1130" w:type="pct"/>
                  <w:noWrap w:val="0"/>
                  <w:vAlign w:val="center"/>
                </w:tcPr>
                <w:p>
                  <w:pPr>
                    <w:spacing w:line="280" w:lineRule="exact"/>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＜0.004</w:t>
                  </w:r>
                </w:p>
              </w:tc>
              <w:tc>
                <w:tcPr>
                  <w:tcW w:w="1373" w:type="pct"/>
                  <w:noWrap w:val="0"/>
                  <w:vAlign w:val="center"/>
                </w:tcPr>
                <w:p>
                  <w:pPr>
                    <w:spacing w:line="280" w:lineRule="exact"/>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w:t>
                  </w:r>
                </w:p>
              </w:tc>
              <w:tc>
                <w:tcPr>
                  <w:tcW w:w="1148" w:type="pct"/>
                  <w:shd w:val="clear" w:color="auto" w:fill="auto"/>
                  <w:noWrap w:val="0"/>
                  <w:vAlign w:val="center"/>
                </w:tcPr>
                <w:p>
                  <w:pPr>
                    <w:spacing w:line="280" w:lineRule="exact"/>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28" w:type="pct"/>
                  <w:noWrap w:val="0"/>
                  <w:vAlign w:val="center"/>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917" w:type="pct"/>
                  <w:noWrap w:val="0"/>
                  <w:vAlign w:val="center"/>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汞</w:t>
                  </w:r>
                </w:p>
              </w:tc>
              <w:tc>
                <w:tcPr>
                  <w:tcW w:w="1130" w:type="pct"/>
                  <w:noWrap w:val="0"/>
                  <w:vAlign w:val="center"/>
                </w:tcPr>
                <w:p>
                  <w:pPr>
                    <w:spacing w:line="280" w:lineRule="exact"/>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4.26×10</w:t>
                  </w:r>
                  <w:r>
                    <w:rPr>
                      <w:rFonts w:hint="eastAsia" w:ascii="Times New Roman" w:hAnsi="Times New Roman" w:eastAsia="宋体" w:cs="Times New Roman"/>
                      <w:color w:val="auto"/>
                      <w:sz w:val="21"/>
                      <w:szCs w:val="21"/>
                      <w:vertAlign w:val="superscript"/>
                      <w:lang w:val="en-US" w:eastAsia="zh-CN"/>
                    </w:rPr>
                    <w:t>-4</w:t>
                  </w:r>
                </w:p>
              </w:tc>
              <w:tc>
                <w:tcPr>
                  <w:tcW w:w="1373" w:type="pct"/>
                  <w:shd w:val="clear" w:color="auto" w:fill="auto"/>
                  <w:noWrap w:val="0"/>
                  <w:vAlign w:val="center"/>
                </w:tcPr>
                <w:p>
                  <w:pPr>
                    <w:spacing w:line="280" w:lineRule="exact"/>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0.1</w:t>
                  </w:r>
                </w:p>
              </w:tc>
              <w:tc>
                <w:tcPr>
                  <w:tcW w:w="1148" w:type="pct"/>
                  <w:shd w:val="clear" w:color="auto" w:fill="auto"/>
                  <w:noWrap w:val="0"/>
                  <w:vAlign w:val="center"/>
                </w:tcPr>
                <w:p>
                  <w:pPr>
                    <w:spacing w:line="280" w:lineRule="exact"/>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0.05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jc w:val="center"/>
              </w:trPr>
              <w:tc>
                <w:tcPr>
                  <w:tcW w:w="428" w:type="pct"/>
                  <w:noWrap w:val="0"/>
                  <w:vAlign w:val="center"/>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w:t>
                  </w:r>
                </w:p>
              </w:tc>
              <w:tc>
                <w:tcPr>
                  <w:tcW w:w="917" w:type="pct"/>
                  <w:noWrap w:val="0"/>
                  <w:vAlign w:val="center"/>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铅</w:t>
                  </w:r>
                </w:p>
              </w:tc>
              <w:tc>
                <w:tcPr>
                  <w:tcW w:w="1130" w:type="pct"/>
                  <w:noWrap w:val="0"/>
                  <w:vAlign w:val="center"/>
                </w:tcPr>
                <w:p>
                  <w:pPr>
                    <w:spacing w:line="280" w:lineRule="exact"/>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＜0.2</w:t>
                  </w:r>
                </w:p>
              </w:tc>
              <w:tc>
                <w:tcPr>
                  <w:tcW w:w="1373" w:type="pct"/>
                  <w:shd w:val="clear" w:color="auto" w:fill="auto"/>
                  <w:noWrap w:val="0"/>
                  <w:vAlign w:val="center"/>
                </w:tcPr>
                <w:p>
                  <w:pPr>
                    <w:spacing w:line="280" w:lineRule="exact"/>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5</w:t>
                  </w:r>
                </w:p>
              </w:tc>
              <w:tc>
                <w:tcPr>
                  <w:tcW w:w="1148" w:type="pct"/>
                  <w:shd w:val="clear" w:color="auto" w:fill="auto"/>
                  <w:noWrap w:val="0"/>
                  <w:vAlign w:val="center"/>
                </w:tcPr>
                <w:p>
                  <w:pPr>
                    <w:spacing w:line="280" w:lineRule="exact"/>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jc w:val="center"/>
              </w:trPr>
              <w:tc>
                <w:tcPr>
                  <w:tcW w:w="428" w:type="pct"/>
                  <w:noWrap w:val="0"/>
                  <w:vAlign w:val="center"/>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w:t>
                  </w:r>
                </w:p>
              </w:tc>
              <w:tc>
                <w:tcPr>
                  <w:tcW w:w="917" w:type="pct"/>
                  <w:noWrap w:val="0"/>
                  <w:vAlign w:val="center"/>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砷</w:t>
                  </w:r>
                </w:p>
              </w:tc>
              <w:tc>
                <w:tcPr>
                  <w:tcW w:w="1130" w:type="pct"/>
                  <w:noWrap w:val="0"/>
                  <w:vAlign w:val="center"/>
                </w:tcPr>
                <w:p>
                  <w:pPr>
                    <w:spacing w:line="280" w:lineRule="exact"/>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1.1×10</w:t>
                  </w:r>
                  <w:r>
                    <w:rPr>
                      <w:rFonts w:hint="eastAsia" w:ascii="Times New Roman" w:hAnsi="Times New Roman" w:eastAsia="宋体" w:cs="Times New Roman"/>
                      <w:color w:val="auto"/>
                      <w:sz w:val="21"/>
                      <w:szCs w:val="21"/>
                      <w:vertAlign w:val="superscript"/>
                      <w:lang w:val="en-US" w:eastAsia="zh-CN"/>
                    </w:rPr>
                    <w:t>-2</w:t>
                  </w:r>
                </w:p>
              </w:tc>
              <w:tc>
                <w:tcPr>
                  <w:tcW w:w="1373" w:type="pct"/>
                  <w:shd w:val="clear" w:color="auto" w:fill="auto"/>
                  <w:noWrap w:val="0"/>
                  <w:vAlign w:val="center"/>
                </w:tcPr>
                <w:p>
                  <w:pPr>
                    <w:spacing w:line="280" w:lineRule="exact"/>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5</w:t>
                  </w:r>
                </w:p>
              </w:tc>
              <w:tc>
                <w:tcPr>
                  <w:tcW w:w="1148" w:type="pct"/>
                  <w:shd w:val="clear" w:color="auto" w:fill="auto"/>
                  <w:noWrap w:val="0"/>
                  <w:vAlign w:val="center"/>
                </w:tcPr>
                <w:p>
                  <w:pPr>
                    <w:spacing w:line="280" w:lineRule="exact"/>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jc w:val="center"/>
              </w:trPr>
              <w:tc>
                <w:tcPr>
                  <w:tcW w:w="428" w:type="pct"/>
                  <w:noWrap w:val="0"/>
                  <w:vAlign w:val="center"/>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w:t>
                  </w:r>
                </w:p>
              </w:tc>
              <w:tc>
                <w:tcPr>
                  <w:tcW w:w="917" w:type="pct"/>
                  <w:noWrap w:val="0"/>
                  <w:vAlign w:val="center"/>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铜</w:t>
                  </w:r>
                </w:p>
              </w:tc>
              <w:tc>
                <w:tcPr>
                  <w:tcW w:w="1130" w:type="pct"/>
                  <w:noWrap w:val="0"/>
                  <w:vAlign w:val="center"/>
                </w:tcPr>
                <w:p>
                  <w:pPr>
                    <w:spacing w:line="280" w:lineRule="exact"/>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＜0.05</w:t>
                  </w:r>
                </w:p>
              </w:tc>
              <w:tc>
                <w:tcPr>
                  <w:tcW w:w="1373" w:type="pct"/>
                  <w:shd w:val="clear" w:color="auto" w:fill="auto"/>
                  <w:noWrap w:val="0"/>
                  <w:vAlign w:val="center"/>
                </w:tcPr>
                <w:p>
                  <w:pPr>
                    <w:spacing w:line="280" w:lineRule="exact"/>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100</w:t>
                  </w:r>
                </w:p>
              </w:tc>
              <w:tc>
                <w:tcPr>
                  <w:tcW w:w="1148" w:type="pct"/>
                  <w:shd w:val="clear" w:color="auto" w:fill="auto"/>
                  <w:noWrap w:val="0"/>
                  <w:vAlign w:val="center"/>
                </w:tcPr>
                <w:p>
                  <w:pPr>
                    <w:spacing w:line="280" w:lineRule="exact"/>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jc w:val="center"/>
              </w:trPr>
              <w:tc>
                <w:tcPr>
                  <w:tcW w:w="428" w:type="pct"/>
                  <w:noWrap w:val="0"/>
                  <w:vAlign w:val="center"/>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w:t>
                  </w:r>
                </w:p>
              </w:tc>
              <w:tc>
                <w:tcPr>
                  <w:tcW w:w="917" w:type="pct"/>
                  <w:noWrap w:val="0"/>
                  <w:vAlign w:val="center"/>
                </w:tcPr>
                <w:p>
                  <w:pPr>
                    <w:spacing w:line="280" w:lineRule="exact"/>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铍</w:t>
                  </w:r>
                </w:p>
              </w:tc>
              <w:tc>
                <w:tcPr>
                  <w:tcW w:w="1130" w:type="pct"/>
                  <w:noWrap w:val="0"/>
                  <w:vAlign w:val="center"/>
                </w:tcPr>
                <w:p>
                  <w:pPr>
                    <w:spacing w:line="280" w:lineRule="exact"/>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＜2.00×10</w:t>
                  </w:r>
                  <w:r>
                    <w:rPr>
                      <w:rFonts w:hint="eastAsia" w:ascii="Times New Roman" w:hAnsi="Times New Roman" w:eastAsia="宋体" w:cs="Times New Roman"/>
                      <w:color w:val="auto"/>
                      <w:sz w:val="21"/>
                      <w:szCs w:val="21"/>
                      <w:vertAlign w:val="superscript"/>
                      <w:lang w:val="en-US" w:eastAsia="zh-CN"/>
                    </w:rPr>
                    <w:t>-5</w:t>
                  </w:r>
                </w:p>
              </w:tc>
              <w:tc>
                <w:tcPr>
                  <w:tcW w:w="1373" w:type="pct"/>
                  <w:noWrap w:val="0"/>
                  <w:vAlign w:val="center"/>
                </w:tcPr>
                <w:p>
                  <w:pPr>
                    <w:spacing w:line="280" w:lineRule="exact"/>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0.02</w:t>
                  </w:r>
                </w:p>
              </w:tc>
              <w:tc>
                <w:tcPr>
                  <w:tcW w:w="1148" w:type="pct"/>
                  <w:shd w:val="clear" w:color="auto" w:fill="auto"/>
                  <w:noWrap w:val="0"/>
                  <w:vAlign w:val="center"/>
                </w:tcPr>
                <w:p>
                  <w:pPr>
                    <w:spacing w:line="280" w:lineRule="exact"/>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jc w:val="center"/>
              </w:trPr>
              <w:tc>
                <w:tcPr>
                  <w:tcW w:w="428" w:type="pct"/>
                  <w:noWrap w:val="0"/>
                  <w:vAlign w:val="center"/>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w:t>
                  </w:r>
                </w:p>
              </w:tc>
              <w:tc>
                <w:tcPr>
                  <w:tcW w:w="917" w:type="pct"/>
                  <w:noWrap w:val="0"/>
                  <w:vAlign w:val="center"/>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银</w:t>
                  </w:r>
                </w:p>
              </w:tc>
              <w:tc>
                <w:tcPr>
                  <w:tcW w:w="1130" w:type="pct"/>
                  <w:noWrap w:val="0"/>
                  <w:vAlign w:val="center"/>
                </w:tcPr>
                <w:p>
                  <w:pPr>
                    <w:spacing w:line="280" w:lineRule="exact"/>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＜0.03</w:t>
                  </w:r>
                </w:p>
              </w:tc>
              <w:tc>
                <w:tcPr>
                  <w:tcW w:w="1373" w:type="pct"/>
                  <w:shd w:val="clear" w:color="auto" w:fill="auto"/>
                  <w:noWrap w:val="0"/>
                  <w:vAlign w:val="center"/>
                </w:tcPr>
                <w:p>
                  <w:pPr>
                    <w:spacing w:line="280" w:lineRule="exact"/>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5</w:t>
                  </w:r>
                </w:p>
              </w:tc>
              <w:tc>
                <w:tcPr>
                  <w:tcW w:w="1148" w:type="pct"/>
                  <w:shd w:val="clear" w:color="auto" w:fill="auto"/>
                  <w:noWrap w:val="0"/>
                  <w:vAlign w:val="center"/>
                </w:tcPr>
                <w:p>
                  <w:pPr>
                    <w:spacing w:line="280" w:lineRule="exact"/>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jc w:val="center"/>
              </w:trPr>
              <w:tc>
                <w:tcPr>
                  <w:tcW w:w="428" w:type="pct"/>
                  <w:noWrap w:val="0"/>
                  <w:vAlign w:val="center"/>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w:t>
                  </w:r>
                </w:p>
              </w:tc>
              <w:tc>
                <w:tcPr>
                  <w:tcW w:w="917" w:type="pct"/>
                  <w:noWrap w:val="0"/>
                  <w:vAlign w:val="center"/>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镉</w:t>
                  </w:r>
                </w:p>
              </w:tc>
              <w:tc>
                <w:tcPr>
                  <w:tcW w:w="1130" w:type="pct"/>
                  <w:noWrap w:val="0"/>
                  <w:vAlign w:val="center"/>
                </w:tcPr>
                <w:p>
                  <w:pPr>
                    <w:spacing w:line="280" w:lineRule="exact"/>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＜0.05</w:t>
                  </w:r>
                </w:p>
              </w:tc>
              <w:tc>
                <w:tcPr>
                  <w:tcW w:w="1373" w:type="pct"/>
                  <w:shd w:val="clear" w:color="auto" w:fill="auto"/>
                  <w:noWrap w:val="0"/>
                  <w:vAlign w:val="center"/>
                </w:tcPr>
                <w:p>
                  <w:pPr>
                    <w:spacing w:line="280" w:lineRule="exact"/>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w:t>
                  </w:r>
                </w:p>
              </w:tc>
              <w:tc>
                <w:tcPr>
                  <w:tcW w:w="1148" w:type="pct"/>
                  <w:shd w:val="clear" w:color="auto" w:fill="auto"/>
                  <w:noWrap w:val="0"/>
                  <w:vAlign w:val="center"/>
                </w:tcPr>
                <w:p>
                  <w:pPr>
                    <w:spacing w:line="280" w:lineRule="exact"/>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0.1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jc w:val="center"/>
              </w:trPr>
              <w:tc>
                <w:tcPr>
                  <w:tcW w:w="428" w:type="pct"/>
                  <w:noWrap w:val="0"/>
                  <w:vAlign w:val="center"/>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c>
                <w:tcPr>
                  <w:tcW w:w="917" w:type="pct"/>
                  <w:noWrap w:val="0"/>
                  <w:vAlign w:val="center"/>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镍</w:t>
                  </w:r>
                </w:p>
              </w:tc>
              <w:tc>
                <w:tcPr>
                  <w:tcW w:w="1130" w:type="pct"/>
                  <w:noWrap w:val="0"/>
                  <w:vAlign w:val="center"/>
                </w:tcPr>
                <w:p>
                  <w:pPr>
                    <w:spacing w:line="280" w:lineRule="exact"/>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＜0.05</w:t>
                  </w:r>
                </w:p>
              </w:tc>
              <w:tc>
                <w:tcPr>
                  <w:tcW w:w="1373" w:type="pct"/>
                  <w:shd w:val="clear" w:color="auto" w:fill="auto"/>
                  <w:noWrap w:val="0"/>
                  <w:vAlign w:val="center"/>
                </w:tcPr>
                <w:p>
                  <w:pPr>
                    <w:spacing w:line="280" w:lineRule="exact"/>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5</w:t>
                  </w:r>
                </w:p>
              </w:tc>
              <w:tc>
                <w:tcPr>
                  <w:tcW w:w="1148" w:type="pct"/>
                  <w:shd w:val="clear" w:color="auto" w:fill="auto"/>
                  <w:noWrap w:val="0"/>
                  <w:vAlign w:val="center"/>
                </w:tcPr>
                <w:p>
                  <w:pPr>
                    <w:spacing w:line="280" w:lineRule="exact"/>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jc w:val="center"/>
              </w:trPr>
              <w:tc>
                <w:tcPr>
                  <w:tcW w:w="428" w:type="pct"/>
                  <w:noWrap w:val="0"/>
                  <w:vAlign w:val="center"/>
                </w:tcPr>
                <w:p>
                  <w:pPr>
                    <w:spacing w:line="28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w:t>
                  </w:r>
                </w:p>
              </w:tc>
              <w:tc>
                <w:tcPr>
                  <w:tcW w:w="917" w:type="pct"/>
                  <w:noWrap w:val="0"/>
                  <w:vAlign w:val="center"/>
                </w:tcPr>
                <w:p>
                  <w:pPr>
                    <w:spacing w:line="280" w:lineRule="exact"/>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铬</w:t>
                  </w:r>
                </w:p>
              </w:tc>
              <w:tc>
                <w:tcPr>
                  <w:tcW w:w="1130" w:type="pct"/>
                  <w:noWrap w:val="0"/>
                  <w:vAlign w:val="center"/>
                </w:tcPr>
                <w:p>
                  <w:pPr>
                    <w:spacing w:line="280" w:lineRule="exact"/>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＜0.03</w:t>
                  </w:r>
                </w:p>
              </w:tc>
              <w:tc>
                <w:tcPr>
                  <w:tcW w:w="1373" w:type="pct"/>
                  <w:noWrap w:val="0"/>
                  <w:vAlign w:val="center"/>
                </w:tcPr>
                <w:p>
                  <w:pPr>
                    <w:spacing w:line="280" w:lineRule="exact"/>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15</w:t>
                  </w:r>
                </w:p>
              </w:tc>
              <w:tc>
                <w:tcPr>
                  <w:tcW w:w="1148" w:type="pct"/>
                  <w:noWrap w:val="0"/>
                  <w:vAlign w:val="center"/>
                </w:tcPr>
                <w:p>
                  <w:pPr>
                    <w:spacing w:line="280" w:lineRule="exact"/>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jc w:val="center"/>
              </w:trPr>
              <w:tc>
                <w:tcPr>
                  <w:tcW w:w="428" w:type="pct"/>
                  <w:noWrap w:val="0"/>
                  <w:vAlign w:val="center"/>
                </w:tcPr>
                <w:p>
                  <w:pPr>
                    <w:spacing w:line="280" w:lineRule="exact"/>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12</w:t>
                  </w:r>
                </w:p>
              </w:tc>
              <w:tc>
                <w:tcPr>
                  <w:tcW w:w="917" w:type="pct"/>
                  <w:noWrap w:val="0"/>
                  <w:vAlign w:val="center"/>
                </w:tcPr>
                <w:p>
                  <w:pPr>
                    <w:spacing w:line="280" w:lineRule="exact"/>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氰化物</w:t>
                  </w:r>
                </w:p>
              </w:tc>
              <w:tc>
                <w:tcPr>
                  <w:tcW w:w="1130" w:type="pct"/>
                  <w:noWrap w:val="0"/>
                  <w:vAlign w:val="center"/>
                </w:tcPr>
                <w:p>
                  <w:pPr>
                    <w:spacing w:line="280" w:lineRule="exact"/>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＜0.004</w:t>
                  </w:r>
                </w:p>
              </w:tc>
              <w:tc>
                <w:tcPr>
                  <w:tcW w:w="1373" w:type="pct"/>
                  <w:noWrap w:val="0"/>
                  <w:vAlign w:val="center"/>
                </w:tcPr>
                <w:p>
                  <w:pPr>
                    <w:spacing w:line="280" w:lineRule="exact"/>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w:t>
                  </w:r>
                </w:p>
              </w:tc>
              <w:tc>
                <w:tcPr>
                  <w:tcW w:w="1148" w:type="pct"/>
                  <w:noWrap w:val="0"/>
                  <w:vAlign w:val="center"/>
                </w:tcPr>
                <w:p>
                  <w:pPr>
                    <w:spacing w:line="280" w:lineRule="exact"/>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0.5</w:t>
                  </w:r>
                </w:p>
              </w:tc>
            </w:tr>
          </w:tbl>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 w:val="0"/>
                <w:bCs w:val="0"/>
                <w:color w:val="auto"/>
                <w:spacing w:val="-3"/>
                <w:sz w:val="24"/>
                <w:szCs w:val="24"/>
                <w:lang w:val="en-US" w:eastAsia="zh-CN"/>
              </w:rPr>
            </w:pPr>
            <w:r>
              <w:rPr>
                <w:rFonts w:hint="default" w:ascii="Times New Roman" w:hAnsi="Times New Roman" w:cs="Times New Roman"/>
                <w:color w:val="auto"/>
                <w:sz w:val="24"/>
              </w:rPr>
              <w:t>尾砂浸出液分析指标浓度均未超过鉴别标准值，本项目的尾砂不属于危险废物，尾砂浸出液各项指标浓度未超出《污水综合排放标准》(GB8978-1996)最高允许排放浓度，可以确定本项目的尾砂性质为第Ⅰ类一般工业固体废物</w:t>
            </w:r>
            <w:r>
              <w:rPr>
                <w:rFonts w:hint="default" w:ascii="Times New Roman" w:hAnsi="Times New Roman" w:cs="Times New Roman"/>
                <w:color w:val="auto"/>
                <w:sz w:val="24"/>
                <w:szCs w:val="24"/>
              </w:rPr>
              <w:t>。</w:t>
            </w:r>
          </w:p>
          <w:p>
            <w:pPr>
              <w:keepNext w:val="0"/>
              <w:keepLines w:val="0"/>
              <w:pageBreakBefore w:val="0"/>
              <w:widowControl w:val="0"/>
              <w:kinsoku/>
              <w:wordWrap/>
              <w:overflowPunct/>
              <w:topLinePunct w:val="0"/>
              <w:autoSpaceDE/>
              <w:autoSpaceDN/>
              <w:bidi w:val="0"/>
              <w:adjustRightInd/>
              <w:snapToGrid/>
              <w:spacing w:line="500" w:lineRule="exact"/>
              <w:ind w:firstLine="456" w:firstLineChars="195"/>
              <w:textAlignment w:val="auto"/>
              <w:rPr>
                <w:rFonts w:hint="default" w:ascii="Times New Roman" w:hAnsi="Times New Roman" w:eastAsia="宋体" w:cs="Times New Roman"/>
                <w:b w:val="0"/>
                <w:bCs w:val="0"/>
                <w:color w:val="auto"/>
                <w:spacing w:val="-3"/>
                <w:sz w:val="24"/>
                <w:szCs w:val="24"/>
                <w:lang w:val="en-US" w:eastAsia="zh-CN"/>
              </w:rPr>
            </w:pPr>
            <w:r>
              <w:rPr>
                <w:rFonts w:hint="default" w:ascii="Times New Roman" w:hAnsi="Times New Roman" w:eastAsia="宋体" w:cs="Times New Roman"/>
                <w:b w:val="0"/>
                <w:bCs w:val="0"/>
                <w:color w:val="auto"/>
                <w:spacing w:val="-3"/>
                <w:sz w:val="24"/>
                <w:szCs w:val="24"/>
                <w:lang w:val="en-US" w:eastAsia="zh-CN"/>
              </w:rPr>
              <w:t>2026年4月委托新疆锡水金山环境科技有限公司对选矿厂尾矿进行浸出毒性实验，结果如下表：</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0" w:firstLineChars="0"/>
              <w:jc w:val="center"/>
              <w:textAlignment w:val="auto"/>
              <w:rPr>
                <w:rFonts w:hint="default" w:ascii="Times New Roman" w:hAnsi="Times New Roman" w:eastAsia="宋体" w:cs="Times New Roman"/>
                <w:b/>
                <w:bCs w:val="0"/>
                <w:color w:val="auto"/>
                <w:szCs w:val="21"/>
                <w:lang w:val="en-US" w:eastAsia="zh-CN"/>
              </w:rPr>
            </w:pPr>
            <w:r>
              <w:rPr>
                <w:rFonts w:hint="default" w:ascii="Times New Roman" w:hAnsi="Times New Roman" w:eastAsia="宋体" w:cs="Times New Roman"/>
                <w:b/>
                <w:bCs w:val="0"/>
                <w:color w:val="auto"/>
                <w:szCs w:val="21"/>
                <w:lang w:val="en-US" w:eastAsia="zh-CN"/>
              </w:rPr>
              <w:t>表</w:t>
            </w:r>
            <w:r>
              <w:rPr>
                <w:rFonts w:hint="default" w:ascii="Times New Roman" w:hAnsi="Times New Roman" w:cs="Times New Roman"/>
                <w:b/>
                <w:bCs w:val="0"/>
                <w:color w:val="auto"/>
                <w:szCs w:val="21"/>
                <w:lang w:val="en-US" w:eastAsia="zh-CN"/>
              </w:rPr>
              <w:t>2-17</w:t>
            </w:r>
            <w:r>
              <w:rPr>
                <w:rFonts w:hint="default" w:ascii="Times New Roman" w:hAnsi="Times New Roman" w:eastAsia="宋体" w:cs="Times New Roman"/>
                <w:b/>
                <w:bCs w:val="0"/>
                <w:color w:val="auto"/>
                <w:szCs w:val="21"/>
                <w:lang w:val="en-US" w:eastAsia="zh-CN"/>
              </w:rPr>
              <w:t xml:space="preserve">   尾矿浸出实验结果</w:t>
            </w:r>
          </w:p>
          <w:tbl>
            <w:tblPr>
              <w:tblStyle w:val="29"/>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40"/>
              <w:gridCol w:w="866"/>
              <w:gridCol w:w="1070"/>
              <w:gridCol w:w="983"/>
              <w:gridCol w:w="1455"/>
              <w:gridCol w:w="1046"/>
              <w:gridCol w:w="19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42" w:type="pct"/>
                  <w:noWrap w:val="0"/>
                  <w:vAlign w:val="center"/>
                </w:tcPr>
                <w:p>
                  <w:pPr>
                    <w:pStyle w:val="8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序号</w:t>
                  </w:r>
                </w:p>
              </w:tc>
              <w:tc>
                <w:tcPr>
                  <w:tcW w:w="1223" w:type="pct"/>
                  <w:gridSpan w:val="2"/>
                  <w:noWrap w:val="0"/>
                  <w:vAlign w:val="center"/>
                </w:tcPr>
                <w:p>
                  <w:pPr>
                    <w:pStyle w:val="8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w:t>
                  </w:r>
                </w:p>
              </w:tc>
              <w:tc>
                <w:tcPr>
                  <w:tcW w:w="621" w:type="pct"/>
                  <w:noWrap w:val="0"/>
                  <w:vAlign w:val="center"/>
                </w:tcPr>
                <w:p>
                  <w:pPr>
                    <w:pStyle w:val="8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单位</w:t>
                  </w:r>
                </w:p>
              </w:tc>
              <w:tc>
                <w:tcPr>
                  <w:tcW w:w="919" w:type="pct"/>
                  <w:noWrap w:val="0"/>
                  <w:vAlign w:val="center"/>
                </w:tcPr>
                <w:p>
                  <w:pPr>
                    <w:pStyle w:val="8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尾矿</w:t>
                  </w:r>
                  <w:r>
                    <w:rPr>
                      <w:rFonts w:hint="default" w:ascii="Times New Roman" w:hAnsi="Times New Roman" w:eastAsia="宋体" w:cs="Times New Roman"/>
                      <w:color w:val="auto"/>
                      <w:sz w:val="21"/>
                      <w:szCs w:val="21"/>
                      <w:highlight w:val="none"/>
                    </w:rPr>
                    <w:t>浸出液</w:t>
                  </w:r>
                </w:p>
              </w:tc>
              <w:tc>
                <w:tcPr>
                  <w:tcW w:w="1894" w:type="pct"/>
                  <w:gridSpan w:val="2"/>
                  <w:noWrap w:val="0"/>
                  <w:vAlign w:val="center"/>
                </w:tcPr>
                <w:p>
                  <w:pPr>
                    <w:pStyle w:val="8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《危险废物鉴别</w:t>
                  </w:r>
                  <w:r>
                    <w:rPr>
                      <w:rFonts w:hint="default" w:ascii="Times New Roman" w:hAnsi="Times New Roman" w:eastAsia="宋体" w:cs="Times New Roman"/>
                      <w:color w:val="auto"/>
                      <w:sz w:val="21"/>
                      <w:szCs w:val="21"/>
                      <w:highlight w:val="none"/>
                      <w:lang w:val="en-US" w:eastAsia="zh-CN"/>
                    </w:rPr>
                    <w:t xml:space="preserve">标准 </w:t>
                  </w:r>
                  <w:r>
                    <w:rPr>
                      <w:rFonts w:hint="default" w:ascii="Times New Roman" w:hAnsi="Times New Roman" w:eastAsia="宋体" w:cs="Times New Roman"/>
                      <w:color w:val="auto"/>
                      <w:sz w:val="21"/>
                      <w:szCs w:val="21"/>
                      <w:highlight w:val="none"/>
                    </w:rPr>
                    <w:t>浸出毒性鉴别》</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42" w:type="pct"/>
                  <w:noWrap w:val="0"/>
                  <w:vAlign w:val="center"/>
                </w:tcPr>
                <w:p>
                  <w:pPr>
                    <w:pStyle w:val="8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1223" w:type="pct"/>
                  <w:gridSpan w:val="2"/>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腐蚀性（pH）</w:t>
                  </w:r>
                </w:p>
              </w:tc>
              <w:tc>
                <w:tcPr>
                  <w:tcW w:w="621" w:type="pct"/>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919" w:type="pct"/>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7.80</w:t>
                  </w:r>
                </w:p>
              </w:tc>
              <w:tc>
                <w:tcPr>
                  <w:tcW w:w="1894" w:type="pct"/>
                  <w:gridSpan w:val="2"/>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42" w:type="pct"/>
                  <w:noWrap w:val="0"/>
                  <w:vAlign w:val="center"/>
                </w:tcPr>
                <w:p>
                  <w:pPr>
                    <w:pStyle w:val="8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1223" w:type="pct"/>
                  <w:gridSpan w:val="2"/>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铜（以总铜计）</w:t>
                  </w:r>
                </w:p>
              </w:tc>
              <w:tc>
                <w:tcPr>
                  <w:tcW w:w="621" w:type="pct"/>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mg/L</w:t>
                  </w:r>
                </w:p>
              </w:tc>
              <w:tc>
                <w:tcPr>
                  <w:tcW w:w="919" w:type="pct"/>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0.006L</w:t>
                  </w:r>
                </w:p>
              </w:tc>
              <w:tc>
                <w:tcPr>
                  <w:tcW w:w="1894" w:type="pct"/>
                  <w:gridSpan w:val="2"/>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42" w:type="pct"/>
                  <w:noWrap w:val="0"/>
                  <w:vAlign w:val="center"/>
                </w:tcPr>
                <w:p>
                  <w:pPr>
                    <w:pStyle w:val="8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p>
              </w:tc>
              <w:tc>
                <w:tcPr>
                  <w:tcW w:w="1223" w:type="pct"/>
                  <w:gridSpan w:val="2"/>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锌（以总锌计）</w:t>
                  </w:r>
                </w:p>
              </w:tc>
              <w:tc>
                <w:tcPr>
                  <w:tcW w:w="621" w:type="pct"/>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mg/L</w:t>
                  </w:r>
                </w:p>
              </w:tc>
              <w:tc>
                <w:tcPr>
                  <w:tcW w:w="919" w:type="pct"/>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0.004L</w:t>
                  </w:r>
                </w:p>
              </w:tc>
              <w:tc>
                <w:tcPr>
                  <w:tcW w:w="1894" w:type="pct"/>
                  <w:gridSpan w:val="2"/>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42" w:type="pct"/>
                  <w:noWrap w:val="0"/>
                  <w:vAlign w:val="center"/>
                </w:tcPr>
                <w:p>
                  <w:pPr>
                    <w:pStyle w:val="8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w:t>
                  </w:r>
                </w:p>
              </w:tc>
              <w:tc>
                <w:tcPr>
                  <w:tcW w:w="1223" w:type="pct"/>
                  <w:gridSpan w:val="2"/>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镉（以总镉计）</w:t>
                  </w:r>
                </w:p>
              </w:tc>
              <w:tc>
                <w:tcPr>
                  <w:tcW w:w="621" w:type="pct"/>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mg/L</w:t>
                  </w:r>
                </w:p>
              </w:tc>
              <w:tc>
                <w:tcPr>
                  <w:tcW w:w="919" w:type="pct"/>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0.0012L</w:t>
                  </w:r>
                </w:p>
              </w:tc>
              <w:tc>
                <w:tcPr>
                  <w:tcW w:w="1894" w:type="pct"/>
                  <w:gridSpan w:val="2"/>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42" w:type="pct"/>
                  <w:noWrap w:val="0"/>
                  <w:vAlign w:val="center"/>
                </w:tcPr>
                <w:p>
                  <w:pPr>
                    <w:pStyle w:val="8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w:t>
                  </w:r>
                </w:p>
              </w:tc>
              <w:tc>
                <w:tcPr>
                  <w:tcW w:w="1223" w:type="pct"/>
                  <w:gridSpan w:val="2"/>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铅（以总铅计）</w:t>
                  </w:r>
                </w:p>
              </w:tc>
              <w:tc>
                <w:tcPr>
                  <w:tcW w:w="621" w:type="pct"/>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mg/L</w:t>
                  </w:r>
                </w:p>
              </w:tc>
              <w:tc>
                <w:tcPr>
                  <w:tcW w:w="919" w:type="pct"/>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0.0042L</w:t>
                  </w:r>
                </w:p>
              </w:tc>
              <w:tc>
                <w:tcPr>
                  <w:tcW w:w="1894" w:type="pct"/>
                  <w:gridSpan w:val="2"/>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42" w:type="pct"/>
                  <w:noWrap w:val="0"/>
                  <w:vAlign w:val="center"/>
                </w:tcPr>
                <w:p>
                  <w:pPr>
                    <w:pStyle w:val="8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w:t>
                  </w:r>
                </w:p>
              </w:tc>
              <w:tc>
                <w:tcPr>
                  <w:tcW w:w="1223" w:type="pct"/>
                  <w:gridSpan w:val="2"/>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总铬</w:t>
                  </w:r>
                </w:p>
              </w:tc>
              <w:tc>
                <w:tcPr>
                  <w:tcW w:w="621"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rPr>
                    <w:t>mg/L</w:t>
                  </w:r>
                </w:p>
              </w:tc>
              <w:tc>
                <w:tcPr>
                  <w:tcW w:w="919"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0.03L</w:t>
                  </w:r>
                </w:p>
              </w:tc>
              <w:tc>
                <w:tcPr>
                  <w:tcW w:w="1894" w:type="pct"/>
                  <w:gridSpan w:val="2"/>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15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42" w:type="pct"/>
                  <w:noWrap w:val="0"/>
                  <w:vAlign w:val="center"/>
                </w:tcPr>
                <w:p>
                  <w:pPr>
                    <w:pStyle w:val="8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w:t>
                  </w:r>
                </w:p>
              </w:tc>
              <w:tc>
                <w:tcPr>
                  <w:tcW w:w="1223" w:type="pct"/>
                  <w:gridSpan w:val="2"/>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rPr>
                    <w:t>铬（六价）</w:t>
                  </w:r>
                </w:p>
              </w:tc>
              <w:tc>
                <w:tcPr>
                  <w:tcW w:w="621"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rPr>
                    <w:t>mg/L</w:t>
                  </w:r>
                </w:p>
              </w:tc>
              <w:tc>
                <w:tcPr>
                  <w:tcW w:w="919"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0.028</w:t>
                  </w:r>
                </w:p>
              </w:tc>
              <w:tc>
                <w:tcPr>
                  <w:tcW w:w="1894" w:type="pct"/>
                  <w:gridSpan w:val="2"/>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42" w:type="pct"/>
                  <w:vMerge w:val="restart"/>
                  <w:noWrap w:val="0"/>
                  <w:vAlign w:val="center"/>
                </w:tcPr>
                <w:p>
                  <w:pPr>
                    <w:pStyle w:val="8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w:t>
                  </w:r>
                </w:p>
              </w:tc>
              <w:tc>
                <w:tcPr>
                  <w:tcW w:w="547" w:type="pct"/>
                  <w:vMerge w:val="restar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烷基汞</w:t>
                  </w:r>
                </w:p>
              </w:tc>
              <w:tc>
                <w:tcPr>
                  <w:tcW w:w="676"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甲基汞</w:t>
                  </w:r>
                </w:p>
              </w:tc>
              <w:tc>
                <w:tcPr>
                  <w:tcW w:w="621"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n</w:t>
                  </w:r>
                  <w:r>
                    <w:rPr>
                      <w:rFonts w:hint="default" w:ascii="Times New Roman" w:hAnsi="Times New Roman" w:eastAsia="宋体" w:cs="Times New Roman"/>
                      <w:color w:val="auto"/>
                      <w:sz w:val="21"/>
                      <w:szCs w:val="21"/>
                      <w:highlight w:val="none"/>
                    </w:rPr>
                    <w:t>g/L</w:t>
                  </w:r>
                </w:p>
              </w:tc>
              <w:tc>
                <w:tcPr>
                  <w:tcW w:w="919"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0.08</w:t>
                  </w:r>
                </w:p>
              </w:tc>
              <w:tc>
                <w:tcPr>
                  <w:tcW w:w="661" w:type="pct"/>
                  <w:vMerge w:val="restar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不得检出</w:t>
                  </w:r>
                </w:p>
              </w:tc>
              <w:tc>
                <w:tcPr>
                  <w:tcW w:w="1232"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甲基汞&lt;10ng/L</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42" w:type="pct"/>
                  <w:vMerge w:val="continue"/>
                  <w:noWrap w:val="0"/>
                  <w:vAlign w:val="center"/>
                </w:tcPr>
                <w:p>
                  <w:pPr>
                    <w:pStyle w:val="8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547" w:type="pct"/>
                  <w:vMerge w:val="continue"/>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p>
              </w:tc>
              <w:tc>
                <w:tcPr>
                  <w:tcW w:w="676"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乙基汞</w:t>
                  </w:r>
                </w:p>
              </w:tc>
              <w:tc>
                <w:tcPr>
                  <w:tcW w:w="621"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ng/L</w:t>
                  </w:r>
                </w:p>
              </w:tc>
              <w:tc>
                <w:tcPr>
                  <w:tcW w:w="919"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0.10</w:t>
                  </w:r>
                </w:p>
              </w:tc>
              <w:tc>
                <w:tcPr>
                  <w:tcW w:w="661" w:type="pct"/>
                  <w:vMerge w:val="continue"/>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p>
              </w:tc>
              <w:tc>
                <w:tcPr>
                  <w:tcW w:w="1232"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乙基汞&lt;20ng/L</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42" w:type="pct"/>
                  <w:noWrap w:val="0"/>
                  <w:vAlign w:val="center"/>
                </w:tcPr>
                <w:p>
                  <w:pPr>
                    <w:pStyle w:val="8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w:t>
                  </w:r>
                </w:p>
              </w:tc>
              <w:tc>
                <w:tcPr>
                  <w:tcW w:w="1223" w:type="pct"/>
                  <w:gridSpan w:val="2"/>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rPr>
                    <w:t>汞（以总汞计）</w:t>
                  </w:r>
                </w:p>
              </w:tc>
              <w:tc>
                <w:tcPr>
                  <w:tcW w:w="621"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rPr>
                    <w:t>mg/L</w:t>
                  </w:r>
                </w:p>
              </w:tc>
              <w:tc>
                <w:tcPr>
                  <w:tcW w:w="919"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0.00002L</w:t>
                  </w:r>
                </w:p>
              </w:tc>
              <w:tc>
                <w:tcPr>
                  <w:tcW w:w="1894" w:type="pct"/>
                  <w:gridSpan w:val="2"/>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rPr>
                    <w:t>0.1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42" w:type="pct"/>
                  <w:noWrap w:val="0"/>
                  <w:vAlign w:val="center"/>
                </w:tcPr>
                <w:p>
                  <w:pPr>
                    <w:pStyle w:val="8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w:t>
                  </w:r>
                </w:p>
              </w:tc>
              <w:tc>
                <w:tcPr>
                  <w:tcW w:w="1223" w:type="pct"/>
                  <w:gridSpan w:val="2"/>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铍（以总铍计）</w:t>
                  </w:r>
                </w:p>
              </w:tc>
              <w:tc>
                <w:tcPr>
                  <w:tcW w:w="621"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rPr>
                    <w:t>mg/L</w:t>
                  </w:r>
                </w:p>
              </w:tc>
              <w:tc>
                <w:tcPr>
                  <w:tcW w:w="919"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0.0007L</w:t>
                  </w:r>
                </w:p>
              </w:tc>
              <w:tc>
                <w:tcPr>
                  <w:tcW w:w="1894" w:type="pct"/>
                  <w:gridSpan w:val="2"/>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0.02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42" w:type="pct"/>
                  <w:noWrap w:val="0"/>
                  <w:vAlign w:val="center"/>
                </w:tcPr>
                <w:p>
                  <w:pPr>
                    <w:pStyle w:val="8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w:t>
                  </w:r>
                </w:p>
              </w:tc>
              <w:tc>
                <w:tcPr>
                  <w:tcW w:w="1223" w:type="pct"/>
                  <w:gridSpan w:val="2"/>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钡（以总钡计）</w:t>
                  </w:r>
                </w:p>
              </w:tc>
              <w:tc>
                <w:tcPr>
                  <w:tcW w:w="621"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rPr>
                    <w:t>mg/L</w:t>
                  </w:r>
                </w:p>
              </w:tc>
              <w:tc>
                <w:tcPr>
                  <w:tcW w:w="919"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0.002L</w:t>
                  </w:r>
                </w:p>
              </w:tc>
              <w:tc>
                <w:tcPr>
                  <w:tcW w:w="1894" w:type="pct"/>
                  <w:gridSpan w:val="2"/>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42" w:type="pct"/>
                  <w:noWrap w:val="0"/>
                  <w:vAlign w:val="center"/>
                </w:tcPr>
                <w:p>
                  <w:pPr>
                    <w:pStyle w:val="8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12</w:t>
                  </w:r>
                </w:p>
              </w:tc>
              <w:tc>
                <w:tcPr>
                  <w:tcW w:w="1223" w:type="pct"/>
                  <w:gridSpan w:val="2"/>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镍（以总镍计）</w:t>
                  </w:r>
                </w:p>
              </w:tc>
              <w:tc>
                <w:tcPr>
                  <w:tcW w:w="621"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mg/L</w:t>
                  </w:r>
                </w:p>
              </w:tc>
              <w:tc>
                <w:tcPr>
                  <w:tcW w:w="919"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0.0239</w:t>
                  </w:r>
                </w:p>
              </w:tc>
              <w:tc>
                <w:tcPr>
                  <w:tcW w:w="1894" w:type="pct"/>
                  <w:gridSpan w:val="2"/>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42"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13</w:t>
                  </w:r>
                </w:p>
              </w:tc>
              <w:tc>
                <w:tcPr>
                  <w:tcW w:w="1223" w:type="pct"/>
                  <w:gridSpan w:val="2"/>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总银</w:t>
                  </w:r>
                </w:p>
              </w:tc>
              <w:tc>
                <w:tcPr>
                  <w:tcW w:w="621"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mg/L</w:t>
                  </w:r>
                </w:p>
              </w:tc>
              <w:tc>
                <w:tcPr>
                  <w:tcW w:w="919"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0.02L</w:t>
                  </w:r>
                </w:p>
              </w:tc>
              <w:tc>
                <w:tcPr>
                  <w:tcW w:w="1894" w:type="pct"/>
                  <w:gridSpan w:val="2"/>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42"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w:t>
                  </w:r>
                </w:p>
              </w:tc>
              <w:tc>
                <w:tcPr>
                  <w:tcW w:w="1223" w:type="pct"/>
                  <w:gridSpan w:val="2"/>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砷（以总砷计）</w:t>
                  </w:r>
                </w:p>
              </w:tc>
              <w:tc>
                <w:tcPr>
                  <w:tcW w:w="621"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mg/L</w:t>
                  </w:r>
                </w:p>
              </w:tc>
              <w:tc>
                <w:tcPr>
                  <w:tcW w:w="919"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0.10L</w:t>
                  </w:r>
                </w:p>
              </w:tc>
              <w:tc>
                <w:tcPr>
                  <w:tcW w:w="1894" w:type="pct"/>
                  <w:gridSpan w:val="2"/>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42"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15</w:t>
                  </w:r>
                </w:p>
              </w:tc>
              <w:tc>
                <w:tcPr>
                  <w:tcW w:w="1223" w:type="pct"/>
                  <w:gridSpan w:val="2"/>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硒（以总硒计）</w:t>
                  </w:r>
                </w:p>
              </w:tc>
              <w:tc>
                <w:tcPr>
                  <w:tcW w:w="621"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mg/L</w:t>
                  </w:r>
                </w:p>
              </w:tc>
              <w:tc>
                <w:tcPr>
                  <w:tcW w:w="919"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0.1L</w:t>
                  </w:r>
                </w:p>
              </w:tc>
              <w:tc>
                <w:tcPr>
                  <w:tcW w:w="1894" w:type="pct"/>
                  <w:gridSpan w:val="2"/>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42"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16</w:t>
                  </w:r>
                </w:p>
              </w:tc>
              <w:tc>
                <w:tcPr>
                  <w:tcW w:w="1223" w:type="pct"/>
                  <w:gridSpan w:val="2"/>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无机氟化物（不包括氟化钙）</w:t>
                  </w:r>
                </w:p>
              </w:tc>
              <w:tc>
                <w:tcPr>
                  <w:tcW w:w="621"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mg/</w:t>
                  </w:r>
                  <w:r>
                    <w:rPr>
                      <w:rFonts w:hint="default" w:ascii="Times New Roman" w:hAnsi="Times New Roman" w:eastAsia="宋体" w:cs="Times New Roman"/>
                      <w:color w:val="auto"/>
                      <w:sz w:val="21"/>
                      <w:szCs w:val="21"/>
                      <w:highlight w:val="none"/>
                      <w:lang w:val="en-US" w:eastAsia="zh-CN"/>
                    </w:rPr>
                    <w:t>L</w:t>
                  </w:r>
                </w:p>
              </w:tc>
              <w:tc>
                <w:tcPr>
                  <w:tcW w:w="919"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0.219</w:t>
                  </w:r>
                </w:p>
              </w:tc>
              <w:tc>
                <w:tcPr>
                  <w:tcW w:w="1894" w:type="pct"/>
                  <w:gridSpan w:val="2"/>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42" w:type="pct"/>
                  <w:noWrap w:val="0"/>
                  <w:vAlign w:val="center"/>
                </w:tcPr>
                <w:p>
                  <w:pPr>
                    <w:pStyle w:val="8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17</w:t>
                  </w:r>
                </w:p>
              </w:tc>
              <w:tc>
                <w:tcPr>
                  <w:tcW w:w="1223" w:type="pct"/>
                  <w:gridSpan w:val="2"/>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氰化物（以CN</w:t>
                  </w:r>
                  <w:r>
                    <w:rPr>
                      <w:rFonts w:hint="default" w:ascii="Times New Roman" w:hAnsi="Times New Roman" w:eastAsia="宋体" w:cs="Times New Roman"/>
                      <w:color w:val="auto"/>
                      <w:sz w:val="21"/>
                      <w:szCs w:val="21"/>
                      <w:highlight w:val="none"/>
                      <w:vertAlign w:val="superscript"/>
                      <w:lang w:val="en-US" w:eastAsia="zh-CN"/>
                    </w:rPr>
                    <w:t>-</w:t>
                  </w:r>
                  <w:r>
                    <w:rPr>
                      <w:rFonts w:hint="default" w:ascii="Times New Roman" w:hAnsi="Times New Roman" w:eastAsia="宋体" w:cs="Times New Roman"/>
                      <w:color w:val="auto"/>
                      <w:sz w:val="21"/>
                      <w:szCs w:val="21"/>
                      <w:highlight w:val="none"/>
                      <w:lang w:val="en-US" w:eastAsia="zh-CN"/>
                    </w:rPr>
                    <w:t>计）</w:t>
                  </w:r>
                </w:p>
              </w:tc>
              <w:tc>
                <w:tcPr>
                  <w:tcW w:w="621"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mg/L</w:t>
                  </w:r>
                </w:p>
              </w:tc>
              <w:tc>
                <w:tcPr>
                  <w:tcW w:w="919" w:type="pct"/>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0.046</w:t>
                  </w:r>
                </w:p>
              </w:tc>
              <w:tc>
                <w:tcPr>
                  <w:tcW w:w="1894" w:type="pct"/>
                  <w:gridSpan w:val="2"/>
                  <w:shd w:val="clear" w:color="auto" w:fill="auto"/>
                  <w:noWrap w:val="0"/>
                  <w:vAlign w:val="center"/>
                </w:tcPr>
                <w:p>
                  <w:pPr>
                    <w:pStyle w:val="87"/>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r>
          </w:tbl>
          <w:p>
            <w:pPr>
              <w:keepNext w:val="0"/>
              <w:keepLines w:val="0"/>
              <w:pageBreakBefore w:val="0"/>
              <w:widowControl w:val="0"/>
              <w:kinsoku/>
              <w:wordWrap/>
              <w:overflowPunct/>
              <w:topLinePunct w:val="0"/>
              <w:autoSpaceDE/>
              <w:autoSpaceDN/>
              <w:bidi w:val="0"/>
              <w:adjustRightInd/>
              <w:snapToGrid/>
              <w:spacing w:line="500" w:lineRule="exact"/>
              <w:ind w:firstLine="456" w:firstLineChars="195"/>
              <w:textAlignment w:val="auto"/>
              <w:rPr>
                <w:rFonts w:hint="default" w:ascii="Times New Roman" w:hAnsi="Times New Roman" w:eastAsia="宋体" w:cs="Times New Roman"/>
                <w:b w:val="0"/>
                <w:bCs w:val="0"/>
                <w:color w:val="auto"/>
                <w:spacing w:val="-3"/>
                <w:sz w:val="24"/>
                <w:szCs w:val="24"/>
                <w:lang w:val="en-US" w:eastAsia="zh-CN"/>
              </w:rPr>
            </w:pPr>
            <w:r>
              <w:rPr>
                <w:rFonts w:hint="default" w:ascii="Times New Roman" w:hAnsi="Times New Roman" w:eastAsia="宋体" w:cs="Times New Roman"/>
                <w:b w:val="0"/>
                <w:bCs w:val="0"/>
                <w:color w:val="auto"/>
                <w:spacing w:val="-3"/>
                <w:sz w:val="24"/>
                <w:szCs w:val="24"/>
                <w:lang w:val="en-US" w:eastAsia="zh-CN"/>
              </w:rPr>
              <w:t>由上表可知，尾矿浸出液各项分析指标均小于《危险废物鉴别标准浸出毒性鉴别》（GB5058.3-2007）中的各项指标，而且未超过污水综合排放标准中最高允许排放浓度，pH值在6~9之间，判定尾矿属于Ⅰ类一般工业固体废物。</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cs="Times New Roman"/>
                <w:color w:val="auto"/>
                <w:sz w:val="24"/>
                <w:lang w:val="en-US" w:eastAsia="zh-CN"/>
              </w:rPr>
            </w:pPr>
            <w:r>
              <w:rPr>
                <w:rFonts w:hint="eastAsia" w:cs="Times New Roman"/>
                <w:color w:val="auto"/>
                <w:sz w:val="24"/>
                <w:lang w:val="en-US" w:eastAsia="zh-CN"/>
              </w:rPr>
              <w:t>（7）</w:t>
            </w:r>
            <w:r>
              <w:rPr>
                <w:rFonts w:hint="default" w:ascii="Times New Roman" w:hAnsi="Times New Roman" w:cs="Times New Roman"/>
                <w:color w:val="auto"/>
                <w:sz w:val="24"/>
                <w:lang w:val="en-US" w:eastAsia="zh-CN"/>
              </w:rPr>
              <w:t>库区长期堆存重金属迁移趋势分析</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现有尾矿库堆存的金锑矿选矿尾渣，特征重金属因子</w:t>
            </w:r>
            <w:r>
              <w:rPr>
                <w:rFonts w:hint="eastAsia" w:cs="Times New Roman"/>
                <w:color w:val="auto"/>
                <w:sz w:val="24"/>
                <w:lang w:val="en-US" w:eastAsia="zh-CN"/>
              </w:rPr>
              <w:t>主要</w:t>
            </w:r>
            <w:r>
              <w:rPr>
                <w:rFonts w:hint="default" w:ascii="Times New Roman" w:hAnsi="Times New Roman" w:cs="Times New Roman"/>
                <w:color w:val="auto"/>
                <w:sz w:val="24"/>
                <w:lang w:val="en-US" w:eastAsia="zh-CN"/>
              </w:rPr>
              <w:t>为锑，伴生少量铜、铅、锌等重金属元素。尾矿库长期堆存过程中，</w:t>
            </w:r>
            <w:r>
              <w:rPr>
                <w:rFonts w:hint="eastAsia" w:cs="Times New Roman"/>
                <w:color w:val="auto"/>
                <w:sz w:val="24"/>
                <w:lang w:val="en-US" w:eastAsia="zh-CN"/>
              </w:rPr>
              <w:t>重金属迁移主要为垂向淋溶迁移、地表径流迁移、风蚀扬尘迁移等。</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根据企业2026年6月委托河南黄金产业技术研究院有限公司出具的尾矿多元素分析结果，尾矿中锑平均品位约0.02%，绝大多数重金属以硅酸盐结合态、硫化物结合态等稳定晶格形态赋存，水溶态、可交换态等易迁移形态占比极低。</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cs="Times New Roman"/>
                <w:color w:val="auto"/>
                <w:sz w:val="24"/>
                <w:lang w:val="en-US" w:eastAsia="zh-CN"/>
              </w:rPr>
            </w:pPr>
            <w:r>
              <w:rPr>
                <w:rFonts w:hint="eastAsia" w:cs="Times New Roman"/>
                <w:color w:val="auto"/>
                <w:sz w:val="24"/>
                <w:lang w:val="en-US" w:eastAsia="zh-CN"/>
              </w:rPr>
              <w:t>项目区属暖温带大陆性干旱荒漠气候，年降水量18.6mm，年蒸发量为2507mm，是降水量的135倍，大部分降水落地后快速蒸发，难以形成持续、稳定的淋溶水流。库区包气带上部为厚度大于16m的粉土层，属弱透水层，具有较强截留净化作用，经过厚层包气带的多级阻隔，难以穿透包气带到达下部潜水含水层。</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现有尾矿库为山谷型一次筑坝不透水土坝，配套建设坝肩溢洪道</w:t>
            </w:r>
            <w:r>
              <w:rPr>
                <w:rFonts w:hint="eastAsia" w:cs="Times New Roman"/>
                <w:color w:val="auto"/>
                <w:sz w:val="24"/>
                <w:lang w:val="en-US" w:eastAsia="zh-CN"/>
              </w:rPr>
              <w:t>、</w:t>
            </w:r>
            <w:r>
              <w:rPr>
                <w:rFonts w:hint="default" w:ascii="Times New Roman" w:hAnsi="Times New Roman" w:cs="Times New Roman"/>
                <w:color w:val="auto"/>
                <w:sz w:val="24"/>
                <w:lang w:val="en-US" w:eastAsia="zh-CN"/>
              </w:rPr>
              <w:t>泄洪渠</w:t>
            </w:r>
            <w:r>
              <w:rPr>
                <w:rFonts w:hint="eastAsia" w:cs="Times New Roman"/>
                <w:color w:val="auto"/>
                <w:sz w:val="24"/>
                <w:lang w:val="en-US" w:eastAsia="zh-CN"/>
              </w:rPr>
              <w:t>、</w:t>
            </w:r>
            <w:r>
              <w:rPr>
                <w:rFonts w:hint="default" w:ascii="Times New Roman" w:hAnsi="Times New Roman" w:cs="Times New Roman"/>
                <w:color w:val="auto"/>
                <w:sz w:val="24"/>
                <w:lang w:val="en-US" w:eastAsia="zh-CN"/>
              </w:rPr>
              <w:t>集水池的完整排洪系统，可有效导排库区汇水，减少雨水在库区的滞留入渗量</w:t>
            </w:r>
            <w:r>
              <w:rPr>
                <w:rFonts w:hint="eastAsia" w:cs="Times New Roman"/>
                <w:color w:val="auto"/>
                <w:sz w:val="24"/>
                <w:lang w:val="en-US" w:eastAsia="zh-CN"/>
              </w:rPr>
              <w:t>。</w:t>
            </w:r>
            <w:r>
              <w:rPr>
                <w:rFonts w:hint="default" w:ascii="Times New Roman" w:hAnsi="Times New Roman" w:cs="Times New Roman"/>
                <w:color w:val="auto"/>
                <w:sz w:val="24"/>
                <w:lang w:val="en-US" w:eastAsia="zh-CN"/>
              </w:rPr>
              <w:t>长期堆存过程中，仅极端暴雨可能产生少量坝面溢流，但受下游沟谷截留、包气带下渗共同作用，重金属无法到达700m外的喀拉米兰河，对地表水环境的影响可忽略。尾矿采用湿法堆存，正常运行期干滩面积小、</w:t>
            </w:r>
            <w:r>
              <w:rPr>
                <w:rFonts w:hint="eastAsia" w:ascii="Times New Roman" w:hAnsi="Times New Roman" w:cs="Times New Roman"/>
                <w:color w:val="auto"/>
                <w:sz w:val="24"/>
                <w:lang w:val="en-US" w:eastAsia="zh-CN"/>
              </w:rPr>
              <w:t>通过采取洒水抑尘</w:t>
            </w:r>
            <w:r>
              <w:rPr>
                <w:rFonts w:hint="default" w:ascii="Times New Roman" w:hAnsi="Times New Roman" w:cs="Times New Roman"/>
                <w:color w:val="auto"/>
                <w:sz w:val="24"/>
                <w:lang w:val="en-US" w:eastAsia="zh-CN"/>
              </w:rPr>
              <w:t>，可有效抑制风蚀起尘。</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根据2026年4月尾矿库周边地下水、土壤现状监测结果：尾矿库下游地下水各因子均满足《地下水质量标准》（GB/T14848-2017）Ⅲ类标准；库区周边土壤重金属含量均低于《土壤环境质量建设用地土壤污染风险管控标准（试行）》（GB36600-2018）二类用地筛选值。该结果</w:t>
            </w:r>
            <w:r>
              <w:rPr>
                <w:rFonts w:hint="eastAsia" w:cs="Times New Roman"/>
                <w:color w:val="auto"/>
                <w:sz w:val="24"/>
                <w:lang w:val="en-US" w:eastAsia="zh-CN"/>
              </w:rPr>
              <w:t>说明</w:t>
            </w:r>
            <w:r>
              <w:rPr>
                <w:rFonts w:hint="default" w:ascii="Times New Roman" w:hAnsi="Times New Roman" w:cs="Times New Roman"/>
                <w:color w:val="auto"/>
                <w:sz w:val="24"/>
                <w:lang w:val="en-US" w:eastAsia="zh-CN"/>
              </w:rPr>
              <w:t>尾矿库自2019年投运近7年来，重金属实际迁移量极低，未造成周边环境介质的重金属超标累积</w:t>
            </w:r>
            <w:r>
              <w:rPr>
                <w:rFonts w:hint="eastAsia" w:cs="Times New Roman"/>
                <w:color w:val="auto"/>
                <w:sz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5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b/>
                <w:bCs/>
                <w:color w:val="auto"/>
                <w:spacing w:val="-3"/>
                <w:sz w:val="24"/>
                <w:szCs w:val="24"/>
                <w:lang w:val="en-US" w:eastAsia="zh-CN"/>
              </w:rPr>
              <w:t>4</w:t>
            </w:r>
            <w:r>
              <w:rPr>
                <w:rFonts w:hint="default" w:ascii="Times New Roman" w:hAnsi="Times New Roman" w:eastAsia="宋体" w:cs="Times New Roman"/>
                <w:b/>
                <w:bCs/>
                <w:color w:val="auto"/>
                <w:spacing w:val="-3"/>
                <w:sz w:val="24"/>
                <w:szCs w:val="24"/>
                <w:lang w:val="en-US" w:eastAsia="zh-CN"/>
              </w:rPr>
              <w:t xml:space="preserve"> 现有工程污染物排放</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lang w:val="en-US" w:eastAsia="zh-CN"/>
              </w:rPr>
            </w:pPr>
            <w:r>
              <w:rPr>
                <w:rFonts w:hint="default" w:ascii="Times New Roman" w:hAnsi="Times New Roman" w:eastAsia="宋体" w:cs="Times New Roman"/>
                <w:color w:val="auto"/>
                <w:spacing w:val="1"/>
                <w:sz w:val="24"/>
                <w:szCs w:val="24"/>
                <w:lang w:val="en-US" w:eastAsia="zh-CN"/>
              </w:rPr>
              <w:t>现有工程的污染源调查依据且末县邦泰矿业投资有限公司2025年常规监测报告。</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lang w:val="en-US" w:eastAsia="zh-CN"/>
              </w:rPr>
            </w:pPr>
            <w:r>
              <w:rPr>
                <w:rFonts w:hint="default" w:ascii="Times New Roman" w:hAnsi="Times New Roman" w:cs="Times New Roman"/>
                <w:color w:val="auto"/>
                <w:spacing w:val="1"/>
                <w:sz w:val="24"/>
                <w:szCs w:val="24"/>
                <w:lang w:val="en-US" w:eastAsia="zh-CN"/>
              </w:rPr>
              <w:t>（</w:t>
            </w:r>
            <w:r>
              <w:rPr>
                <w:rFonts w:hint="default" w:ascii="Times New Roman" w:hAnsi="Times New Roman" w:eastAsia="宋体" w:cs="Times New Roman"/>
                <w:color w:val="auto"/>
                <w:spacing w:val="1"/>
                <w:sz w:val="24"/>
                <w:szCs w:val="24"/>
                <w:lang w:val="en-US" w:eastAsia="zh-CN"/>
              </w:rPr>
              <w:t>一</w:t>
            </w:r>
            <w:r>
              <w:rPr>
                <w:rFonts w:hint="default" w:ascii="Times New Roman" w:hAnsi="Times New Roman" w:cs="Times New Roman"/>
                <w:color w:val="auto"/>
                <w:spacing w:val="1"/>
                <w:sz w:val="24"/>
                <w:szCs w:val="24"/>
                <w:lang w:val="en-US" w:eastAsia="zh-CN"/>
              </w:rPr>
              <w:t>）</w:t>
            </w:r>
            <w:r>
              <w:rPr>
                <w:rFonts w:hint="default" w:ascii="Times New Roman" w:hAnsi="Times New Roman" w:eastAsia="宋体" w:cs="Times New Roman"/>
                <w:color w:val="auto"/>
                <w:spacing w:val="1"/>
                <w:sz w:val="24"/>
                <w:szCs w:val="24"/>
                <w:lang w:val="en-US" w:eastAsia="zh-CN"/>
              </w:rPr>
              <w:t>废水</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lang w:val="en-US" w:eastAsia="zh-CN"/>
              </w:rPr>
            </w:pPr>
            <w:r>
              <w:rPr>
                <w:rFonts w:hint="default" w:ascii="Times New Roman" w:hAnsi="Times New Roman" w:eastAsia="宋体" w:cs="Times New Roman"/>
                <w:color w:val="auto"/>
                <w:spacing w:val="1"/>
                <w:sz w:val="24"/>
                <w:szCs w:val="24"/>
                <w:lang w:val="en-US" w:eastAsia="zh-CN"/>
              </w:rPr>
              <w:t>本项目生产废水由循环水系统处理后回用于生产，不外排。项目</w:t>
            </w:r>
            <w:r>
              <w:rPr>
                <w:rFonts w:hint="eastAsia" w:cs="Times New Roman"/>
                <w:color w:val="auto"/>
                <w:spacing w:val="1"/>
                <w:sz w:val="24"/>
                <w:szCs w:val="24"/>
                <w:lang w:val="en-US" w:eastAsia="zh-CN"/>
              </w:rPr>
              <w:t>现有</w:t>
            </w:r>
            <w:r>
              <w:rPr>
                <w:rFonts w:hint="default" w:ascii="Times New Roman" w:hAnsi="Times New Roman" w:eastAsia="宋体" w:cs="Times New Roman"/>
                <w:color w:val="auto"/>
                <w:spacing w:val="1"/>
                <w:sz w:val="24"/>
                <w:szCs w:val="24"/>
                <w:lang w:val="en-US" w:eastAsia="zh-CN"/>
              </w:rPr>
              <w:t>生活污水</w:t>
            </w:r>
            <w:r>
              <w:rPr>
                <w:rFonts w:hint="default" w:ascii="Times New Roman" w:hAnsi="Times New Roman" w:cs="Times New Roman"/>
                <w:color w:val="auto"/>
                <w:spacing w:val="1"/>
                <w:sz w:val="24"/>
                <w:szCs w:val="24"/>
                <w:lang w:val="en-US" w:eastAsia="zh-CN"/>
              </w:rPr>
              <w:t>产生量约1729.5m³/a，经</w:t>
            </w:r>
            <w:r>
              <w:rPr>
                <w:rFonts w:hint="default" w:ascii="Times New Roman" w:hAnsi="Times New Roman" w:eastAsia="宋体" w:cs="Times New Roman"/>
                <w:color w:val="auto"/>
                <w:spacing w:val="1"/>
                <w:sz w:val="24"/>
                <w:szCs w:val="24"/>
                <w:lang w:val="en-US" w:eastAsia="zh-CN"/>
              </w:rPr>
              <w:t>地埋式一体化污水处理</w:t>
            </w:r>
            <w:r>
              <w:rPr>
                <w:rFonts w:hint="default" w:ascii="Times New Roman" w:hAnsi="Times New Roman" w:cs="Times New Roman"/>
                <w:color w:val="auto"/>
                <w:spacing w:val="1"/>
                <w:sz w:val="24"/>
                <w:szCs w:val="24"/>
                <w:lang w:val="en-US" w:eastAsia="zh-CN"/>
              </w:rPr>
              <w:t>设施</w:t>
            </w:r>
            <w:r>
              <w:rPr>
                <w:rFonts w:hint="eastAsia" w:cs="Times New Roman"/>
                <w:color w:val="auto"/>
                <w:spacing w:val="1"/>
                <w:sz w:val="24"/>
                <w:szCs w:val="24"/>
                <w:lang w:val="en-US" w:eastAsia="zh-CN"/>
              </w:rPr>
              <w:t>（处理规模40m³/d）</w:t>
            </w:r>
            <w:r>
              <w:rPr>
                <w:rFonts w:hint="default" w:ascii="Times New Roman" w:hAnsi="Times New Roman" w:cs="Times New Roman"/>
                <w:color w:val="auto"/>
                <w:spacing w:val="1"/>
                <w:sz w:val="24"/>
                <w:szCs w:val="24"/>
                <w:lang w:val="en-US" w:eastAsia="zh-CN"/>
              </w:rPr>
              <w:t>处理后</w:t>
            </w:r>
            <w:r>
              <w:rPr>
                <w:rFonts w:hint="default" w:ascii="Times New Roman" w:hAnsi="Times New Roman" w:eastAsia="宋体" w:cs="Times New Roman"/>
                <w:color w:val="auto"/>
                <w:spacing w:val="1"/>
                <w:sz w:val="24"/>
                <w:szCs w:val="24"/>
                <w:lang w:val="en-US" w:eastAsia="zh-CN"/>
              </w:rPr>
              <w:t>用于</w:t>
            </w:r>
            <w:r>
              <w:rPr>
                <w:rFonts w:hint="default" w:ascii="Times New Roman" w:hAnsi="Times New Roman" w:cs="Times New Roman"/>
                <w:color w:val="auto"/>
                <w:spacing w:val="1"/>
                <w:sz w:val="24"/>
                <w:szCs w:val="24"/>
                <w:lang w:val="en-US" w:eastAsia="zh-CN"/>
              </w:rPr>
              <w:t>项目区</w:t>
            </w:r>
            <w:r>
              <w:rPr>
                <w:rFonts w:hint="default" w:ascii="Times New Roman" w:hAnsi="Times New Roman" w:eastAsia="宋体" w:cs="Times New Roman"/>
                <w:color w:val="auto"/>
                <w:spacing w:val="1"/>
                <w:sz w:val="24"/>
                <w:szCs w:val="24"/>
                <w:lang w:val="en-US" w:eastAsia="zh-CN"/>
              </w:rPr>
              <w:t>绿化</w:t>
            </w:r>
            <w:r>
              <w:rPr>
                <w:rFonts w:hint="default" w:ascii="Times New Roman" w:hAnsi="Times New Roman" w:cs="Times New Roman"/>
                <w:color w:val="auto"/>
                <w:spacing w:val="1"/>
                <w:sz w:val="24"/>
                <w:szCs w:val="24"/>
                <w:lang w:val="en-US" w:eastAsia="zh-CN"/>
              </w:rPr>
              <w:t>及洒水降尘</w:t>
            </w:r>
            <w:r>
              <w:rPr>
                <w:rFonts w:hint="default" w:ascii="Times New Roman" w:hAnsi="Times New Roman" w:eastAsia="宋体" w:cs="Times New Roman"/>
                <w:color w:val="auto"/>
                <w:spacing w:val="1"/>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lang w:val="en-US" w:eastAsia="zh-CN"/>
              </w:rPr>
            </w:pPr>
            <w:r>
              <w:rPr>
                <w:rFonts w:hint="default" w:ascii="Times New Roman" w:hAnsi="Times New Roman" w:eastAsia="宋体" w:cs="Times New Roman"/>
                <w:color w:val="auto"/>
                <w:spacing w:val="1"/>
                <w:sz w:val="24"/>
                <w:szCs w:val="24"/>
                <w:lang w:val="en-US" w:eastAsia="zh-CN"/>
              </w:rPr>
              <w:t>企业2025年5月10日进行对</w:t>
            </w:r>
            <w:r>
              <w:rPr>
                <w:rFonts w:hint="default" w:ascii="Times New Roman" w:hAnsi="Times New Roman" w:cs="Times New Roman"/>
                <w:color w:val="auto"/>
                <w:spacing w:val="1"/>
                <w:sz w:val="24"/>
                <w:szCs w:val="24"/>
                <w:lang w:val="en-US" w:eastAsia="zh-CN"/>
              </w:rPr>
              <w:t>选矿厂生活</w:t>
            </w:r>
            <w:r>
              <w:rPr>
                <w:rFonts w:hint="default" w:ascii="Times New Roman" w:hAnsi="Times New Roman" w:eastAsia="宋体" w:cs="Times New Roman"/>
                <w:color w:val="auto"/>
                <w:spacing w:val="1"/>
                <w:sz w:val="24"/>
                <w:szCs w:val="24"/>
                <w:lang w:val="en-US" w:eastAsia="zh-CN"/>
              </w:rPr>
              <w:t>污水排污口进行</w:t>
            </w:r>
            <w:r>
              <w:rPr>
                <w:rFonts w:hint="default" w:ascii="Times New Roman" w:hAnsi="Times New Roman" w:cs="Times New Roman"/>
                <w:color w:val="auto"/>
                <w:spacing w:val="1"/>
                <w:sz w:val="24"/>
                <w:szCs w:val="24"/>
                <w:lang w:val="en-US" w:eastAsia="zh-CN"/>
              </w:rPr>
              <w:t>了常规</w:t>
            </w:r>
            <w:r>
              <w:rPr>
                <w:rFonts w:hint="default" w:ascii="Times New Roman" w:hAnsi="Times New Roman" w:eastAsia="宋体" w:cs="Times New Roman"/>
                <w:color w:val="auto"/>
                <w:spacing w:val="1"/>
                <w:sz w:val="24"/>
                <w:szCs w:val="24"/>
                <w:lang w:val="en-US" w:eastAsia="zh-CN"/>
              </w:rPr>
              <w:t>监测，废水监测结果见表</w:t>
            </w:r>
            <w:r>
              <w:rPr>
                <w:rFonts w:hint="default" w:ascii="Times New Roman" w:hAnsi="Times New Roman" w:cs="Times New Roman"/>
                <w:color w:val="auto"/>
                <w:spacing w:val="1"/>
                <w:sz w:val="24"/>
                <w:szCs w:val="24"/>
                <w:lang w:val="en-US" w:eastAsia="zh-CN"/>
              </w:rPr>
              <w:t>2-18</w:t>
            </w:r>
            <w:r>
              <w:rPr>
                <w:rFonts w:hint="default" w:ascii="Times New Roman" w:hAnsi="Times New Roman" w:eastAsia="宋体" w:cs="Times New Roman"/>
                <w:color w:val="auto"/>
                <w:spacing w:val="1"/>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0" w:firstLineChars="0"/>
              <w:jc w:val="center"/>
              <w:textAlignment w:val="auto"/>
              <w:rPr>
                <w:rFonts w:hint="default" w:ascii="Times New Roman" w:hAnsi="Times New Roman" w:eastAsia="宋体" w:cs="Times New Roman"/>
                <w:b/>
                <w:bCs w:val="0"/>
                <w:color w:val="auto"/>
                <w:szCs w:val="21"/>
                <w:lang w:val="en-US" w:eastAsia="zh-CN"/>
              </w:rPr>
            </w:pPr>
            <w:r>
              <w:rPr>
                <w:rFonts w:hint="default" w:ascii="Times New Roman" w:hAnsi="Times New Roman" w:eastAsia="宋体" w:cs="Times New Roman"/>
                <w:b/>
                <w:bCs w:val="0"/>
                <w:color w:val="auto"/>
                <w:szCs w:val="21"/>
                <w:lang w:val="en-US" w:eastAsia="zh-CN"/>
              </w:rPr>
              <w:t>表2</w:t>
            </w:r>
            <w:r>
              <w:rPr>
                <w:rFonts w:hint="default" w:ascii="Times New Roman" w:hAnsi="Times New Roman" w:cs="Times New Roman"/>
                <w:b/>
                <w:bCs w:val="0"/>
                <w:color w:val="auto"/>
                <w:szCs w:val="21"/>
                <w:lang w:val="en-US" w:eastAsia="zh-CN"/>
              </w:rPr>
              <w:t>-18</w:t>
            </w:r>
            <w:r>
              <w:rPr>
                <w:rFonts w:hint="default" w:ascii="Times New Roman" w:hAnsi="Times New Roman" w:eastAsia="宋体" w:cs="Times New Roman"/>
                <w:b/>
                <w:bCs w:val="0"/>
                <w:color w:val="auto"/>
                <w:szCs w:val="21"/>
                <w:lang w:val="en-US" w:eastAsia="zh-CN"/>
              </w:rPr>
              <w:t xml:space="preserve">        废水监测结果</w:t>
            </w:r>
          </w:p>
          <w:tbl>
            <w:tblPr>
              <w:tblStyle w:val="30"/>
              <w:tblW w:w="4998" w:type="pct"/>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294"/>
              <w:gridCol w:w="866"/>
              <w:gridCol w:w="1214"/>
              <w:gridCol w:w="3010"/>
              <w:gridCol w:w="6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25"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采样点位</w:t>
                  </w:r>
                </w:p>
              </w:tc>
              <w:tc>
                <w:tcPr>
                  <w:tcW w:w="81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检测项目</w:t>
                  </w:r>
                </w:p>
              </w:tc>
              <w:tc>
                <w:tcPr>
                  <w:tcW w:w="54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单位</w:t>
                  </w:r>
                </w:p>
              </w:tc>
              <w:tc>
                <w:tcPr>
                  <w:tcW w:w="76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检测结果</w:t>
                  </w:r>
                </w:p>
              </w:tc>
              <w:tc>
                <w:tcPr>
                  <w:tcW w:w="1901"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《污水综合排放标准》（GB8978-1996）</w:t>
                  </w:r>
                  <w:r>
                    <w:rPr>
                      <w:rFonts w:hint="default" w:ascii="Times New Roman" w:hAnsi="Times New Roman" w:cs="Times New Roman"/>
                      <w:b w:val="0"/>
                      <w:bCs/>
                      <w:color w:val="auto"/>
                      <w:highlight w:val="none"/>
                      <w:lang w:val="en-US" w:eastAsia="zh-CN"/>
                    </w:rPr>
                    <w:t>二级</w:t>
                  </w:r>
                  <w:r>
                    <w:rPr>
                      <w:rFonts w:hint="default" w:ascii="Times New Roman" w:hAnsi="Times New Roman" w:eastAsia="宋体" w:cs="Times New Roman"/>
                      <w:b w:val="0"/>
                      <w:bCs/>
                      <w:color w:val="auto"/>
                      <w:highlight w:val="none"/>
                      <w:lang w:val="en-US" w:eastAsia="zh-CN"/>
                    </w:rPr>
                    <w:t>标准限值</w:t>
                  </w:r>
                </w:p>
              </w:tc>
              <w:tc>
                <w:tcPr>
                  <w:tcW w:w="440"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5" w:type="pct"/>
                  <w:vMerge w:val="restar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污水排污口</w:t>
                  </w:r>
                </w:p>
              </w:tc>
              <w:tc>
                <w:tcPr>
                  <w:tcW w:w="81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pH</w:t>
                  </w:r>
                </w:p>
              </w:tc>
              <w:tc>
                <w:tcPr>
                  <w:tcW w:w="54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无量纲</w:t>
                  </w:r>
                </w:p>
              </w:tc>
              <w:tc>
                <w:tcPr>
                  <w:tcW w:w="76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8.1</w:t>
                  </w:r>
                </w:p>
              </w:tc>
              <w:tc>
                <w:tcPr>
                  <w:tcW w:w="1901"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6-9</w:t>
                  </w:r>
                </w:p>
              </w:tc>
              <w:tc>
                <w:tcPr>
                  <w:tcW w:w="440"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5" w:type="pct"/>
                  <w:vMerge w:val="continue"/>
                  <w:vAlign w:val="center"/>
                </w:tcPr>
                <w:p>
                  <w:pPr>
                    <w:pStyle w:val="81"/>
                    <w:ind w:firstLine="0" w:firstLineChars="0"/>
                    <w:rPr>
                      <w:rFonts w:hint="default" w:ascii="Times New Roman" w:hAnsi="Times New Roman" w:eastAsia="宋体" w:cs="Times New Roman"/>
                      <w:b w:val="0"/>
                      <w:bCs/>
                      <w:color w:val="auto"/>
                      <w:highlight w:val="none"/>
                      <w:lang w:eastAsia="zh-CN"/>
                    </w:rPr>
                  </w:pPr>
                </w:p>
              </w:tc>
              <w:tc>
                <w:tcPr>
                  <w:tcW w:w="81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色度</w:t>
                  </w:r>
                </w:p>
              </w:tc>
              <w:tc>
                <w:tcPr>
                  <w:tcW w:w="54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倍</w:t>
                  </w:r>
                </w:p>
              </w:tc>
              <w:tc>
                <w:tcPr>
                  <w:tcW w:w="76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30</w:t>
                  </w:r>
                </w:p>
              </w:tc>
              <w:tc>
                <w:tcPr>
                  <w:tcW w:w="1901"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80</w:t>
                  </w:r>
                </w:p>
              </w:tc>
              <w:tc>
                <w:tcPr>
                  <w:tcW w:w="440" w:type="pct"/>
                  <w:vAlign w:val="center"/>
                </w:tcPr>
                <w:p>
                  <w:pPr>
                    <w:pStyle w:val="81"/>
                    <w:ind w:firstLine="0" w:firstLineChars="0"/>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5" w:type="pct"/>
                  <w:vMerge w:val="continue"/>
                  <w:vAlign w:val="center"/>
                </w:tcPr>
                <w:p>
                  <w:pPr>
                    <w:pStyle w:val="81"/>
                    <w:ind w:firstLine="0" w:firstLineChars="0"/>
                    <w:rPr>
                      <w:rFonts w:hint="default" w:ascii="Times New Roman" w:hAnsi="Times New Roman" w:eastAsia="宋体" w:cs="Times New Roman"/>
                      <w:b w:val="0"/>
                      <w:bCs/>
                      <w:color w:val="auto"/>
                      <w:highlight w:val="none"/>
                      <w:lang w:eastAsia="zh-CN"/>
                    </w:rPr>
                  </w:pPr>
                </w:p>
              </w:tc>
              <w:tc>
                <w:tcPr>
                  <w:tcW w:w="81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浊度</w:t>
                  </w:r>
                </w:p>
              </w:tc>
              <w:tc>
                <w:tcPr>
                  <w:tcW w:w="54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度</w:t>
                  </w:r>
                </w:p>
              </w:tc>
              <w:tc>
                <w:tcPr>
                  <w:tcW w:w="76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150</w:t>
                  </w:r>
                </w:p>
              </w:tc>
              <w:tc>
                <w:tcPr>
                  <w:tcW w:w="1901"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w:t>
                  </w:r>
                </w:p>
              </w:tc>
              <w:tc>
                <w:tcPr>
                  <w:tcW w:w="440"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5" w:type="pct"/>
                  <w:vMerge w:val="continue"/>
                  <w:vAlign w:val="center"/>
                </w:tcPr>
                <w:p>
                  <w:pPr>
                    <w:pStyle w:val="81"/>
                    <w:ind w:firstLine="0" w:firstLineChars="0"/>
                    <w:rPr>
                      <w:rFonts w:hint="default" w:ascii="Times New Roman" w:hAnsi="Times New Roman" w:eastAsia="宋体" w:cs="Times New Roman"/>
                      <w:b w:val="0"/>
                      <w:bCs/>
                      <w:color w:val="auto"/>
                      <w:highlight w:val="none"/>
                      <w:lang w:eastAsia="zh-CN"/>
                    </w:rPr>
                  </w:pPr>
                </w:p>
              </w:tc>
              <w:tc>
                <w:tcPr>
                  <w:tcW w:w="81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溶解氧</w:t>
                  </w:r>
                </w:p>
              </w:tc>
              <w:tc>
                <w:tcPr>
                  <w:tcW w:w="54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mg/L</w:t>
                  </w:r>
                </w:p>
              </w:tc>
              <w:tc>
                <w:tcPr>
                  <w:tcW w:w="76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2.19</w:t>
                  </w:r>
                </w:p>
              </w:tc>
              <w:tc>
                <w:tcPr>
                  <w:tcW w:w="2982" w:type="dxa"/>
                  <w:vAlign w:val="center"/>
                </w:tcPr>
                <w:p>
                  <w:pPr>
                    <w:pStyle w:val="81"/>
                    <w:ind w:firstLine="0" w:firstLineChars="0"/>
                    <w:rPr>
                      <w:rFonts w:hint="default" w:ascii="Times New Roman" w:hAnsi="Times New Roman" w:eastAsia="宋体" w:cs="Times New Roman"/>
                      <w:b w:val="0"/>
                      <w:bCs/>
                      <w:color w:val="auto"/>
                      <w:highlight w:val="none"/>
                      <w:lang w:eastAsia="zh-CN"/>
                    </w:rPr>
                  </w:pPr>
                  <w:r>
                    <w:rPr>
                      <w:rFonts w:hint="default" w:ascii="Times New Roman" w:hAnsi="Times New Roman" w:cs="Times New Roman"/>
                      <w:b w:val="0"/>
                      <w:bCs/>
                      <w:color w:val="auto"/>
                      <w:highlight w:val="none"/>
                      <w:lang w:val="en-US" w:eastAsia="zh-CN"/>
                    </w:rPr>
                    <w:t>/</w:t>
                  </w:r>
                </w:p>
              </w:tc>
              <w:tc>
                <w:tcPr>
                  <w:tcW w:w="690" w:type="dxa"/>
                  <w:vAlign w:val="center"/>
                </w:tcPr>
                <w:p>
                  <w:pPr>
                    <w:pStyle w:val="81"/>
                    <w:ind w:firstLine="0" w:firstLineChars="0"/>
                    <w:rPr>
                      <w:rFonts w:hint="default" w:ascii="Times New Roman" w:hAnsi="Times New Roman" w:eastAsia="宋体" w:cs="Times New Roman"/>
                      <w:b w:val="0"/>
                      <w:bCs/>
                      <w:color w:val="auto"/>
                      <w:highlight w:val="none"/>
                      <w:lang w:eastAsia="zh-CN"/>
                    </w:rPr>
                  </w:pPr>
                  <w:r>
                    <w:rPr>
                      <w:rFonts w:hint="default" w:ascii="Times New Roman" w:hAnsi="Times New Roman" w:cs="Times New Roman"/>
                      <w:b w:val="0"/>
                      <w:bCs/>
                      <w:color w:val="auto"/>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5" w:type="pct"/>
                  <w:vMerge w:val="continue"/>
                  <w:vAlign w:val="center"/>
                </w:tcPr>
                <w:p>
                  <w:pPr>
                    <w:pStyle w:val="81"/>
                    <w:ind w:firstLine="0" w:firstLineChars="0"/>
                    <w:rPr>
                      <w:rFonts w:hint="default" w:ascii="Times New Roman" w:hAnsi="Times New Roman" w:eastAsia="宋体" w:cs="Times New Roman"/>
                      <w:b w:val="0"/>
                      <w:bCs/>
                      <w:color w:val="auto"/>
                      <w:highlight w:val="none"/>
                      <w:lang w:eastAsia="zh-CN"/>
                    </w:rPr>
                  </w:pPr>
                </w:p>
              </w:tc>
              <w:tc>
                <w:tcPr>
                  <w:tcW w:w="81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溶解性总固体</w:t>
                  </w:r>
                </w:p>
              </w:tc>
              <w:tc>
                <w:tcPr>
                  <w:tcW w:w="547" w:type="pct"/>
                  <w:vAlign w:val="center"/>
                </w:tcPr>
                <w:p>
                  <w:pPr>
                    <w:ind w:firstLine="0" w:firstLineChars="0"/>
                    <w:jc w:val="center"/>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mg/L</w:t>
                  </w:r>
                </w:p>
              </w:tc>
              <w:tc>
                <w:tcPr>
                  <w:tcW w:w="76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972</w:t>
                  </w:r>
                </w:p>
              </w:tc>
              <w:tc>
                <w:tcPr>
                  <w:tcW w:w="2982" w:type="dxa"/>
                  <w:vAlign w:val="center"/>
                </w:tcPr>
                <w:p>
                  <w:pPr>
                    <w:pStyle w:val="81"/>
                    <w:ind w:firstLine="0" w:firstLineChars="0"/>
                    <w:rPr>
                      <w:rFonts w:hint="default" w:ascii="Times New Roman" w:hAnsi="Times New Roman" w:eastAsia="宋体" w:cs="Times New Roman"/>
                      <w:b w:val="0"/>
                      <w:bCs/>
                      <w:color w:val="auto"/>
                      <w:highlight w:val="none"/>
                      <w:lang w:eastAsia="zh-CN"/>
                    </w:rPr>
                  </w:pPr>
                  <w:r>
                    <w:rPr>
                      <w:rFonts w:hint="default" w:ascii="Times New Roman" w:hAnsi="Times New Roman" w:cs="Times New Roman"/>
                      <w:b w:val="0"/>
                      <w:bCs/>
                      <w:color w:val="auto"/>
                      <w:highlight w:val="none"/>
                      <w:lang w:val="en-US" w:eastAsia="zh-CN"/>
                    </w:rPr>
                    <w:t>/</w:t>
                  </w:r>
                </w:p>
              </w:tc>
              <w:tc>
                <w:tcPr>
                  <w:tcW w:w="690" w:type="dxa"/>
                  <w:vAlign w:val="center"/>
                </w:tcPr>
                <w:p>
                  <w:pPr>
                    <w:pStyle w:val="81"/>
                    <w:ind w:firstLine="0" w:firstLineChars="0"/>
                    <w:rPr>
                      <w:rFonts w:hint="default" w:ascii="Times New Roman" w:hAnsi="Times New Roman" w:eastAsia="宋体" w:cs="Times New Roman"/>
                      <w:b w:val="0"/>
                      <w:bCs/>
                      <w:color w:val="auto"/>
                      <w:highlight w:val="none"/>
                      <w:lang w:eastAsia="zh-CN"/>
                    </w:rPr>
                  </w:pPr>
                  <w:r>
                    <w:rPr>
                      <w:rFonts w:hint="default" w:ascii="Times New Roman" w:hAnsi="Times New Roman" w:cs="Times New Roman"/>
                      <w:b w:val="0"/>
                      <w:bCs/>
                      <w:color w:val="auto"/>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5" w:type="pct"/>
                  <w:vMerge w:val="continue"/>
                  <w:vAlign w:val="center"/>
                </w:tcPr>
                <w:p>
                  <w:pPr>
                    <w:pStyle w:val="81"/>
                    <w:ind w:firstLine="0" w:firstLineChars="0"/>
                    <w:rPr>
                      <w:rFonts w:hint="default" w:ascii="Times New Roman" w:hAnsi="Times New Roman" w:eastAsia="宋体" w:cs="Times New Roman"/>
                      <w:b w:val="0"/>
                      <w:bCs/>
                      <w:color w:val="auto"/>
                      <w:highlight w:val="none"/>
                      <w:lang w:eastAsia="zh-CN"/>
                    </w:rPr>
                  </w:pPr>
                </w:p>
              </w:tc>
              <w:tc>
                <w:tcPr>
                  <w:tcW w:w="81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悬浮物</w:t>
                  </w:r>
                </w:p>
              </w:tc>
              <w:tc>
                <w:tcPr>
                  <w:tcW w:w="547" w:type="pct"/>
                  <w:vAlign w:val="center"/>
                </w:tcPr>
                <w:p>
                  <w:pPr>
                    <w:ind w:firstLine="0" w:firstLineChars="0"/>
                    <w:jc w:val="center"/>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mg/L</w:t>
                  </w:r>
                </w:p>
              </w:tc>
              <w:tc>
                <w:tcPr>
                  <w:tcW w:w="76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113</w:t>
                  </w:r>
                </w:p>
              </w:tc>
              <w:tc>
                <w:tcPr>
                  <w:tcW w:w="1901"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150</w:t>
                  </w:r>
                </w:p>
              </w:tc>
              <w:tc>
                <w:tcPr>
                  <w:tcW w:w="440" w:type="pct"/>
                  <w:vAlign w:val="center"/>
                </w:tcPr>
                <w:p>
                  <w:pPr>
                    <w:pStyle w:val="81"/>
                    <w:ind w:firstLine="0" w:firstLineChars="0"/>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5" w:type="pct"/>
                  <w:vMerge w:val="continue"/>
                  <w:vAlign w:val="center"/>
                </w:tcPr>
                <w:p>
                  <w:pPr>
                    <w:pStyle w:val="81"/>
                    <w:ind w:firstLine="0" w:firstLineChars="0"/>
                    <w:rPr>
                      <w:rFonts w:hint="default" w:ascii="Times New Roman" w:hAnsi="Times New Roman" w:eastAsia="宋体" w:cs="Times New Roman"/>
                      <w:b w:val="0"/>
                      <w:bCs/>
                      <w:color w:val="auto"/>
                      <w:highlight w:val="none"/>
                      <w:lang w:eastAsia="zh-CN"/>
                    </w:rPr>
                  </w:pPr>
                </w:p>
              </w:tc>
              <w:tc>
                <w:tcPr>
                  <w:tcW w:w="81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化学需氧量</w:t>
                  </w:r>
                </w:p>
              </w:tc>
              <w:tc>
                <w:tcPr>
                  <w:tcW w:w="547" w:type="pct"/>
                  <w:vAlign w:val="center"/>
                </w:tcPr>
                <w:p>
                  <w:pPr>
                    <w:ind w:firstLine="0" w:firstLineChars="0"/>
                    <w:jc w:val="center"/>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mg/L</w:t>
                  </w:r>
                </w:p>
              </w:tc>
              <w:tc>
                <w:tcPr>
                  <w:tcW w:w="76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486</w:t>
                  </w:r>
                </w:p>
              </w:tc>
              <w:tc>
                <w:tcPr>
                  <w:tcW w:w="1901"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150</w:t>
                  </w:r>
                </w:p>
              </w:tc>
              <w:tc>
                <w:tcPr>
                  <w:tcW w:w="440" w:type="pct"/>
                  <w:vAlign w:val="center"/>
                </w:tcPr>
                <w:p>
                  <w:pPr>
                    <w:pStyle w:val="81"/>
                    <w:ind w:firstLine="0" w:firstLineChars="0"/>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5" w:type="pct"/>
                  <w:vMerge w:val="continue"/>
                  <w:vAlign w:val="center"/>
                </w:tcPr>
                <w:p>
                  <w:pPr>
                    <w:pStyle w:val="81"/>
                    <w:ind w:firstLine="0" w:firstLineChars="0"/>
                    <w:rPr>
                      <w:rFonts w:hint="default" w:ascii="Times New Roman" w:hAnsi="Times New Roman" w:eastAsia="宋体" w:cs="Times New Roman"/>
                      <w:b w:val="0"/>
                      <w:bCs/>
                      <w:color w:val="auto"/>
                      <w:highlight w:val="none"/>
                      <w:lang w:eastAsia="zh-CN"/>
                    </w:rPr>
                  </w:pPr>
                </w:p>
              </w:tc>
              <w:tc>
                <w:tcPr>
                  <w:tcW w:w="81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五日生化需氧量</w:t>
                  </w:r>
                </w:p>
              </w:tc>
              <w:tc>
                <w:tcPr>
                  <w:tcW w:w="547" w:type="pct"/>
                  <w:vAlign w:val="center"/>
                </w:tcPr>
                <w:p>
                  <w:pPr>
                    <w:ind w:firstLine="0" w:firstLineChars="0"/>
                    <w:jc w:val="center"/>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mg/L</w:t>
                  </w:r>
                </w:p>
              </w:tc>
              <w:tc>
                <w:tcPr>
                  <w:tcW w:w="76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224</w:t>
                  </w:r>
                </w:p>
              </w:tc>
              <w:tc>
                <w:tcPr>
                  <w:tcW w:w="1901"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30</w:t>
                  </w:r>
                </w:p>
              </w:tc>
              <w:tc>
                <w:tcPr>
                  <w:tcW w:w="440" w:type="pct"/>
                  <w:vAlign w:val="center"/>
                </w:tcPr>
                <w:p>
                  <w:pPr>
                    <w:pStyle w:val="81"/>
                    <w:ind w:firstLine="0" w:firstLineChars="0"/>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5" w:type="pct"/>
                  <w:vMerge w:val="continue"/>
                  <w:vAlign w:val="center"/>
                </w:tcPr>
                <w:p>
                  <w:pPr>
                    <w:pStyle w:val="81"/>
                    <w:ind w:firstLine="0" w:firstLineChars="0"/>
                    <w:rPr>
                      <w:rFonts w:hint="default" w:ascii="Times New Roman" w:hAnsi="Times New Roman" w:eastAsia="宋体" w:cs="Times New Roman"/>
                      <w:b w:val="0"/>
                      <w:bCs/>
                      <w:color w:val="auto"/>
                      <w:highlight w:val="none"/>
                      <w:lang w:eastAsia="zh-CN"/>
                    </w:rPr>
                  </w:pPr>
                </w:p>
              </w:tc>
              <w:tc>
                <w:tcPr>
                  <w:tcW w:w="81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阴离子表面活性剂</w:t>
                  </w:r>
                </w:p>
              </w:tc>
              <w:tc>
                <w:tcPr>
                  <w:tcW w:w="547" w:type="pct"/>
                  <w:vAlign w:val="center"/>
                </w:tcPr>
                <w:p>
                  <w:pPr>
                    <w:ind w:firstLine="0" w:firstLineChars="0"/>
                    <w:jc w:val="center"/>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mg/L</w:t>
                  </w:r>
                </w:p>
              </w:tc>
              <w:tc>
                <w:tcPr>
                  <w:tcW w:w="76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7.46</w:t>
                  </w:r>
                </w:p>
              </w:tc>
              <w:tc>
                <w:tcPr>
                  <w:tcW w:w="1901"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10</w:t>
                  </w:r>
                </w:p>
              </w:tc>
              <w:tc>
                <w:tcPr>
                  <w:tcW w:w="440" w:type="pct"/>
                  <w:vAlign w:val="center"/>
                </w:tcPr>
                <w:p>
                  <w:pPr>
                    <w:pStyle w:val="81"/>
                    <w:ind w:firstLine="0" w:firstLineChars="0"/>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5" w:type="pct"/>
                  <w:vMerge w:val="continue"/>
                  <w:vAlign w:val="center"/>
                </w:tcPr>
                <w:p>
                  <w:pPr>
                    <w:pStyle w:val="81"/>
                    <w:ind w:firstLine="0" w:firstLineChars="0"/>
                    <w:rPr>
                      <w:rFonts w:hint="default" w:ascii="Times New Roman" w:hAnsi="Times New Roman" w:eastAsia="宋体" w:cs="Times New Roman"/>
                      <w:b w:val="0"/>
                      <w:bCs/>
                      <w:color w:val="auto"/>
                      <w:highlight w:val="none"/>
                      <w:lang w:eastAsia="zh-CN"/>
                    </w:rPr>
                  </w:pPr>
                </w:p>
              </w:tc>
              <w:tc>
                <w:tcPr>
                  <w:tcW w:w="81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氨氮</w:t>
                  </w:r>
                </w:p>
              </w:tc>
              <w:tc>
                <w:tcPr>
                  <w:tcW w:w="547" w:type="pct"/>
                  <w:vAlign w:val="center"/>
                </w:tcPr>
                <w:p>
                  <w:pPr>
                    <w:ind w:firstLine="0" w:firstLineChars="0"/>
                    <w:jc w:val="center"/>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mg/L</w:t>
                  </w:r>
                </w:p>
              </w:tc>
              <w:tc>
                <w:tcPr>
                  <w:tcW w:w="76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47.4</w:t>
                  </w:r>
                </w:p>
              </w:tc>
              <w:tc>
                <w:tcPr>
                  <w:tcW w:w="1901"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25</w:t>
                  </w:r>
                </w:p>
              </w:tc>
              <w:tc>
                <w:tcPr>
                  <w:tcW w:w="440" w:type="pct"/>
                  <w:vAlign w:val="center"/>
                </w:tcPr>
                <w:p>
                  <w:pPr>
                    <w:pStyle w:val="81"/>
                    <w:ind w:firstLine="0" w:firstLineChars="0"/>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5" w:type="pct"/>
                  <w:vMerge w:val="continue"/>
                  <w:vAlign w:val="center"/>
                </w:tcPr>
                <w:p>
                  <w:pPr>
                    <w:pStyle w:val="81"/>
                    <w:ind w:firstLine="0" w:firstLineChars="0"/>
                    <w:rPr>
                      <w:rFonts w:hint="default" w:ascii="Times New Roman" w:hAnsi="Times New Roman" w:eastAsia="宋体" w:cs="Times New Roman"/>
                      <w:b w:val="0"/>
                      <w:bCs/>
                      <w:color w:val="auto"/>
                      <w:highlight w:val="none"/>
                      <w:lang w:eastAsia="zh-CN"/>
                    </w:rPr>
                  </w:pPr>
                </w:p>
              </w:tc>
              <w:tc>
                <w:tcPr>
                  <w:tcW w:w="817" w:type="pct"/>
                  <w:shd w:val="clear" w:color="auto" w:fill="auto"/>
                  <w:vAlign w:val="center"/>
                </w:tcPr>
                <w:p>
                  <w:pPr>
                    <w:pStyle w:val="81"/>
                    <w:ind w:firstLine="0" w:firstLineChars="0"/>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粪大肠菌群</w:t>
                  </w:r>
                </w:p>
              </w:tc>
              <w:tc>
                <w:tcPr>
                  <w:tcW w:w="54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MPN/L</w:t>
                  </w:r>
                </w:p>
              </w:tc>
              <w:tc>
                <w:tcPr>
                  <w:tcW w:w="76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3.5×10</w:t>
                  </w:r>
                  <w:r>
                    <w:rPr>
                      <w:rFonts w:hint="default" w:ascii="Times New Roman" w:hAnsi="Times New Roman" w:eastAsia="宋体" w:cs="Times New Roman"/>
                      <w:b w:val="0"/>
                      <w:bCs/>
                      <w:color w:val="auto"/>
                      <w:highlight w:val="none"/>
                      <w:vertAlign w:val="superscript"/>
                      <w:lang w:val="en-US" w:eastAsia="zh-CN"/>
                    </w:rPr>
                    <w:t>4</w:t>
                  </w:r>
                </w:p>
              </w:tc>
              <w:tc>
                <w:tcPr>
                  <w:tcW w:w="2982" w:type="dxa"/>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w:t>
                  </w:r>
                </w:p>
              </w:tc>
              <w:tc>
                <w:tcPr>
                  <w:tcW w:w="690" w:type="dxa"/>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5" w:type="pct"/>
                  <w:vMerge w:val="continue"/>
                  <w:vAlign w:val="center"/>
                </w:tcPr>
                <w:p>
                  <w:pPr>
                    <w:pStyle w:val="81"/>
                    <w:ind w:firstLine="0" w:firstLineChars="0"/>
                    <w:rPr>
                      <w:rFonts w:hint="default" w:ascii="Times New Roman" w:hAnsi="Times New Roman" w:eastAsia="宋体" w:cs="Times New Roman"/>
                      <w:b w:val="0"/>
                      <w:bCs/>
                      <w:color w:val="auto"/>
                      <w:highlight w:val="none"/>
                      <w:lang w:eastAsia="zh-CN"/>
                    </w:rPr>
                  </w:pPr>
                </w:p>
              </w:tc>
              <w:tc>
                <w:tcPr>
                  <w:tcW w:w="817" w:type="pct"/>
                  <w:shd w:val="clear" w:color="auto" w:fill="auto"/>
                  <w:vAlign w:val="center"/>
                </w:tcPr>
                <w:p>
                  <w:pPr>
                    <w:pStyle w:val="81"/>
                    <w:ind w:firstLine="0" w:firstLineChars="0"/>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蛔虫卵个数</w:t>
                  </w:r>
                </w:p>
              </w:tc>
              <w:tc>
                <w:tcPr>
                  <w:tcW w:w="54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个/10L</w:t>
                  </w:r>
                </w:p>
              </w:tc>
              <w:tc>
                <w:tcPr>
                  <w:tcW w:w="76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ND</w:t>
                  </w:r>
                </w:p>
              </w:tc>
              <w:tc>
                <w:tcPr>
                  <w:tcW w:w="2982" w:type="dxa"/>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w:t>
                  </w:r>
                </w:p>
              </w:tc>
              <w:tc>
                <w:tcPr>
                  <w:tcW w:w="690" w:type="dxa"/>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5" w:type="pct"/>
                  <w:vMerge w:val="continue"/>
                  <w:vAlign w:val="center"/>
                </w:tcPr>
                <w:p>
                  <w:pPr>
                    <w:pStyle w:val="81"/>
                    <w:ind w:firstLine="0" w:firstLineChars="0"/>
                    <w:rPr>
                      <w:rFonts w:hint="default" w:ascii="Times New Roman" w:hAnsi="Times New Roman" w:eastAsia="宋体" w:cs="Times New Roman"/>
                      <w:b w:val="0"/>
                      <w:bCs/>
                      <w:color w:val="auto"/>
                      <w:highlight w:val="none"/>
                      <w:lang w:eastAsia="zh-CN"/>
                    </w:rPr>
                  </w:pPr>
                </w:p>
              </w:tc>
              <w:tc>
                <w:tcPr>
                  <w:tcW w:w="817" w:type="pct"/>
                  <w:shd w:val="clear" w:color="auto" w:fill="auto"/>
                  <w:vAlign w:val="center"/>
                </w:tcPr>
                <w:p>
                  <w:pPr>
                    <w:pStyle w:val="81"/>
                    <w:ind w:firstLine="0" w:firstLineChars="0"/>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总大肠菌群</w:t>
                  </w:r>
                </w:p>
              </w:tc>
              <w:tc>
                <w:tcPr>
                  <w:tcW w:w="54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MPN/L</w:t>
                  </w:r>
                </w:p>
              </w:tc>
              <w:tc>
                <w:tcPr>
                  <w:tcW w:w="76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≥2.4×10</w:t>
                  </w:r>
                  <w:r>
                    <w:rPr>
                      <w:rFonts w:hint="default" w:ascii="Times New Roman" w:hAnsi="Times New Roman" w:eastAsia="宋体" w:cs="Times New Roman"/>
                      <w:b w:val="0"/>
                      <w:bCs/>
                      <w:color w:val="auto"/>
                      <w:highlight w:val="none"/>
                      <w:vertAlign w:val="superscript"/>
                      <w:lang w:val="en-US" w:eastAsia="zh-CN"/>
                    </w:rPr>
                    <w:t>5</w:t>
                  </w:r>
                </w:p>
              </w:tc>
              <w:tc>
                <w:tcPr>
                  <w:tcW w:w="2982" w:type="dxa"/>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w:t>
                  </w:r>
                </w:p>
              </w:tc>
              <w:tc>
                <w:tcPr>
                  <w:tcW w:w="690" w:type="dxa"/>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w:t>
                  </w:r>
                </w:p>
              </w:tc>
            </w:tr>
          </w:tbl>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highlight w:val="none"/>
                <w:lang w:val="en-US" w:eastAsia="zh-CN"/>
              </w:rPr>
            </w:pPr>
            <w:r>
              <w:rPr>
                <w:rFonts w:hint="default" w:ascii="Times New Roman" w:hAnsi="Times New Roman" w:eastAsia="宋体" w:cs="Times New Roman"/>
                <w:color w:val="auto"/>
                <w:spacing w:val="1"/>
                <w:sz w:val="24"/>
                <w:szCs w:val="24"/>
                <w:highlight w:val="none"/>
                <w:lang w:val="en-US" w:eastAsia="zh-CN"/>
              </w:rPr>
              <w:t>监测结果显示，</w:t>
            </w:r>
            <w:r>
              <w:rPr>
                <w:rFonts w:hint="default" w:ascii="Times New Roman" w:hAnsi="Times New Roman" w:cs="Times New Roman"/>
                <w:color w:val="auto"/>
                <w:spacing w:val="1"/>
                <w:sz w:val="24"/>
                <w:szCs w:val="24"/>
                <w:highlight w:val="none"/>
                <w:lang w:val="en-US" w:eastAsia="zh-CN"/>
              </w:rPr>
              <w:t>生活污水处理站排放口化学需氧量、五日生化需氧量、氨氮排放浓度超出</w:t>
            </w:r>
            <w:r>
              <w:rPr>
                <w:rFonts w:hint="default" w:ascii="Times New Roman" w:hAnsi="Times New Roman" w:eastAsia="宋体" w:cs="Times New Roman"/>
                <w:color w:val="auto"/>
                <w:spacing w:val="1"/>
                <w:sz w:val="24"/>
                <w:szCs w:val="24"/>
                <w:highlight w:val="none"/>
                <w:lang w:val="en-US" w:eastAsia="zh-CN"/>
              </w:rPr>
              <w:t>《污水综合排放标准》（GB8978-1996）中的</w:t>
            </w:r>
            <w:r>
              <w:rPr>
                <w:rFonts w:hint="default" w:ascii="Times New Roman" w:hAnsi="Times New Roman" w:cs="Times New Roman"/>
                <w:color w:val="auto"/>
                <w:spacing w:val="1"/>
                <w:sz w:val="24"/>
                <w:szCs w:val="24"/>
                <w:highlight w:val="none"/>
                <w:lang w:val="en-US" w:eastAsia="zh-CN"/>
              </w:rPr>
              <w:t>二</w:t>
            </w:r>
            <w:r>
              <w:rPr>
                <w:rFonts w:hint="default" w:ascii="Times New Roman" w:hAnsi="Times New Roman" w:eastAsia="宋体" w:cs="Times New Roman"/>
                <w:color w:val="auto"/>
                <w:spacing w:val="1"/>
                <w:sz w:val="24"/>
                <w:szCs w:val="24"/>
                <w:highlight w:val="none"/>
                <w:lang w:val="en-US" w:eastAsia="zh-CN"/>
              </w:rPr>
              <w:t>级标准。</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lang w:val="en-US" w:eastAsia="zh-CN"/>
              </w:rPr>
            </w:pPr>
            <w:r>
              <w:rPr>
                <w:rFonts w:hint="default" w:ascii="Times New Roman" w:hAnsi="Times New Roman" w:eastAsia="宋体" w:cs="Times New Roman"/>
                <w:color w:val="auto"/>
                <w:spacing w:val="1"/>
                <w:sz w:val="24"/>
                <w:szCs w:val="24"/>
                <w:lang w:val="en-US" w:eastAsia="zh-CN"/>
              </w:rPr>
              <w:t>（二）废气</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highlight w:val="none"/>
                <w:lang w:val="en-US" w:eastAsia="zh-CN"/>
              </w:rPr>
            </w:pPr>
            <w:r>
              <w:rPr>
                <w:rFonts w:hint="default" w:ascii="Times New Roman" w:hAnsi="Times New Roman" w:eastAsia="宋体" w:cs="Times New Roman"/>
                <w:color w:val="auto"/>
                <w:spacing w:val="1"/>
                <w:sz w:val="24"/>
                <w:szCs w:val="24"/>
                <w:highlight w:val="none"/>
                <w:lang w:val="en-US" w:eastAsia="zh-CN"/>
              </w:rPr>
              <w:t>现有工程废气主要为破碎、筛分过程产生的工艺废气、道路运输及尾矿库等产生的粉尘。</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highlight w:val="none"/>
                <w:lang w:val="en-US" w:eastAsia="zh-CN"/>
              </w:rPr>
            </w:pPr>
            <w:r>
              <w:rPr>
                <w:rFonts w:hint="default" w:ascii="Times New Roman" w:hAnsi="Times New Roman" w:eastAsia="宋体" w:cs="Times New Roman"/>
                <w:color w:val="auto"/>
                <w:spacing w:val="1"/>
                <w:sz w:val="24"/>
                <w:szCs w:val="24"/>
                <w:highlight w:val="none"/>
                <w:lang w:val="en-US" w:eastAsia="zh-CN"/>
              </w:rPr>
              <w:t>选厂设封闭式料仓，原料输送过程设置全封闭输矿走廊和车间，对产生尘源采取密闭罩封闭捕集，在破碎、磨矿、筛分车间各安装有螺旋喷嘴水雾降尘除尘器一套，破碎、筛分产生的废气经有效去除粉尘后，由17米排气筒高空排放。</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highlight w:val="none"/>
                <w:lang w:val="en-US" w:eastAsia="zh-CN"/>
              </w:rPr>
            </w:pPr>
            <w:r>
              <w:rPr>
                <w:rFonts w:hint="default" w:ascii="Times New Roman" w:hAnsi="Times New Roman" w:eastAsia="宋体" w:cs="Times New Roman"/>
                <w:color w:val="auto"/>
                <w:spacing w:val="1"/>
                <w:sz w:val="24"/>
                <w:szCs w:val="24"/>
                <w:highlight w:val="none"/>
                <w:lang w:val="en-US" w:eastAsia="zh-CN"/>
              </w:rPr>
              <w:t>原矿石堆场周边设置了2.5米高挡风墙，原矿石运来后马上进行选矿，不长时间堆存；尾矿库</w:t>
            </w:r>
            <w:r>
              <w:rPr>
                <w:rFonts w:hint="default" w:ascii="Times New Roman" w:hAnsi="Times New Roman" w:cs="Times New Roman"/>
                <w:color w:val="auto"/>
                <w:spacing w:val="1"/>
                <w:sz w:val="24"/>
                <w:szCs w:val="24"/>
                <w:highlight w:val="none"/>
                <w:lang w:val="en-US" w:eastAsia="zh-CN"/>
              </w:rPr>
              <w:t>干滩</w:t>
            </w:r>
            <w:r>
              <w:rPr>
                <w:rFonts w:hint="default" w:ascii="Times New Roman" w:hAnsi="Times New Roman" w:eastAsia="宋体" w:cs="Times New Roman"/>
                <w:color w:val="auto"/>
                <w:spacing w:val="1"/>
                <w:sz w:val="24"/>
                <w:szCs w:val="24"/>
                <w:highlight w:val="none"/>
                <w:lang w:val="en-US" w:eastAsia="zh-CN"/>
              </w:rPr>
              <w:t>定期洒水降尘；运输车辆加盖篷布，运输道路与内部道路部分硬化，并定期洒水抑尘。</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cs="Times New Roman"/>
                <w:color w:val="auto"/>
                <w:lang w:val="en-US" w:eastAsia="zh-CN"/>
              </w:rPr>
            </w:pPr>
            <w:r>
              <w:rPr>
                <w:rFonts w:hint="default" w:ascii="Times New Roman" w:hAnsi="Times New Roman" w:eastAsia="宋体" w:cs="Times New Roman"/>
                <w:color w:val="auto"/>
                <w:spacing w:val="1"/>
                <w:sz w:val="24"/>
                <w:szCs w:val="24"/>
                <w:lang w:val="en-US" w:eastAsia="zh-CN"/>
              </w:rPr>
              <w:t>企业2025年5月</w:t>
            </w:r>
            <w:r>
              <w:rPr>
                <w:rFonts w:hint="default" w:ascii="Times New Roman" w:hAnsi="Times New Roman" w:cs="Times New Roman"/>
                <w:color w:val="auto"/>
                <w:spacing w:val="1"/>
                <w:sz w:val="24"/>
                <w:szCs w:val="24"/>
                <w:lang w:val="en-US" w:eastAsia="zh-CN"/>
              </w:rPr>
              <w:t>10日-11</w:t>
            </w:r>
            <w:r>
              <w:rPr>
                <w:rFonts w:hint="default" w:ascii="Times New Roman" w:hAnsi="Times New Roman" w:eastAsia="宋体" w:cs="Times New Roman"/>
                <w:color w:val="auto"/>
                <w:spacing w:val="1"/>
                <w:sz w:val="24"/>
                <w:szCs w:val="24"/>
                <w:lang w:val="en-US" w:eastAsia="zh-CN"/>
              </w:rPr>
              <w:t>日进行对</w:t>
            </w:r>
            <w:r>
              <w:rPr>
                <w:rFonts w:hint="default" w:ascii="Times New Roman" w:hAnsi="Times New Roman" w:cs="Times New Roman"/>
                <w:color w:val="auto"/>
                <w:spacing w:val="1"/>
                <w:sz w:val="24"/>
                <w:szCs w:val="24"/>
                <w:lang w:val="en-US" w:eastAsia="zh-CN"/>
              </w:rPr>
              <w:t>选矿厂有组织废气及无组织废气</w:t>
            </w:r>
            <w:r>
              <w:rPr>
                <w:rFonts w:hint="default" w:ascii="Times New Roman" w:hAnsi="Times New Roman" w:eastAsia="宋体" w:cs="Times New Roman"/>
                <w:color w:val="auto"/>
                <w:spacing w:val="1"/>
                <w:sz w:val="24"/>
                <w:szCs w:val="24"/>
                <w:lang w:val="en-US" w:eastAsia="zh-CN"/>
              </w:rPr>
              <w:t>进行</w:t>
            </w:r>
            <w:r>
              <w:rPr>
                <w:rFonts w:hint="default" w:ascii="Times New Roman" w:hAnsi="Times New Roman" w:cs="Times New Roman"/>
                <w:color w:val="auto"/>
                <w:spacing w:val="1"/>
                <w:sz w:val="24"/>
                <w:szCs w:val="24"/>
                <w:lang w:val="en-US" w:eastAsia="zh-CN"/>
              </w:rPr>
              <w:t>了常规</w:t>
            </w:r>
            <w:r>
              <w:rPr>
                <w:rFonts w:hint="default" w:ascii="Times New Roman" w:hAnsi="Times New Roman" w:eastAsia="宋体" w:cs="Times New Roman"/>
                <w:color w:val="auto"/>
                <w:spacing w:val="1"/>
                <w:sz w:val="24"/>
                <w:szCs w:val="24"/>
                <w:lang w:val="en-US" w:eastAsia="zh-CN"/>
              </w:rPr>
              <w:t>监测，</w:t>
            </w:r>
            <w:r>
              <w:rPr>
                <w:rFonts w:hint="default" w:ascii="Times New Roman" w:hAnsi="Times New Roman" w:cs="Times New Roman"/>
                <w:color w:val="auto"/>
                <w:spacing w:val="1"/>
                <w:sz w:val="24"/>
                <w:szCs w:val="24"/>
                <w:lang w:val="en-US" w:eastAsia="zh-CN"/>
              </w:rPr>
              <w:t>有组织废气</w:t>
            </w:r>
            <w:r>
              <w:rPr>
                <w:rFonts w:hint="default" w:ascii="Times New Roman" w:hAnsi="Times New Roman" w:eastAsia="宋体" w:cs="Times New Roman"/>
                <w:color w:val="auto"/>
                <w:spacing w:val="1"/>
                <w:sz w:val="24"/>
                <w:szCs w:val="24"/>
                <w:lang w:val="en-US" w:eastAsia="zh-CN"/>
              </w:rPr>
              <w:t>监测结果见表2-1</w:t>
            </w:r>
            <w:r>
              <w:rPr>
                <w:rFonts w:hint="default" w:ascii="Times New Roman" w:hAnsi="Times New Roman" w:cs="Times New Roman"/>
                <w:color w:val="auto"/>
                <w:spacing w:val="1"/>
                <w:sz w:val="24"/>
                <w:szCs w:val="24"/>
                <w:lang w:val="en-US" w:eastAsia="zh-CN"/>
              </w:rPr>
              <w:t>2，无组织废气监测结果见表2-19</w:t>
            </w:r>
            <w:r>
              <w:rPr>
                <w:rFonts w:hint="default" w:ascii="Times New Roman" w:hAnsi="Times New Roman" w:eastAsia="宋体" w:cs="Times New Roman"/>
                <w:color w:val="auto"/>
                <w:spacing w:val="1"/>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0" w:firstLineChars="0"/>
              <w:jc w:val="center"/>
              <w:textAlignment w:val="auto"/>
              <w:rPr>
                <w:rFonts w:hint="default" w:ascii="Times New Roman" w:hAnsi="Times New Roman" w:eastAsia="宋体" w:cs="Times New Roman"/>
                <w:b/>
                <w:bCs w:val="0"/>
                <w:color w:val="auto"/>
                <w:szCs w:val="21"/>
                <w:lang w:val="en-US" w:eastAsia="zh-CN"/>
              </w:rPr>
            </w:pPr>
            <w:r>
              <w:rPr>
                <w:rFonts w:hint="default" w:ascii="Times New Roman" w:hAnsi="Times New Roman" w:eastAsia="宋体" w:cs="Times New Roman"/>
                <w:b/>
                <w:bCs w:val="0"/>
                <w:color w:val="auto"/>
                <w:szCs w:val="21"/>
                <w:lang w:val="en-US" w:eastAsia="zh-CN"/>
              </w:rPr>
              <w:t>表2</w:t>
            </w:r>
            <w:r>
              <w:rPr>
                <w:rFonts w:hint="default" w:ascii="Times New Roman" w:hAnsi="Times New Roman" w:cs="Times New Roman"/>
                <w:b/>
                <w:bCs w:val="0"/>
                <w:color w:val="auto"/>
                <w:szCs w:val="21"/>
                <w:lang w:val="en-US" w:eastAsia="zh-CN"/>
              </w:rPr>
              <w:t>-19</w:t>
            </w:r>
            <w:r>
              <w:rPr>
                <w:rFonts w:hint="default" w:ascii="Times New Roman" w:hAnsi="Times New Roman" w:eastAsia="宋体" w:cs="Times New Roman"/>
                <w:b/>
                <w:bCs w:val="0"/>
                <w:color w:val="auto"/>
                <w:szCs w:val="21"/>
                <w:lang w:val="en-US" w:eastAsia="zh-CN"/>
              </w:rPr>
              <w:t xml:space="preserve">     有组织废气</w:t>
            </w:r>
            <w:r>
              <w:rPr>
                <w:rFonts w:hint="default" w:ascii="Times New Roman" w:hAnsi="Times New Roman" w:cs="Times New Roman"/>
                <w:b/>
                <w:bCs w:val="0"/>
                <w:color w:val="auto"/>
                <w:szCs w:val="21"/>
                <w:lang w:val="en-US" w:eastAsia="zh-CN"/>
              </w:rPr>
              <w:t>监测</w:t>
            </w:r>
            <w:r>
              <w:rPr>
                <w:rFonts w:hint="default" w:ascii="Times New Roman" w:hAnsi="Times New Roman" w:eastAsia="宋体" w:cs="Times New Roman"/>
                <w:b/>
                <w:bCs w:val="0"/>
                <w:color w:val="auto"/>
                <w:szCs w:val="21"/>
                <w:lang w:val="en-US" w:eastAsia="zh-CN"/>
              </w:rPr>
              <w:t>结果</w:t>
            </w:r>
          </w:p>
          <w:tbl>
            <w:tblPr>
              <w:tblStyle w:val="30"/>
              <w:tblW w:w="5000" w:type="pct"/>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65"/>
              <w:gridCol w:w="1044"/>
              <w:gridCol w:w="914"/>
              <w:gridCol w:w="966"/>
              <w:gridCol w:w="893"/>
              <w:gridCol w:w="977"/>
              <w:gridCol w:w="936"/>
              <w:gridCol w:w="920"/>
              <w:gridCol w:w="7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357" w:type="pct"/>
                  <w:vMerge w:val="restar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污染物</w:t>
                  </w:r>
                </w:p>
              </w:tc>
              <w:tc>
                <w:tcPr>
                  <w:tcW w:w="659" w:type="pct"/>
                  <w:vMerge w:val="restar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检测项目</w:t>
                  </w:r>
                </w:p>
              </w:tc>
              <w:tc>
                <w:tcPr>
                  <w:tcW w:w="3540" w:type="pct"/>
                  <w:gridSpan w:val="6"/>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监测</w:t>
                  </w:r>
                  <w:r>
                    <w:rPr>
                      <w:rFonts w:hint="default" w:ascii="Times New Roman" w:hAnsi="Times New Roman" w:eastAsia="宋体" w:cs="Times New Roman"/>
                      <w:b w:val="0"/>
                      <w:bCs/>
                      <w:color w:val="auto"/>
                      <w:highlight w:val="none"/>
                      <w:lang w:val="en-US" w:eastAsia="zh-CN"/>
                    </w:rPr>
                    <w:t>结果</w:t>
                  </w:r>
                </w:p>
              </w:tc>
              <w:tc>
                <w:tcPr>
                  <w:tcW w:w="442" w:type="pct"/>
                  <w:vMerge w:val="restar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标准限值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8" w:hRule="atLeast"/>
              </w:trPr>
              <w:tc>
                <w:tcPr>
                  <w:tcW w:w="357" w:type="pct"/>
                  <w:vMerge w:val="continue"/>
                  <w:vAlign w:val="center"/>
                </w:tcPr>
                <w:p>
                  <w:pPr>
                    <w:pStyle w:val="81"/>
                    <w:ind w:firstLine="0" w:firstLineChars="0"/>
                    <w:rPr>
                      <w:rFonts w:hint="default" w:ascii="Times New Roman" w:hAnsi="Times New Roman" w:eastAsia="宋体" w:cs="Times New Roman"/>
                      <w:b w:val="0"/>
                      <w:bCs/>
                      <w:color w:val="auto"/>
                      <w:highlight w:val="none"/>
                      <w:lang w:val="en-US" w:eastAsia="zh-CN"/>
                    </w:rPr>
                  </w:pPr>
                </w:p>
              </w:tc>
              <w:tc>
                <w:tcPr>
                  <w:tcW w:w="659" w:type="pct"/>
                  <w:vMerge w:val="continue"/>
                  <w:vAlign w:val="center"/>
                </w:tcPr>
                <w:p>
                  <w:pPr>
                    <w:pStyle w:val="81"/>
                    <w:ind w:firstLine="0" w:firstLineChars="0"/>
                    <w:rPr>
                      <w:rFonts w:hint="default" w:ascii="Times New Roman" w:hAnsi="Times New Roman" w:eastAsia="宋体" w:cs="Times New Roman"/>
                      <w:b w:val="0"/>
                      <w:bCs/>
                      <w:color w:val="auto"/>
                      <w:highlight w:val="none"/>
                      <w:lang w:val="en-US" w:eastAsia="zh-CN"/>
                    </w:rPr>
                  </w:pPr>
                </w:p>
              </w:tc>
              <w:tc>
                <w:tcPr>
                  <w:tcW w:w="1751" w:type="pct"/>
                  <w:gridSpan w:val="3"/>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1#螺旋喷嘴水雾降尘除尘器</w:t>
                  </w:r>
                </w:p>
              </w:tc>
              <w:tc>
                <w:tcPr>
                  <w:tcW w:w="1788" w:type="pct"/>
                  <w:gridSpan w:val="3"/>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2#螺旋喷嘴水雾降尘</w:t>
                  </w:r>
                  <w:r>
                    <w:rPr>
                      <w:rFonts w:hint="default" w:ascii="Times New Roman" w:hAnsi="Times New Roman" w:eastAsia="宋体" w:cs="Times New Roman"/>
                      <w:b w:val="0"/>
                      <w:bCs/>
                      <w:color w:val="auto"/>
                      <w:highlight w:val="none"/>
                      <w:lang w:val="en-US" w:eastAsia="zh-CN"/>
                    </w:rPr>
                    <w:t>除尘器</w:t>
                  </w:r>
                </w:p>
              </w:tc>
              <w:tc>
                <w:tcPr>
                  <w:tcW w:w="442" w:type="pct"/>
                  <w:vMerge w:val="continue"/>
                  <w:vAlign w:val="center"/>
                </w:tcPr>
                <w:p>
                  <w:pPr>
                    <w:pStyle w:val="81"/>
                    <w:ind w:firstLine="0" w:firstLineChars="0"/>
                    <w:rPr>
                      <w:rFonts w:hint="default" w:ascii="Times New Roman" w:hAnsi="Times New Roman" w:eastAsia="宋体" w:cs="Times New Roman"/>
                      <w:b w:val="0"/>
                      <w:bCs/>
                      <w:color w:val="auto"/>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357" w:type="pct"/>
                  <w:vMerge w:val="continue"/>
                  <w:vAlign w:val="center"/>
                </w:tcPr>
                <w:p>
                  <w:pPr>
                    <w:pStyle w:val="81"/>
                    <w:ind w:firstLine="0" w:firstLineChars="0"/>
                    <w:rPr>
                      <w:rFonts w:hint="default" w:ascii="Times New Roman" w:hAnsi="Times New Roman" w:eastAsia="宋体" w:cs="Times New Roman"/>
                      <w:b w:val="0"/>
                      <w:bCs/>
                      <w:color w:val="auto"/>
                      <w:highlight w:val="none"/>
                      <w:lang w:val="en-US" w:eastAsia="zh-CN"/>
                    </w:rPr>
                  </w:pPr>
                </w:p>
              </w:tc>
              <w:tc>
                <w:tcPr>
                  <w:tcW w:w="659" w:type="pct"/>
                  <w:vMerge w:val="continue"/>
                  <w:vAlign w:val="center"/>
                </w:tcPr>
                <w:p>
                  <w:pPr>
                    <w:pStyle w:val="81"/>
                    <w:ind w:firstLine="0" w:firstLineChars="0"/>
                    <w:rPr>
                      <w:rFonts w:hint="default" w:ascii="Times New Roman" w:hAnsi="Times New Roman" w:eastAsia="宋体" w:cs="Times New Roman"/>
                      <w:b w:val="0"/>
                      <w:bCs/>
                      <w:color w:val="auto"/>
                      <w:highlight w:val="none"/>
                      <w:lang w:val="en-US" w:eastAsia="zh-CN"/>
                    </w:rPr>
                  </w:pPr>
                </w:p>
              </w:tc>
              <w:tc>
                <w:tcPr>
                  <w:tcW w:w="57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第一次</w:t>
                  </w:r>
                </w:p>
              </w:tc>
              <w:tc>
                <w:tcPr>
                  <w:tcW w:w="610"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第二次</w:t>
                  </w:r>
                </w:p>
              </w:tc>
              <w:tc>
                <w:tcPr>
                  <w:tcW w:w="564"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第三次</w:t>
                  </w:r>
                </w:p>
              </w:tc>
              <w:tc>
                <w:tcPr>
                  <w:tcW w:w="617"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第一次</w:t>
                  </w:r>
                </w:p>
              </w:tc>
              <w:tc>
                <w:tcPr>
                  <w:tcW w:w="591"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第二次</w:t>
                  </w:r>
                </w:p>
              </w:tc>
              <w:tc>
                <w:tcPr>
                  <w:tcW w:w="580"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第三次</w:t>
                  </w:r>
                </w:p>
              </w:tc>
              <w:tc>
                <w:tcPr>
                  <w:tcW w:w="442" w:type="pct"/>
                  <w:vMerge w:val="continue"/>
                  <w:vAlign w:val="center"/>
                </w:tcPr>
                <w:p>
                  <w:pPr>
                    <w:pStyle w:val="81"/>
                    <w:ind w:firstLine="0" w:firstLineChars="0"/>
                    <w:rPr>
                      <w:rFonts w:hint="default" w:ascii="Times New Roman" w:hAnsi="Times New Roman" w:eastAsia="宋体" w:cs="Times New Roman"/>
                      <w:b w:val="0"/>
                      <w:bCs/>
                      <w:color w:val="auto"/>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357" w:type="pct"/>
                  <w:vMerge w:val="restar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颗粒物</w:t>
                  </w:r>
                </w:p>
              </w:tc>
              <w:tc>
                <w:tcPr>
                  <w:tcW w:w="659"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浓度mg/m³</w:t>
                  </w:r>
                </w:p>
              </w:tc>
              <w:tc>
                <w:tcPr>
                  <w:tcW w:w="577" w:type="pct"/>
                  <w:vAlign w:val="center"/>
                </w:tcPr>
                <w:p>
                  <w:pPr>
                    <w:pStyle w:val="81"/>
                    <w:ind w:firstLine="0" w:firstLineChars="0"/>
                    <w:jc w:val="center"/>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6.3</w:t>
                  </w:r>
                </w:p>
              </w:tc>
              <w:tc>
                <w:tcPr>
                  <w:tcW w:w="610" w:type="pct"/>
                  <w:vAlign w:val="center"/>
                </w:tcPr>
                <w:p>
                  <w:pPr>
                    <w:pStyle w:val="81"/>
                    <w:ind w:firstLine="0" w:firstLineChars="0"/>
                    <w:jc w:val="center"/>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6.7</w:t>
                  </w:r>
                </w:p>
              </w:tc>
              <w:tc>
                <w:tcPr>
                  <w:tcW w:w="564" w:type="pct"/>
                  <w:vAlign w:val="center"/>
                </w:tcPr>
                <w:p>
                  <w:pPr>
                    <w:pStyle w:val="81"/>
                    <w:ind w:firstLine="0" w:firstLineChars="0"/>
                    <w:jc w:val="center"/>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6.7</w:t>
                  </w:r>
                </w:p>
              </w:tc>
              <w:tc>
                <w:tcPr>
                  <w:tcW w:w="617" w:type="pct"/>
                  <w:vAlign w:val="center"/>
                </w:tcPr>
                <w:p>
                  <w:pPr>
                    <w:pStyle w:val="81"/>
                    <w:ind w:firstLine="0" w:firstLineChars="0"/>
                    <w:jc w:val="center"/>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7.1</w:t>
                  </w:r>
                </w:p>
              </w:tc>
              <w:tc>
                <w:tcPr>
                  <w:tcW w:w="591" w:type="pct"/>
                  <w:vAlign w:val="center"/>
                </w:tcPr>
                <w:p>
                  <w:pPr>
                    <w:pStyle w:val="81"/>
                    <w:ind w:firstLine="0" w:firstLineChars="0"/>
                    <w:jc w:val="center"/>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6.9</w:t>
                  </w:r>
                </w:p>
              </w:tc>
              <w:tc>
                <w:tcPr>
                  <w:tcW w:w="580" w:type="pct"/>
                  <w:vAlign w:val="center"/>
                </w:tcPr>
                <w:p>
                  <w:pPr>
                    <w:pStyle w:val="81"/>
                    <w:ind w:firstLine="0" w:firstLineChars="0"/>
                    <w:jc w:val="center"/>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6.5</w:t>
                  </w:r>
                </w:p>
              </w:tc>
              <w:tc>
                <w:tcPr>
                  <w:tcW w:w="442" w:type="pct"/>
                  <w:vAlign w:val="center"/>
                </w:tcPr>
                <w:p>
                  <w:pPr>
                    <w:pStyle w:val="81"/>
                    <w:ind w:firstLine="0" w:firstLineChars="0"/>
                    <w:jc w:val="center"/>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120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357" w:type="pct"/>
                  <w:vMerge w:val="continue"/>
                  <w:vAlign w:val="center"/>
                </w:tcPr>
                <w:p>
                  <w:pPr>
                    <w:pStyle w:val="81"/>
                    <w:ind w:firstLine="0" w:firstLineChars="0"/>
                    <w:rPr>
                      <w:rFonts w:hint="default" w:ascii="Times New Roman" w:hAnsi="Times New Roman" w:eastAsia="宋体" w:cs="Times New Roman"/>
                      <w:b w:val="0"/>
                      <w:bCs/>
                      <w:color w:val="auto"/>
                      <w:highlight w:val="none"/>
                      <w:lang w:val="en-US" w:eastAsia="zh-CN"/>
                    </w:rPr>
                  </w:pPr>
                </w:p>
              </w:tc>
              <w:tc>
                <w:tcPr>
                  <w:tcW w:w="659" w:type="pct"/>
                  <w:vAlign w:val="center"/>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排放速率</w:t>
                  </w:r>
                  <w:r>
                    <w:rPr>
                      <w:rFonts w:hint="default" w:ascii="Times New Roman" w:hAnsi="Times New Roman" w:cs="Times New Roman"/>
                      <w:b w:val="0"/>
                      <w:bCs/>
                      <w:color w:val="auto"/>
                      <w:highlight w:val="none"/>
                      <w:lang w:val="en-US" w:eastAsia="zh-CN"/>
                    </w:rPr>
                    <w:t>kg/h</w:t>
                  </w:r>
                </w:p>
              </w:tc>
              <w:tc>
                <w:tcPr>
                  <w:tcW w:w="577" w:type="pct"/>
                  <w:vAlign w:val="center"/>
                </w:tcPr>
                <w:p>
                  <w:pPr>
                    <w:pStyle w:val="81"/>
                    <w:ind w:firstLine="0" w:firstLineChars="0"/>
                    <w:jc w:val="center"/>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0.061</w:t>
                  </w:r>
                </w:p>
              </w:tc>
              <w:tc>
                <w:tcPr>
                  <w:tcW w:w="610" w:type="pct"/>
                  <w:vAlign w:val="center"/>
                </w:tcPr>
                <w:p>
                  <w:pPr>
                    <w:pStyle w:val="81"/>
                    <w:ind w:firstLine="0" w:firstLineChars="0"/>
                    <w:jc w:val="center"/>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0.0898</w:t>
                  </w:r>
                </w:p>
              </w:tc>
              <w:tc>
                <w:tcPr>
                  <w:tcW w:w="564" w:type="pct"/>
                  <w:vAlign w:val="center"/>
                </w:tcPr>
                <w:p>
                  <w:pPr>
                    <w:pStyle w:val="81"/>
                    <w:ind w:firstLine="0" w:firstLineChars="0"/>
                    <w:jc w:val="center"/>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0.10</w:t>
                  </w:r>
                </w:p>
              </w:tc>
              <w:tc>
                <w:tcPr>
                  <w:tcW w:w="617" w:type="pct"/>
                  <w:vAlign w:val="center"/>
                </w:tcPr>
                <w:p>
                  <w:pPr>
                    <w:pStyle w:val="81"/>
                    <w:ind w:firstLine="0" w:firstLineChars="0"/>
                    <w:jc w:val="center"/>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0.0951</w:t>
                  </w:r>
                </w:p>
              </w:tc>
              <w:tc>
                <w:tcPr>
                  <w:tcW w:w="591" w:type="pct"/>
                  <w:vAlign w:val="center"/>
                </w:tcPr>
                <w:p>
                  <w:pPr>
                    <w:pStyle w:val="81"/>
                    <w:ind w:firstLine="0" w:firstLineChars="0"/>
                    <w:jc w:val="center"/>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0.10</w:t>
                  </w:r>
                </w:p>
              </w:tc>
              <w:tc>
                <w:tcPr>
                  <w:tcW w:w="580" w:type="pct"/>
                  <w:vAlign w:val="center"/>
                </w:tcPr>
                <w:p>
                  <w:pPr>
                    <w:pStyle w:val="81"/>
                    <w:ind w:firstLine="0" w:firstLineChars="0"/>
                    <w:jc w:val="center"/>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0.10</w:t>
                  </w:r>
                </w:p>
              </w:tc>
              <w:tc>
                <w:tcPr>
                  <w:tcW w:w="442" w:type="pct"/>
                  <w:vAlign w:val="center"/>
                </w:tcPr>
                <w:p>
                  <w:pPr>
                    <w:pStyle w:val="81"/>
                    <w:ind w:firstLine="0" w:firstLineChars="0"/>
                    <w:jc w:val="center"/>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3.5</w:t>
                  </w:r>
                </w:p>
              </w:tc>
            </w:tr>
          </w:tbl>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b/>
                <w:bCs/>
                <w:color w:val="auto"/>
                <w:spacing w:val="7"/>
                <w:sz w:val="20"/>
                <w:szCs w:val="20"/>
              </w:rPr>
            </w:pPr>
            <w:r>
              <w:rPr>
                <w:rFonts w:hint="default" w:ascii="Times New Roman" w:hAnsi="Times New Roman" w:eastAsia="宋体" w:cs="Times New Roman"/>
                <w:color w:val="auto"/>
                <w:spacing w:val="1"/>
                <w:sz w:val="24"/>
                <w:szCs w:val="24"/>
                <w:lang w:val="en-US" w:eastAsia="zh-CN"/>
              </w:rPr>
              <w:t>根据企业</w:t>
            </w:r>
            <w:r>
              <w:rPr>
                <w:rFonts w:hint="default" w:ascii="Times New Roman" w:hAnsi="Times New Roman" w:cs="Times New Roman"/>
                <w:color w:val="auto"/>
                <w:spacing w:val="1"/>
                <w:sz w:val="24"/>
                <w:szCs w:val="24"/>
                <w:lang w:val="en-US" w:eastAsia="zh-CN"/>
              </w:rPr>
              <w:t>常规</w:t>
            </w:r>
            <w:r>
              <w:rPr>
                <w:rFonts w:hint="default" w:ascii="Times New Roman" w:hAnsi="Times New Roman" w:eastAsia="宋体" w:cs="Times New Roman"/>
                <w:color w:val="auto"/>
                <w:spacing w:val="1"/>
                <w:sz w:val="24"/>
                <w:szCs w:val="24"/>
                <w:lang w:val="en-US" w:eastAsia="zh-CN"/>
              </w:rPr>
              <w:t>监测结果，除尘器排</w:t>
            </w:r>
            <w:r>
              <w:rPr>
                <w:rFonts w:hint="default" w:ascii="Times New Roman" w:hAnsi="Times New Roman" w:cs="Times New Roman"/>
                <w:color w:val="auto"/>
                <w:spacing w:val="1"/>
                <w:sz w:val="24"/>
                <w:szCs w:val="24"/>
                <w:lang w:val="en-US" w:eastAsia="zh-CN"/>
              </w:rPr>
              <w:t>放</w:t>
            </w:r>
            <w:r>
              <w:rPr>
                <w:rFonts w:hint="default" w:ascii="Times New Roman" w:hAnsi="Times New Roman" w:eastAsia="宋体" w:cs="Times New Roman"/>
                <w:color w:val="auto"/>
                <w:spacing w:val="1"/>
                <w:sz w:val="24"/>
                <w:szCs w:val="24"/>
                <w:lang w:val="en-US" w:eastAsia="zh-CN"/>
              </w:rPr>
              <w:t>口中颗粒物最大排放浓度为7.1mg/m³</w:t>
            </w:r>
            <w:r>
              <w:rPr>
                <w:rFonts w:hint="default" w:ascii="Times New Roman" w:hAnsi="Times New Roman" w:cs="Times New Roman"/>
                <w:color w:val="auto"/>
                <w:spacing w:val="1"/>
                <w:sz w:val="24"/>
                <w:szCs w:val="24"/>
                <w:lang w:val="en-US" w:eastAsia="zh-CN"/>
              </w:rPr>
              <w:t>、排放速率为0.0951kg/h，</w:t>
            </w:r>
            <w:r>
              <w:rPr>
                <w:rFonts w:hint="default" w:ascii="Times New Roman" w:hAnsi="Times New Roman" w:eastAsia="宋体" w:cs="Times New Roman"/>
                <w:color w:val="auto"/>
                <w:spacing w:val="-4"/>
                <w:sz w:val="24"/>
                <w:szCs w:val="24"/>
              </w:rPr>
              <w:t>颗粒物浓度、</w:t>
            </w:r>
            <w:r>
              <w:rPr>
                <w:rFonts w:hint="default" w:ascii="Times New Roman" w:hAnsi="Times New Roman" w:cs="Times New Roman"/>
                <w:color w:val="auto"/>
                <w:spacing w:val="-4"/>
                <w:sz w:val="24"/>
                <w:szCs w:val="24"/>
                <w:lang w:val="en-US" w:eastAsia="zh-CN"/>
              </w:rPr>
              <w:t>排放</w:t>
            </w:r>
            <w:r>
              <w:rPr>
                <w:rFonts w:hint="default" w:ascii="Times New Roman" w:hAnsi="Times New Roman" w:eastAsia="宋体" w:cs="Times New Roman"/>
                <w:color w:val="auto"/>
                <w:spacing w:val="-4"/>
                <w:sz w:val="24"/>
                <w:szCs w:val="24"/>
              </w:rPr>
              <w:t>速</w:t>
            </w:r>
            <w:r>
              <w:rPr>
                <w:rFonts w:hint="default" w:ascii="Times New Roman" w:hAnsi="Times New Roman" w:eastAsia="宋体" w:cs="Times New Roman"/>
                <w:color w:val="auto"/>
                <w:sz w:val="24"/>
                <w:szCs w:val="24"/>
              </w:rPr>
              <w:t>率均满足《大气污染物综合排放标准》（GB16297-</w:t>
            </w:r>
            <w:r>
              <w:rPr>
                <w:rFonts w:hint="default" w:ascii="Times New Roman" w:hAnsi="Times New Roman" w:eastAsia="宋体" w:cs="Times New Roman"/>
                <w:color w:val="auto"/>
                <w:spacing w:val="-30"/>
                <w:sz w:val="24"/>
                <w:szCs w:val="24"/>
              </w:rPr>
              <w:t xml:space="preserve"> </w:t>
            </w:r>
            <w:r>
              <w:rPr>
                <w:rFonts w:hint="default" w:ascii="Times New Roman" w:hAnsi="Times New Roman" w:eastAsia="宋体" w:cs="Times New Roman"/>
                <w:color w:val="auto"/>
                <w:sz w:val="24"/>
                <w:szCs w:val="24"/>
              </w:rPr>
              <w:t>1996）表</w:t>
            </w:r>
            <w:r>
              <w:rPr>
                <w:rFonts w:hint="default" w:ascii="Times New Roman" w:hAnsi="Times New Roman" w:eastAsia="宋体" w:cs="Times New Roman"/>
                <w:color w:val="auto"/>
                <w:spacing w:val="-52"/>
                <w:sz w:val="24"/>
                <w:szCs w:val="24"/>
                <w:lang w:val="en-US" w:eastAsia="zh-CN"/>
              </w:rPr>
              <w:t>2</w:t>
            </w:r>
            <w:r>
              <w:rPr>
                <w:rFonts w:hint="default" w:ascii="Times New Roman" w:hAnsi="Times New Roman" w:eastAsia="宋体" w:cs="Times New Roman"/>
                <w:color w:val="auto"/>
                <w:spacing w:val="-1"/>
                <w:sz w:val="24"/>
                <w:szCs w:val="24"/>
              </w:rPr>
              <w:t>的相关规定限值要</w:t>
            </w:r>
            <w:r>
              <w:rPr>
                <w:rFonts w:hint="default" w:ascii="Times New Roman" w:hAnsi="Times New Roman" w:eastAsia="宋体" w:cs="Times New Roman"/>
                <w:color w:val="auto"/>
                <w:spacing w:val="-6"/>
                <w:sz w:val="24"/>
                <w:szCs w:val="24"/>
              </w:rPr>
              <w:t>求。</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0" w:firstLineChars="0"/>
              <w:jc w:val="center"/>
              <w:textAlignment w:val="auto"/>
              <w:rPr>
                <w:rFonts w:hint="default" w:ascii="Times New Roman" w:hAnsi="Times New Roman" w:eastAsia="宋体" w:cs="Times New Roman"/>
                <w:b/>
                <w:bCs w:val="0"/>
                <w:color w:val="auto"/>
                <w:szCs w:val="21"/>
                <w:lang w:val="en-US" w:eastAsia="zh-CN"/>
              </w:rPr>
            </w:pPr>
            <w:r>
              <w:rPr>
                <w:rFonts w:hint="default" w:ascii="Times New Roman" w:hAnsi="Times New Roman" w:eastAsia="宋体" w:cs="Times New Roman"/>
                <w:b/>
                <w:bCs w:val="0"/>
                <w:color w:val="auto"/>
                <w:szCs w:val="21"/>
                <w:lang w:val="en-US" w:eastAsia="zh-CN"/>
              </w:rPr>
              <w:t>表</w:t>
            </w:r>
            <w:r>
              <w:rPr>
                <w:rFonts w:hint="default" w:ascii="Times New Roman" w:hAnsi="Times New Roman" w:cs="Times New Roman"/>
                <w:b/>
                <w:bCs w:val="0"/>
                <w:color w:val="auto"/>
                <w:szCs w:val="21"/>
                <w:lang w:val="en-US" w:eastAsia="zh-CN"/>
              </w:rPr>
              <w:t>2-20</w:t>
            </w:r>
            <w:r>
              <w:rPr>
                <w:rFonts w:hint="default" w:ascii="Times New Roman" w:hAnsi="Times New Roman" w:eastAsia="宋体" w:cs="Times New Roman"/>
                <w:b/>
                <w:bCs w:val="0"/>
                <w:color w:val="auto"/>
                <w:szCs w:val="21"/>
                <w:lang w:val="en-US" w:eastAsia="zh-CN"/>
              </w:rPr>
              <w:t xml:space="preserve">     厂界无组织废气监测结果   单位：mg/m³</w:t>
            </w:r>
          </w:p>
          <w:tbl>
            <w:tblPr>
              <w:tblStyle w:val="30"/>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60"/>
              <w:gridCol w:w="1248"/>
              <w:gridCol w:w="1401"/>
              <w:gridCol w:w="1765"/>
              <w:gridCol w:w="176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1660" w:type="dxa"/>
                  <w:vMerge w:val="restart"/>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监测时间</w:t>
                  </w:r>
                </w:p>
              </w:tc>
              <w:tc>
                <w:tcPr>
                  <w:tcW w:w="6181" w:type="dxa"/>
                  <w:gridSpan w:val="4"/>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监测点位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1660" w:type="dxa"/>
                  <w:vMerge w:val="continue"/>
                </w:tcPr>
                <w:p>
                  <w:pPr>
                    <w:pStyle w:val="81"/>
                    <w:ind w:firstLine="0" w:firstLineChars="0"/>
                    <w:rPr>
                      <w:rFonts w:hint="default" w:ascii="Times New Roman" w:hAnsi="Times New Roman" w:eastAsia="宋体" w:cs="Times New Roman"/>
                      <w:b w:val="0"/>
                      <w:bCs/>
                      <w:color w:val="auto"/>
                      <w:highlight w:val="none"/>
                      <w:lang w:val="en-US" w:eastAsia="zh-CN"/>
                    </w:rPr>
                  </w:pPr>
                </w:p>
              </w:tc>
              <w:tc>
                <w:tcPr>
                  <w:tcW w:w="1248" w:type="dxa"/>
                  <w:vAlign w:val="top"/>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1#上风向</w:t>
                  </w:r>
                </w:p>
              </w:tc>
              <w:tc>
                <w:tcPr>
                  <w:tcW w:w="1401" w:type="dxa"/>
                  <w:vAlign w:val="top"/>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2#下风向</w:t>
                  </w:r>
                </w:p>
              </w:tc>
              <w:tc>
                <w:tcPr>
                  <w:tcW w:w="1765" w:type="dxa"/>
                  <w:vAlign w:val="top"/>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3#下风向</w:t>
                  </w:r>
                </w:p>
              </w:tc>
              <w:tc>
                <w:tcPr>
                  <w:tcW w:w="1767" w:type="dxa"/>
                  <w:vAlign w:val="top"/>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4#下风向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1660" w:type="dxa"/>
                  <w:vMerge w:val="restart"/>
                  <w:vAlign w:val="center"/>
                </w:tcPr>
                <w:p>
                  <w:pPr>
                    <w:pStyle w:val="81"/>
                    <w:ind w:firstLine="0" w:firstLineChars="0"/>
                    <w:jc w:val="center"/>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2025.5.10</w:t>
                  </w:r>
                </w:p>
              </w:tc>
              <w:tc>
                <w:tcPr>
                  <w:tcW w:w="1248" w:type="dxa"/>
                  <w:shd w:val="clear" w:color="auto" w:fill="auto"/>
                  <w:vAlign w:val="top"/>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0.505</w:t>
                  </w:r>
                </w:p>
              </w:tc>
              <w:tc>
                <w:tcPr>
                  <w:tcW w:w="1401" w:type="dxa"/>
                  <w:shd w:val="clear" w:color="auto" w:fill="auto"/>
                  <w:vAlign w:val="top"/>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0.567</w:t>
                  </w:r>
                </w:p>
              </w:tc>
              <w:tc>
                <w:tcPr>
                  <w:tcW w:w="1765" w:type="dxa"/>
                  <w:shd w:val="clear" w:color="auto" w:fill="auto"/>
                  <w:vAlign w:val="top"/>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0.626</w:t>
                  </w:r>
                </w:p>
              </w:tc>
              <w:tc>
                <w:tcPr>
                  <w:tcW w:w="1767" w:type="dxa"/>
                  <w:shd w:val="clear" w:color="auto" w:fill="auto"/>
                  <w:vAlign w:val="top"/>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0.553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1660" w:type="dxa"/>
                  <w:vMerge w:val="continue"/>
                  <w:vAlign w:val="center"/>
                </w:tcPr>
                <w:p>
                  <w:pPr>
                    <w:pStyle w:val="81"/>
                    <w:ind w:firstLine="0" w:firstLineChars="0"/>
                    <w:jc w:val="center"/>
                    <w:rPr>
                      <w:rFonts w:hint="default" w:ascii="Times New Roman" w:hAnsi="Times New Roman" w:eastAsia="宋体" w:cs="Times New Roman"/>
                      <w:b w:val="0"/>
                      <w:bCs/>
                      <w:color w:val="auto"/>
                      <w:highlight w:val="none"/>
                      <w:lang w:val="en-US" w:eastAsia="zh-CN"/>
                    </w:rPr>
                  </w:pPr>
                </w:p>
              </w:tc>
              <w:tc>
                <w:tcPr>
                  <w:tcW w:w="1248" w:type="dxa"/>
                  <w:shd w:val="clear" w:color="auto" w:fill="auto"/>
                  <w:vAlign w:val="top"/>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0.512</w:t>
                  </w:r>
                </w:p>
              </w:tc>
              <w:tc>
                <w:tcPr>
                  <w:tcW w:w="1401" w:type="dxa"/>
                  <w:shd w:val="clear" w:color="auto" w:fill="auto"/>
                  <w:vAlign w:val="top"/>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0.574</w:t>
                  </w:r>
                </w:p>
              </w:tc>
              <w:tc>
                <w:tcPr>
                  <w:tcW w:w="1765" w:type="dxa"/>
                  <w:shd w:val="clear" w:color="auto" w:fill="auto"/>
                  <w:vAlign w:val="top"/>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0.609</w:t>
                  </w:r>
                </w:p>
              </w:tc>
              <w:tc>
                <w:tcPr>
                  <w:tcW w:w="1767" w:type="dxa"/>
                  <w:shd w:val="clear" w:color="auto" w:fill="auto"/>
                  <w:vAlign w:val="top"/>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0.539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1660" w:type="dxa"/>
                  <w:vMerge w:val="continue"/>
                  <w:vAlign w:val="center"/>
                </w:tcPr>
                <w:p>
                  <w:pPr>
                    <w:pStyle w:val="81"/>
                    <w:ind w:firstLine="0" w:firstLineChars="0"/>
                    <w:jc w:val="center"/>
                    <w:rPr>
                      <w:rFonts w:hint="default" w:ascii="Times New Roman" w:hAnsi="Times New Roman" w:eastAsia="宋体" w:cs="Times New Roman"/>
                      <w:b w:val="0"/>
                      <w:bCs/>
                      <w:color w:val="auto"/>
                      <w:highlight w:val="none"/>
                      <w:lang w:val="en-US" w:eastAsia="zh-CN"/>
                    </w:rPr>
                  </w:pPr>
                </w:p>
              </w:tc>
              <w:tc>
                <w:tcPr>
                  <w:tcW w:w="1248" w:type="dxa"/>
                  <w:shd w:val="clear" w:color="auto" w:fill="auto"/>
                  <w:vAlign w:val="top"/>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0.513</w:t>
                  </w:r>
                </w:p>
              </w:tc>
              <w:tc>
                <w:tcPr>
                  <w:tcW w:w="1401" w:type="dxa"/>
                  <w:shd w:val="clear" w:color="auto" w:fill="auto"/>
                  <w:vAlign w:val="top"/>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0.569</w:t>
                  </w:r>
                </w:p>
              </w:tc>
              <w:tc>
                <w:tcPr>
                  <w:tcW w:w="1765" w:type="dxa"/>
                  <w:shd w:val="clear" w:color="auto" w:fill="auto"/>
                  <w:vAlign w:val="top"/>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0.624</w:t>
                  </w:r>
                </w:p>
              </w:tc>
              <w:tc>
                <w:tcPr>
                  <w:tcW w:w="1767" w:type="dxa"/>
                  <w:shd w:val="clear" w:color="auto" w:fill="auto"/>
                  <w:vAlign w:val="top"/>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0.561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1660" w:type="dxa"/>
                  <w:vMerge w:val="continue"/>
                  <w:vAlign w:val="center"/>
                </w:tcPr>
                <w:p>
                  <w:pPr>
                    <w:pStyle w:val="81"/>
                    <w:ind w:firstLine="0" w:firstLineChars="0"/>
                    <w:jc w:val="center"/>
                    <w:rPr>
                      <w:rFonts w:hint="default" w:ascii="Times New Roman" w:hAnsi="Times New Roman" w:eastAsia="宋体" w:cs="Times New Roman"/>
                      <w:b w:val="0"/>
                      <w:bCs/>
                      <w:color w:val="auto"/>
                      <w:highlight w:val="none"/>
                      <w:lang w:val="en-US" w:eastAsia="zh-CN"/>
                    </w:rPr>
                  </w:pPr>
                </w:p>
              </w:tc>
              <w:tc>
                <w:tcPr>
                  <w:tcW w:w="1248" w:type="dxa"/>
                  <w:shd w:val="clear" w:color="auto" w:fill="auto"/>
                  <w:vAlign w:val="top"/>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0.505</w:t>
                  </w:r>
                </w:p>
              </w:tc>
              <w:tc>
                <w:tcPr>
                  <w:tcW w:w="1401" w:type="dxa"/>
                  <w:shd w:val="clear" w:color="auto" w:fill="auto"/>
                  <w:vAlign w:val="top"/>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0.545</w:t>
                  </w:r>
                </w:p>
              </w:tc>
              <w:tc>
                <w:tcPr>
                  <w:tcW w:w="1765" w:type="dxa"/>
                  <w:shd w:val="clear" w:color="auto" w:fill="auto"/>
                  <w:vAlign w:val="top"/>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0.605</w:t>
                  </w:r>
                </w:p>
              </w:tc>
              <w:tc>
                <w:tcPr>
                  <w:tcW w:w="1767" w:type="dxa"/>
                  <w:shd w:val="clear" w:color="auto" w:fill="auto"/>
                  <w:vAlign w:val="top"/>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0.550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1660" w:type="dxa"/>
                  <w:vAlign w:val="top"/>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监控点最大值</w:t>
                  </w:r>
                </w:p>
              </w:tc>
              <w:tc>
                <w:tcPr>
                  <w:tcW w:w="6181" w:type="dxa"/>
                  <w:gridSpan w:val="4"/>
                  <w:vAlign w:val="top"/>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0.626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1660" w:type="dxa"/>
                  <w:vAlign w:val="top"/>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标准限值</w:t>
                  </w:r>
                </w:p>
              </w:tc>
              <w:tc>
                <w:tcPr>
                  <w:tcW w:w="6181" w:type="dxa"/>
                  <w:gridSpan w:val="4"/>
                  <w:vAlign w:val="top"/>
                </w:tcPr>
                <w:p>
                  <w:pPr>
                    <w:pStyle w:val="81"/>
                    <w:ind w:firstLine="0" w:firstLineChars="0"/>
                    <w:jc w:val="center"/>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660" w:type="dxa"/>
                  <w:vAlign w:val="top"/>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达标情况</w:t>
                  </w:r>
                </w:p>
              </w:tc>
              <w:tc>
                <w:tcPr>
                  <w:tcW w:w="6181" w:type="dxa"/>
                  <w:gridSpan w:val="4"/>
                  <w:vAlign w:val="top"/>
                </w:tcPr>
                <w:p>
                  <w:pPr>
                    <w:pStyle w:val="81"/>
                    <w:ind w:firstLine="0" w:firstLineChars="0"/>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达标</w:t>
                  </w:r>
                </w:p>
              </w:tc>
            </w:tr>
          </w:tbl>
          <w:p>
            <w:pPr>
              <w:keepNext w:val="0"/>
              <w:keepLines w:val="0"/>
              <w:pageBreakBefore w:val="0"/>
              <w:widowControl w:val="0"/>
              <w:kinsoku/>
              <w:wordWrap/>
              <w:overflowPunct/>
              <w:topLinePunct w:val="0"/>
              <w:autoSpaceDE/>
              <w:autoSpaceDN/>
              <w:bidi w:val="0"/>
              <w:adjustRightInd/>
              <w:snapToGrid/>
              <w:spacing w:line="500" w:lineRule="exact"/>
              <w:ind w:firstLine="452" w:firstLineChars="195"/>
              <w:textAlignment w:val="auto"/>
              <w:rPr>
                <w:rFonts w:hint="default" w:ascii="Times New Roman" w:hAnsi="Times New Roman" w:eastAsia="宋体" w:cs="Times New Roman"/>
                <w:color w:val="auto"/>
                <w:spacing w:val="1"/>
                <w:sz w:val="24"/>
                <w:szCs w:val="24"/>
                <w:lang w:val="en-US" w:eastAsia="zh-CN"/>
              </w:rPr>
            </w:pPr>
            <w:r>
              <w:rPr>
                <w:rFonts w:hint="default" w:ascii="Times New Roman" w:hAnsi="Times New Roman" w:eastAsia="宋体" w:cs="Times New Roman"/>
                <w:color w:val="auto"/>
                <w:spacing w:val="-4"/>
                <w:sz w:val="24"/>
                <w:szCs w:val="24"/>
                <w:lang w:val="en-US" w:eastAsia="zh-CN"/>
              </w:rPr>
              <w:t>根据企业例行监测结果</w:t>
            </w:r>
            <w:r>
              <w:rPr>
                <w:rFonts w:hint="default" w:ascii="Times New Roman" w:hAnsi="Times New Roman" w:eastAsia="宋体" w:cs="Times New Roman"/>
                <w:color w:val="auto"/>
                <w:spacing w:val="-4"/>
                <w:sz w:val="24"/>
                <w:szCs w:val="24"/>
              </w:rPr>
              <w:t>，项目厂界颗粒物无组织排放浓度</w:t>
            </w:r>
            <w:r>
              <w:rPr>
                <w:rFonts w:hint="default" w:ascii="Times New Roman" w:hAnsi="Times New Roman" w:cs="Times New Roman"/>
                <w:color w:val="auto"/>
                <w:spacing w:val="-4"/>
                <w:sz w:val="24"/>
                <w:szCs w:val="24"/>
                <w:lang w:val="en-US" w:eastAsia="zh-CN"/>
              </w:rPr>
              <w:t>满足</w:t>
            </w:r>
            <w:r>
              <w:rPr>
                <w:rFonts w:hint="default" w:ascii="Times New Roman" w:hAnsi="Times New Roman" w:eastAsia="宋体" w:cs="Times New Roman"/>
                <w:color w:val="auto"/>
                <w:spacing w:val="-4"/>
                <w:sz w:val="24"/>
                <w:szCs w:val="24"/>
              </w:rPr>
              <w:t>《大气污</w:t>
            </w:r>
            <w:r>
              <w:rPr>
                <w:rFonts w:hint="default" w:ascii="Times New Roman" w:hAnsi="Times New Roman" w:eastAsia="宋体" w:cs="Times New Roman"/>
                <w:color w:val="auto"/>
                <w:spacing w:val="-2"/>
                <w:sz w:val="24"/>
                <w:szCs w:val="24"/>
              </w:rPr>
              <w:t>染物综合排放标准》（GB16297-</w:t>
            </w:r>
            <w:r>
              <w:rPr>
                <w:rFonts w:hint="default" w:ascii="Times New Roman" w:hAnsi="Times New Roman" w:eastAsia="宋体" w:cs="Times New Roman"/>
                <w:color w:val="auto"/>
                <w:spacing w:val="-30"/>
                <w:sz w:val="24"/>
                <w:szCs w:val="24"/>
              </w:rPr>
              <w:t xml:space="preserve"> </w:t>
            </w:r>
            <w:r>
              <w:rPr>
                <w:rFonts w:hint="default" w:ascii="Times New Roman" w:hAnsi="Times New Roman" w:eastAsia="宋体" w:cs="Times New Roman"/>
                <w:color w:val="auto"/>
                <w:spacing w:val="-2"/>
                <w:sz w:val="24"/>
                <w:szCs w:val="24"/>
              </w:rPr>
              <w:t>1996）表</w:t>
            </w:r>
            <w:r>
              <w:rPr>
                <w:rFonts w:hint="default" w:ascii="Times New Roman" w:hAnsi="Times New Roman" w:eastAsia="宋体" w:cs="Times New Roman"/>
                <w:color w:val="auto"/>
                <w:spacing w:val="-55"/>
                <w:sz w:val="24"/>
                <w:szCs w:val="24"/>
                <w:lang w:val="en-US" w:eastAsia="zh-CN"/>
              </w:rPr>
              <w:t>2</w:t>
            </w:r>
            <w:r>
              <w:rPr>
                <w:rFonts w:hint="default" w:ascii="Times New Roman" w:hAnsi="Times New Roman" w:eastAsia="宋体" w:cs="Times New Roman"/>
                <w:color w:val="auto"/>
                <w:spacing w:val="-2"/>
                <w:sz w:val="24"/>
                <w:szCs w:val="24"/>
              </w:rPr>
              <w:t>的</w:t>
            </w:r>
            <w:r>
              <w:rPr>
                <w:rFonts w:hint="default" w:ascii="Times New Roman" w:hAnsi="Times New Roman" w:eastAsia="宋体" w:cs="Times New Roman"/>
                <w:color w:val="auto"/>
                <w:spacing w:val="-3"/>
                <w:sz w:val="24"/>
                <w:szCs w:val="24"/>
              </w:rPr>
              <w:t>相关规定限值要求。</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lang w:val="en-US" w:eastAsia="zh-CN"/>
              </w:rPr>
            </w:pPr>
            <w:r>
              <w:rPr>
                <w:rFonts w:hint="default" w:ascii="Times New Roman" w:hAnsi="Times New Roman" w:eastAsia="宋体" w:cs="Times New Roman"/>
                <w:color w:val="auto"/>
                <w:spacing w:val="1"/>
                <w:sz w:val="24"/>
                <w:szCs w:val="24"/>
                <w:lang w:val="en-US" w:eastAsia="zh-CN"/>
              </w:rPr>
              <w:t>（三）噪声</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lang w:val="en-US" w:eastAsia="zh-CN"/>
              </w:rPr>
            </w:pPr>
            <w:r>
              <w:rPr>
                <w:rFonts w:hint="default" w:ascii="Times New Roman" w:hAnsi="Times New Roman" w:eastAsia="宋体" w:cs="Times New Roman"/>
                <w:color w:val="auto"/>
                <w:spacing w:val="1"/>
                <w:sz w:val="24"/>
                <w:szCs w:val="24"/>
                <w:lang w:val="en-US" w:eastAsia="zh-CN"/>
              </w:rPr>
              <w:t>选矿厂高噪声设备主要是破碎机、振动筛、球磨机、分级机、浮选机、泵机等。项目噪声采用合理布局、距离衰减、减振等措施后降低。</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lang w:val="en-US" w:eastAsia="zh-CN"/>
              </w:rPr>
            </w:pPr>
            <w:r>
              <w:rPr>
                <w:rFonts w:hint="default" w:ascii="Times New Roman" w:hAnsi="Times New Roman" w:eastAsia="宋体" w:cs="Times New Roman"/>
                <w:color w:val="auto"/>
                <w:spacing w:val="1"/>
                <w:sz w:val="24"/>
                <w:szCs w:val="24"/>
                <w:lang w:val="en-US" w:eastAsia="zh-CN"/>
              </w:rPr>
              <w:t>企业2025年5月</w:t>
            </w:r>
            <w:r>
              <w:rPr>
                <w:rFonts w:hint="default" w:ascii="Times New Roman" w:hAnsi="Times New Roman" w:cs="Times New Roman"/>
                <w:color w:val="auto"/>
                <w:spacing w:val="1"/>
                <w:sz w:val="24"/>
                <w:szCs w:val="24"/>
                <w:lang w:val="en-US" w:eastAsia="zh-CN"/>
              </w:rPr>
              <w:t>10日-11</w:t>
            </w:r>
            <w:r>
              <w:rPr>
                <w:rFonts w:hint="default" w:ascii="Times New Roman" w:hAnsi="Times New Roman" w:eastAsia="宋体" w:cs="Times New Roman"/>
                <w:color w:val="auto"/>
                <w:spacing w:val="1"/>
                <w:sz w:val="24"/>
                <w:szCs w:val="24"/>
                <w:lang w:val="en-US" w:eastAsia="zh-CN"/>
              </w:rPr>
              <w:t>日进行对</w:t>
            </w:r>
            <w:r>
              <w:rPr>
                <w:rFonts w:hint="default" w:ascii="Times New Roman" w:hAnsi="Times New Roman" w:cs="Times New Roman"/>
                <w:color w:val="auto"/>
                <w:spacing w:val="1"/>
                <w:sz w:val="24"/>
                <w:szCs w:val="24"/>
                <w:lang w:val="en-US" w:eastAsia="zh-CN"/>
              </w:rPr>
              <w:t>选矿厂厂界进行了常规</w:t>
            </w:r>
            <w:r>
              <w:rPr>
                <w:rFonts w:hint="default" w:ascii="Times New Roman" w:hAnsi="Times New Roman" w:eastAsia="宋体" w:cs="Times New Roman"/>
                <w:color w:val="auto"/>
                <w:spacing w:val="1"/>
                <w:sz w:val="24"/>
                <w:szCs w:val="24"/>
                <w:lang w:val="en-US" w:eastAsia="zh-CN"/>
              </w:rPr>
              <w:t>监测</w:t>
            </w:r>
            <w:r>
              <w:rPr>
                <w:rFonts w:hint="default" w:ascii="Times New Roman" w:hAnsi="Times New Roman" w:cs="Times New Roman"/>
                <w:color w:val="auto"/>
                <w:spacing w:val="1"/>
                <w:sz w:val="24"/>
                <w:szCs w:val="24"/>
                <w:lang w:val="en-US" w:eastAsia="zh-CN"/>
              </w:rPr>
              <w:t>，</w:t>
            </w:r>
            <w:r>
              <w:rPr>
                <w:rFonts w:hint="default" w:ascii="Times New Roman" w:hAnsi="Times New Roman" w:eastAsia="宋体" w:cs="Times New Roman"/>
                <w:color w:val="auto"/>
                <w:spacing w:val="1"/>
                <w:sz w:val="24"/>
                <w:szCs w:val="24"/>
                <w:lang w:val="en-US" w:eastAsia="zh-CN"/>
              </w:rPr>
              <w:t>监测结果见表2</w:t>
            </w:r>
            <w:r>
              <w:rPr>
                <w:rFonts w:hint="default" w:ascii="Times New Roman" w:hAnsi="Times New Roman" w:cs="Times New Roman"/>
                <w:color w:val="auto"/>
                <w:spacing w:val="1"/>
                <w:sz w:val="24"/>
                <w:szCs w:val="24"/>
                <w:lang w:val="en-US" w:eastAsia="zh-CN"/>
              </w:rPr>
              <w:t>-21</w:t>
            </w:r>
            <w:r>
              <w:rPr>
                <w:rFonts w:hint="default" w:ascii="Times New Roman" w:hAnsi="Times New Roman" w:eastAsia="宋体" w:cs="Times New Roman"/>
                <w:color w:val="auto"/>
                <w:spacing w:val="1"/>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0" w:firstLineChars="0"/>
              <w:jc w:val="center"/>
              <w:textAlignment w:val="auto"/>
              <w:rPr>
                <w:rFonts w:hint="default" w:ascii="Times New Roman" w:hAnsi="Times New Roman" w:eastAsia="宋体" w:cs="Times New Roman"/>
                <w:b/>
                <w:bCs w:val="0"/>
                <w:color w:val="auto"/>
                <w:szCs w:val="21"/>
                <w:lang w:val="en-US" w:eastAsia="zh-CN"/>
              </w:rPr>
            </w:pPr>
            <w:r>
              <w:rPr>
                <w:rFonts w:hint="default" w:ascii="Times New Roman" w:hAnsi="Times New Roman" w:eastAsia="宋体" w:cs="Times New Roman"/>
                <w:b/>
                <w:bCs w:val="0"/>
                <w:color w:val="auto"/>
                <w:szCs w:val="21"/>
                <w:lang w:val="en-US" w:eastAsia="zh-CN"/>
              </w:rPr>
              <w:t>表2</w:t>
            </w:r>
            <w:r>
              <w:rPr>
                <w:rFonts w:hint="default" w:ascii="Times New Roman" w:hAnsi="Times New Roman" w:cs="Times New Roman"/>
                <w:b/>
                <w:bCs w:val="0"/>
                <w:color w:val="auto"/>
                <w:szCs w:val="21"/>
                <w:lang w:val="en-US" w:eastAsia="zh-CN"/>
              </w:rPr>
              <w:t>-21</w:t>
            </w:r>
            <w:r>
              <w:rPr>
                <w:rFonts w:hint="default" w:ascii="Times New Roman" w:hAnsi="Times New Roman" w:eastAsia="宋体" w:cs="Times New Roman"/>
                <w:b/>
                <w:bCs w:val="0"/>
                <w:color w:val="auto"/>
                <w:szCs w:val="21"/>
                <w:lang w:val="en-US" w:eastAsia="zh-CN"/>
              </w:rPr>
              <w:t xml:space="preserve">      厂界噪声监测结果   单位：dB（A）</w:t>
            </w:r>
          </w:p>
          <w:tbl>
            <w:tblPr>
              <w:tblStyle w:val="29"/>
              <w:tblW w:w="499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545"/>
              <w:gridCol w:w="843"/>
              <w:gridCol w:w="984"/>
              <w:gridCol w:w="960"/>
              <w:gridCol w:w="876"/>
              <w:gridCol w:w="1033"/>
              <w:gridCol w:w="9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8" w:type="pct"/>
                  <w:vMerge w:val="restar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监测日期</w:t>
                  </w:r>
                </w:p>
              </w:tc>
              <w:tc>
                <w:tcPr>
                  <w:tcW w:w="977" w:type="pct"/>
                  <w:vMerge w:val="restar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监测点位</w:t>
                  </w:r>
                </w:p>
              </w:tc>
              <w:tc>
                <w:tcPr>
                  <w:tcW w:w="1762" w:type="pct"/>
                  <w:gridSpan w:val="3"/>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昼间</w:t>
                  </w:r>
                </w:p>
              </w:tc>
              <w:tc>
                <w:tcPr>
                  <w:tcW w:w="1811" w:type="pct"/>
                  <w:gridSpan w:val="3"/>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8" w:type="pct"/>
                  <w:vMerge w:val="continue"/>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977" w:type="pct"/>
                  <w:vMerge w:val="continue"/>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533"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监测值</w:t>
                  </w:r>
                </w:p>
              </w:tc>
              <w:tc>
                <w:tcPr>
                  <w:tcW w:w="622"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标准限值</w:t>
                  </w:r>
                </w:p>
              </w:tc>
              <w:tc>
                <w:tcPr>
                  <w:tcW w:w="606"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达标情况</w:t>
                  </w:r>
                </w:p>
              </w:tc>
              <w:tc>
                <w:tcPr>
                  <w:tcW w:w="55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监测值</w:t>
                  </w:r>
                </w:p>
              </w:tc>
              <w:tc>
                <w:tcPr>
                  <w:tcW w:w="653"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标准限值</w:t>
                  </w:r>
                </w:p>
              </w:tc>
              <w:tc>
                <w:tcPr>
                  <w:tcW w:w="60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8" w:type="pct"/>
                  <w:vMerge w:val="restar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2025年5月11日~12日</w:t>
                  </w:r>
                </w:p>
              </w:tc>
              <w:tc>
                <w:tcPr>
                  <w:tcW w:w="977"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项目区东侧1#</w:t>
                  </w:r>
                </w:p>
              </w:tc>
              <w:tc>
                <w:tcPr>
                  <w:tcW w:w="533"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58</w:t>
                  </w:r>
                </w:p>
              </w:tc>
              <w:tc>
                <w:tcPr>
                  <w:tcW w:w="622"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65</w:t>
                  </w:r>
                </w:p>
              </w:tc>
              <w:tc>
                <w:tcPr>
                  <w:tcW w:w="606"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w:t>
                  </w:r>
                </w:p>
              </w:tc>
              <w:tc>
                <w:tcPr>
                  <w:tcW w:w="554"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45</w:t>
                  </w:r>
                </w:p>
              </w:tc>
              <w:tc>
                <w:tcPr>
                  <w:tcW w:w="653"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55</w:t>
                  </w:r>
                </w:p>
              </w:tc>
              <w:tc>
                <w:tcPr>
                  <w:tcW w:w="604"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8" w:type="pct"/>
                  <w:vMerge w:val="continue"/>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977"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项目区西侧2#</w:t>
                  </w:r>
                </w:p>
              </w:tc>
              <w:tc>
                <w:tcPr>
                  <w:tcW w:w="533"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58</w:t>
                  </w:r>
                </w:p>
              </w:tc>
              <w:tc>
                <w:tcPr>
                  <w:tcW w:w="622"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65</w:t>
                  </w:r>
                </w:p>
              </w:tc>
              <w:tc>
                <w:tcPr>
                  <w:tcW w:w="606"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w:t>
                  </w:r>
                </w:p>
              </w:tc>
              <w:tc>
                <w:tcPr>
                  <w:tcW w:w="554"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46</w:t>
                  </w:r>
                </w:p>
              </w:tc>
              <w:tc>
                <w:tcPr>
                  <w:tcW w:w="653"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55</w:t>
                  </w:r>
                </w:p>
              </w:tc>
              <w:tc>
                <w:tcPr>
                  <w:tcW w:w="604"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8" w:type="pct"/>
                  <w:vMerge w:val="continue"/>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977"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项目区南侧3#</w:t>
                  </w:r>
                </w:p>
              </w:tc>
              <w:tc>
                <w:tcPr>
                  <w:tcW w:w="533"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57</w:t>
                  </w:r>
                </w:p>
              </w:tc>
              <w:tc>
                <w:tcPr>
                  <w:tcW w:w="622"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65</w:t>
                  </w:r>
                </w:p>
              </w:tc>
              <w:tc>
                <w:tcPr>
                  <w:tcW w:w="606"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w:t>
                  </w:r>
                </w:p>
              </w:tc>
              <w:tc>
                <w:tcPr>
                  <w:tcW w:w="554"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45</w:t>
                  </w:r>
                </w:p>
              </w:tc>
              <w:tc>
                <w:tcPr>
                  <w:tcW w:w="653"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55</w:t>
                  </w:r>
                </w:p>
              </w:tc>
              <w:tc>
                <w:tcPr>
                  <w:tcW w:w="604"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8" w:type="pct"/>
                  <w:vMerge w:val="continue"/>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977"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项目区北侧4#</w:t>
                  </w:r>
                </w:p>
              </w:tc>
              <w:tc>
                <w:tcPr>
                  <w:tcW w:w="533"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57</w:t>
                  </w:r>
                </w:p>
              </w:tc>
              <w:tc>
                <w:tcPr>
                  <w:tcW w:w="622"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65</w:t>
                  </w:r>
                </w:p>
              </w:tc>
              <w:tc>
                <w:tcPr>
                  <w:tcW w:w="606"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w:t>
                  </w:r>
                </w:p>
              </w:tc>
              <w:tc>
                <w:tcPr>
                  <w:tcW w:w="554" w:type="pct"/>
                  <w:tcBorders>
                    <w:tl2br w:val="nil"/>
                    <w:tr2bl w:val="nil"/>
                  </w:tcBorders>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47</w:t>
                  </w:r>
                </w:p>
              </w:tc>
              <w:tc>
                <w:tcPr>
                  <w:tcW w:w="653"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55</w:t>
                  </w:r>
                </w:p>
              </w:tc>
              <w:tc>
                <w:tcPr>
                  <w:tcW w:w="604"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达标</w:t>
                  </w:r>
                </w:p>
              </w:tc>
            </w:tr>
          </w:tbl>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lang w:val="en-US" w:eastAsia="zh-CN"/>
              </w:rPr>
            </w:pPr>
            <w:r>
              <w:rPr>
                <w:rFonts w:hint="default" w:ascii="Times New Roman" w:hAnsi="Times New Roman" w:eastAsia="宋体" w:cs="Times New Roman"/>
                <w:color w:val="auto"/>
                <w:spacing w:val="1"/>
                <w:sz w:val="24"/>
                <w:szCs w:val="24"/>
                <w:lang w:val="en-US" w:eastAsia="zh-CN"/>
              </w:rPr>
              <w:t>由监测结果可知，项目区周边昼间和夜间最大噪声监测值为</w:t>
            </w:r>
            <w:r>
              <w:rPr>
                <w:rFonts w:hint="default" w:ascii="Times New Roman" w:hAnsi="Times New Roman" w:cs="Times New Roman"/>
                <w:color w:val="auto"/>
                <w:spacing w:val="1"/>
                <w:sz w:val="24"/>
                <w:szCs w:val="24"/>
                <w:lang w:val="en-US" w:eastAsia="zh-CN"/>
              </w:rPr>
              <w:t>58</w:t>
            </w:r>
            <w:r>
              <w:rPr>
                <w:rFonts w:hint="default" w:ascii="Times New Roman" w:hAnsi="Times New Roman" w:eastAsia="宋体" w:cs="Times New Roman"/>
                <w:color w:val="auto"/>
                <w:spacing w:val="1"/>
                <w:sz w:val="24"/>
                <w:szCs w:val="24"/>
                <w:lang w:val="en-US" w:eastAsia="zh-CN"/>
              </w:rPr>
              <w:t>dB（A）和</w:t>
            </w:r>
            <w:r>
              <w:rPr>
                <w:rFonts w:hint="default" w:ascii="Times New Roman" w:hAnsi="Times New Roman" w:cs="Times New Roman"/>
                <w:color w:val="auto"/>
                <w:spacing w:val="1"/>
                <w:sz w:val="24"/>
                <w:szCs w:val="24"/>
                <w:lang w:val="en-US" w:eastAsia="zh-CN"/>
              </w:rPr>
              <w:t>47</w:t>
            </w:r>
            <w:r>
              <w:rPr>
                <w:rFonts w:hint="default" w:ascii="Times New Roman" w:hAnsi="Times New Roman" w:eastAsia="宋体" w:cs="Times New Roman"/>
                <w:color w:val="auto"/>
                <w:spacing w:val="1"/>
                <w:sz w:val="24"/>
                <w:szCs w:val="24"/>
                <w:lang w:val="en-US" w:eastAsia="zh-CN"/>
              </w:rPr>
              <w:t>dB（A），</w:t>
            </w:r>
            <w:r>
              <w:rPr>
                <w:rFonts w:hint="default" w:ascii="Times New Roman" w:hAnsi="Times New Roman" w:cs="Times New Roman"/>
                <w:color w:val="auto"/>
                <w:spacing w:val="1"/>
                <w:sz w:val="24"/>
                <w:szCs w:val="24"/>
                <w:lang w:val="en-US" w:eastAsia="zh-CN"/>
              </w:rPr>
              <w:t>厂界噪声</w:t>
            </w:r>
            <w:r>
              <w:rPr>
                <w:rFonts w:hint="default" w:ascii="Times New Roman" w:hAnsi="Times New Roman" w:eastAsia="宋体" w:cs="Times New Roman"/>
                <w:color w:val="auto"/>
                <w:spacing w:val="1"/>
                <w:sz w:val="24"/>
                <w:szCs w:val="24"/>
                <w:lang w:val="en-US" w:eastAsia="zh-CN"/>
              </w:rPr>
              <w:t>满足《工业企业厂界环境噪声排放标准》（GB12348-2008）3类标准要求。</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lang w:val="en-US" w:eastAsia="zh-CN"/>
              </w:rPr>
            </w:pPr>
            <w:r>
              <w:rPr>
                <w:rFonts w:hint="default" w:ascii="Times New Roman" w:hAnsi="Times New Roman" w:eastAsia="宋体" w:cs="Times New Roman"/>
                <w:color w:val="auto"/>
                <w:spacing w:val="1"/>
                <w:sz w:val="24"/>
                <w:szCs w:val="24"/>
                <w:lang w:val="en-US" w:eastAsia="zh-CN"/>
              </w:rPr>
              <w:t>（四）固体废物</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lang w:val="en-US" w:eastAsia="zh-CN"/>
              </w:rPr>
            </w:pPr>
            <w:r>
              <w:rPr>
                <w:rFonts w:hint="default" w:ascii="Times New Roman" w:hAnsi="Times New Roman" w:eastAsia="宋体" w:cs="Times New Roman"/>
                <w:color w:val="auto"/>
                <w:spacing w:val="1"/>
                <w:sz w:val="24"/>
                <w:szCs w:val="24"/>
                <w:lang w:val="en-US" w:eastAsia="zh-CN"/>
              </w:rPr>
              <w:t>选矿厂产生的固废主要为选矿尾矿渣、生活垃圾</w:t>
            </w:r>
            <w:r>
              <w:rPr>
                <w:rFonts w:hint="default" w:ascii="Times New Roman" w:hAnsi="Times New Roman" w:cs="Times New Roman"/>
                <w:color w:val="auto"/>
                <w:spacing w:val="1"/>
                <w:sz w:val="24"/>
                <w:szCs w:val="24"/>
                <w:lang w:val="en-US" w:eastAsia="zh-CN"/>
              </w:rPr>
              <w:t>及废机油</w:t>
            </w:r>
            <w:r>
              <w:rPr>
                <w:rFonts w:hint="default" w:ascii="Times New Roman" w:hAnsi="Times New Roman" w:eastAsia="宋体" w:cs="Times New Roman"/>
                <w:color w:val="auto"/>
                <w:spacing w:val="1"/>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lang w:val="en-US" w:eastAsia="zh-CN"/>
              </w:rPr>
            </w:pPr>
            <w:r>
              <w:rPr>
                <w:rFonts w:hint="default" w:ascii="Times New Roman" w:hAnsi="Times New Roman" w:eastAsia="宋体" w:cs="Times New Roman"/>
                <w:color w:val="auto"/>
                <w:spacing w:val="1"/>
                <w:sz w:val="24"/>
                <w:szCs w:val="24"/>
                <w:lang w:val="en-US" w:eastAsia="zh-CN"/>
              </w:rPr>
              <w:t>选矿工艺浮选后尾矿浆经多级浓缩后，上清液溢流回用生产工艺，底部尾矿浆排入压滤车间，压滤液回用生产。尾矿由尾矿输送管运输至尾矿库，采用坝顶均匀分散放矿，产生量为124681t/a，干容重1.6t/m³，折合为7.79万m³/a。库容利用系数按照0.8计算，尾矿库可以为选矿厂服务7.0年，与选矿厂服务年限不相符，新建尾矿库于2025年10月开始建设，目前尚未完工。</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lang w:val="en-US" w:eastAsia="zh-CN"/>
              </w:rPr>
            </w:pPr>
            <w:r>
              <w:rPr>
                <w:rFonts w:hint="default" w:ascii="Times New Roman" w:hAnsi="Times New Roman" w:eastAsia="宋体" w:cs="Times New Roman"/>
                <w:color w:val="auto"/>
                <w:spacing w:val="1"/>
                <w:sz w:val="24"/>
                <w:szCs w:val="24"/>
                <w:lang w:val="en-US" w:eastAsia="zh-CN"/>
              </w:rPr>
              <w:t>生活区生活垃圾产生量约为</w:t>
            </w:r>
            <w:r>
              <w:rPr>
                <w:rFonts w:hint="default" w:ascii="Times New Roman" w:hAnsi="Times New Roman" w:cs="Times New Roman"/>
                <w:color w:val="auto"/>
                <w:spacing w:val="1"/>
                <w:sz w:val="24"/>
                <w:szCs w:val="24"/>
                <w:lang w:val="en-US" w:eastAsia="zh-CN"/>
              </w:rPr>
              <w:t>21.3</w:t>
            </w:r>
            <w:r>
              <w:rPr>
                <w:rFonts w:hint="default" w:ascii="Times New Roman" w:hAnsi="Times New Roman" w:eastAsia="宋体" w:cs="Times New Roman"/>
                <w:color w:val="auto"/>
                <w:spacing w:val="1"/>
                <w:sz w:val="24"/>
                <w:szCs w:val="24"/>
                <w:lang w:val="en-US" w:eastAsia="zh-CN"/>
              </w:rPr>
              <w:t>t/a，建设有垃圾收集房，收集后的垃圾运往邻厂新疆路源矿业有限公司垃圾填埋场。</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宋体" w:cs="Times New Roman"/>
                <w:color w:val="auto"/>
                <w:spacing w:val="1"/>
                <w:sz w:val="24"/>
                <w:szCs w:val="24"/>
                <w:lang w:val="en-US" w:eastAsia="zh-CN"/>
              </w:rPr>
            </w:pPr>
            <w:r>
              <w:rPr>
                <w:rFonts w:hint="default" w:ascii="Times New Roman" w:hAnsi="Times New Roman" w:eastAsia="宋体" w:cs="Times New Roman"/>
                <w:color w:val="auto"/>
                <w:spacing w:val="1"/>
                <w:sz w:val="24"/>
                <w:szCs w:val="24"/>
                <w:lang w:val="en-US" w:eastAsia="zh-CN"/>
              </w:rPr>
              <w:t>废机油</w:t>
            </w:r>
            <w:r>
              <w:rPr>
                <w:rFonts w:hint="default" w:ascii="Times New Roman" w:hAnsi="Times New Roman" w:cs="Times New Roman"/>
                <w:color w:val="auto"/>
                <w:spacing w:val="1"/>
                <w:sz w:val="24"/>
                <w:szCs w:val="24"/>
                <w:lang w:val="en-US" w:eastAsia="zh-CN"/>
              </w:rPr>
              <w:t>、粘染药剂的废包装</w:t>
            </w:r>
            <w:r>
              <w:rPr>
                <w:rFonts w:hint="default" w:ascii="Times New Roman" w:hAnsi="Times New Roman" w:eastAsia="宋体" w:cs="Times New Roman"/>
                <w:color w:val="auto"/>
                <w:spacing w:val="1"/>
                <w:sz w:val="24"/>
                <w:szCs w:val="24"/>
                <w:lang w:val="en-US" w:eastAsia="zh-CN"/>
              </w:rPr>
              <w:t>经收集后暂存于危险废物</w:t>
            </w:r>
            <w:r>
              <w:rPr>
                <w:rFonts w:hint="default" w:ascii="Times New Roman" w:hAnsi="Times New Roman" w:cs="Times New Roman"/>
                <w:color w:val="auto"/>
                <w:spacing w:val="1"/>
                <w:sz w:val="24"/>
                <w:szCs w:val="24"/>
                <w:lang w:val="en-US" w:eastAsia="zh-CN"/>
              </w:rPr>
              <w:t>贮存点</w:t>
            </w:r>
            <w:r>
              <w:rPr>
                <w:rFonts w:hint="default" w:ascii="Times New Roman" w:hAnsi="Times New Roman" w:eastAsia="宋体" w:cs="Times New Roman"/>
                <w:color w:val="auto"/>
                <w:spacing w:val="1"/>
                <w:sz w:val="24"/>
                <w:szCs w:val="24"/>
                <w:lang w:val="en-US" w:eastAsia="zh-CN"/>
              </w:rPr>
              <w:t>，</w:t>
            </w:r>
            <w:r>
              <w:rPr>
                <w:rFonts w:hint="default" w:ascii="Times New Roman" w:hAnsi="Times New Roman" w:cs="Times New Roman"/>
                <w:color w:val="auto"/>
                <w:spacing w:val="1"/>
                <w:sz w:val="24"/>
                <w:szCs w:val="24"/>
                <w:lang w:val="en-US" w:eastAsia="zh-CN"/>
              </w:rPr>
              <w:t>委托有资质单位处置</w:t>
            </w:r>
            <w:r>
              <w:rPr>
                <w:rFonts w:hint="default" w:ascii="Times New Roman" w:hAnsi="Times New Roman" w:eastAsia="宋体" w:cs="Times New Roman"/>
                <w:color w:val="auto"/>
                <w:spacing w:val="1"/>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57" w:firstLineChars="195"/>
              <w:textAlignment w:val="auto"/>
              <w:rPr>
                <w:rFonts w:hint="default" w:ascii="Times New Roman" w:hAnsi="Times New Roman" w:eastAsia="Times New Roman" w:cs="Times New Roman"/>
                <w:b/>
                <w:bCs/>
                <w:color w:val="auto"/>
                <w:spacing w:val="-3"/>
                <w:sz w:val="24"/>
                <w:szCs w:val="24"/>
                <w:lang w:val="en-US" w:eastAsia="zh-CN"/>
              </w:rPr>
            </w:pPr>
            <w:r>
              <w:rPr>
                <w:rFonts w:hint="default" w:ascii="Times New Roman" w:hAnsi="Times New Roman" w:eastAsia="Times New Roman" w:cs="Times New Roman"/>
                <w:b/>
                <w:bCs/>
                <w:color w:val="auto"/>
                <w:spacing w:val="-3"/>
                <w:sz w:val="24"/>
                <w:szCs w:val="24"/>
                <w:lang w:val="en-US" w:eastAsia="zh-CN"/>
              </w:rPr>
              <w:t>5 污染物排放量</w:t>
            </w:r>
          </w:p>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eastAsia="Times New Roman" w:cs="Times New Roman"/>
                <w:color w:val="auto"/>
                <w:spacing w:val="1"/>
                <w:sz w:val="24"/>
                <w:szCs w:val="24"/>
                <w:lang w:val="en-US" w:eastAsia="zh-CN"/>
              </w:rPr>
            </w:pPr>
            <w:r>
              <w:rPr>
                <w:rFonts w:hint="default" w:ascii="Times New Roman" w:hAnsi="Times New Roman" w:eastAsia="Times New Roman" w:cs="Times New Roman"/>
                <w:color w:val="auto"/>
                <w:spacing w:val="1"/>
                <w:sz w:val="24"/>
                <w:szCs w:val="24"/>
                <w:lang w:val="en-US" w:eastAsia="zh-CN"/>
              </w:rPr>
              <w:t>现有工程污染物排放总量见下表。</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0" w:firstLineChars="0"/>
              <w:jc w:val="center"/>
              <w:textAlignment w:val="auto"/>
              <w:rPr>
                <w:rFonts w:hint="default" w:ascii="Times New Roman" w:hAnsi="Times New Roman" w:eastAsia="宋体" w:cs="Times New Roman"/>
                <w:b/>
                <w:bCs w:val="0"/>
                <w:color w:val="auto"/>
                <w:szCs w:val="21"/>
                <w:highlight w:val="none"/>
                <w:lang w:val="en-US" w:eastAsia="zh-CN"/>
              </w:rPr>
            </w:pPr>
            <w:r>
              <w:rPr>
                <w:rFonts w:hint="default" w:ascii="Times New Roman" w:hAnsi="Times New Roman" w:eastAsia="宋体" w:cs="Times New Roman"/>
                <w:b/>
                <w:bCs w:val="0"/>
                <w:color w:val="auto"/>
                <w:szCs w:val="21"/>
                <w:highlight w:val="none"/>
                <w:lang w:val="en-US" w:eastAsia="zh-CN"/>
              </w:rPr>
              <w:t>表2</w:t>
            </w:r>
            <w:r>
              <w:rPr>
                <w:rFonts w:hint="default" w:ascii="Times New Roman" w:hAnsi="Times New Roman" w:cs="Times New Roman"/>
                <w:b/>
                <w:bCs w:val="0"/>
                <w:color w:val="auto"/>
                <w:szCs w:val="21"/>
                <w:highlight w:val="none"/>
                <w:lang w:val="en-US" w:eastAsia="zh-CN"/>
              </w:rPr>
              <w:t>-22</w:t>
            </w:r>
            <w:r>
              <w:rPr>
                <w:rFonts w:hint="default" w:ascii="Times New Roman" w:hAnsi="Times New Roman" w:eastAsia="宋体" w:cs="Times New Roman"/>
                <w:b/>
                <w:bCs w:val="0"/>
                <w:color w:val="auto"/>
                <w:szCs w:val="21"/>
                <w:highlight w:val="none"/>
                <w:lang w:val="en-US" w:eastAsia="zh-CN"/>
              </w:rPr>
              <w:t xml:space="preserve">  项目现有工程污染物排放总量一览表</w:t>
            </w:r>
          </w:p>
          <w:tbl>
            <w:tblPr>
              <w:tblStyle w:val="29"/>
              <w:tblW w:w="4999"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046"/>
              <w:gridCol w:w="2050"/>
              <w:gridCol w:w="3847"/>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27" w:hRule="atLeast"/>
                <w:jc w:val="center"/>
              </w:trPr>
              <w:tc>
                <w:tcPr>
                  <w:tcW w:w="2578" w:type="pct"/>
                  <w:gridSpan w:val="2"/>
                  <w:tcBorders>
                    <w:top w:val="single" w:color="auto" w:sz="4" w:space="0"/>
                    <w:left w:val="single" w:color="auto" w:sz="0" w:space="0"/>
                  </w:tcBorders>
                  <w:shd w:val="clear" w:color="auto" w:fill="auto"/>
                  <w:vAlign w:val="center"/>
                </w:tcPr>
                <w:p>
                  <w:pPr>
                    <w:pStyle w:val="99"/>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w:t>
                  </w:r>
                </w:p>
              </w:tc>
              <w:tc>
                <w:tcPr>
                  <w:tcW w:w="2421" w:type="pct"/>
                  <w:tcBorders>
                    <w:top w:val="single" w:color="auto" w:sz="4" w:space="0"/>
                    <w:right w:val="single" w:color="auto" w:sz="4" w:space="0"/>
                  </w:tcBorders>
                  <w:shd w:val="clear" w:color="auto" w:fill="auto"/>
                  <w:vAlign w:val="center"/>
                </w:tcPr>
                <w:p>
                  <w:pPr>
                    <w:pStyle w:val="99"/>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排放量</w:t>
                  </w:r>
                  <w:r>
                    <w:rPr>
                      <w:rFonts w:hint="default" w:ascii="Times New Roman" w:hAnsi="Times New Roman" w:eastAsia="宋体" w:cs="Times New Roman"/>
                      <w:b/>
                      <w:bCs/>
                      <w:color w:val="auto"/>
                      <w:sz w:val="21"/>
                      <w:szCs w:val="21"/>
                      <w:highlight w:val="none"/>
                    </w:rPr>
                    <w:t>（t/a）</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27" w:hRule="atLeast"/>
                <w:jc w:val="center"/>
              </w:trPr>
              <w:tc>
                <w:tcPr>
                  <w:tcW w:w="2578" w:type="pct"/>
                  <w:gridSpan w:val="2"/>
                  <w:tcBorders>
                    <w:left w:val="single" w:color="auto" w:sz="4" w:space="0"/>
                  </w:tcBorders>
                  <w:shd w:val="clear" w:color="auto" w:fill="auto"/>
                  <w:vAlign w:val="center"/>
                </w:tcPr>
                <w:p>
                  <w:pPr>
                    <w:pStyle w:val="81"/>
                    <w:keepNext w:val="0"/>
                    <w:keepLines w:val="0"/>
                    <w:pageBreakBefore w:val="0"/>
                    <w:widowControl w:val="0"/>
                    <w:kinsoku/>
                    <w:wordWrap/>
                    <w:overflowPunct/>
                    <w:topLinePunct w:val="0"/>
                    <w:autoSpaceDE/>
                    <w:autoSpaceDN/>
                    <w:bidi w:val="0"/>
                    <w:adjustRightInd/>
                    <w:snapToGrid/>
                    <w:spacing w:before="0" w:after="0" w:line="240" w:lineRule="atLeas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颗粒物</w:t>
                  </w:r>
                </w:p>
              </w:tc>
              <w:tc>
                <w:tcPr>
                  <w:tcW w:w="2421" w:type="pct"/>
                  <w:tcBorders>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1.332</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27" w:hRule="atLeast"/>
                <w:jc w:val="center"/>
              </w:trPr>
              <w:tc>
                <w:tcPr>
                  <w:tcW w:w="2578" w:type="pct"/>
                  <w:gridSpan w:val="2"/>
                  <w:tcBorders>
                    <w:left w:val="single" w:color="auto" w:sz="4" w:space="0"/>
                  </w:tcBorders>
                  <w:shd w:val="clear" w:color="auto" w:fill="auto"/>
                  <w:vAlign w:val="center"/>
                </w:tcPr>
                <w:p>
                  <w:pPr>
                    <w:adjustRightInd w:val="0"/>
                    <w:snapToGrid w:val="0"/>
                    <w:spacing w:line="32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Cs w:val="21"/>
                      <w:lang w:val="en-US" w:eastAsia="zh-CN"/>
                    </w:rPr>
                    <w:t>锑及其化合物</w:t>
                  </w:r>
                </w:p>
              </w:tc>
              <w:tc>
                <w:tcPr>
                  <w:tcW w:w="2421" w:type="pct"/>
                  <w:tcBorders>
                    <w:right w:val="single" w:color="auto" w:sz="4" w:space="0"/>
                  </w:tcBorders>
                  <w:shd w:val="clear" w:color="auto" w:fill="auto"/>
                  <w:vAlign w:val="center"/>
                </w:tcPr>
                <w:p>
                  <w:pPr>
                    <w:adjustRightInd w:val="0"/>
                    <w:snapToGrid w:val="0"/>
                    <w:spacing w:line="320" w:lineRule="exact"/>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color w:val="auto"/>
                      <w:kern w:val="0"/>
                      <w:szCs w:val="21"/>
                      <w:lang w:val="en-US" w:eastAsia="zh-CN"/>
                    </w:rPr>
                    <w:t>1.296×10</w:t>
                  </w:r>
                  <w:r>
                    <w:rPr>
                      <w:rFonts w:hint="default" w:ascii="Times New Roman" w:hAnsi="Times New Roman" w:eastAsia="宋体" w:cs="Times New Roman"/>
                      <w:color w:val="auto"/>
                      <w:kern w:val="0"/>
                      <w:szCs w:val="21"/>
                      <w:vertAlign w:val="superscript"/>
                      <w:lang w:val="en-US" w:eastAsia="zh-CN"/>
                    </w:rPr>
                    <w:t>-3</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27" w:hRule="atLeast"/>
                <w:jc w:val="center"/>
              </w:trPr>
              <w:tc>
                <w:tcPr>
                  <w:tcW w:w="2578" w:type="pct"/>
                  <w:gridSpan w:val="2"/>
                  <w:tcBorders>
                    <w:left w:val="single" w:color="auto" w:sz="4" w:space="0"/>
                  </w:tcBorders>
                  <w:shd w:val="clear" w:color="auto" w:fill="auto"/>
                  <w:vAlign w:val="center"/>
                </w:tcPr>
                <w:p>
                  <w:pPr>
                    <w:adjustRightInd w:val="0"/>
                    <w:snapToGrid w:val="0"/>
                    <w:spacing w:line="320" w:lineRule="exact"/>
                    <w:jc w:val="center"/>
                    <w:rPr>
                      <w:rFonts w:hint="default" w:ascii="Times New Roman" w:hAnsi="Times New Roman" w:eastAsia="宋体" w:cs="Times New Roman"/>
                      <w:color w:val="auto"/>
                      <w:kern w:val="2"/>
                      <w:sz w:val="21"/>
                      <w:szCs w:val="21"/>
                      <w:highlight w:val="none"/>
                      <w:vertAlign w:val="subscript"/>
                      <w:lang w:val="en-US" w:eastAsia="zh-CN" w:bidi="ar-SA"/>
                    </w:rPr>
                  </w:pPr>
                  <w:r>
                    <w:rPr>
                      <w:rFonts w:hint="default" w:ascii="Times New Roman" w:hAnsi="Times New Roman" w:eastAsia="宋体" w:cs="Times New Roman"/>
                      <w:color w:val="auto"/>
                      <w:kern w:val="0"/>
                      <w:szCs w:val="21"/>
                      <w:lang w:val="en-US" w:eastAsia="zh-CN"/>
                    </w:rPr>
                    <w:t>砷</w:t>
                  </w:r>
                </w:p>
              </w:tc>
              <w:tc>
                <w:tcPr>
                  <w:tcW w:w="2421" w:type="pct"/>
                  <w:tcBorders>
                    <w:right w:val="single" w:color="auto" w:sz="4" w:space="0"/>
                  </w:tcBorders>
                  <w:shd w:val="clear" w:color="auto" w:fill="auto"/>
                  <w:vAlign w:val="center"/>
                </w:tcPr>
                <w:p>
                  <w:pPr>
                    <w:adjustRightInd w:val="0"/>
                    <w:snapToGrid w:val="0"/>
                    <w:spacing w:line="320" w:lineRule="exact"/>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color w:val="auto"/>
                      <w:kern w:val="0"/>
                      <w:szCs w:val="21"/>
                      <w:lang w:val="en-US" w:eastAsia="zh-CN"/>
                    </w:rPr>
                    <w:t>9.504×10</w:t>
                  </w:r>
                  <w:r>
                    <w:rPr>
                      <w:rFonts w:hint="default" w:ascii="Times New Roman" w:hAnsi="Times New Roman" w:eastAsia="宋体" w:cs="Times New Roman"/>
                      <w:color w:val="auto"/>
                      <w:kern w:val="0"/>
                      <w:szCs w:val="21"/>
                      <w:vertAlign w:val="superscript"/>
                      <w:lang w:val="en-US" w:eastAsia="zh-CN"/>
                    </w:rPr>
                    <w:t>-9</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27" w:hRule="atLeast"/>
                <w:jc w:val="center"/>
              </w:trPr>
              <w:tc>
                <w:tcPr>
                  <w:tcW w:w="1288" w:type="pct"/>
                  <w:vMerge w:val="restart"/>
                  <w:tcBorders>
                    <w:left w:val="single" w:color="auto" w:sz="4" w:space="0"/>
                  </w:tcBorders>
                  <w:shd w:val="clear" w:color="auto" w:fill="auto"/>
                  <w:vAlign w:val="center"/>
                </w:tcPr>
                <w:p>
                  <w:pPr>
                    <w:pStyle w:val="81"/>
                    <w:keepNext w:val="0"/>
                    <w:keepLines w:val="0"/>
                    <w:pageBreakBefore w:val="0"/>
                    <w:widowControl w:val="0"/>
                    <w:kinsoku/>
                    <w:wordWrap/>
                    <w:overflowPunct/>
                    <w:topLinePunct w:val="0"/>
                    <w:autoSpaceDE/>
                    <w:autoSpaceDN/>
                    <w:bidi w:val="0"/>
                    <w:adjustRightInd/>
                    <w:snapToGrid/>
                    <w:spacing w:before="0" w:after="0" w:line="240" w:lineRule="atLeas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生活污水</w:t>
                  </w:r>
                </w:p>
              </w:tc>
              <w:tc>
                <w:tcPr>
                  <w:tcW w:w="1289" w:type="pct"/>
                  <w:tcBorders>
                    <w:left w:val="single" w:color="auto" w:sz="4" w:space="0"/>
                  </w:tcBorders>
                  <w:shd w:val="clear" w:color="auto" w:fill="auto"/>
                  <w:vAlign w:val="center"/>
                </w:tcPr>
                <w:p>
                  <w:pPr>
                    <w:pStyle w:val="81"/>
                    <w:keepNext w:val="0"/>
                    <w:keepLines w:val="0"/>
                    <w:pageBreakBefore w:val="0"/>
                    <w:widowControl w:val="0"/>
                    <w:kinsoku/>
                    <w:wordWrap/>
                    <w:overflowPunct/>
                    <w:topLinePunct w:val="0"/>
                    <w:autoSpaceDE/>
                    <w:autoSpaceDN/>
                    <w:bidi w:val="0"/>
                    <w:adjustRightInd/>
                    <w:snapToGrid/>
                    <w:spacing w:before="0" w:after="0" w:line="240" w:lineRule="atLeas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废水量</w:t>
                  </w:r>
                </w:p>
              </w:tc>
              <w:tc>
                <w:tcPr>
                  <w:tcW w:w="2421" w:type="pct"/>
                  <w:tcBorders>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line="240" w:lineRule="atLeast"/>
                    <w:ind w:firstLine="0" w:firstLineChars="0"/>
                    <w:jc w:val="center"/>
                    <w:textAlignment w:val="auto"/>
                    <w:rPr>
                      <w:rFonts w:hint="default" w:ascii="Times New Roman" w:hAnsi="Times New Roman" w:cs="Times New Roman" w:eastAsiaTheme="minorEastAsia"/>
                      <w:color w:val="auto"/>
                      <w:sz w:val="21"/>
                      <w:szCs w:val="21"/>
                      <w:highlight w:val="yellow"/>
                      <w:lang w:val="en-US" w:eastAsia="zh-CN"/>
                    </w:rPr>
                  </w:pPr>
                  <w:r>
                    <w:rPr>
                      <w:rFonts w:hint="default" w:ascii="Times New Roman" w:hAnsi="Times New Roman" w:cs="Times New Roman" w:eastAsiaTheme="minorEastAsia"/>
                      <w:color w:val="auto"/>
                      <w:sz w:val="21"/>
                      <w:szCs w:val="21"/>
                      <w:highlight w:val="none"/>
                      <w:lang w:val="en-US" w:eastAsia="zh-CN"/>
                    </w:rPr>
                    <w:t>1729.5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27" w:hRule="atLeast"/>
                <w:jc w:val="center"/>
              </w:trPr>
              <w:tc>
                <w:tcPr>
                  <w:tcW w:w="1288" w:type="pct"/>
                  <w:vMerge w:val="continue"/>
                  <w:tcBorders>
                    <w:lef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highlight w:val="yellow"/>
                    </w:rPr>
                  </w:pPr>
                </w:p>
              </w:tc>
              <w:tc>
                <w:tcPr>
                  <w:tcW w:w="1289" w:type="pct"/>
                  <w:tcBorders>
                    <w:lef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COD</w:t>
                  </w:r>
                </w:p>
              </w:tc>
              <w:tc>
                <w:tcPr>
                  <w:tcW w:w="2421" w:type="pct"/>
                  <w:tcBorders>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line="240" w:lineRule="atLeast"/>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0.84</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27" w:hRule="atLeast"/>
                <w:jc w:val="center"/>
              </w:trPr>
              <w:tc>
                <w:tcPr>
                  <w:tcW w:w="1288" w:type="pct"/>
                  <w:vMerge w:val="continue"/>
                  <w:tcBorders>
                    <w:lef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highlight w:val="yellow"/>
                    </w:rPr>
                  </w:pPr>
                </w:p>
              </w:tc>
              <w:tc>
                <w:tcPr>
                  <w:tcW w:w="1289" w:type="pct"/>
                  <w:tcBorders>
                    <w:lef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氨氮</w:t>
                  </w:r>
                </w:p>
              </w:tc>
              <w:tc>
                <w:tcPr>
                  <w:tcW w:w="2421" w:type="pct"/>
                  <w:tcBorders>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line="240" w:lineRule="atLeast"/>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0.082</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00" w:hRule="atLeast"/>
                <w:jc w:val="center"/>
              </w:trPr>
              <w:tc>
                <w:tcPr>
                  <w:tcW w:w="2578" w:type="pct"/>
                  <w:gridSpan w:val="2"/>
                  <w:tcBorders>
                    <w:left w:val="single" w:color="auto" w:sz="4" w:space="0"/>
                  </w:tcBorders>
                  <w:shd w:val="clear" w:color="auto" w:fill="auto"/>
                  <w:vAlign w:val="center"/>
                </w:tcPr>
                <w:p>
                  <w:pPr>
                    <w:pStyle w:val="99"/>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尾矿砂</w:t>
                  </w:r>
                </w:p>
              </w:tc>
              <w:tc>
                <w:tcPr>
                  <w:tcW w:w="2421" w:type="pct"/>
                  <w:tcBorders>
                    <w:right w:val="single" w:color="auto" w:sz="4" w:space="0"/>
                  </w:tcBorders>
                  <w:shd w:val="clear" w:color="auto" w:fill="auto"/>
                  <w:vAlign w:val="center"/>
                </w:tcPr>
                <w:p>
                  <w:pPr>
                    <w:pStyle w:val="100"/>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124681</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27" w:hRule="atLeast"/>
                <w:jc w:val="center"/>
              </w:trPr>
              <w:tc>
                <w:tcPr>
                  <w:tcW w:w="2578" w:type="pct"/>
                  <w:gridSpan w:val="2"/>
                  <w:tcBorders>
                    <w:left w:val="single" w:color="auto" w:sz="4" w:space="0"/>
                  </w:tcBorders>
                  <w:shd w:val="clear" w:color="auto" w:fill="auto"/>
                  <w:vAlign w:val="center"/>
                </w:tcPr>
                <w:p>
                  <w:pPr>
                    <w:pStyle w:val="99"/>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危险废物</w:t>
                  </w:r>
                </w:p>
              </w:tc>
              <w:tc>
                <w:tcPr>
                  <w:tcW w:w="2421" w:type="pct"/>
                  <w:tcBorders>
                    <w:right w:val="single" w:color="auto" w:sz="4" w:space="0"/>
                  </w:tcBorders>
                  <w:shd w:val="clear" w:color="auto" w:fill="auto"/>
                  <w:vAlign w:val="center"/>
                </w:tcPr>
                <w:p>
                  <w:pPr>
                    <w:pStyle w:val="100"/>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1.2</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27" w:hRule="atLeast"/>
                <w:jc w:val="center"/>
              </w:trPr>
              <w:tc>
                <w:tcPr>
                  <w:tcW w:w="2578" w:type="pct"/>
                  <w:gridSpan w:val="2"/>
                  <w:tcBorders>
                    <w:left w:val="single" w:color="auto" w:sz="4" w:space="0"/>
                    <w:bottom w:val="single" w:color="auto" w:sz="4" w:space="0"/>
                  </w:tcBorders>
                  <w:shd w:val="clear" w:color="auto" w:fill="auto"/>
                  <w:vAlign w:val="center"/>
                </w:tcPr>
                <w:p>
                  <w:pPr>
                    <w:pStyle w:val="99"/>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生活垃圾</w:t>
                  </w:r>
                </w:p>
              </w:tc>
              <w:tc>
                <w:tcPr>
                  <w:tcW w:w="2421" w:type="pct"/>
                  <w:tcBorders>
                    <w:bottom w:val="single" w:color="auto" w:sz="4" w:space="0"/>
                    <w:right w:val="single" w:color="auto" w:sz="4" w:space="0"/>
                  </w:tcBorders>
                  <w:shd w:val="clear" w:color="auto" w:fill="auto"/>
                  <w:vAlign w:val="center"/>
                </w:tcPr>
                <w:p>
                  <w:pPr>
                    <w:pStyle w:val="100"/>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21.3</w:t>
                  </w:r>
                </w:p>
              </w:tc>
            </w:tr>
          </w:tbl>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且末县邦泰矿业投资有限公司于2019年8月对《且末县邦泰矿业投资有限公司新疆且末县屈库勒克东金（锑）矿450吨/天选矿工程》的实际情况及最新的环保要求进行了竣工环境保护验收，并通过现场检查，验收通过。2019年12月19日，巴音郭楞蒙古自治州生态环境局对该项目进行现场核查，项目落实了报告书及批复提出的固废污染防治要求。</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企业已开展选矿厂、尾矿库周边地下水、土壤现状监测。</w:t>
            </w:r>
          </w:p>
          <w:p>
            <w:pPr>
              <w:keepNext w:val="0"/>
              <w:keepLines w:val="0"/>
              <w:pageBreakBefore w:val="0"/>
              <w:widowControl w:val="0"/>
              <w:kinsoku/>
              <w:wordWrap/>
              <w:overflowPunct/>
              <w:topLinePunct w:val="0"/>
              <w:autoSpaceDE/>
              <w:autoSpaceDN/>
              <w:bidi w:val="0"/>
              <w:adjustRightInd/>
              <w:snapToGrid/>
              <w:spacing w:line="500" w:lineRule="exact"/>
              <w:ind w:firstLine="458" w:firstLineChars="195"/>
              <w:textAlignment w:val="auto"/>
              <w:rPr>
                <w:rFonts w:hint="default" w:ascii="Times New Roman" w:hAnsi="Times New Roman" w:eastAsia="宋体" w:cs="Times New Roman"/>
                <w:b/>
                <w:bCs/>
                <w:color w:val="auto"/>
                <w:spacing w:val="-3"/>
                <w:sz w:val="24"/>
                <w:szCs w:val="24"/>
                <w:lang w:val="en-US" w:eastAsia="zh-CN"/>
              </w:rPr>
            </w:pPr>
            <w:r>
              <w:rPr>
                <w:rFonts w:hint="default" w:ascii="Times New Roman" w:hAnsi="Times New Roman" w:cs="Times New Roman"/>
                <w:b/>
                <w:bCs/>
                <w:color w:val="auto"/>
                <w:spacing w:val="-3"/>
                <w:sz w:val="24"/>
                <w:szCs w:val="24"/>
                <w:lang w:val="en-US" w:eastAsia="zh-CN"/>
              </w:rPr>
              <w:t>6</w:t>
            </w:r>
            <w:r>
              <w:rPr>
                <w:rFonts w:hint="default" w:ascii="Times New Roman" w:hAnsi="Times New Roman" w:eastAsia="宋体" w:cs="Times New Roman"/>
                <w:b/>
                <w:bCs/>
                <w:color w:val="auto"/>
                <w:spacing w:val="-3"/>
                <w:sz w:val="24"/>
                <w:szCs w:val="24"/>
                <w:lang w:val="en-US" w:eastAsia="zh-CN"/>
              </w:rPr>
              <w:t xml:space="preserve"> 与本项目有关的主要环境问题及整改措施</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根据现场调查，选矿厂目前存在的问题为：</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选矿厂</w:t>
            </w:r>
            <w:r>
              <w:rPr>
                <w:rFonts w:hint="eastAsia" w:cs="Times New Roman"/>
                <w:color w:val="auto"/>
                <w:sz w:val="24"/>
                <w:szCs w:val="24"/>
                <w:lang w:val="en-US" w:eastAsia="zh-CN"/>
              </w:rPr>
              <w:t>现有</w:t>
            </w:r>
            <w:r>
              <w:rPr>
                <w:rFonts w:hint="default" w:ascii="Times New Roman" w:hAnsi="Times New Roman" w:eastAsia="宋体" w:cs="Times New Roman"/>
                <w:color w:val="auto"/>
                <w:sz w:val="24"/>
                <w:szCs w:val="24"/>
                <w:lang w:val="en-US" w:eastAsia="zh-CN"/>
              </w:rPr>
              <w:t>地埋式一体化污水处理设施验收时执行标准为《污水综</w:t>
            </w:r>
            <w:r>
              <w:rPr>
                <w:rFonts w:hint="default" w:ascii="Times New Roman" w:hAnsi="Times New Roman" w:cs="Times New Roman"/>
                <w:color w:val="auto"/>
                <w:sz w:val="24"/>
                <w:szCs w:val="24"/>
                <w:lang w:val="en-US" w:eastAsia="zh-CN"/>
              </w:rPr>
              <w:t>合排</w:t>
            </w:r>
            <w:r>
              <w:rPr>
                <w:rFonts w:hint="default" w:ascii="Times New Roman" w:hAnsi="Times New Roman" w:eastAsia="宋体" w:cs="Times New Roman"/>
                <w:color w:val="auto"/>
                <w:sz w:val="24"/>
                <w:szCs w:val="24"/>
                <w:lang w:val="en-US" w:eastAsia="zh-CN"/>
              </w:rPr>
              <w:t>放标准》(GB8978-1996)二级标准，</w:t>
            </w:r>
            <w:r>
              <w:rPr>
                <w:rFonts w:hint="default" w:ascii="Times New Roman" w:hAnsi="Times New Roman" w:eastAsia="宋体" w:cs="Times New Roman"/>
                <w:color w:val="auto"/>
                <w:sz w:val="24"/>
                <w:szCs w:val="24"/>
                <w:highlight w:val="none"/>
                <w:lang w:val="en-US" w:eastAsia="zh-CN"/>
              </w:rPr>
              <w:t>根据企业</w:t>
            </w:r>
            <w:r>
              <w:rPr>
                <w:rFonts w:hint="default" w:ascii="Times New Roman" w:hAnsi="Times New Roman" w:cs="Times New Roman"/>
                <w:color w:val="auto"/>
                <w:sz w:val="24"/>
                <w:szCs w:val="24"/>
                <w:highlight w:val="none"/>
                <w:lang w:val="en-US" w:eastAsia="zh-CN"/>
              </w:rPr>
              <w:t>2025年</w:t>
            </w:r>
            <w:r>
              <w:rPr>
                <w:rFonts w:hint="default" w:ascii="Times New Roman" w:hAnsi="Times New Roman" w:eastAsia="宋体" w:cs="Times New Roman"/>
                <w:color w:val="auto"/>
                <w:sz w:val="24"/>
                <w:szCs w:val="24"/>
                <w:highlight w:val="none"/>
                <w:lang w:val="en-US" w:eastAsia="zh-CN"/>
              </w:rPr>
              <w:t>常规</w:t>
            </w:r>
            <w:r>
              <w:rPr>
                <w:rFonts w:hint="default" w:ascii="Times New Roman" w:hAnsi="Times New Roman" w:cs="Times New Roman"/>
                <w:color w:val="auto"/>
                <w:sz w:val="24"/>
                <w:szCs w:val="24"/>
                <w:highlight w:val="none"/>
                <w:lang w:val="en-US" w:eastAsia="zh-CN"/>
              </w:rPr>
              <w:t>监测</w:t>
            </w:r>
            <w:r>
              <w:rPr>
                <w:rFonts w:hint="default" w:ascii="Times New Roman" w:hAnsi="Times New Roman" w:eastAsia="宋体" w:cs="Times New Roman"/>
                <w:color w:val="auto"/>
                <w:sz w:val="24"/>
                <w:szCs w:val="24"/>
                <w:highlight w:val="none"/>
                <w:lang w:val="en-US" w:eastAsia="zh-CN"/>
              </w:rPr>
              <w:t>数据，</w:t>
            </w:r>
            <w:r>
              <w:rPr>
                <w:rFonts w:hint="default" w:ascii="Times New Roman" w:hAnsi="Times New Roman" w:eastAsia="宋体" w:cs="Times New Roman"/>
                <w:color w:val="auto"/>
                <w:sz w:val="24"/>
                <w:szCs w:val="24"/>
                <w:lang w:val="en-US" w:eastAsia="zh-CN"/>
              </w:rPr>
              <w:t>处理后的生活污水无法满足现行环保要求。</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针对目前存在的环境问题，本次环评根据项目实际情况提出以下“以新带老”环保措施：</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提标改造办公生活区生活污水处理设施，本次提标改造</w:t>
            </w:r>
            <w:r>
              <w:rPr>
                <w:rFonts w:hint="eastAsia" w:cs="Times New Roman"/>
                <w:color w:val="auto"/>
                <w:sz w:val="24"/>
                <w:szCs w:val="24"/>
                <w:lang w:val="en-US" w:eastAsia="zh-CN"/>
              </w:rPr>
              <w:t>原先处理规模不变（40m³/d），现有污水产生量为1729.5m³/a，本项目新增污水420m³/a，总污水量2149.5m³/a（7.2m³/d），富余处理能力充足，完全容纳现有厂区及本项目新增生活污水，同时预留远期厂区人员扩容余量。</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lang w:val="en-US" w:eastAsia="zh-CN"/>
              </w:rPr>
              <w:t>提标改造内容为：</w:t>
            </w:r>
            <w:r>
              <w:rPr>
                <w:rFonts w:hint="default" w:ascii="Times New Roman" w:hAnsi="Times New Roman" w:eastAsia="宋体" w:cs="Times New Roman"/>
                <w:color w:val="auto"/>
                <w:sz w:val="24"/>
                <w:szCs w:val="24"/>
                <w:lang w:val="en-US" w:eastAsia="zh-CN"/>
              </w:rPr>
              <w:t>将原有简易水解酸化接触氧化工艺升级为改良A²/O脱氮除磷一体化工艺，通过新增前端初沉预处理，保留原有地埋一体化设备池体，对内部空间重新分区隔断，重构厌氧-两级好氧生化结构、更换原有老旧风机，新增专用曝气风机，增设污泥回流系统，同步强化COD、BOD₅、氨氮、总氮、总磷、SS去除能力，改造后使其出水水质满足《城市污水再生利用</w:t>
            </w:r>
            <w:r>
              <w:rPr>
                <w:rFonts w:hint="eastAsia" w:cs="Times New Roman"/>
                <w:color w:val="auto"/>
                <w:sz w:val="24"/>
                <w:szCs w:val="24"/>
                <w:lang w:val="en-US" w:eastAsia="zh-CN"/>
              </w:rPr>
              <w:t xml:space="preserve"> </w:t>
            </w:r>
            <w:r>
              <w:rPr>
                <w:rFonts w:hint="default" w:ascii="Times New Roman" w:hAnsi="Times New Roman" w:eastAsia="宋体" w:cs="Times New Roman"/>
                <w:color w:val="auto"/>
                <w:sz w:val="24"/>
                <w:szCs w:val="24"/>
                <w:lang w:val="en-US" w:eastAsia="zh-CN"/>
              </w:rPr>
              <w:t>城市杂用水水质》</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GB/T 18920-2020</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中的城市绿化、道路清扫、消防标准要求后，</w:t>
            </w:r>
            <w:r>
              <w:rPr>
                <w:rFonts w:hint="default" w:ascii="Times New Roman" w:hAnsi="Times New Roman" w:eastAsia="宋体" w:cs="Times New Roman"/>
                <w:bCs/>
                <w:color w:val="auto"/>
                <w:kern w:val="0"/>
                <w:sz w:val="24"/>
                <w:szCs w:val="24"/>
                <w:lang w:val="en-US" w:eastAsia="zh-CN"/>
              </w:rPr>
              <w:t>用于</w:t>
            </w:r>
            <w:r>
              <w:rPr>
                <w:rFonts w:hint="eastAsia" w:cs="Times New Roman"/>
                <w:bCs/>
                <w:color w:val="auto"/>
                <w:kern w:val="0"/>
                <w:sz w:val="24"/>
                <w:szCs w:val="24"/>
                <w:lang w:val="en-US" w:eastAsia="zh-CN"/>
              </w:rPr>
              <w:t>绿化灌溉、道路洒扫等</w:t>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highlight w:val="none"/>
                <w:lang w:val="en-US" w:eastAsia="zh-CN"/>
              </w:rPr>
              <w:t>环评要求改造施工时序应与本项目同步实施。</w:t>
            </w:r>
          </w:p>
          <w:p>
            <w:pPr>
              <w:keepNext w:val="0"/>
              <w:keepLines w:val="0"/>
              <w:pageBreakBefore w:val="0"/>
              <w:widowControl w:val="0"/>
              <w:kinsoku/>
              <w:wordWrap/>
              <w:overflowPunct/>
              <w:topLinePunct w:val="0"/>
              <w:autoSpaceDE/>
              <w:autoSpaceDN/>
              <w:bidi w:val="0"/>
              <w:adjustRightInd/>
              <w:snapToGrid/>
              <w:spacing w:line="500" w:lineRule="exact"/>
              <w:ind w:firstLine="458" w:firstLineChars="195"/>
              <w:textAlignment w:val="auto"/>
              <w:rPr>
                <w:rFonts w:hint="eastAsia" w:ascii="Times New Roman" w:hAnsi="Times New Roman" w:eastAsia="宋体" w:cs="Times New Roman"/>
                <w:b/>
                <w:bCs/>
                <w:color w:val="auto"/>
                <w:spacing w:val="-3"/>
                <w:sz w:val="24"/>
                <w:szCs w:val="24"/>
                <w:highlight w:val="none"/>
                <w:lang w:val="en-US" w:eastAsia="zh-CN"/>
              </w:rPr>
            </w:pPr>
            <w:r>
              <w:rPr>
                <w:rFonts w:hint="eastAsia" w:ascii="Times New Roman" w:hAnsi="Times New Roman" w:eastAsia="宋体" w:cs="Times New Roman"/>
                <w:b/>
                <w:bCs/>
                <w:color w:val="auto"/>
                <w:spacing w:val="-3"/>
                <w:sz w:val="24"/>
                <w:szCs w:val="24"/>
                <w:highlight w:val="none"/>
                <w:lang w:val="en-US" w:eastAsia="zh-CN"/>
              </w:rPr>
              <w:t>7 未批先建整改情况</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color w:val="auto"/>
                <w:sz w:val="24"/>
                <w:szCs w:val="32"/>
                <w:highlight w:val="none"/>
                <w:lang w:val="en-US" w:eastAsia="zh-CN"/>
              </w:rPr>
            </w:pPr>
            <w:r>
              <w:rPr>
                <w:rFonts w:hint="default"/>
                <w:color w:val="auto"/>
                <w:sz w:val="24"/>
                <w:szCs w:val="32"/>
                <w:highlight w:val="none"/>
                <w:lang w:val="en-US" w:eastAsia="zh-CN"/>
              </w:rPr>
              <w:t>本次“未批先建”行为主要系项目工期紧迫与审批时序错位所致，本项目尾矿回采属于安全隐患治理与资源综合利用相结合的工程。企业在取得应急管理部门关于《尾矿回采安全设施设计》的批复（基建期：2025年12月31日至2026年6月30日）后，为确保2026年汛期前完成主体工程建设、消除尾矿库安全风险，在</w:t>
            </w:r>
            <w:r>
              <w:rPr>
                <w:rFonts w:hint="eastAsia"/>
                <w:color w:val="auto"/>
                <w:sz w:val="24"/>
                <w:szCs w:val="32"/>
                <w:highlight w:val="none"/>
                <w:lang w:val="en-US" w:eastAsia="zh-CN"/>
              </w:rPr>
              <w:t>环评手续</w:t>
            </w:r>
            <w:r>
              <w:rPr>
                <w:rFonts w:hint="default"/>
                <w:color w:val="auto"/>
                <w:sz w:val="24"/>
                <w:szCs w:val="32"/>
                <w:highlight w:val="none"/>
                <w:lang w:val="en-US" w:eastAsia="zh-CN"/>
              </w:rPr>
              <w:t>尚未</w:t>
            </w:r>
            <w:r>
              <w:rPr>
                <w:rFonts w:hint="eastAsia"/>
                <w:color w:val="auto"/>
                <w:sz w:val="24"/>
                <w:szCs w:val="32"/>
                <w:highlight w:val="none"/>
                <w:lang w:val="en-US" w:eastAsia="zh-CN"/>
              </w:rPr>
              <w:t>取得</w:t>
            </w:r>
            <w:r>
              <w:rPr>
                <w:rFonts w:hint="default"/>
                <w:color w:val="auto"/>
                <w:sz w:val="24"/>
                <w:szCs w:val="32"/>
                <w:highlight w:val="none"/>
                <w:lang w:val="en-US" w:eastAsia="zh-CN"/>
              </w:rPr>
              <w:t>的情况下，</w:t>
            </w:r>
            <w:r>
              <w:rPr>
                <w:rFonts w:hint="default" w:ascii="Times New Roman" w:hAnsi="Times New Roman" w:cs="Times New Roman"/>
                <w:color w:val="auto"/>
                <w:sz w:val="24"/>
                <w:szCs w:val="24"/>
                <w:highlight w:val="none"/>
              </w:rPr>
              <w:t>于2026年1月</w:t>
            </w:r>
            <w:r>
              <w:rPr>
                <w:rFonts w:hint="default"/>
                <w:color w:val="auto"/>
                <w:sz w:val="24"/>
                <w:szCs w:val="32"/>
                <w:highlight w:val="none"/>
                <w:lang w:val="en-US" w:eastAsia="zh-CN"/>
              </w:rPr>
              <w:t>先行启动了场地平整、设备基础等土建施工。</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color w:val="auto"/>
                <w:sz w:val="24"/>
                <w:szCs w:val="32"/>
                <w:highlight w:val="none"/>
                <w:lang w:val="en-US" w:eastAsia="zh-CN"/>
              </w:rPr>
            </w:pPr>
            <w:r>
              <w:rPr>
                <w:rFonts w:hint="default"/>
                <w:color w:val="auto"/>
                <w:sz w:val="24"/>
                <w:szCs w:val="32"/>
                <w:highlight w:val="none"/>
                <w:lang w:val="en-US" w:eastAsia="zh-CN"/>
              </w:rPr>
              <w:t>企业已于5月份停止回采项目在建工程的施工作业，向县应急局上报《且末县邦泰矿业投资有限公司新疆且末县屈库勒克东金锑矿450t/d选矿厂尾矿库回采项目停工的报告》，并在县应急局进行</w:t>
            </w:r>
            <w:r>
              <w:rPr>
                <w:rFonts w:hint="eastAsia"/>
                <w:color w:val="auto"/>
                <w:sz w:val="24"/>
                <w:szCs w:val="32"/>
                <w:highlight w:val="none"/>
                <w:lang w:val="en-US" w:eastAsia="zh-CN"/>
              </w:rPr>
              <w:t>停工</w:t>
            </w:r>
            <w:r>
              <w:rPr>
                <w:rFonts w:hint="default"/>
                <w:color w:val="auto"/>
                <w:sz w:val="24"/>
                <w:szCs w:val="32"/>
                <w:highlight w:val="none"/>
                <w:lang w:val="en-US" w:eastAsia="zh-CN"/>
              </w:rPr>
              <w:t>备案</w:t>
            </w:r>
            <w:r>
              <w:rPr>
                <w:rFonts w:hint="eastAsia"/>
                <w:color w:val="auto"/>
                <w:sz w:val="24"/>
                <w:szCs w:val="32"/>
                <w:highlight w:val="none"/>
                <w:lang w:val="en-US" w:eastAsia="zh-CN"/>
              </w:rPr>
              <w:t>（详见附件4）</w:t>
            </w:r>
            <w:r>
              <w:rPr>
                <w:rFonts w:hint="default"/>
                <w:color w:val="auto"/>
                <w:sz w:val="24"/>
                <w:szCs w:val="32"/>
                <w:highlight w:val="none"/>
                <w:lang w:val="en-US" w:eastAsia="zh-CN"/>
              </w:rPr>
              <w:t>。委托</w:t>
            </w:r>
            <w:r>
              <w:rPr>
                <w:rFonts w:hint="eastAsia"/>
                <w:color w:val="auto"/>
                <w:sz w:val="24"/>
                <w:szCs w:val="32"/>
                <w:highlight w:val="none"/>
                <w:lang w:val="en-US" w:eastAsia="zh-CN"/>
              </w:rPr>
              <w:t>第三方</w:t>
            </w:r>
            <w:r>
              <w:rPr>
                <w:rFonts w:hint="default"/>
                <w:color w:val="auto"/>
                <w:sz w:val="24"/>
                <w:szCs w:val="32"/>
                <w:highlight w:val="none"/>
                <w:lang w:val="en-US" w:eastAsia="zh-CN"/>
              </w:rPr>
              <w:t>编制</w:t>
            </w:r>
            <w:r>
              <w:rPr>
                <w:rFonts w:hint="eastAsia"/>
                <w:color w:val="auto"/>
                <w:sz w:val="24"/>
                <w:szCs w:val="32"/>
                <w:highlight w:val="none"/>
                <w:lang w:val="en-US" w:eastAsia="zh-CN"/>
              </w:rPr>
              <w:t>该项目环境影响评价报告，</w:t>
            </w:r>
            <w:r>
              <w:rPr>
                <w:rFonts w:hint="default"/>
                <w:color w:val="auto"/>
                <w:sz w:val="24"/>
                <w:szCs w:val="32"/>
                <w:highlight w:val="none"/>
                <w:lang w:val="en-US" w:eastAsia="zh-CN"/>
              </w:rPr>
              <w:t>并</w:t>
            </w:r>
            <w:r>
              <w:rPr>
                <w:rFonts w:hint="eastAsia"/>
                <w:color w:val="auto"/>
                <w:sz w:val="24"/>
                <w:szCs w:val="32"/>
                <w:highlight w:val="none"/>
                <w:lang w:val="en-US" w:eastAsia="zh-CN"/>
              </w:rPr>
              <w:t>于2026年5月9日</w:t>
            </w:r>
            <w:r>
              <w:rPr>
                <w:rFonts w:hint="default"/>
                <w:color w:val="auto"/>
                <w:sz w:val="24"/>
                <w:szCs w:val="32"/>
                <w:highlight w:val="none"/>
                <w:lang w:val="en-US" w:eastAsia="zh-CN"/>
              </w:rPr>
              <w:t>按程序报送生态环境部门审批。</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color w:val="auto"/>
                <w:sz w:val="24"/>
                <w:szCs w:val="32"/>
                <w:highlight w:val="none"/>
                <w:lang w:val="en-US" w:eastAsia="zh-CN"/>
              </w:rPr>
            </w:pPr>
            <w:r>
              <w:rPr>
                <w:rFonts w:hint="eastAsia" w:cs="Times New Roman"/>
                <w:color w:val="auto"/>
                <w:sz w:val="24"/>
                <w:szCs w:val="24"/>
                <w:highlight w:val="none"/>
                <w:lang w:val="en-US" w:eastAsia="zh-CN"/>
              </w:rPr>
              <w:t>生态环境主管部门</w:t>
            </w:r>
            <w:r>
              <w:rPr>
                <w:rFonts w:hint="default" w:ascii="Times New Roman" w:hAnsi="Times New Roman" w:cs="Times New Roman"/>
                <w:color w:val="auto"/>
                <w:sz w:val="24"/>
                <w:szCs w:val="24"/>
                <w:highlight w:val="none"/>
                <w:lang w:eastAsia="zh-CN"/>
              </w:rPr>
              <w:t>正在履行核查及处罚程序</w:t>
            </w:r>
            <w:r>
              <w:rPr>
                <w:rFonts w:hint="eastAsia" w:cs="Times New Roman"/>
                <w:color w:val="auto"/>
                <w:sz w:val="24"/>
                <w:szCs w:val="24"/>
                <w:highlight w:val="none"/>
                <w:lang w:val="en-US" w:eastAsia="zh-CN"/>
              </w:rPr>
              <w:t>中，尚未收到现场核查意见。</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color w:val="auto"/>
                <w:lang w:val="en-US" w:eastAsia="zh-CN"/>
              </w:rPr>
            </w:pPr>
            <w:r>
              <w:rPr>
                <w:rFonts w:hint="eastAsia"/>
                <w:color w:val="auto"/>
                <w:sz w:val="24"/>
                <w:szCs w:val="32"/>
                <w:highlight w:val="none"/>
                <w:lang w:val="en-US" w:eastAsia="zh-CN"/>
              </w:rPr>
              <w:t>企业已办理停工手续，</w:t>
            </w:r>
            <w:r>
              <w:rPr>
                <w:rFonts w:hint="default"/>
                <w:color w:val="auto"/>
                <w:sz w:val="24"/>
                <w:szCs w:val="32"/>
                <w:highlight w:val="none"/>
                <w:lang w:val="en-US" w:eastAsia="zh-CN"/>
              </w:rPr>
              <w:t>目前项目施工现场已全面断电、封闭，待环评批复后依法依规恢复建设。</w:t>
            </w:r>
          </w:p>
        </w:tc>
      </w:tr>
    </w:tbl>
    <w:p>
      <w:pPr>
        <w:bidi w:val="0"/>
        <w:rPr>
          <w:rFonts w:hint="default" w:ascii="Times New Roman" w:hAnsi="Times New Roman" w:cs="Times New Roman"/>
          <w:color w:val="auto"/>
        </w:rPr>
        <w:sectPr>
          <w:pgSz w:w="11906" w:h="16838"/>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7"/>
        <w:jc w:val="center"/>
        <w:outlineLvl w:val="0"/>
        <w:rPr>
          <w:rFonts w:hint="default" w:ascii="Times New Roman" w:hAnsi="Times New Roman" w:eastAsia="黑体" w:cs="Times New Roman"/>
          <w:snapToGrid w:val="0"/>
          <w:color w:val="auto"/>
          <w:sz w:val="30"/>
          <w:szCs w:val="30"/>
        </w:rPr>
      </w:pPr>
      <w:r>
        <w:rPr>
          <w:rFonts w:hint="default" w:ascii="Times New Roman" w:hAnsi="Times New Roman" w:eastAsia="黑体" w:cs="Times New Roman"/>
          <w:snapToGrid w:val="0"/>
          <w:color w:val="auto"/>
          <w:sz w:val="30"/>
          <w:szCs w:val="30"/>
        </w:rPr>
        <w:t>三、区域环境质量现状、环境保护目标及评价标准</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44"/>
        <w:gridCol w:w="861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800" w:type="dxa"/>
            <w:noWrap w:val="0"/>
            <w:vAlign w:val="center"/>
          </w:tcPr>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区域环境质量现状</w:t>
            </w:r>
          </w:p>
        </w:tc>
        <w:tc>
          <w:tcPr>
            <w:tcW w:w="819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1</w:t>
            </w:r>
            <w:r>
              <w:rPr>
                <w:rFonts w:hint="default" w:ascii="Times New Roman" w:hAnsi="Times New Roman" w:cs="Times New Roman"/>
                <w:b/>
                <w:color w:val="auto"/>
                <w:sz w:val="24"/>
                <w:szCs w:val="24"/>
                <w:lang w:val="en-US" w:eastAsia="zh-CN"/>
              </w:rPr>
              <w:t xml:space="preserve"> </w:t>
            </w:r>
            <w:r>
              <w:rPr>
                <w:rFonts w:hint="default" w:ascii="Times New Roman" w:hAnsi="Times New Roman" w:cs="Times New Roman"/>
                <w:b/>
                <w:color w:val="auto"/>
                <w:sz w:val="24"/>
                <w:szCs w:val="24"/>
              </w:rPr>
              <w:t>环境空气质量现状调查及评价</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kern w:val="2"/>
                <w:sz w:val="24"/>
                <w:szCs w:val="24"/>
                <w:lang w:val="en-US" w:eastAsia="zh-CN" w:bidi="ar"/>
              </w:rPr>
            </w:pPr>
            <w:r>
              <w:rPr>
                <w:rFonts w:hint="default" w:ascii="Times New Roman" w:hAnsi="Times New Roman" w:eastAsia="宋体" w:cs="Times New Roman"/>
                <w:color w:val="auto"/>
                <w:kern w:val="2"/>
                <w:sz w:val="24"/>
                <w:szCs w:val="24"/>
                <w:vertAlign w:val="baseline"/>
                <w:lang w:val="en-US" w:eastAsia="zh-CN" w:bidi="ar"/>
              </w:rPr>
              <w:t>（1）区域空气质量现状调查及评价</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本次大气现状评价的常规污染物采用中国环境影响评价网环境空气质量模型技术支持服务系统（http://data.lem.org.cn/eamds/apply/tostepone.html）中巴音郭楞蒙古自治州202</w:t>
            </w: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年的监测数据，作为本项目环境空气现状评价基本污染物SO</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rPr>
              <w:t>、NO</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rPr>
              <w:t>、PM</w:t>
            </w:r>
            <w:r>
              <w:rPr>
                <w:rFonts w:hint="default" w:ascii="Times New Roman" w:hAnsi="Times New Roman" w:eastAsia="宋体" w:cs="Times New Roman"/>
                <w:color w:val="auto"/>
                <w:sz w:val="24"/>
                <w:szCs w:val="24"/>
                <w:highlight w:val="none"/>
                <w:vertAlign w:val="subscript"/>
              </w:rPr>
              <w:t>10</w:t>
            </w:r>
            <w:r>
              <w:rPr>
                <w:rFonts w:hint="default" w:ascii="Times New Roman" w:hAnsi="Times New Roman" w:eastAsia="宋体" w:cs="Times New Roman"/>
                <w:color w:val="auto"/>
                <w:sz w:val="24"/>
                <w:szCs w:val="24"/>
                <w:highlight w:val="none"/>
              </w:rPr>
              <w:t>、PM</w:t>
            </w:r>
            <w:r>
              <w:rPr>
                <w:rFonts w:hint="default" w:ascii="Times New Roman" w:hAnsi="Times New Roman" w:eastAsia="宋体" w:cs="Times New Roman"/>
                <w:color w:val="auto"/>
                <w:sz w:val="24"/>
                <w:szCs w:val="24"/>
                <w:highlight w:val="none"/>
                <w:vertAlign w:val="subscript"/>
              </w:rPr>
              <w:t>2.5</w:t>
            </w:r>
            <w:r>
              <w:rPr>
                <w:rFonts w:hint="default" w:ascii="Times New Roman" w:hAnsi="Times New Roman" w:eastAsia="宋体" w:cs="Times New Roman"/>
                <w:color w:val="auto"/>
                <w:sz w:val="24"/>
                <w:szCs w:val="24"/>
                <w:highlight w:val="none"/>
              </w:rPr>
              <w:t>、CO和O</w:t>
            </w:r>
            <w:r>
              <w:rPr>
                <w:rFonts w:hint="default" w:ascii="Times New Roman" w:hAnsi="Times New Roman" w:eastAsia="宋体" w:cs="Times New Roman"/>
                <w:color w:val="auto"/>
                <w:sz w:val="24"/>
                <w:szCs w:val="24"/>
                <w:highlight w:val="none"/>
                <w:vertAlign w:val="subscript"/>
              </w:rPr>
              <w:t>3</w:t>
            </w:r>
            <w:r>
              <w:rPr>
                <w:rFonts w:hint="default" w:ascii="Times New Roman" w:hAnsi="Times New Roman" w:eastAsia="宋体" w:cs="Times New Roman"/>
                <w:color w:val="auto"/>
                <w:sz w:val="24"/>
                <w:szCs w:val="24"/>
                <w:highlight w:val="none"/>
              </w:rPr>
              <w:t>的数据来源。监测数据统计结果见表</w:t>
            </w:r>
            <w:r>
              <w:rPr>
                <w:rFonts w:hint="default" w:ascii="Times New Roman" w:hAnsi="Times New Roman" w:cs="Times New Roman"/>
                <w:color w:val="auto"/>
                <w:sz w:val="24"/>
                <w:szCs w:val="24"/>
                <w:highlight w:val="none"/>
                <w:lang w:val="en-US" w:eastAsia="zh-CN"/>
              </w:rPr>
              <w:t>3-1</w:t>
            </w:r>
            <w:r>
              <w:rPr>
                <w:rFonts w:hint="default" w:ascii="Times New Roman" w:hAnsi="Times New Roman" w:eastAsia="宋体" w:cs="Times New Roman"/>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0" w:firstLineChars="0"/>
              <w:jc w:val="center"/>
              <w:textAlignment w:val="auto"/>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 w:val="21"/>
                <w:szCs w:val="21"/>
                <w:lang w:val="en-US" w:eastAsia="zh-CN"/>
              </w:rPr>
              <w:t>表3-1 巴音郭楞蒙古自治州2024年大气环境质量现状统计表</w:t>
            </w:r>
            <w:r>
              <w:rPr>
                <w:rFonts w:hint="default" w:ascii="Times New Roman" w:hAnsi="Times New Roman" w:eastAsia="宋体" w:cs="Times New Roman"/>
                <w:b/>
                <w:bCs w:val="0"/>
                <w:color w:val="auto"/>
                <w:kern w:val="2"/>
                <w:sz w:val="21"/>
                <w:szCs w:val="21"/>
                <w:highlight w:val="none"/>
                <w:lang w:val="en-US" w:eastAsia="zh-CN" w:bidi="ar-SA"/>
              </w:rPr>
              <w:t>（单位：μg/</w:t>
            </w:r>
            <w:r>
              <w:rPr>
                <w:rFonts w:hint="default" w:ascii="Times New Roman" w:hAnsi="Times New Roman" w:cs="Times New Roman"/>
                <w:b/>
                <w:bCs w:val="0"/>
                <w:color w:val="auto"/>
                <w:kern w:val="2"/>
                <w:sz w:val="21"/>
                <w:szCs w:val="21"/>
                <w:highlight w:val="none"/>
                <w:lang w:val="en-US" w:eastAsia="zh-CN" w:bidi="ar-SA"/>
              </w:rPr>
              <w:t>m³</w:t>
            </w:r>
            <w:r>
              <w:rPr>
                <w:rFonts w:hint="default" w:ascii="Times New Roman" w:hAnsi="Times New Roman" w:eastAsia="宋体" w:cs="Times New Roman"/>
                <w:b/>
                <w:bCs w:val="0"/>
                <w:color w:val="auto"/>
                <w:kern w:val="2"/>
                <w:sz w:val="21"/>
                <w:szCs w:val="21"/>
                <w:highlight w:val="none"/>
                <w:lang w:val="en-US" w:eastAsia="zh-CN" w:bidi="ar-SA"/>
              </w:rPr>
              <w:t>）</w:t>
            </w:r>
          </w:p>
          <w:tbl>
            <w:tblPr>
              <w:tblStyle w:val="29"/>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58"/>
              <w:gridCol w:w="2732"/>
              <w:gridCol w:w="1257"/>
              <w:gridCol w:w="1011"/>
              <w:gridCol w:w="1219"/>
              <w:gridCol w:w="11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3" w:type="pct"/>
                  <w:tcBorders>
                    <w:bottom w:val="single" w:color="auto" w:sz="6" w:space="0"/>
                    <w:right w:val="single" w:color="auto" w:sz="6" w:space="0"/>
                  </w:tcBorders>
                  <w:noWrap w:val="0"/>
                  <w:vAlign w:val="center"/>
                </w:tcPr>
                <w:p>
                  <w:pPr>
                    <w:pStyle w:val="69"/>
                    <w:spacing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w:t>
                  </w:r>
                </w:p>
              </w:tc>
              <w:tc>
                <w:tcPr>
                  <w:tcW w:w="1632" w:type="pct"/>
                  <w:tcBorders>
                    <w:left w:val="single" w:color="auto" w:sz="6" w:space="0"/>
                    <w:bottom w:val="single" w:color="auto" w:sz="6" w:space="0"/>
                    <w:right w:val="single" w:color="auto" w:sz="6" w:space="0"/>
                  </w:tcBorders>
                  <w:noWrap w:val="0"/>
                  <w:vAlign w:val="center"/>
                </w:tcPr>
                <w:p>
                  <w:pPr>
                    <w:pStyle w:val="69"/>
                    <w:spacing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评价指标</w:t>
                  </w:r>
                </w:p>
              </w:tc>
              <w:tc>
                <w:tcPr>
                  <w:tcW w:w="751" w:type="pct"/>
                  <w:tcBorders>
                    <w:left w:val="single" w:color="auto" w:sz="6" w:space="0"/>
                    <w:bottom w:val="single" w:color="auto" w:sz="6" w:space="0"/>
                    <w:right w:val="single" w:color="auto" w:sz="6" w:space="0"/>
                  </w:tcBorders>
                  <w:noWrap w:val="0"/>
                  <w:vAlign w:val="center"/>
                </w:tcPr>
                <w:p>
                  <w:pPr>
                    <w:pStyle w:val="69"/>
                    <w:spacing w:line="240" w:lineRule="auto"/>
                    <w:ind w:left="0" w:leftChars="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现状浓度</w:t>
                  </w:r>
                </w:p>
              </w:tc>
              <w:tc>
                <w:tcPr>
                  <w:tcW w:w="604" w:type="pct"/>
                  <w:tcBorders>
                    <w:left w:val="single" w:color="auto" w:sz="6" w:space="0"/>
                    <w:bottom w:val="single" w:color="auto" w:sz="6" w:space="0"/>
                    <w:right w:val="single" w:color="auto" w:sz="6" w:space="0"/>
                  </w:tcBorders>
                  <w:noWrap w:val="0"/>
                  <w:vAlign w:val="center"/>
                </w:tcPr>
                <w:p>
                  <w:pPr>
                    <w:pStyle w:val="69"/>
                    <w:spacing w:line="240" w:lineRule="auto"/>
                    <w:ind w:left="0" w:leftChars="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标准值</w:t>
                  </w:r>
                </w:p>
              </w:tc>
              <w:tc>
                <w:tcPr>
                  <w:tcW w:w="728" w:type="pct"/>
                  <w:tcBorders>
                    <w:left w:val="single" w:color="auto" w:sz="6" w:space="0"/>
                    <w:bottom w:val="single" w:color="auto" w:sz="6" w:space="0"/>
                    <w:right w:val="single" w:color="auto" w:sz="6" w:space="0"/>
                  </w:tcBorders>
                  <w:noWrap w:val="0"/>
                  <w:vAlign w:val="center"/>
                </w:tcPr>
                <w:p>
                  <w:pPr>
                    <w:pStyle w:val="69"/>
                    <w:spacing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占标率</w:t>
                  </w:r>
                </w:p>
              </w:tc>
              <w:tc>
                <w:tcPr>
                  <w:tcW w:w="709" w:type="pct"/>
                  <w:tcBorders>
                    <w:left w:val="single" w:color="auto" w:sz="6" w:space="0"/>
                    <w:bottom w:val="single" w:color="auto" w:sz="6" w:space="0"/>
                  </w:tcBorders>
                  <w:noWrap w:val="0"/>
                  <w:vAlign w:val="center"/>
                </w:tcPr>
                <w:p>
                  <w:pPr>
                    <w:pStyle w:val="69"/>
                    <w:spacing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3" w:type="pct"/>
                  <w:tcBorders>
                    <w:top w:val="single" w:color="auto" w:sz="6" w:space="0"/>
                    <w:bottom w:val="single" w:color="auto" w:sz="6" w:space="0"/>
                    <w:right w:val="single" w:color="auto" w:sz="6" w:space="0"/>
                  </w:tcBorders>
                  <w:noWrap w:val="0"/>
                  <w:vAlign w:val="center"/>
                </w:tcPr>
                <w:p>
                  <w:pPr>
                    <w:pStyle w:val="69"/>
                    <w:spacing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SO</w:t>
                  </w:r>
                  <w:r>
                    <w:rPr>
                      <w:rFonts w:hint="default" w:ascii="Times New Roman" w:hAnsi="Times New Roman" w:eastAsia="宋体" w:cs="Times New Roman"/>
                      <w:color w:val="auto"/>
                      <w:sz w:val="21"/>
                      <w:szCs w:val="21"/>
                      <w:highlight w:val="none"/>
                      <w:vertAlign w:val="subscript"/>
                    </w:rPr>
                    <w:t>2</w:t>
                  </w:r>
                </w:p>
              </w:tc>
              <w:tc>
                <w:tcPr>
                  <w:tcW w:w="1632" w:type="pct"/>
                  <w:tcBorders>
                    <w:top w:val="single" w:color="auto" w:sz="6" w:space="0"/>
                    <w:left w:val="single" w:color="auto" w:sz="6" w:space="0"/>
                    <w:bottom w:val="single" w:color="auto" w:sz="6" w:space="0"/>
                    <w:right w:val="single" w:color="auto" w:sz="6" w:space="0"/>
                  </w:tcBorders>
                  <w:noWrap w:val="0"/>
                  <w:vAlign w:val="center"/>
                </w:tcPr>
                <w:p>
                  <w:pPr>
                    <w:pStyle w:val="69"/>
                    <w:spacing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1193" w:type="dxa"/>
                  <w:tcBorders>
                    <w:top w:val="single" w:color="auto" w:sz="6" w:space="0"/>
                    <w:left w:val="single" w:color="auto" w:sz="6" w:space="0"/>
                    <w:bottom w:val="single" w:color="auto" w:sz="6" w:space="0"/>
                    <w:right w:val="single" w:color="auto" w:sz="6" w:space="0"/>
                  </w:tcBorders>
                  <w:noWrap w:val="0"/>
                  <w:vAlign w:val="center"/>
                </w:tcPr>
                <w:p>
                  <w:pPr>
                    <w:pStyle w:val="66"/>
                    <w:keepNext w:val="0"/>
                    <w:keepLines w:val="0"/>
                    <w:suppressLineNumbers w:val="0"/>
                    <w:autoSpaceDE w:val="0"/>
                    <w:autoSpaceDN w:val="0"/>
                    <w:adjustRightInd w:val="0"/>
                    <w:snapToGrid w:val="0"/>
                    <w:spacing w:before="0" w:beforeAutospacing="0" w:after="0" w:afterAutospacing="0" w:line="32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华文中宋" w:cs="Times New Roman"/>
                      <w:bCs/>
                      <w:color w:val="auto"/>
                      <w:sz w:val="21"/>
                      <w:szCs w:val="21"/>
                      <w:highlight w:val="none"/>
                      <w:lang w:val="en-US" w:eastAsia="zh-CN"/>
                    </w:rPr>
                    <w:t>9</w:t>
                  </w:r>
                </w:p>
              </w:tc>
              <w:tc>
                <w:tcPr>
                  <w:tcW w:w="960" w:type="dxa"/>
                  <w:tcBorders>
                    <w:top w:val="single" w:color="auto" w:sz="6" w:space="0"/>
                    <w:left w:val="single" w:color="auto" w:sz="6" w:space="0"/>
                    <w:bottom w:val="single" w:color="auto" w:sz="6" w:space="0"/>
                    <w:right w:val="single" w:color="auto" w:sz="6" w:space="0"/>
                  </w:tcBorders>
                  <w:noWrap w:val="0"/>
                  <w:vAlign w:val="center"/>
                </w:tcPr>
                <w:p>
                  <w:pPr>
                    <w:pStyle w:val="66"/>
                    <w:keepNext w:val="0"/>
                    <w:keepLines w:val="0"/>
                    <w:suppressLineNumbers w:val="0"/>
                    <w:autoSpaceDE w:val="0"/>
                    <w:autoSpaceDN w:val="0"/>
                    <w:adjustRightInd w:val="0"/>
                    <w:snapToGrid w:val="0"/>
                    <w:spacing w:before="0" w:beforeAutospacing="0" w:after="0" w:afterAutospacing="0" w:line="320" w:lineRule="exact"/>
                    <w:ind w:left="0" w:leftChars="0" w:right="0" w:right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华文中宋" w:cs="Times New Roman"/>
                      <w:bCs/>
                      <w:color w:val="auto"/>
                      <w:sz w:val="21"/>
                      <w:szCs w:val="21"/>
                      <w:highlight w:val="none"/>
                      <w:lang w:val="en-US" w:eastAsia="zh-CN"/>
                    </w:rPr>
                    <w:t>60</w:t>
                  </w:r>
                </w:p>
              </w:tc>
              <w:tc>
                <w:tcPr>
                  <w:tcW w:w="1157" w:type="dxa"/>
                  <w:tcBorders>
                    <w:top w:val="single" w:color="auto" w:sz="6" w:space="0"/>
                    <w:left w:val="single" w:color="auto" w:sz="6" w:space="0"/>
                    <w:bottom w:val="single" w:color="auto" w:sz="6" w:space="0"/>
                    <w:right w:val="single" w:color="auto" w:sz="6" w:space="0"/>
                  </w:tcBorders>
                  <w:noWrap w:val="0"/>
                  <w:vAlign w:val="center"/>
                </w:tcPr>
                <w:p>
                  <w:pPr>
                    <w:pStyle w:val="66"/>
                    <w:keepNext w:val="0"/>
                    <w:keepLines w:val="0"/>
                    <w:suppressLineNumbers w:val="0"/>
                    <w:autoSpaceDE w:val="0"/>
                    <w:autoSpaceDN w:val="0"/>
                    <w:adjustRightInd w:val="0"/>
                    <w:snapToGrid w:val="0"/>
                    <w:spacing w:before="0" w:beforeAutospacing="0" w:after="0" w:afterAutospacing="0" w:line="32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华文中宋" w:cs="Times New Roman"/>
                      <w:bCs/>
                      <w:color w:val="auto"/>
                      <w:sz w:val="21"/>
                      <w:szCs w:val="21"/>
                      <w:highlight w:val="none"/>
                      <w:lang w:val="en-US" w:eastAsia="zh-CN"/>
                    </w:rPr>
                    <w:t>15</w:t>
                  </w:r>
                  <w:r>
                    <w:rPr>
                      <w:rFonts w:hint="default" w:ascii="Times New Roman" w:hAnsi="Times New Roman" w:eastAsia="宋体" w:cs="Times New Roman"/>
                      <w:color w:val="auto"/>
                      <w:sz w:val="21"/>
                      <w:szCs w:val="21"/>
                      <w:highlight w:val="none"/>
                      <w:lang w:val="en-US" w:eastAsia="zh-CN"/>
                    </w:rPr>
                    <w:t>%</w:t>
                  </w:r>
                </w:p>
              </w:tc>
              <w:tc>
                <w:tcPr>
                  <w:tcW w:w="709" w:type="pct"/>
                  <w:tcBorders>
                    <w:top w:val="single" w:color="auto" w:sz="6" w:space="0"/>
                    <w:left w:val="single" w:color="auto" w:sz="6" w:space="0"/>
                    <w:bottom w:val="single" w:color="auto" w:sz="6" w:space="0"/>
                  </w:tcBorders>
                  <w:noWrap w:val="0"/>
                  <w:vAlign w:val="center"/>
                </w:tcPr>
                <w:p>
                  <w:pPr>
                    <w:pStyle w:val="69"/>
                    <w:spacing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3" w:type="pct"/>
                  <w:tcBorders>
                    <w:top w:val="single" w:color="auto" w:sz="6" w:space="0"/>
                    <w:bottom w:val="single" w:color="auto" w:sz="6" w:space="0"/>
                    <w:right w:val="single" w:color="auto" w:sz="6" w:space="0"/>
                  </w:tcBorders>
                  <w:noWrap w:val="0"/>
                  <w:vAlign w:val="center"/>
                </w:tcPr>
                <w:p>
                  <w:pPr>
                    <w:pStyle w:val="69"/>
                    <w:spacing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NO</w:t>
                  </w:r>
                  <w:r>
                    <w:rPr>
                      <w:rFonts w:hint="default" w:ascii="Times New Roman" w:hAnsi="Times New Roman" w:eastAsia="宋体" w:cs="Times New Roman"/>
                      <w:color w:val="auto"/>
                      <w:sz w:val="21"/>
                      <w:szCs w:val="21"/>
                      <w:highlight w:val="none"/>
                      <w:vertAlign w:val="subscript"/>
                    </w:rPr>
                    <w:t>2</w:t>
                  </w:r>
                </w:p>
              </w:tc>
              <w:tc>
                <w:tcPr>
                  <w:tcW w:w="1632" w:type="pct"/>
                  <w:tcBorders>
                    <w:top w:val="single" w:color="auto" w:sz="6" w:space="0"/>
                    <w:left w:val="single" w:color="auto" w:sz="6" w:space="0"/>
                    <w:bottom w:val="single" w:color="auto" w:sz="6" w:space="0"/>
                    <w:right w:val="single" w:color="auto" w:sz="6" w:space="0"/>
                  </w:tcBorders>
                  <w:noWrap w:val="0"/>
                  <w:vAlign w:val="center"/>
                </w:tcPr>
                <w:p>
                  <w:pPr>
                    <w:pStyle w:val="69"/>
                    <w:spacing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1193" w:type="dxa"/>
                  <w:tcBorders>
                    <w:top w:val="single" w:color="auto" w:sz="6" w:space="0"/>
                    <w:left w:val="single" w:color="auto" w:sz="6" w:space="0"/>
                    <w:bottom w:val="single" w:color="auto" w:sz="6" w:space="0"/>
                    <w:right w:val="single" w:color="auto" w:sz="6" w:space="0"/>
                  </w:tcBorders>
                  <w:noWrap w:val="0"/>
                  <w:vAlign w:val="center"/>
                </w:tcPr>
                <w:p>
                  <w:pPr>
                    <w:pStyle w:val="66"/>
                    <w:keepNext w:val="0"/>
                    <w:keepLines w:val="0"/>
                    <w:suppressLineNumbers w:val="0"/>
                    <w:autoSpaceDE w:val="0"/>
                    <w:autoSpaceDN w:val="0"/>
                    <w:adjustRightInd w:val="0"/>
                    <w:snapToGrid w:val="0"/>
                    <w:spacing w:before="0" w:beforeAutospacing="0" w:after="0" w:afterAutospacing="0" w:line="32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华文中宋" w:cs="Times New Roman"/>
                      <w:bCs/>
                      <w:color w:val="auto"/>
                      <w:sz w:val="21"/>
                      <w:szCs w:val="21"/>
                      <w:highlight w:val="none"/>
                      <w:lang w:val="en-US" w:eastAsia="zh-CN"/>
                    </w:rPr>
                    <w:t>16</w:t>
                  </w:r>
                </w:p>
              </w:tc>
              <w:tc>
                <w:tcPr>
                  <w:tcW w:w="960" w:type="dxa"/>
                  <w:tcBorders>
                    <w:top w:val="single" w:color="auto" w:sz="6" w:space="0"/>
                    <w:left w:val="single" w:color="auto" w:sz="6" w:space="0"/>
                    <w:bottom w:val="single" w:color="auto" w:sz="6" w:space="0"/>
                    <w:right w:val="single" w:color="auto" w:sz="6" w:space="0"/>
                  </w:tcBorders>
                  <w:noWrap w:val="0"/>
                  <w:vAlign w:val="center"/>
                </w:tcPr>
                <w:p>
                  <w:pPr>
                    <w:pStyle w:val="66"/>
                    <w:keepNext w:val="0"/>
                    <w:keepLines w:val="0"/>
                    <w:suppressLineNumbers w:val="0"/>
                    <w:autoSpaceDE w:val="0"/>
                    <w:autoSpaceDN w:val="0"/>
                    <w:adjustRightInd w:val="0"/>
                    <w:snapToGrid w:val="0"/>
                    <w:spacing w:before="0" w:beforeAutospacing="0" w:after="0" w:afterAutospacing="0" w:line="320" w:lineRule="exact"/>
                    <w:ind w:left="0" w:leftChars="0" w:right="0" w:right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华文中宋" w:cs="Times New Roman"/>
                      <w:bCs/>
                      <w:color w:val="auto"/>
                      <w:sz w:val="21"/>
                      <w:szCs w:val="21"/>
                      <w:highlight w:val="none"/>
                      <w:lang w:val="en-US" w:eastAsia="zh-CN"/>
                    </w:rPr>
                    <w:t>40</w:t>
                  </w:r>
                </w:p>
              </w:tc>
              <w:tc>
                <w:tcPr>
                  <w:tcW w:w="1157" w:type="dxa"/>
                  <w:tcBorders>
                    <w:top w:val="single" w:color="auto" w:sz="6" w:space="0"/>
                    <w:left w:val="single" w:color="auto" w:sz="6" w:space="0"/>
                    <w:bottom w:val="single" w:color="auto" w:sz="6" w:space="0"/>
                    <w:right w:val="single" w:color="auto" w:sz="6" w:space="0"/>
                  </w:tcBorders>
                  <w:noWrap w:val="0"/>
                  <w:vAlign w:val="center"/>
                </w:tcPr>
                <w:p>
                  <w:pPr>
                    <w:pStyle w:val="66"/>
                    <w:keepNext w:val="0"/>
                    <w:keepLines w:val="0"/>
                    <w:suppressLineNumbers w:val="0"/>
                    <w:autoSpaceDE w:val="0"/>
                    <w:autoSpaceDN w:val="0"/>
                    <w:adjustRightInd w:val="0"/>
                    <w:snapToGrid w:val="0"/>
                    <w:spacing w:before="0" w:beforeAutospacing="0" w:after="0" w:afterAutospacing="0" w:line="32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华文中宋" w:cs="Times New Roman"/>
                      <w:bCs/>
                      <w:color w:val="auto"/>
                      <w:sz w:val="21"/>
                      <w:szCs w:val="21"/>
                      <w:highlight w:val="none"/>
                      <w:lang w:val="en-US" w:eastAsia="zh-CN"/>
                    </w:rPr>
                    <w:t>40</w:t>
                  </w:r>
                  <w:r>
                    <w:rPr>
                      <w:rFonts w:hint="default" w:ascii="Times New Roman" w:hAnsi="Times New Roman" w:eastAsia="宋体" w:cs="Times New Roman"/>
                      <w:color w:val="auto"/>
                      <w:sz w:val="21"/>
                      <w:szCs w:val="21"/>
                      <w:highlight w:val="none"/>
                      <w:lang w:val="en-US" w:eastAsia="zh-CN"/>
                    </w:rPr>
                    <w:t>%</w:t>
                  </w:r>
                </w:p>
              </w:tc>
              <w:tc>
                <w:tcPr>
                  <w:tcW w:w="709" w:type="pct"/>
                  <w:tcBorders>
                    <w:top w:val="single" w:color="auto" w:sz="6" w:space="0"/>
                    <w:left w:val="single" w:color="auto" w:sz="6" w:space="0"/>
                    <w:bottom w:val="single" w:color="auto" w:sz="6" w:space="0"/>
                  </w:tcBorders>
                  <w:noWrap w:val="0"/>
                  <w:vAlign w:val="center"/>
                </w:tcPr>
                <w:p>
                  <w:pPr>
                    <w:pStyle w:val="69"/>
                    <w:spacing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3" w:type="pct"/>
                  <w:tcBorders>
                    <w:top w:val="single" w:color="auto" w:sz="6" w:space="0"/>
                    <w:bottom w:val="single" w:color="auto" w:sz="6" w:space="0"/>
                    <w:right w:val="single" w:color="auto" w:sz="6" w:space="0"/>
                  </w:tcBorders>
                  <w:noWrap w:val="0"/>
                  <w:vAlign w:val="center"/>
                </w:tcPr>
                <w:p>
                  <w:pPr>
                    <w:pStyle w:val="69"/>
                    <w:spacing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PM</w:t>
                  </w:r>
                  <w:r>
                    <w:rPr>
                      <w:rFonts w:hint="default" w:ascii="Times New Roman" w:hAnsi="Times New Roman" w:eastAsia="宋体" w:cs="Times New Roman"/>
                      <w:color w:val="auto"/>
                      <w:sz w:val="21"/>
                      <w:szCs w:val="21"/>
                      <w:highlight w:val="none"/>
                      <w:vertAlign w:val="subscript"/>
                    </w:rPr>
                    <w:t>10</w:t>
                  </w:r>
                </w:p>
              </w:tc>
              <w:tc>
                <w:tcPr>
                  <w:tcW w:w="1632" w:type="pct"/>
                  <w:tcBorders>
                    <w:top w:val="single" w:color="auto" w:sz="6" w:space="0"/>
                    <w:left w:val="single" w:color="auto" w:sz="6" w:space="0"/>
                    <w:bottom w:val="single" w:color="auto" w:sz="6" w:space="0"/>
                    <w:right w:val="single" w:color="auto" w:sz="6" w:space="0"/>
                  </w:tcBorders>
                  <w:noWrap w:val="0"/>
                  <w:vAlign w:val="center"/>
                </w:tcPr>
                <w:p>
                  <w:pPr>
                    <w:pStyle w:val="69"/>
                    <w:spacing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1193" w:type="dxa"/>
                  <w:tcBorders>
                    <w:top w:val="single" w:color="auto" w:sz="6" w:space="0"/>
                    <w:left w:val="single" w:color="auto" w:sz="6" w:space="0"/>
                    <w:bottom w:val="single" w:color="auto" w:sz="6" w:space="0"/>
                    <w:right w:val="single" w:color="auto" w:sz="6" w:space="0"/>
                  </w:tcBorders>
                  <w:noWrap w:val="0"/>
                  <w:vAlign w:val="center"/>
                </w:tcPr>
                <w:p>
                  <w:pPr>
                    <w:pStyle w:val="66"/>
                    <w:keepNext w:val="0"/>
                    <w:keepLines w:val="0"/>
                    <w:suppressLineNumbers w:val="0"/>
                    <w:autoSpaceDE w:val="0"/>
                    <w:autoSpaceDN w:val="0"/>
                    <w:adjustRightInd w:val="0"/>
                    <w:snapToGrid w:val="0"/>
                    <w:spacing w:before="0" w:beforeAutospacing="0" w:after="0" w:afterAutospacing="0" w:line="32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华文中宋" w:cs="Times New Roman"/>
                      <w:bCs/>
                      <w:color w:val="auto"/>
                      <w:sz w:val="21"/>
                      <w:szCs w:val="21"/>
                      <w:highlight w:val="none"/>
                      <w:lang w:val="en-US" w:eastAsia="zh-CN"/>
                    </w:rPr>
                    <w:t>141</w:t>
                  </w:r>
                </w:p>
              </w:tc>
              <w:tc>
                <w:tcPr>
                  <w:tcW w:w="948" w:type="dxa"/>
                  <w:tcBorders>
                    <w:top w:val="single" w:color="auto" w:sz="6" w:space="0"/>
                    <w:left w:val="single" w:color="auto" w:sz="6" w:space="0"/>
                    <w:bottom w:val="single" w:color="auto" w:sz="6" w:space="0"/>
                    <w:right w:val="single" w:color="auto" w:sz="6" w:space="0"/>
                  </w:tcBorders>
                  <w:noWrap w:val="0"/>
                  <w:vAlign w:val="center"/>
                </w:tcPr>
                <w:p>
                  <w:pPr>
                    <w:pStyle w:val="66"/>
                    <w:keepNext w:val="0"/>
                    <w:keepLines w:val="0"/>
                    <w:suppressLineNumbers w:val="0"/>
                    <w:autoSpaceDE w:val="0"/>
                    <w:autoSpaceDN w:val="0"/>
                    <w:adjustRightInd w:val="0"/>
                    <w:snapToGrid w:val="0"/>
                    <w:spacing w:before="0" w:beforeAutospacing="0" w:after="0" w:afterAutospacing="0" w:line="320" w:lineRule="exact"/>
                    <w:ind w:left="0" w:leftChars="0" w:right="0" w:right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华文中宋" w:cs="Times New Roman"/>
                      <w:bCs/>
                      <w:color w:val="auto"/>
                      <w:sz w:val="21"/>
                      <w:szCs w:val="21"/>
                      <w:highlight w:val="none"/>
                      <w:lang w:val="en-US" w:eastAsia="zh-CN"/>
                    </w:rPr>
                    <w:t>60</w:t>
                  </w:r>
                </w:p>
              </w:tc>
              <w:tc>
                <w:tcPr>
                  <w:tcW w:w="1143" w:type="dxa"/>
                  <w:tcBorders>
                    <w:top w:val="single" w:color="auto" w:sz="6" w:space="0"/>
                    <w:left w:val="single" w:color="auto" w:sz="6" w:space="0"/>
                    <w:bottom w:val="single" w:color="auto" w:sz="6" w:space="0"/>
                    <w:right w:val="single" w:color="auto" w:sz="6" w:space="0"/>
                  </w:tcBorders>
                  <w:noWrap w:val="0"/>
                  <w:vAlign w:val="center"/>
                </w:tcPr>
                <w:p>
                  <w:pPr>
                    <w:pStyle w:val="66"/>
                    <w:keepNext w:val="0"/>
                    <w:keepLines w:val="0"/>
                    <w:suppressLineNumbers w:val="0"/>
                    <w:autoSpaceDE w:val="0"/>
                    <w:autoSpaceDN w:val="0"/>
                    <w:adjustRightInd w:val="0"/>
                    <w:snapToGrid w:val="0"/>
                    <w:spacing w:before="0" w:beforeAutospacing="0" w:after="0" w:afterAutospacing="0" w:line="32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华文中宋" w:cs="Times New Roman"/>
                      <w:bCs/>
                      <w:color w:val="auto"/>
                      <w:sz w:val="21"/>
                      <w:szCs w:val="21"/>
                      <w:highlight w:val="none"/>
                      <w:lang w:val="en-US" w:eastAsia="zh-CN"/>
                    </w:rPr>
                    <w:t>235</w:t>
                  </w:r>
                  <w:r>
                    <w:rPr>
                      <w:rFonts w:hint="default" w:ascii="Times New Roman" w:hAnsi="Times New Roman" w:eastAsia="宋体" w:cs="Times New Roman"/>
                      <w:color w:val="auto"/>
                      <w:sz w:val="21"/>
                      <w:szCs w:val="21"/>
                      <w:highlight w:val="none"/>
                      <w:lang w:val="en-US" w:eastAsia="zh-CN"/>
                    </w:rPr>
                    <w:t>%</w:t>
                  </w:r>
                </w:p>
              </w:tc>
              <w:tc>
                <w:tcPr>
                  <w:tcW w:w="709" w:type="pct"/>
                  <w:tcBorders>
                    <w:top w:val="single" w:color="auto" w:sz="6" w:space="0"/>
                    <w:left w:val="single" w:color="auto" w:sz="6" w:space="0"/>
                    <w:bottom w:val="single" w:color="auto" w:sz="6" w:space="0"/>
                  </w:tcBorders>
                  <w:noWrap w:val="0"/>
                  <w:vAlign w:val="center"/>
                </w:tcPr>
                <w:p>
                  <w:pPr>
                    <w:pStyle w:val="69"/>
                    <w:spacing w:line="240" w:lineRule="auto"/>
                    <w:ind w:left="0" w:leftChars="0"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超标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3" w:type="pct"/>
                  <w:tcBorders>
                    <w:top w:val="single" w:color="auto" w:sz="6" w:space="0"/>
                    <w:bottom w:val="single" w:color="auto" w:sz="6" w:space="0"/>
                    <w:right w:val="single" w:color="auto" w:sz="6" w:space="0"/>
                  </w:tcBorders>
                  <w:noWrap w:val="0"/>
                  <w:vAlign w:val="center"/>
                </w:tcPr>
                <w:p>
                  <w:pPr>
                    <w:pStyle w:val="69"/>
                    <w:spacing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de-DE"/>
                    </w:rPr>
                    <w:t>PM</w:t>
                  </w:r>
                  <w:r>
                    <w:rPr>
                      <w:rFonts w:hint="default" w:ascii="Times New Roman" w:hAnsi="Times New Roman" w:eastAsia="宋体" w:cs="Times New Roman"/>
                      <w:color w:val="auto"/>
                      <w:sz w:val="21"/>
                      <w:szCs w:val="21"/>
                      <w:highlight w:val="none"/>
                      <w:vertAlign w:val="subscript"/>
                      <w:lang w:val="en-US" w:eastAsia="zh-CN"/>
                    </w:rPr>
                    <w:t>2.5</w:t>
                  </w:r>
                </w:p>
              </w:tc>
              <w:tc>
                <w:tcPr>
                  <w:tcW w:w="1632" w:type="pct"/>
                  <w:tcBorders>
                    <w:top w:val="single" w:color="auto" w:sz="6" w:space="0"/>
                    <w:left w:val="single" w:color="auto" w:sz="6" w:space="0"/>
                    <w:bottom w:val="single" w:color="auto" w:sz="6" w:space="0"/>
                    <w:right w:val="single" w:color="auto" w:sz="6" w:space="0"/>
                  </w:tcBorders>
                  <w:noWrap w:val="0"/>
                  <w:vAlign w:val="center"/>
                </w:tcPr>
                <w:p>
                  <w:pPr>
                    <w:pStyle w:val="69"/>
                    <w:spacing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1193" w:type="dxa"/>
                  <w:tcBorders>
                    <w:top w:val="single" w:color="auto" w:sz="6" w:space="0"/>
                    <w:left w:val="single" w:color="auto" w:sz="6" w:space="0"/>
                    <w:bottom w:val="single" w:color="auto" w:sz="6" w:space="0"/>
                    <w:right w:val="single" w:color="auto" w:sz="6" w:space="0"/>
                  </w:tcBorders>
                  <w:noWrap w:val="0"/>
                  <w:vAlign w:val="center"/>
                </w:tcPr>
                <w:p>
                  <w:pPr>
                    <w:pStyle w:val="66"/>
                    <w:keepNext w:val="0"/>
                    <w:keepLines w:val="0"/>
                    <w:suppressLineNumbers w:val="0"/>
                    <w:autoSpaceDE w:val="0"/>
                    <w:autoSpaceDN w:val="0"/>
                    <w:adjustRightInd w:val="0"/>
                    <w:snapToGrid w:val="0"/>
                    <w:spacing w:before="0" w:beforeAutospacing="0" w:after="0" w:afterAutospacing="0" w:line="32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华文中宋" w:cs="Times New Roman"/>
                      <w:bCs/>
                      <w:color w:val="auto"/>
                      <w:sz w:val="21"/>
                      <w:szCs w:val="21"/>
                      <w:highlight w:val="none"/>
                      <w:lang w:val="en-US" w:eastAsia="zh-CN"/>
                    </w:rPr>
                    <w:t>43</w:t>
                  </w:r>
                </w:p>
              </w:tc>
              <w:tc>
                <w:tcPr>
                  <w:tcW w:w="948" w:type="dxa"/>
                  <w:tcBorders>
                    <w:top w:val="single" w:color="auto" w:sz="6" w:space="0"/>
                    <w:left w:val="single" w:color="auto" w:sz="6" w:space="0"/>
                    <w:bottom w:val="single" w:color="auto" w:sz="6" w:space="0"/>
                    <w:right w:val="single" w:color="auto" w:sz="6" w:space="0"/>
                  </w:tcBorders>
                  <w:noWrap w:val="0"/>
                  <w:vAlign w:val="center"/>
                </w:tcPr>
                <w:p>
                  <w:pPr>
                    <w:pStyle w:val="66"/>
                    <w:keepNext w:val="0"/>
                    <w:keepLines w:val="0"/>
                    <w:suppressLineNumbers w:val="0"/>
                    <w:autoSpaceDE w:val="0"/>
                    <w:autoSpaceDN w:val="0"/>
                    <w:adjustRightInd w:val="0"/>
                    <w:snapToGrid w:val="0"/>
                    <w:spacing w:before="0" w:beforeAutospacing="0" w:after="0" w:afterAutospacing="0" w:line="320" w:lineRule="exact"/>
                    <w:ind w:left="0" w:leftChars="0" w:right="0" w:right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华文中宋" w:cs="Times New Roman"/>
                      <w:bCs/>
                      <w:color w:val="auto"/>
                      <w:sz w:val="21"/>
                      <w:szCs w:val="21"/>
                      <w:highlight w:val="none"/>
                      <w:lang w:val="en-US" w:eastAsia="zh-CN"/>
                    </w:rPr>
                    <w:t>30</w:t>
                  </w:r>
                </w:p>
              </w:tc>
              <w:tc>
                <w:tcPr>
                  <w:tcW w:w="1143" w:type="dxa"/>
                  <w:tcBorders>
                    <w:top w:val="single" w:color="auto" w:sz="6" w:space="0"/>
                    <w:left w:val="single" w:color="auto" w:sz="6" w:space="0"/>
                    <w:bottom w:val="single" w:color="auto" w:sz="6" w:space="0"/>
                    <w:right w:val="single" w:color="auto" w:sz="6" w:space="0"/>
                  </w:tcBorders>
                  <w:noWrap w:val="0"/>
                  <w:vAlign w:val="center"/>
                </w:tcPr>
                <w:p>
                  <w:pPr>
                    <w:pStyle w:val="66"/>
                    <w:keepNext w:val="0"/>
                    <w:keepLines w:val="0"/>
                    <w:suppressLineNumbers w:val="0"/>
                    <w:autoSpaceDE w:val="0"/>
                    <w:autoSpaceDN w:val="0"/>
                    <w:adjustRightInd w:val="0"/>
                    <w:snapToGrid w:val="0"/>
                    <w:spacing w:before="0" w:beforeAutospacing="0" w:after="0" w:afterAutospacing="0" w:line="32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华文中宋" w:cs="Times New Roman"/>
                      <w:bCs/>
                      <w:color w:val="auto"/>
                      <w:sz w:val="21"/>
                      <w:szCs w:val="21"/>
                      <w:highlight w:val="none"/>
                      <w:lang w:val="en-US" w:eastAsia="zh-CN"/>
                    </w:rPr>
                    <w:t>14.3</w:t>
                  </w:r>
                  <w:r>
                    <w:rPr>
                      <w:rFonts w:hint="default" w:ascii="Times New Roman" w:hAnsi="Times New Roman" w:eastAsia="宋体" w:cs="Times New Roman"/>
                      <w:color w:val="auto"/>
                      <w:sz w:val="21"/>
                      <w:szCs w:val="21"/>
                      <w:highlight w:val="none"/>
                      <w:lang w:val="en-US" w:eastAsia="zh-CN"/>
                    </w:rPr>
                    <w:t>%</w:t>
                  </w:r>
                </w:p>
              </w:tc>
              <w:tc>
                <w:tcPr>
                  <w:tcW w:w="709" w:type="pct"/>
                  <w:tcBorders>
                    <w:top w:val="single" w:color="auto" w:sz="6" w:space="0"/>
                    <w:left w:val="single" w:color="auto" w:sz="6" w:space="0"/>
                    <w:bottom w:val="single" w:color="auto" w:sz="6" w:space="0"/>
                  </w:tcBorders>
                  <w:noWrap w:val="0"/>
                  <w:vAlign w:val="center"/>
                </w:tcPr>
                <w:p>
                  <w:pPr>
                    <w:pStyle w:val="69"/>
                    <w:spacing w:line="240" w:lineRule="auto"/>
                    <w:ind w:left="0" w:leftChars="0"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3" w:type="pct"/>
                  <w:tcBorders>
                    <w:top w:val="single" w:color="auto" w:sz="6" w:space="0"/>
                    <w:bottom w:val="single" w:color="auto" w:sz="6" w:space="0"/>
                    <w:right w:val="single" w:color="auto" w:sz="6" w:space="0"/>
                  </w:tcBorders>
                  <w:noWrap w:val="0"/>
                  <w:vAlign w:val="center"/>
                </w:tcPr>
                <w:p>
                  <w:pPr>
                    <w:pStyle w:val="69"/>
                    <w:spacing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CO</w:t>
                  </w:r>
                </w:p>
              </w:tc>
              <w:tc>
                <w:tcPr>
                  <w:tcW w:w="1632" w:type="pct"/>
                  <w:tcBorders>
                    <w:top w:val="single" w:color="auto" w:sz="6" w:space="0"/>
                    <w:left w:val="single" w:color="auto" w:sz="6" w:space="0"/>
                    <w:bottom w:val="single" w:color="auto" w:sz="6" w:space="0"/>
                    <w:right w:val="single" w:color="auto" w:sz="6" w:space="0"/>
                  </w:tcBorders>
                  <w:noWrap w:val="0"/>
                  <w:vAlign w:val="center"/>
                </w:tcPr>
                <w:p>
                  <w:pPr>
                    <w:pStyle w:val="69"/>
                    <w:spacing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24h平均第95</w:t>
                  </w:r>
                  <w:r>
                    <w:rPr>
                      <w:rFonts w:hint="default" w:ascii="Times New Roman" w:hAnsi="Times New Roman" w:eastAsia="宋体" w:cs="Times New Roman"/>
                      <w:color w:val="auto"/>
                      <w:sz w:val="21"/>
                      <w:szCs w:val="21"/>
                      <w:highlight w:val="none"/>
                    </w:rPr>
                    <w:t>百分位数平均质量浓度</w:t>
                  </w:r>
                </w:p>
              </w:tc>
              <w:tc>
                <w:tcPr>
                  <w:tcW w:w="1193" w:type="dxa"/>
                  <w:tcBorders>
                    <w:top w:val="single" w:color="auto" w:sz="6" w:space="0"/>
                    <w:left w:val="single" w:color="auto" w:sz="6" w:space="0"/>
                    <w:bottom w:val="single" w:color="auto" w:sz="6" w:space="0"/>
                    <w:right w:val="single" w:color="auto" w:sz="6" w:space="0"/>
                  </w:tcBorders>
                  <w:noWrap w:val="0"/>
                  <w:vAlign w:val="center"/>
                </w:tcPr>
                <w:p>
                  <w:pPr>
                    <w:pStyle w:val="66"/>
                    <w:keepNext w:val="0"/>
                    <w:keepLines w:val="0"/>
                    <w:suppressLineNumbers w:val="0"/>
                    <w:autoSpaceDE w:val="0"/>
                    <w:autoSpaceDN w:val="0"/>
                    <w:adjustRightInd w:val="0"/>
                    <w:snapToGrid w:val="0"/>
                    <w:spacing w:before="0" w:beforeAutospacing="0" w:after="0" w:afterAutospacing="0" w:line="32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华文中宋" w:cs="Times New Roman"/>
                      <w:bCs/>
                      <w:color w:val="auto"/>
                      <w:sz w:val="21"/>
                      <w:szCs w:val="21"/>
                      <w:highlight w:val="none"/>
                      <w:lang w:val="en-US" w:eastAsia="zh-CN"/>
                    </w:rPr>
                    <w:t>800</w:t>
                  </w:r>
                </w:p>
              </w:tc>
              <w:tc>
                <w:tcPr>
                  <w:tcW w:w="960" w:type="dxa"/>
                  <w:tcBorders>
                    <w:top w:val="single" w:color="auto" w:sz="6" w:space="0"/>
                    <w:left w:val="single" w:color="auto" w:sz="6" w:space="0"/>
                    <w:bottom w:val="single" w:color="auto" w:sz="6" w:space="0"/>
                    <w:right w:val="single" w:color="auto" w:sz="6" w:space="0"/>
                  </w:tcBorders>
                  <w:noWrap w:val="0"/>
                  <w:vAlign w:val="center"/>
                </w:tcPr>
                <w:p>
                  <w:pPr>
                    <w:pStyle w:val="66"/>
                    <w:keepNext w:val="0"/>
                    <w:keepLines w:val="0"/>
                    <w:suppressLineNumbers w:val="0"/>
                    <w:autoSpaceDE w:val="0"/>
                    <w:autoSpaceDN w:val="0"/>
                    <w:adjustRightInd w:val="0"/>
                    <w:snapToGrid w:val="0"/>
                    <w:spacing w:before="0" w:beforeAutospacing="0" w:after="0" w:afterAutospacing="0" w:line="320" w:lineRule="exact"/>
                    <w:ind w:left="0" w:leftChars="0" w:right="0" w:right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华文中宋" w:cs="Times New Roman"/>
                      <w:bCs/>
                      <w:color w:val="auto"/>
                      <w:sz w:val="21"/>
                      <w:szCs w:val="21"/>
                      <w:highlight w:val="none"/>
                    </w:rPr>
                    <w:t>4000</w:t>
                  </w:r>
                </w:p>
              </w:tc>
              <w:tc>
                <w:tcPr>
                  <w:tcW w:w="1157" w:type="dxa"/>
                  <w:tcBorders>
                    <w:top w:val="single" w:color="auto" w:sz="6" w:space="0"/>
                    <w:left w:val="single" w:color="auto" w:sz="6" w:space="0"/>
                    <w:bottom w:val="single" w:color="auto" w:sz="6" w:space="0"/>
                    <w:right w:val="single" w:color="auto" w:sz="6" w:space="0"/>
                  </w:tcBorders>
                  <w:noWrap w:val="0"/>
                  <w:vAlign w:val="center"/>
                </w:tcPr>
                <w:p>
                  <w:pPr>
                    <w:pStyle w:val="66"/>
                    <w:keepNext w:val="0"/>
                    <w:keepLines w:val="0"/>
                    <w:suppressLineNumbers w:val="0"/>
                    <w:autoSpaceDE w:val="0"/>
                    <w:autoSpaceDN w:val="0"/>
                    <w:adjustRightInd w:val="0"/>
                    <w:snapToGrid w:val="0"/>
                    <w:spacing w:before="0" w:beforeAutospacing="0" w:after="0" w:afterAutospacing="0" w:line="32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华文中宋" w:cs="Times New Roman"/>
                      <w:bCs/>
                      <w:color w:val="auto"/>
                      <w:sz w:val="21"/>
                      <w:szCs w:val="21"/>
                      <w:highlight w:val="none"/>
                      <w:lang w:val="en-US" w:eastAsia="zh-CN"/>
                    </w:rPr>
                    <w:t>20</w:t>
                  </w:r>
                  <w:r>
                    <w:rPr>
                      <w:rFonts w:hint="default" w:ascii="Times New Roman" w:hAnsi="Times New Roman" w:eastAsia="宋体" w:cs="Times New Roman"/>
                      <w:color w:val="auto"/>
                      <w:sz w:val="21"/>
                      <w:szCs w:val="21"/>
                      <w:highlight w:val="none"/>
                      <w:lang w:val="en-US" w:eastAsia="zh-CN"/>
                    </w:rPr>
                    <w:t>%</w:t>
                  </w:r>
                </w:p>
              </w:tc>
              <w:tc>
                <w:tcPr>
                  <w:tcW w:w="709" w:type="pct"/>
                  <w:tcBorders>
                    <w:top w:val="single" w:color="auto" w:sz="6" w:space="0"/>
                    <w:left w:val="single" w:color="auto" w:sz="6" w:space="0"/>
                    <w:bottom w:val="single" w:color="auto" w:sz="6" w:space="0"/>
                  </w:tcBorders>
                  <w:noWrap w:val="0"/>
                  <w:vAlign w:val="center"/>
                </w:tcPr>
                <w:p>
                  <w:pPr>
                    <w:pStyle w:val="69"/>
                    <w:spacing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3" w:type="pct"/>
                  <w:tcBorders>
                    <w:top w:val="single" w:color="auto" w:sz="6" w:space="0"/>
                    <w:right w:val="single" w:color="auto" w:sz="6" w:space="0"/>
                  </w:tcBorders>
                  <w:noWrap w:val="0"/>
                  <w:vAlign w:val="center"/>
                </w:tcPr>
                <w:p>
                  <w:pPr>
                    <w:pStyle w:val="69"/>
                    <w:spacing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O</w:t>
                  </w:r>
                  <w:r>
                    <w:rPr>
                      <w:rFonts w:hint="default" w:ascii="Times New Roman" w:hAnsi="Times New Roman" w:eastAsia="宋体" w:cs="Times New Roman"/>
                      <w:color w:val="auto"/>
                      <w:sz w:val="21"/>
                      <w:szCs w:val="21"/>
                      <w:highlight w:val="none"/>
                      <w:vertAlign w:val="subscript"/>
                    </w:rPr>
                    <w:t>3</w:t>
                  </w:r>
                </w:p>
              </w:tc>
              <w:tc>
                <w:tcPr>
                  <w:tcW w:w="1632" w:type="pct"/>
                  <w:tcBorders>
                    <w:top w:val="single" w:color="auto" w:sz="6" w:space="0"/>
                    <w:left w:val="single" w:color="auto" w:sz="6" w:space="0"/>
                    <w:right w:val="single" w:color="auto" w:sz="6" w:space="0"/>
                  </w:tcBorders>
                  <w:noWrap w:val="0"/>
                  <w:vAlign w:val="center"/>
                </w:tcPr>
                <w:p>
                  <w:pPr>
                    <w:pStyle w:val="69"/>
                    <w:spacing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8h平均</w:t>
                  </w:r>
                  <w:r>
                    <w:rPr>
                      <w:rFonts w:hint="default" w:ascii="Times New Roman" w:hAnsi="Times New Roman" w:eastAsia="宋体" w:cs="Times New Roman"/>
                      <w:color w:val="auto"/>
                      <w:sz w:val="21"/>
                      <w:szCs w:val="21"/>
                      <w:highlight w:val="none"/>
                      <w:lang w:val="en-US" w:eastAsia="zh-CN"/>
                    </w:rPr>
                    <w:t>第90百分位数平均</w:t>
                  </w:r>
                  <w:r>
                    <w:rPr>
                      <w:rFonts w:hint="default" w:ascii="Times New Roman" w:hAnsi="Times New Roman" w:eastAsia="宋体" w:cs="Times New Roman"/>
                      <w:color w:val="auto"/>
                      <w:sz w:val="21"/>
                      <w:szCs w:val="21"/>
                      <w:highlight w:val="none"/>
                    </w:rPr>
                    <w:t>质量浓度</w:t>
                  </w:r>
                </w:p>
              </w:tc>
              <w:tc>
                <w:tcPr>
                  <w:tcW w:w="1193" w:type="dxa"/>
                  <w:tcBorders>
                    <w:top w:val="single" w:color="auto" w:sz="6" w:space="0"/>
                    <w:left w:val="single" w:color="auto" w:sz="6" w:space="0"/>
                    <w:right w:val="single" w:color="auto" w:sz="6" w:space="0"/>
                  </w:tcBorders>
                  <w:noWrap w:val="0"/>
                  <w:vAlign w:val="center"/>
                </w:tcPr>
                <w:p>
                  <w:pPr>
                    <w:pStyle w:val="66"/>
                    <w:keepNext w:val="0"/>
                    <w:keepLines w:val="0"/>
                    <w:suppressLineNumbers w:val="0"/>
                    <w:autoSpaceDE w:val="0"/>
                    <w:autoSpaceDN w:val="0"/>
                    <w:adjustRightInd w:val="0"/>
                    <w:snapToGrid w:val="0"/>
                    <w:spacing w:before="0" w:beforeAutospacing="0" w:after="0" w:afterAutospacing="0" w:line="32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华文中宋" w:cs="Times New Roman"/>
                      <w:bCs/>
                      <w:color w:val="auto"/>
                      <w:sz w:val="21"/>
                      <w:szCs w:val="21"/>
                      <w:highlight w:val="none"/>
                      <w:lang w:val="en-US" w:eastAsia="zh-CN"/>
                    </w:rPr>
                    <w:t>122</w:t>
                  </w:r>
                </w:p>
              </w:tc>
              <w:tc>
                <w:tcPr>
                  <w:tcW w:w="960" w:type="dxa"/>
                  <w:tcBorders>
                    <w:top w:val="single" w:color="auto" w:sz="6" w:space="0"/>
                    <w:left w:val="single" w:color="auto" w:sz="6" w:space="0"/>
                    <w:right w:val="single" w:color="auto" w:sz="6" w:space="0"/>
                  </w:tcBorders>
                  <w:noWrap w:val="0"/>
                  <w:vAlign w:val="center"/>
                </w:tcPr>
                <w:p>
                  <w:pPr>
                    <w:pStyle w:val="66"/>
                    <w:keepNext w:val="0"/>
                    <w:keepLines w:val="0"/>
                    <w:suppressLineNumbers w:val="0"/>
                    <w:autoSpaceDE w:val="0"/>
                    <w:autoSpaceDN w:val="0"/>
                    <w:adjustRightInd w:val="0"/>
                    <w:snapToGrid w:val="0"/>
                    <w:spacing w:before="0" w:beforeAutospacing="0" w:after="0" w:afterAutospacing="0" w:line="320" w:lineRule="exact"/>
                    <w:ind w:left="0" w:leftChars="0" w:right="0" w:right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华文中宋" w:cs="Times New Roman"/>
                      <w:bCs/>
                      <w:color w:val="auto"/>
                      <w:sz w:val="21"/>
                      <w:szCs w:val="21"/>
                      <w:highlight w:val="none"/>
                      <w:lang w:val="en-US" w:eastAsia="zh-CN"/>
                    </w:rPr>
                    <w:t>160</w:t>
                  </w:r>
                </w:p>
              </w:tc>
              <w:tc>
                <w:tcPr>
                  <w:tcW w:w="1157" w:type="dxa"/>
                  <w:tcBorders>
                    <w:top w:val="single" w:color="auto" w:sz="6" w:space="0"/>
                    <w:left w:val="single" w:color="auto" w:sz="6" w:space="0"/>
                    <w:right w:val="single" w:color="auto" w:sz="6" w:space="0"/>
                  </w:tcBorders>
                  <w:noWrap w:val="0"/>
                  <w:vAlign w:val="center"/>
                </w:tcPr>
                <w:p>
                  <w:pPr>
                    <w:pStyle w:val="66"/>
                    <w:keepNext w:val="0"/>
                    <w:keepLines w:val="0"/>
                    <w:suppressLineNumbers w:val="0"/>
                    <w:autoSpaceDE w:val="0"/>
                    <w:autoSpaceDN w:val="0"/>
                    <w:adjustRightInd w:val="0"/>
                    <w:snapToGrid w:val="0"/>
                    <w:spacing w:before="0" w:beforeAutospacing="0" w:after="0" w:afterAutospacing="0" w:line="32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华文中宋" w:cs="Times New Roman"/>
                      <w:bCs/>
                      <w:color w:val="auto"/>
                      <w:sz w:val="21"/>
                      <w:szCs w:val="21"/>
                      <w:highlight w:val="none"/>
                      <w:lang w:val="en-US" w:eastAsia="zh-CN"/>
                    </w:rPr>
                    <w:t>76.25</w:t>
                  </w:r>
                  <w:r>
                    <w:rPr>
                      <w:rFonts w:hint="default" w:ascii="Times New Roman" w:hAnsi="Times New Roman" w:eastAsia="宋体" w:cs="Times New Roman"/>
                      <w:color w:val="auto"/>
                      <w:sz w:val="21"/>
                      <w:szCs w:val="21"/>
                      <w:highlight w:val="none"/>
                      <w:lang w:val="en-US" w:eastAsia="zh-CN"/>
                    </w:rPr>
                    <w:t>%</w:t>
                  </w:r>
                </w:p>
              </w:tc>
              <w:tc>
                <w:tcPr>
                  <w:tcW w:w="709" w:type="pct"/>
                  <w:tcBorders>
                    <w:top w:val="single" w:color="auto" w:sz="6" w:space="0"/>
                    <w:left w:val="single" w:color="auto" w:sz="6" w:space="0"/>
                  </w:tcBorders>
                  <w:noWrap w:val="0"/>
                  <w:vAlign w:val="center"/>
                </w:tcPr>
                <w:p>
                  <w:pPr>
                    <w:pStyle w:val="69"/>
                    <w:spacing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bl>
          <w:p>
            <w:pPr>
              <w:keepNext w:val="0"/>
              <w:keepLines w:val="0"/>
              <w:pageBreakBefore w:val="0"/>
              <w:widowControl w:val="0"/>
              <w:kinsoku/>
              <w:wordWrap/>
              <w:overflowPunct/>
              <w:topLinePunct w:val="0"/>
              <w:autoSpaceDE/>
              <w:autoSpaceDN/>
              <w:bidi w:val="0"/>
              <w:adjustRightInd/>
              <w:snapToGrid/>
              <w:spacing w:line="500" w:lineRule="exact"/>
              <w:ind w:firstLine="471" w:firstLineChars="195"/>
              <w:textAlignment w:val="auto"/>
              <w:rPr>
                <w:rFonts w:hint="default" w:ascii="Times New Roman" w:hAnsi="Times New Roman" w:cs="Times New Roman"/>
                <w:color w:val="auto"/>
                <w:spacing w:val="4"/>
                <w:sz w:val="24"/>
                <w:szCs w:val="24"/>
              </w:rPr>
            </w:pPr>
            <w:r>
              <w:rPr>
                <w:rFonts w:hint="default" w:ascii="Times New Roman" w:hAnsi="Times New Roman" w:cs="Times New Roman"/>
                <w:color w:val="auto"/>
                <w:spacing w:val="1"/>
                <w:sz w:val="24"/>
                <w:szCs w:val="24"/>
              </w:rPr>
              <w:t>由上表可知，项目所在区域</w:t>
            </w:r>
            <w:r>
              <w:rPr>
                <w:rFonts w:hint="default" w:ascii="Times New Roman" w:hAnsi="Times New Roman" w:eastAsia="Times New Roman" w:cs="Times New Roman"/>
                <w:color w:val="auto"/>
                <w:sz w:val="24"/>
                <w:szCs w:val="24"/>
              </w:rPr>
              <w:t>SO</w:t>
            </w:r>
            <w:r>
              <w:rPr>
                <w:rFonts w:hint="default" w:ascii="Times New Roman" w:hAnsi="Times New Roman" w:eastAsia="Times New Roman" w:cs="Times New Roman"/>
                <w:color w:val="auto"/>
                <w:spacing w:val="1"/>
                <w:position w:val="-1"/>
                <w:sz w:val="24"/>
                <w:szCs w:val="24"/>
                <w:vertAlign w:val="subscript"/>
              </w:rPr>
              <w:t>2</w:t>
            </w:r>
            <w:r>
              <w:rPr>
                <w:rFonts w:hint="default" w:ascii="Times New Roman" w:hAnsi="Times New Roman" w:cs="Times New Roman"/>
                <w:color w:val="auto"/>
                <w:spacing w:val="1"/>
                <w:sz w:val="24"/>
                <w:szCs w:val="24"/>
              </w:rPr>
              <w:t>、</w:t>
            </w:r>
            <w:r>
              <w:rPr>
                <w:rFonts w:hint="default" w:ascii="Times New Roman" w:hAnsi="Times New Roman" w:eastAsia="Times New Roman" w:cs="Times New Roman"/>
                <w:color w:val="auto"/>
                <w:sz w:val="24"/>
                <w:szCs w:val="24"/>
              </w:rPr>
              <w:t>NO</w:t>
            </w:r>
            <w:r>
              <w:rPr>
                <w:rFonts w:hint="default" w:ascii="Times New Roman" w:hAnsi="Times New Roman" w:eastAsia="Times New Roman" w:cs="Times New Roman"/>
                <w:color w:val="auto"/>
                <w:spacing w:val="1"/>
                <w:position w:val="-1"/>
                <w:sz w:val="24"/>
                <w:szCs w:val="24"/>
                <w:vertAlign w:val="subscript"/>
              </w:rPr>
              <w:t>2</w:t>
            </w:r>
            <w:r>
              <w:rPr>
                <w:rFonts w:hint="default" w:ascii="Times New Roman" w:hAnsi="Times New Roman" w:cs="Times New Roman"/>
                <w:color w:val="auto"/>
                <w:spacing w:val="1"/>
                <w:sz w:val="24"/>
                <w:szCs w:val="24"/>
              </w:rPr>
              <w:t>、</w:t>
            </w:r>
            <w:r>
              <w:rPr>
                <w:rFonts w:hint="default" w:ascii="Times New Roman" w:hAnsi="Times New Roman" w:eastAsia="Times New Roman" w:cs="Times New Roman"/>
                <w:color w:val="auto"/>
                <w:sz w:val="24"/>
                <w:szCs w:val="24"/>
              </w:rPr>
              <w:t>PM</w:t>
            </w:r>
            <w:r>
              <w:rPr>
                <w:rFonts w:hint="default" w:ascii="Times New Roman" w:hAnsi="Times New Roman" w:eastAsia="Times New Roman" w:cs="Times New Roman"/>
                <w:color w:val="auto"/>
                <w:spacing w:val="2"/>
                <w:position w:val="-1"/>
                <w:sz w:val="24"/>
                <w:szCs w:val="24"/>
                <w:vertAlign w:val="subscript"/>
              </w:rPr>
              <w:t>2.5</w:t>
            </w:r>
            <w:r>
              <w:rPr>
                <w:rFonts w:hint="default" w:ascii="Times New Roman" w:hAnsi="Times New Roman" w:cs="Times New Roman"/>
                <w:color w:val="auto"/>
                <w:spacing w:val="1"/>
                <w:sz w:val="24"/>
                <w:szCs w:val="24"/>
              </w:rPr>
              <w:t>的年平均质量浓度</w:t>
            </w:r>
            <w:r>
              <w:rPr>
                <w:rFonts w:hint="default" w:ascii="Times New Roman" w:hAnsi="Times New Roman" w:cs="Times New Roman"/>
                <w:color w:val="auto"/>
                <w:spacing w:val="1"/>
                <w:sz w:val="24"/>
                <w:szCs w:val="24"/>
                <w:lang w:eastAsia="zh-CN"/>
              </w:rPr>
              <w:t>、</w:t>
            </w:r>
            <w:r>
              <w:rPr>
                <w:rFonts w:hint="default" w:ascii="Times New Roman" w:hAnsi="Times New Roman" w:eastAsia="Times New Roman" w:cs="Times New Roman"/>
                <w:color w:val="auto"/>
                <w:spacing w:val="1"/>
                <w:sz w:val="24"/>
                <w:szCs w:val="24"/>
              </w:rPr>
              <w:t>O</w:t>
            </w:r>
            <w:r>
              <w:rPr>
                <w:rFonts w:hint="default" w:ascii="Times New Roman" w:hAnsi="Times New Roman" w:eastAsia="Times New Roman" w:cs="Times New Roman"/>
                <w:color w:val="auto"/>
                <w:spacing w:val="1"/>
                <w:position w:val="-1"/>
                <w:sz w:val="24"/>
                <w:szCs w:val="24"/>
                <w:vertAlign w:val="subscript"/>
              </w:rPr>
              <w:t>3</w:t>
            </w:r>
            <w:r>
              <w:rPr>
                <w:rFonts w:hint="default" w:ascii="Times New Roman" w:hAnsi="Times New Roman" w:cs="Times New Roman"/>
                <w:color w:val="auto"/>
                <w:spacing w:val="1"/>
                <w:sz w:val="24"/>
                <w:szCs w:val="24"/>
              </w:rPr>
              <w:t>最大</w:t>
            </w:r>
            <w:r>
              <w:rPr>
                <w:rFonts w:hint="default" w:ascii="Times New Roman" w:hAnsi="Times New Roman" w:eastAsia="Times New Roman" w:cs="Times New Roman"/>
                <w:color w:val="auto"/>
                <w:spacing w:val="1"/>
                <w:sz w:val="24"/>
                <w:szCs w:val="24"/>
              </w:rPr>
              <w:t>8</w:t>
            </w:r>
            <w:r>
              <w:rPr>
                <w:rFonts w:hint="default" w:ascii="Times New Roman" w:hAnsi="Times New Roman" w:cs="Times New Roman"/>
                <w:color w:val="auto"/>
                <w:spacing w:val="1"/>
                <w:sz w:val="24"/>
                <w:szCs w:val="24"/>
              </w:rPr>
              <w:t>小时平均第</w:t>
            </w:r>
            <w:r>
              <w:rPr>
                <w:rFonts w:hint="default" w:ascii="Times New Roman" w:hAnsi="Times New Roman" w:eastAsia="Times New Roman" w:cs="Times New Roman"/>
                <w:color w:val="auto"/>
                <w:spacing w:val="1"/>
                <w:sz w:val="24"/>
                <w:szCs w:val="24"/>
              </w:rPr>
              <w:t>90</w:t>
            </w:r>
            <w:r>
              <w:rPr>
                <w:rFonts w:hint="default" w:ascii="Times New Roman" w:hAnsi="Times New Roman" w:cs="Times New Roman"/>
                <w:color w:val="auto"/>
                <w:spacing w:val="1"/>
                <w:sz w:val="24"/>
                <w:szCs w:val="24"/>
              </w:rPr>
              <w:t>百分位数</w:t>
            </w:r>
            <w:r>
              <w:rPr>
                <w:rFonts w:hint="default" w:ascii="Times New Roman" w:hAnsi="Times New Roman" w:cs="Times New Roman"/>
                <w:color w:val="auto"/>
                <w:spacing w:val="1"/>
                <w:sz w:val="24"/>
                <w:szCs w:val="24"/>
                <w:lang w:eastAsia="zh-CN"/>
              </w:rPr>
              <w:t>、</w:t>
            </w:r>
            <w:r>
              <w:rPr>
                <w:rFonts w:hint="default" w:ascii="Times New Roman" w:hAnsi="Times New Roman" w:eastAsia="Times New Roman" w:cs="Times New Roman"/>
                <w:color w:val="auto"/>
                <w:sz w:val="24"/>
                <w:szCs w:val="24"/>
              </w:rPr>
              <w:t>CO</w:t>
            </w:r>
            <w:r>
              <w:rPr>
                <w:rFonts w:hint="default" w:ascii="Times New Roman" w:hAnsi="Times New Roman" w:cs="Times New Roman"/>
                <w:color w:val="auto"/>
                <w:spacing w:val="1"/>
                <w:sz w:val="24"/>
                <w:szCs w:val="24"/>
              </w:rPr>
              <w:t>的</w:t>
            </w:r>
            <w:r>
              <w:rPr>
                <w:rFonts w:hint="default" w:ascii="Times New Roman" w:hAnsi="Times New Roman" w:eastAsia="Times New Roman" w:cs="Times New Roman"/>
                <w:color w:val="auto"/>
                <w:spacing w:val="1"/>
                <w:sz w:val="24"/>
                <w:szCs w:val="24"/>
              </w:rPr>
              <w:t>24</w:t>
            </w:r>
            <w:r>
              <w:rPr>
                <w:rFonts w:hint="default" w:ascii="Times New Roman" w:hAnsi="Times New Roman" w:cs="Times New Roman"/>
                <w:color w:val="auto"/>
                <w:spacing w:val="1"/>
                <w:sz w:val="24"/>
                <w:szCs w:val="24"/>
              </w:rPr>
              <w:t>小时平均第</w:t>
            </w:r>
            <w:r>
              <w:rPr>
                <w:rFonts w:hint="default" w:ascii="Times New Roman" w:hAnsi="Times New Roman" w:eastAsia="Times New Roman" w:cs="Times New Roman"/>
                <w:color w:val="auto"/>
                <w:spacing w:val="1"/>
                <w:sz w:val="24"/>
                <w:szCs w:val="24"/>
              </w:rPr>
              <w:t>95</w:t>
            </w:r>
            <w:r>
              <w:rPr>
                <w:rFonts w:hint="default" w:ascii="Times New Roman" w:hAnsi="Times New Roman" w:cs="Times New Roman"/>
                <w:color w:val="auto"/>
                <w:spacing w:val="1"/>
                <w:sz w:val="24"/>
                <w:szCs w:val="24"/>
              </w:rPr>
              <w:t>百分位数均满足《环境空气质量标准》</w:t>
            </w:r>
            <w:r>
              <w:rPr>
                <w:rFonts w:hint="default" w:ascii="Times New Roman" w:hAnsi="Times New Roman" w:cs="Times New Roman"/>
                <w:color w:val="auto"/>
                <w:spacing w:val="2"/>
                <w:sz w:val="24"/>
                <w:szCs w:val="24"/>
              </w:rPr>
              <w:t>（</w:t>
            </w:r>
            <w:r>
              <w:rPr>
                <w:rFonts w:hint="default" w:ascii="Times New Roman" w:hAnsi="Times New Roman" w:eastAsia="Times New Roman" w:cs="Times New Roman"/>
                <w:color w:val="auto"/>
                <w:sz w:val="24"/>
                <w:szCs w:val="24"/>
              </w:rPr>
              <w:t>GB</w:t>
            </w:r>
            <w:r>
              <w:rPr>
                <w:rFonts w:hint="default" w:ascii="Times New Roman" w:hAnsi="Times New Roman" w:eastAsia="Times New Roman" w:cs="Times New Roman"/>
                <w:color w:val="auto"/>
                <w:spacing w:val="2"/>
                <w:sz w:val="24"/>
                <w:szCs w:val="24"/>
              </w:rPr>
              <w:t>3095-20</w:t>
            </w:r>
            <w:r>
              <w:rPr>
                <w:rFonts w:hint="default" w:ascii="Times New Roman" w:hAnsi="Times New Roman" w:cs="Times New Roman"/>
                <w:color w:val="auto"/>
                <w:spacing w:val="2"/>
                <w:sz w:val="24"/>
                <w:szCs w:val="24"/>
                <w:lang w:val="en-US" w:eastAsia="zh-CN"/>
              </w:rPr>
              <w:t>26</w:t>
            </w:r>
            <w:r>
              <w:rPr>
                <w:rFonts w:hint="default" w:ascii="Times New Roman" w:hAnsi="Times New Roman" w:cs="Times New Roman"/>
                <w:color w:val="auto"/>
                <w:spacing w:val="2"/>
                <w:sz w:val="24"/>
                <w:szCs w:val="24"/>
              </w:rPr>
              <w:t>）</w:t>
            </w:r>
            <w:r>
              <w:rPr>
                <w:rFonts w:hint="default" w:ascii="Times New Roman" w:hAnsi="Times New Roman" w:cs="Times New Roman"/>
                <w:color w:val="auto"/>
                <w:spacing w:val="2"/>
                <w:sz w:val="24"/>
                <w:szCs w:val="24"/>
                <w:lang w:val="en-US" w:eastAsia="zh-CN"/>
              </w:rPr>
              <w:t>表1中过渡阶段浓度限值</w:t>
            </w:r>
            <w:r>
              <w:rPr>
                <w:rFonts w:hint="default" w:ascii="Times New Roman" w:hAnsi="Times New Roman" w:cs="Times New Roman"/>
                <w:color w:val="auto"/>
                <w:spacing w:val="2"/>
                <w:sz w:val="24"/>
                <w:szCs w:val="24"/>
              </w:rPr>
              <w:t>二级标准，</w:t>
            </w:r>
            <w:r>
              <w:rPr>
                <w:rFonts w:hint="default" w:ascii="Times New Roman" w:hAnsi="Times New Roman" w:eastAsia="Times New Roman" w:cs="Times New Roman"/>
                <w:color w:val="auto"/>
                <w:sz w:val="24"/>
                <w:szCs w:val="24"/>
              </w:rPr>
              <w:t>PM</w:t>
            </w:r>
            <w:r>
              <w:rPr>
                <w:rFonts w:hint="default" w:ascii="Times New Roman" w:hAnsi="Times New Roman" w:eastAsia="Times New Roman" w:cs="Times New Roman"/>
                <w:color w:val="auto"/>
                <w:spacing w:val="2"/>
                <w:position w:val="-1"/>
                <w:sz w:val="24"/>
                <w:szCs w:val="24"/>
                <w:vertAlign w:val="subscript"/>
              </w:rPr>
              <w:t>10</w:t>
            </w:r>
            <w:r>
              <w:rPr>
                <w:rFonts w:hint="default" w:ascii="Times New Roman" w:hAnsi="Times New Roman" w:eastAsia="宋体" w:cs="Times New Roman"/>
                <w:color w:val="auto"/>
                <w:spacing w:val="2"/>
                <w:position w:val="-1"/>
                <w:sz w:val="24"/>
                <w:szCs w:val="24"/>
                <w:vertAlign w:val="baseline"/>
                <w:lang w:eastAsia="zh-CN"/>
              </w:rPr>
              <w:t>、</w:t>
            </w:r>
            <w:r>
              <w:rPr>
                <w:rFonts w:hint="default" w:ascii="Times New Roman" w:hAnsi="Times New Roman" w:eastAsia="宋体" w:cs="Times New Roman"/>
                <w:color w:val="auto"/>
                <w:sz w:val="24"/>
                <w:szCs w:val="24"/>
                <w:highlight w:val="none"/>
                <w:lang w:val="de-DE"/>
              </w:rPr>
              <w:t>PM</w:t>
            </w:r>
            <w:r>
              <w:rPr>
                <w:rFonts w:hint="default" w:ascii="Times New Roman" w:hAnsi="Times New Roman" w:eastAsia="宋体" w:cs="Times New Roman"/>
                <w:color w:val="auto"/>
                <w:sz w:val="24"/>
                <w:szCs w:val="24"/>
                <w:highlight w:val="none"/>
                <w:vertAlign w:val="subscript"/>
                <w:lang w:val="en-US" w:eastAsia="zh-CN"/>
              </w:rPr>
              <w:t>2.5</w:t>
            </w:r>
            <w:r>
              <w:rPr>
                <w:rFonts w:hint="default" w:ascii="Times New Roman" w:hAnsi="Times New Roman" w:cs="Times New Roman"/>
                <w:color w:val="auto"/>
                <w:spacing w:val="2"/>
                <w:sz w:val="24"/>
                <w:szCs w:val="24"/>
              </w:rPr>
              <w:t>的年平均质量浓度超</w:t>
            </w:r>
            <w:r>
              <w:rPr>
                <w:rFonts w:hint="default" w:ascii="Times New Roman" w:hAnsi="Times New Roman" w:cs="Times New Roman"/>
                <w:color w:val="auto"/>
                <w:spacing w:val="1"/>
                <w:sz w:val="24"/>
                <w:szCs w:val="24"/>
              </w:rPr>
              <w:t>标</w:t>
            </w:r>
            <w:r>
              <w:rPr>
                <w:rFonts w:hint="default" w:ascii="Times New Roman" w:hAnsi="Times New Roman" w:cs="Times New Roman"/>
                <w:color w:val="auto"/>
                <w:spacing w:val="4"/>
                <w:sz w:val="24"/>
                <w:szCs w:val="24"/>
              </w:rPr>
              <w:t>，本项目所在区域为环境空气质量非达标区。</w:t>
            </w:r>
          </w:p>
          <w:p>
            <w:pPr>
              <w:keepNext w:val="0"/>
              <w:keepLines w:val="0"/>
              <w:pageBreakBefore w:val="0"/>
              <w:widowControl w:val="0"/>
              <w:kinsoku/>
              <w:wordWrap/>
              <w:overflowPunct/>
              <w:topLinePunct w:val="0"/>
              <w:autoSpaceDE/>
              <w:autoSpaceDN/>
              <w:bidi w:val="0"/>
              <w:adjustRightInd/>
              <w:snapToGrid/>
              <w:spacing w:line="500" w:lineRule="exact"/>
              <w:ind w:firstLine="483" w:firstLineChars="195"/>
              <w:textAlignment w:val="auto"/>
              <w:rPr>
                <w:rFonts w:hint="default" w:ascii="Times New Roman" w:hAnsi="Times New Roman" w:cs="Times New Roman"/>
                <w:color w:val="auto"/>
                <w:sz w:val="24"/>
                <w:szCs w:val="24"/>
              </w:rPr>
            </w:pPr>
            <w:r>
              <w:rPr>
                <w:rFonts w:hint="default" w:ascii="Times New Roman" w:hAnsi="Times New Roman" w:cs="Times New Roman"/>
                <w:color w:val="auto"/>
                <w:spacing w:val="4"/>
                <w:sz w:val="24"/>
                <w:szCs w:val="24"/>
              </w:rPr>
              <w:t>按照《关于将巴音郭楞蒙古自治州吐鲁番市哈密市纳入执行〈环境影响评</w:t>
            </w:r>
            <w:r>
              <w:rPr>
                <w:rFonts w:hint="default" w:ascii="Times New Roman" w:hAnsi="Times New Roman" w:cs="Times New Roman"/>
                <w:color w:val="auto"/>
                <w:spacing w:val="6"/>
                <w:sz w:val="24"/>
                <w:szCs w:val="24"/>
              </w:rPr>
              <w:t>价技术导则大气环境（</w:t>
            </w:r>
            <w:r>
              <w:rPr>
                <w:rFonts w:hint="default" w:ascii="Times New Roman" w:hAnsi="Times New Roman" w:eastAsia="Times New Roman" w:cs="Times New Roman"/>
                <w:color w:val="auto"/>
                <w:sz w:val="24"/>
                <w:szCs w:val="24"/>
              </w:rPr>
              <w:t>HJ</w:t>
            </w:r>
            <w:r>
              <w:rPr>
                <w:rFonts w:hint="default" w:ascii="Times New Roman" w:hAnsi="Times New Roman" w:eastAsia="Times New Roman" w:cs="Times New Roman"/>
                <w:color w:val="auto"/>
                <w:spacing w:val="6"/>
                <w:sz w:val="24"/>
                <w:szCs w:val="24"/>
              </w:rPr>
              <w:t>2.2-2018</w:t>
            </w:r>
            <w:r>
              <w:rPr>
                <w:rFonts w:hint="default" w:ascii="Times New Roman" w:hAnsi="Times New Roman" w:cs="Times New Roman"/>
                <w:color w:val="auto"/>
                <w:spacing w:val="6"/>
                <w:sz w:val="24"/>
                <w:szCs w:val="24"/>
              </w:rPr>
              <w:t>）〉差别化政策政策范围的复函》（</w:t>
            </w:r>
            <w:r>
              <w:rPr>
                <w:rFonts w:hint="default" w:ascii="Times New Roman" w:hAnsi="Times New Roman" w:cs="Times New Roman"/>
                <w:color w:val="auto"/>
                <w:spacing w:val="5"/>
                <w:sz w:val="24"/>
                <w:szCs w:val="24"/>
              </w:rPr>
              <w:t>环办环</w:t>
            </w:r>
            <w:r>
              <w:rPr>
                <w:rFonts w:hint="default" w:ascii="Times New Roman" w:hAnsi="Times New Roman" w:cs="Times New Roman"/>
                <w:color w:val="auto"/>
                <w:spacing w:val="-1"/>
                <w:sz w:val="24"/>
                <w:szCs w:val="24"/>
              </w:rPr>
              <w:t>评函〔</w:t>
            </w:r>
            <w:r>
              <w:rPr>
                <w:rFonts w:hint="default" w:ascii="Times New Roman" w:hAnsi="Times New Roman" w:eastAsia="Times New Roman" w:cs="Times New Roman"/>
                <w:color w:val="auto"/>
                <w:spacing w:val="-1"/>
                <w:sz w:val="24"/>
                <w:szCs w:val="24"/>
              </w:rPr>
              <w:t>2020</w:t>
            </w:r>
            <w:r>
              <w:rPr>
                <w:rFonts w:hint="default" w:ascii="Times New Roman" w:hAnsi="Times New Roman" w:cs="Times New Roman"/>
                <w:color w:val="auto"/>
                <w:spacing w:val="-1"/>
                <w:sz w:val="24"/>
                <w:szCs w:val="24"/>
              </w:rPr>
              <w:t>〕</w:t>
            </w:r>
            <w:r>
              <w:rPr>
                <w:rFonts w:hint="default" w:ascii="Times New Roman" w:hAnsi="Times New Roman" w:eastAsia="Times New Roman" w:cs="Times New Roman"/>
                <w:color w:val="auto"/>
                <w:spacing w:val="-1"/>
                <w:sz w:val="24"/>
                <w:szCs w:val="24"/>
              </w:rPr>
              <w:t>341</w:t>
            </w:r>
            <w:r>
              <w:rPr>
                <w:rFonts w:hint="default" w:ascii="Times New Roman" w:hAnsi="Times New Roman" w:cs="Times New Roman"/>
                <w:color w:val="auto"/>
                <w:spacing w:val="-1"/>
                <w:sz w:val="24"/>
                <w:szCs w:val="24"/>
              </w:rPr>
              <w:t>号</w:t>
            </w:r>
            <w:r>
              <w:rPr>
                <w:rFonts w:hint="default" w:ascii="Times New Roman" w:hAnsi="Times New Roman" w:cs="Times New Roman"/>
                <w:color w:val="auto"/>
                <w:spacing w:val="10"/>
                <w:sz w:val="24"/>
                <w:szCs w:val="24"/>
              </w:rPr>
              <w:t>），</w:t>
            </w:r>
            <w:r>
              <w:rPr>
                <w:rFonts w:hint="default" w:ascii="Times New Roman" w:hAnsi="Times New Roman" w:cs="Times New Roman"/>
                <w:color w:val="auto"/>
                <w:spacing w:val="-1"/>
                <w:sz w:val="24"/>
                <w:szCs w:val="24"/>
              </w:rPr>
              <w:t>本项目可不提供区域颗粒物削减方案。</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（2）特征污染物环境质量状况调查</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highlight w:val="yellow"/>
                <w:lang w:val="en-US" w:eastAsia="zh-CN"/>
              </w:rPr>
            </w:pPr>
            <w:r>
              <w:rPr>
                <w:rFonts w:hint="default" w:ascii="Times New Roman" w:hAnsi="Times New Roman" w:eastAsia="宋体" w:cs="Times New Roman"/>
                <w:color w:val="auto"/>
                <w:sz w:val="24"/>
                <w:szCs w:val="24"/>
                <w:lang w:val="en-US" w:eastAsia="zh-CN"/>
              </w:rPr>
              <w:t>项目涉及其他污染物TS</w:t>
            </w:r>
            <w:r>
              <w:rPr>
                <w:rFonts w:hint="default" w:ascii="Times New Roman" w:hAnsi="Times New Roman" w:eastAsia="宋体" w:cs="Times New Roman"/>
                <w:color w:val="auto"/>
                <w:sz w:val="24"/>
                <w:szCs w:val="24"/>
                <w:highlight w:val="none"/>
                <w:lang w:val="en-US" w:eastAsia="zh-CN"/>
              </w:rPr>
              <w:t>P</w:t>
            </w:r>
            <w:r>
              <w:rPr>
                <w:rFonts w:hint="eastAsia" w:cs="Times New Roman"/>
                <w:color w:val="auto"/>
                <w:sz w:val="24"/>
                <w:szCs w:val="24"/>
                <w:highlight w:val="none"/>
                <w:lang w:val="en-US" w:eastAsia="zh-CN"/>
              </w:rPr>
              <w:t>、锑及其化合物</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lang w:val="en-US" w:eastAsia="zh-CN"/>
              </w:rPr>
              <w:t>本次环评引用《且末县邦泰矿业投资有限公司新疆且末县屈库勒克东金锑矿450t/d选矿厂新建尾矿库工程环境影响报告书》中项目区西侧1.8km监测数据，监测时间2025年1月</w:t>
            </w:r>
            <w:r>
              <w:rPr>
                <w:rFonts w:hint="default" w:ascii="Times New Roman" w:hAnsi="Times New Roman" w:cs="Times New Roman"/>
                <w:color w:val="auto"/>
                <w:sz w:val="24"/>
                <w:szCs w:val="24"/>
                <w:lang w:val="en-US" w:eastAsia="zh-CN"/>
              </w:rPr>
              <w:t>1</w:t>
            </w:r>
            <w:r>
              <w:rPr>
                <w:rFonts w:hint="eastAsia" w:cs="Times New Roman"/>
                <w:color w:val="auto"/>
                <w:sz w:val="24"/>
                <w:szCs w:val="24"/>
                <w:lang w:val="en-US" w:eastAsia="zh-CN"/>
              </w:rPr>
              <w:t>5</w:t>
            </w:r>
            <w:r>
              <w:rPr>
                <w:rFonts w:hint="default" w:ascii="Times New Roman" w:hAnsi="Times New Roman" w:eastAsia="宋体" w:cs="Times New Roman"/>
                <w:color w:val="auto"/>
                <w:sz w:val="24"/>
                <w:szCs w:val="24"/>
                <w:lang w:val="en-US" w:eastAsia="zh-CN"/>
              </w:rPr>
              <w:t>日-</w:t>
            </w:r>
            <w:r>
              <w:rPr>
                <w:rFonts w:hint="eastAsia" w:cs="Times New Roman"/>
                <w:color w:val="auto"/>
                <w:sz w:val="24"/>
                <w:szCs w:val="24"/>
                <w:lang w:val="en-US" w:eastAsia="zh-CN"/>
              </w:rPr>
              <w:t>22</w:t>
            </w:r>
            <w:r>
              <w:rPr>
                <w:rFonts w:hint="default" w:ascii="Times New Roman" w:hAnsi="Times New Roman" w:eastAsia="宋体" w:cs="Times New Roman"/>
                <w:color w:val="auto"/>
                <w:sz w:val="24"/>
                <w:szCs w:val="24"/>
                <w:lang w:val="en-US" w:eastAsia="zh-CN"/>
              </w:rPr>
              <w:t>日，其监测结果作为评价本项目区域大气环境质量现状的分析资料数据。</w:t>
            </w:r>
            <w:r>
              <w:rPr>
                <w:rFonts w:hint="default" w:ascii="Times New Roman" w:hAnsi="Times New Roman" w:cs="Times New Roman"/>
                <w:color w:val="auto"/>
                <w:sz w:val="24"/>
                <w:szCs w:val="24"/>
                <w:highlight w:val="none"/>
                <w:lang w:val="en-US" w:eastAsia="zh-CN"/>
              </w:rPr>
              <w:t>监测点位图见附图</w:t>
            </w:r>
            <w:r>
              <w:rPr>
                <w:rFonts w:hint="eastAsia" w:cs="Times New Roman"/>
                <w:color w:val="auto"/>
                <w:sz w:val="24"/>
                <w:szCs w:val="24"/>
                <w:highlight w:val="none"/>
                <w:lang w:val="en-US" w:eastAsia="zh-CN"/>
              </w:rPr>
              <w:t>8</w:t>
            </w:r>
            <w:r>
              <w:rPr>
                <w:rFonts w:hint="default" w:ascii="Times New Roman" w:hAnsi="Times New Roman" w:cs="Times New Roman"/>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t>）监测项目及频率</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lang w:val="en-US" w:eastAsia="zh-CN"/>
              </w:rPr>
              <w:t>监测项目：TS</w:t>
            </w:r>
            <w:r>
              <w:rPr>
                <w:rFonts w:hint="default" w:ascii="Times New Roman" w:hAnsi="Times New Roman" w:eastAsia="宋体" w:cs="Times New Roman"/>
                <w:color w:val="auto"/>
                <w:sz w:val="24"/>
                <w:szCs w:val="24"/>
                <w:highlight w:val="none"/>
                <w:lang w:val="en-US" w:eastAsia="zh-CN"/>
              </w:rPr>
              <w:t>P</w:t>
            </w:r>
            <w:r>
              <w:rPr>
                <w:rFonts w:hint="eastAsia" w:cs="Times New Roman"/>
                <w:color w:val="auto"/>
                <w:sz w:val="24"/>
                <w:szCs w:val="24"/>
                <w:highlight w:val="none"/>
                <w:lang w:val="en-US" w:eastAsia="zh-CN"/>
              </w:rPr>
              <w:t>、锑及其化合物</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监测频率：连续采样</w:t>
            </w:r>
            <w:r>
              <w:rPr>
                <w:rFonts w:hint="eastAsia" w:cs="Times New Roman"/>
                <w:color w:val="auto"/>
                <w:sz w:val="24"/>
                <w:szCs w:val="24"/>
                <w:lang w:val="en-US" w:eastAsia="zh-CN"/>
              </w:rPr>
              <w:t>7</w:t>
            </w:r>
            <w:r>
              <w:rPr>
                <w:rFonts w:hint="default" w:ascii="Times New Roman" w:hAnsi="Times New Roman" w:eastAsia="宋体" w:cs="Times New Roman"/>
                <w:color w:val="auto"/>
                <w:sz w:val="24"/>
                <w:szCs w:val="24"/>
                <w:lang w:val="en-US" w:eastAsia="zh-CN"/>
              </w:rPr>
              <w:t>天。</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2</w:t>
            </w:r>
            <w:r>
              <w:rPr>
                <w:rFonts w:hint="default" w:ascii="Times New Roman" w:hAnsi="Times New Roman" w:eastAsia="宋体" w:cs="Times New Roman"/>
                <w:color w:val="auto"/>
                <w:sz w:val="24"/>
                <w:szCs w:val="24"/>
                <w:lang w:val="en-US" w:eastAsia="zh-CN"/>
              </w:rPr>
              <w:t>）评价标准及方法</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评价标准：TSP</w:t>
            </w:r>
            <w:r>
              <w:rPr>
                <w:rFonts w:hint="default" w:ascii="Times New Roman" w:hAnsi="Times New Roman" w:eastAsia="宋体" w:cs="Times New Roman"/>
                <w:b w:val="0"/>
                <w:bCs w:val="0"/>
                <w:color w:val="auto"/>
                <w:kern w:val="0"/>
                <w:sz w:val="24"/>
                <w:szCs w:val="24"/>
                <w:highlight w:val="none"/>
              </w:rPr>
              <w:t>执行《环境空气质量标准》（GB3095-20</w:t>
            </w:r>
            <w:r>
              <w:rPr>
                <w:rFonts w:hint="default" w:ascii="Times New Roman" w:hAnsi="Times New Roman" w:eastAsia="宋体" w:cs="Times New Roman"/>
                <w:b w:val="0"/>
                <w:bCs w:val="0"/>
                <w:color w:val="auto"/>
                <w:kern w:val="0"/>
                <w:sz w:val="24"/>
                <w:szCs w:val="24"/>
                <w:highlight w:val="none"/>
                <w:lang w:val="en-US" w:eastAsia="zh-CN"/>
              </w:rPr>
              <w:t>2</w:t>
            </w:r>
            <w:r>
              <w:rPr>
                <w:rFonts w:hint="default" w:ascii="Times New Roman" w:hAnsi="Times New Roman" w:cs="Times New Roman"/>
                <w:b w:val="0"/>
                <w:bCs w:val="0"/>
                <w:color w:val="auto"/>
                <w:kern w:val="0"/>
                <w:sz w:val="24"/>
                <w:szCs w:val="24"/>
                <w:highlight w:val="none"/>
                <w:lang w:val="en-US" w:eastAsia="zh-CN"/>
              </w:rPr>
              <w:t>6</w:t>
            </w:r>
            <w:r>
              <w:rPr>
                <w:rFonts w:hint="default" w:ascii="Times New Roman" w:hAnsi="Times New Roman" w:eastAsia="宋体" w:cs="Times New Roman"/>
                <w:b w:val="0"/>
                <w:bCs w:val="0"/>
                <w:color w:val="auto"/>
                <w:kern w:val="0"/>
                <w:sz w:val="24"/>
                <w:szCs w:val="24"/>
                <w:highlight w:val="none"/>
              </w:rPr>
              <w:t>）</w:t>
            </w:r>
            <w:r>
              <w:rPr>
                <w:rFonts w:hint="default" w:ascii="Times New Roman" w:hAnsi="Times New Roman" w:cs="Times New Roman"/>
                <w:b w:val="0"/>
                <w:bCs w:val="0"/>
                <w:color w:val="auto"/>
                <w:kern w:val="0"/>
                <w:sz w:val="24"/>
                <w:szCs w:val="24"/>
                <w:highlight w:val="none"/>
                <w:lang w:val="en-US" w:eastAsia="zh-CN"/>
              </w:rPr>
              <w:t>表2中</w:t>
            </w:r>
            <w:r>
              <w:rPr>
                <w:rFonts w:hint="default" w:ascii="Times New Roman" w:hAnsi="Times New Roman" w:eastAsia="宋体" w:cs="Times New Roman"/>
                <w:b w:val="0"/>
                <w:bCs w:val="0"/>
                <w:color w:val="auto"/>
                <w:kern w:val="0"/>
                <w:sz w:val="24"/>
                <w:szCs w:val="24"/>
                <w:highlight w:val="none"/>
              </w:rPr>
              <w:t>二级浓度限</w:t>
            </w:r>
            <w:r>
              <w:rPr>
                <w:rFonts w:hint="default" w:ascii="Times New Roman" w:hAnsi="Times New Roman" w:cs="Times New Roman"/>
                <w:b w:val="0"/>
                <w:bCs w:val="0"/>
                <w:color w:val="auto"/>
                <w:kern w:val="0"/>
                <w:sz w:val="24"/>
                <w:szCs w:val="24"/>
                <w:highlight w:val="none"/>
                <w:lang w:eastAsia="zh-CN"/>
              </w:rPr>
              <w:t>值，</w:t>
            </w:r>
            <w:r>
              <w:rPr>
                <w:rFonts w:hint="default" w:ascii="Times New Roman" w:hAnsi="Times New Roman" w:eastAsia="宋体" w:cs="Times New Roman"/>
                <w:color w:val="auto"/>
                <w:sz w:val="24"/>
                <w:szCs w:val="24"/>
                <w:lang w:val="en-US" w:eastAsia="zh-CN"/>
              </w:rPr>
              <w:t>评价标准见下表。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表3-2</w:t>
            </w:r>
            <w:r>
              <w:rPr>
                <w:rFonts w:hint="eastAsia" w:cs="Times New Roman"/>
                <w:b/>
                <w:bCs w:val="0"/>
                <w:color w:val="auto"/>
                <w:sz w:val="21"/>
                <w:szCs w:val="21"/>
                <w:lang w:val="en-US" w:eastAsia="zh-CN"/>
              </w:rPr>
              <w:t xml:space="preserve">   </w:t>
            </w:r>
            <w:r>
              <w:rPr>
                <w:rFonts w:hint="default" w:ascii="Times New Roman" w:hAnsi="Times New Roman" w:eastAsia="宋体" w:cs="Times New Roman"/>
                <w:b/>
                <w:bCs w:val="0"/>
                <w:color w:val="auto"/>
                <w:sz w:val="21"/>
                <w:szCs w:val="21"/>
                <w:lang w:val="en-US" w:eastAsia="zh-CN"/>
              </w:rPr>
              <w:t>执行标准</w:t>
            </w:r>
          </w:p>
          <w:tbl>
            <w:tblPr>
              <w:tblStyle w:val="29"/>
              <w:tblW w:w="4998" w:type="pct"/>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3" w:type="dxa"/>
                <w:bottom w:w="0" w:type="dxa"/>
                <w:right w:w="3" w:type="dxa"/>
              </w:tblCellMar>
            </w:tblPr>
            <w:tblGrid>
              <w:gridCol w:w="1575"/>
              <w:gridCol w:w="2991"/>
              <w:gridCol w:w="380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3" w:type="dxa"/>
                  <w:bottom w:w="0" w:type="dxa"/>
                  <w:right w:w="3" w:type="dxa"/>
                </w:tblCellMar>
              </w:tblPrEx>
              <w:trPr>
                <w:trHeight w:val="340" w:hRule="atLeast"/>
              </w:trPr>
              <w:tc>
                <w:tcPr>
                  <w:tcW w:w="941" w:type="pct"/>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评价因子</w:t>
                  </w:r>
                </w:p>
              </w:tc>
              <w:tc>
                <w:tcPr>
                  <w:tcW w:w="1787" w:type="pct"/>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执行标准</w:t>
                  </w:r>
                </w:p>
              </w:tc>
              <w:tc>
                <w:tcPr>
                  <w:tcW w:w="2271" w:type="pct"/>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标准来源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3" w:type="dxa"/>
                  <w:bottom w:w="0" w:type="dxa"/>
                  <w:right w:w="3" w:type="dxa"/>
                </w:tblCellMar>
              </w:tblPrEx>
              <w:trPr>
                <w:trHeight w:val="340" w:hRule="atLeast"/>
              </w:trPr>
              <w:tc>
                <w:tcPr>
                  <w:tcW w:w="941" w:type="pct"/>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TSP</w:t>
                  </w:r>
                </w:p>
              </w:tc>
              <w:tc>
                <w:tcPr>
                  <w:tcW w:w="1787" w:type="pct"/>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300</w:t>
                  </w:r>
                  <w:r>
                    <w:rPr>
                      <w:rFonts w:hint="default" w:ascii="Times New Roman" w:hAnsi="Times New Roman" w:cs="Times New Roman"/>
                      <w:i w:val="0"/>
                      <w:color w:val="auto"/>
                      <w:kern w:val="0"/>
                      <w:sz w:val="21"/>
                      <w:szCs w:val="21"/>
                      <w:u w:val="none"/>
                      <w:lang w:val="en-US" w:eastAsia="zh-CN" w:bidi="ar"/>
                    </w:rPr>
                    <w:t>μ</w:t>
                  </w:r>
                  <w:r>
                    <w:rPr>
                      <w:rFonts w:hint="default" w:ascii="Times New Roman" w:hAnsi="Times New Roman" w:eastAsia="宋体" w:cs="Times New Roman"/>
                      <w:b w:val="0"/>
                      <w:bCs w:val="0"/>
                      <w:color w:val="auto"/>
                      <w:sz w:val="21"/>
                      <w:szCs w:val="21"/>
                    </w:rPr>
                    <w:t>g</w:t>
                  </w:r>
                  <w:r>
                    <w:rPr>
                      <w:rFonts w:hint="default" w:ascii="Times New Roman" w:hAnsi="Times New Roman" w:eastAsia="宋体" w:cs="Times New Roman"/>
                      <w:color w:val="auto"/>
                      <w:sz w:val="21"/>
                      <w:szCs w:val="21"/>
                      <w:lang w:val="en-US" w:eastAsia="zh-CN"/>
                    </w:rPr>
                    <w:t>/</w:t>
                  </w:r>
                  <w:r>
                    <w:rPr>
                      <w:rFonts w:hint="default" w:ascii="Times New Roman" w:hAnsi="Times New Roman" w:cs="Times New Roman"/>
                      <w:color w:val="auto"/>
                      <w:sz w:val="21"/>
                      <w:szCs w:val="21"/>
                      <w:lang w:val="en-US" w:eastAsia="zh-CN"/>
                    </w:rPr>
                    <w:t>m³</w:t>
                  </w:r>
                </w:p>
              </w:tc>
              <w:tc>
                <w:tcPr>
                  <w:tcW w:w="2271" w:type="pct"/>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olor w:val="auto"/>
                      <w:kern w:val="0"/>
                      <w:sz w:val="21"/>
                      <w:szCs w:val="21"/>
                      <w:highlight w:val="none"/>
                    </w:rPr>
                    <w:t>《环境空气质量标准》（GB3095-20</w:t>
                  </w:r>
                  <w:r>
                    <w:rPr>
                      <w:rFonts w:hint="default" w:ascii="Times New Roman" w:hAnsi="Times New Roman" w:cs="Times New Roman"/>
                      <w:b w:val="0"/>
                      <w:bCs w:val="0"/>
                      <w:color w:val="auto"/>
                      <w:kern w:val="0"/>
                      <w:sz w:val="21"/>
                      <w:szCs w:val="21"/>
                      <w:highlight w:val="none"/>
                      <w:lang w:val="en-US" w:eastAsia="zh-CN"/>
                    </w:rPr>
                    <w:t>26</w:t>
                  </w:r>
                  <w:r>
                    <w:rPr>
                      <w:rFonts w:hint="default" w:ascii="Times New Roman" w:hAnsi="Times New Roman" w:eastAsia="宋体" w:cs="Times New Roman"/>
                      <w:b w:val="0"/>
                      <w:bCs w:val="0"/>
                      <w:color w:val="auto"/>
                      <w:kern w:val="0"/>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3" w:type="dxa"/>
                  <w:bottom w:w="0" w:type="dxa"/>
                  <w:right w:w="3" w:type="dxa"/>
                </w:tblCellMar>
              </w:tblPrEx>
              <w:trPr>
                <w:trHeight w:val="340" w:hRule="atLeast"/>
              </w:trPr>
              <w:tc>
                <w:tcPr>
                  <w:tcW w:w="941" w:type="pct"/>
                  <w:noWrap w:val="0"/>
                  <w:vAlign w:val="center"/>
                </w:tcPr>
                <w:p>
                  <w:pPr>
                    <w:bidi w:val="0"/>
                    <w:jc w:val="center"/>
                    <w:rPr>
                      <w:rFonts w:hint="default" w:ascii="Times New Roman" w:hAnsi="Times New Roman" w:eastAsia="宋体" w:cs="Times New Roman"/>
                      <w:color w:val="auto"/>
                      <w:sz w:val="21"/>
                      <w:szCs w:val="21"/>
                      <w:lang w:val="en-US" w:eastAsia="zh-CN"/>
                    </w:rPr>
                  </w:pPr>
                  <w:bookmarkStart w:id="3" w:name="_Toc32557"/>
                  <w:bookmarkStart w:id="4" w:name="_Toc19635"/>
                  <w:bookmarkStart w:id="5" w:name="_Toc30005"/>
                  <w:bookmarkStart w:id="6" w:name="_Toc11848"/>
                  <w:bookmarkStart w:id="7" w:name="_Toc17720"/>
                  <w:bookmarkStart w:id="8" w:name="_Toc28991"/>
                  <w:bookmarkStart w:id="9" w:name="_Toc23386"/>
                  <w:bookmarkStart w:id="10" w:name="_Toc19920"/>
                  <w:bookmarkStart w:id="11" w:name="_Toc12241"/>
                  <w:bookmarkStart w:id="12" w:name="_Toc30835"/>
                  <w:bookmarkStart w:id="13" w:name="_Toc21194"/>
                  <w:bookmarkStart w:id="14" w:name="_Toc3870"/>
                  <w:r>
                    <w:rPr>
                      <w:rFonts w:hint="default" w:ascii="Times New Roman" w:hAnsi="Times New Roman" w:eastAsia="宋体" w:cs="Times New Roman"/>
                      <w:color w:val="auto"/>
                      <w:sz w:val="21"/>
                      <w:szCs w:val="21"/>
                      <w:lang w:val="en-US" w:eastAsia="zh-CN"/>
                    </w:rPr>
                    <w:t>锑及其化合物</w:t>
                  </w:r>
                </w:p>
              </w:tc>
              <w:tc>
                <w:tcPr>
                  <w:tcW w:w="1787" w:type="pct"/>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2271" w:type="pct"/>
                  <w:noWrap w:val="0"/>
                  <w:vAlign w:val="center"/>
                </w:tcPr>
                <w:p>
                  <w:pPr>
                    <w:bidi w:val="0"/>
                    <w:jc w:val="center"/>
                    <w:rPr>
                      <w:rFonts w:hint="eastAsia" w:ascii="Times New Roman" w:hAnsi="Times New Roman" w:eastAsia="宋体" w:cs="Times New Roman"/>
                      <w:b w:val="0"/>
                      <w:bCs w:val="0"/>
                      <w:color w:val="auto"/>
                      <w:kern w:val="0"/>
                      <w:sz w:val="21"/>
                      <w:szCs w:val="21"/>
                      <w:highlight w:val="none"/>
                      <w:lang w:val="en-US" w:eastAsia="zh-CN"/>
                    </w:rPr>
                  </w:pPr>
                  <w:r>
                    <w:rPr>
                      <w:rFonts w:hint="eastAsia" w:cs="Times New Roman"/>
                      <w:b w:val="0"/>
                      <w:bCs w:val="0"/>
                      <w:color w:val="auto"/>
                      <w:kern w:val="0"/>
                      <w:sz w:val="21"/>
                      <w:szCs w:val="21"/>
                      <w:highlight w:val="none"/>
                      <w:lang w:val="en-US" w:eastAsia="zh-CN"/>
                    </w:rPr>
                    <w:t>/</w:t>
                  </w:r>
                </w:p>
              </w:tc>
            </w:tr>
          </w:tbl>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评价方法：</w:t>
            </w:r>
            <w:bookmarkEnd w:id="3"/>
            <w:bookmarkEnd w:id="4"/>
            <w:bookmarkEnd w:id="5"/>
            <w:bookmarkEnd w:id="6"/>
            <w:bookmarkEnd w:id="7"/>
            <w:bookmarkEnd w:id="8"/>
            <w:bookmarkEnd w:id="9"/>
            <w:bookmarkEnd w:id="10"/>
            <w:bookmarkEnd w:id="11"/>
            <w:bookmarkEnd w:id="12"/>
            <w:bookmarkEnd w:id="13"/>
            <w:bookmarkEnd w:id="14"/>
            <w:r>
              <w:rPr>
                <w:rFonts w:hint="default" w:ascii="Times New Roman" w:hAnsi="Times New Roman" w:eastAsia="宋体" w:cs="Times New Roman"/>
                <w:color w:val="auto"/>
                <w:sz w:val="24"/>
                <w:szCs w:val="24"/>
                <w:lang w:val="en-US" w:eastAsia="zh-CN"/>
              </w:rPr>
              <w:t>采用超标率和最大浓度占标率进行评价，计算公式为：</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jc w:val="center"/>
              <w:textAlignment w:val="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P</w:t>
            </w:r>
            <w:r>
              <w:rPr>
                <w:rFonts w:hint="default" w:ascii="Times New Roman" w:hAnsi="Times New Roman" w:eastAsia="Times New Roman" w:cs="Times New Roman"/>
                <w:color w:val="auto"/>
                <w:position w:val="-1"/>
                <w:sz w:val="24"/>
                <w:szCs w:val="24"/>
              </w:rPr>
              <w:t>i</w:t>
            </w:r>
            <w:r>
              <w:rPr>
                <w:rFonts w:hint="default" w:ascii="Times New Roman" w:hAnsi="Times New Roman" w:eastAsia="Times New Roman" w:cs="Times New Roman"/>
                <w:color w:val="auto"/>
                <w:sz w:val="24"/>
                <w:szCs w:val="24"/>
              </w:rPr>
              <w:t>=C</w:t>
            </w:r>
            <w:r>
              <w:rPr>
                <w:rFonts w:hint="default" w:ascii="Times New Roman" w:hAnsi="Times New Roman" w:eastAsia="Times New Roman" w:cs="Times New Roman"/>
                <w:color w:val="auto"/>
                <w:position w:val="-1"/>
                <w:sz w:val="24"/>
                <w:szCs w:val="24"/>
              </w:rPr>
              <w:t>i</w:t>
            </w:r>
            <w:r>
              <w:rPr>
                <w:rFonts w:hint="default" w:ascii="Times New Roman" w:hAnsi="Times New Roman" w:eastAsia="Times New Roman" w:cs="Times New Roman"/>
                <w:color w:val="auto"/>
                <w:sz w:val="24"/>
                <w:szCs w:val="24"/>
              </w:rPr>
              <w:t>/C</w:t>
            </w:r>
            <w:r>
              <w:rPr>
                <w:rFonts w:hint="default" w:ascii="Times New Roman" w:hAnsi="Times New Roman" w:eastAsia="Times New Roman" w:cs="Times New Roman"/>
                <w:color w:val="auto"/>
                <w:position w:val="-1"/>
                <w:sz w:val="24"/>
                <w:szCs w:val="24"/>
              </w:rPr>
              <w:t>oi</w:t>
            </w:r>
            <w:r>
              <w:rPr>
                <w:rFonts w:hint="default" w:ascii="Times New Roman" w:hAnsi="Times New Roman" w:eastAsia="Times New Roman" w:cs="Times New Roman"/>
                <w:color w:val="auto"/>
                <w:sz w:val="24"/>
                <w:szCs w:val="24"/>
              </w:rPr>
              <w:t>×100%</w:t>
            </w:r>
          </w:p>
          <w:p>
            <w:pPr>
              <w:keepNext w:val="0"/>
              <w:keepLines w:val="0"/>
              <w:pageBreakBefore w:val="0"/>
              <w:widowControl w:val="0"/>
              <w:kinsoku/>
              <w:wordWrap/>
              <w:overflowPunct/>
              <w:topLinePunct w:val="0"/>
              <w:autoSpaceDE/>
              <w:autoSpaceDN/>
              <w:bidi w:val="0"/>
              <w:adjustRightInd/>
              <w:snapToGrid/>
              <w:spacing w:line="500" w:lineRule="exact"/>
              <w:ind w:firstLine="464" w:firstLineChars="195"/>
              <w:textAlignment w:val="auto"/>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式中：</w:t>
            </w:r>
            <w:r>
              <w:rPr>
                <w:rFonts w:hint="default" w:ascii="Times New Roman" w:hAnsi="Times New Roman" w:eastAsia="Times New Roman" w:cs="Times New Roman"/>
                <w:i/>
                <w:iCs/>
                <w:color w:val="auto"/>
                <w:spacing w:val="-1"/>
                <w:sz w:val="24"/>
                <w:szCs w:val="24"/>
              </w:rPr>
              <w:t>P</w:t>
            </w:r>
            <w:r>
              <w:rPr>
                <w:rFonts w:hint="default" w:ascii="Times New Roman" w:hAnsi="Times New Roman" w:eastAsia="Times New Roman" w:cs="Times New Roman"/>
                <w:i/>
                <w:iCs/>
                <w:color w:val="auto"/>
                <w:spacing w:val="-1"/>
                <w:position w:val="-1"/>
                <w:sz w:val="24"/>
                <w:szCs w:val="24"/>
              </w:rPr>
              <w:t>i</w:t>
            </w:r>
            <w:r>
              <w:rPr>
                <w:rFonts w:hint="default" w:ascii="Times New Roman" w:hAnsi="Times New Roman" w:eastAsia="Times New Roman" w:cs="Times New Roman"/>
                <w:color w:val="auto"/>
                <w:spacing w:val="-1"/>
                <w:sz w:val="24"/>
                <w:szCs w:val="24"/>
              </w:rPr>
              <w:t>—</w:t>
            </w:r>
            <w:r>
              <w:rPr>
                <w:rFonts w:hint="default" w:ascii="Times New Roman" w:hAnsi="Times New Roman" w:cs="Times New Roman"/>
                <w:color w:val="auto"/>
                <w:spacing w:val="-1"/>
                <w:sz w:val="24"/>
                <w:szCs w:val="24"/>
              </w:rPr>
              <w:t>第</w:t>
            </w:r>
            <w:r>
              <w:rPr>
                <w:rFonts w:hint="default" w:ascii="Times New Roman" w:hAnsi="Times New Roman" w:eastAsia="Times New Roman" w:cs="Times New Roman"/>
                <w:color w:val="auto"/>
                <w:spacing w:val="-1"/>
                <w:sz w:val="24"/>
                <w:szCs w:val="24"/>
              </w:rPr>
              <w:t>i</w:t>
            </w:r>
            <w:r>
              <w:rPr>
                <w:rFonts w:hint="default" w:ascii="Times New Roman" w:hAnsi="Times New Roman" w:cs="Times New Roman"/>
                <w:color w:val="auto"/>
                <w:spacing w:val="-1"/>
                <w:sz w:val="24"/>
                <w:szCs w:val="24"/>
              </w:rPr>
              <w:t>个污染物的最大浓度占标率</w:t>
            </w:r>
            <w:r>
              <w:rPr>
                <w:rFonts w:hint="default" w:ascii="Times New Roman" w:hAnsi="Times New Roman" w:cs="Times New Roman"/>
                <w:color w:val="auto"/>
                <w:spacing w:val="5"/>
                <w:sz w:val="24"/>
                <w:szCs w:val="24"/>
              </w:rPr>
              <w:t>；</w:t>
            </w:r>
          </w:p>
          <w:p>
            <w:pPr>
              <w:pStyle w:val="70"/>
              <w:spacing w:before="182" w:line="203" w:lineRule="auto"/>
              <w:ind w:firstLine="1190" w:firstLineChars="500"/>
              <w:rPr>
                <w:rFonts w:hint="default" w:ascii="Times New Roman" w:hAnsi="Times New Roman" w:cs="Times New Roman"/>
                <w:color w:val="auto"/>
                <w:sz w:val="24"/>
                <w:szCs w:val="24"/>
              </w:rPr>
            </w:pPr>
            <w:r>
              <w:rPr>
                <w:rFonts w:hint="default" w:ascii="Times New Roman" w:hAnsi="Times New Roman" w:eastAsia="Times New Roman" w:cs="Times New Roman"/>
                <w:i/>
                <w:iCs/>
                <w:color w:val="auto"/>
                <w:spacing w:val="-1"/>
                <w:sz w:val="24"/>
                <w:szCs w:val="24"/>
              </w:rPr>
              <w:t>C</w:t>
            </w:r>
            <w:r>
              <w:rPr>
                <w:rFonts w:hint="default" w:ascii="Times New Roman" w:hAnsi="Times New Roman" w:eastAsia="Times New Roman" w:cs="Times New Roman"/>
                <w:i/>
                <w:iCs/>
                <w:color w:val="auto"/>
                <w:spacing w:val="-1"/>
                <w:position w:val="-1"/>
                <w:sz w:val="24"/>
                <w:szCs w:val="24"/>
              </w:rPr>
              <w:t>i</w:t>
            </w:r>
            <w:r>
              <w:rPr>
                <w:rFonts w:hint="default" w:ascii="Times New Roman" w:hAnsi="Times New Roman" w:eastAsia="Times New Roman" w:cs="Times New Roman"/>
                <w:color w:val="auto"/>
                <w:spacing w:val="-1"/>
                <w:sz w:val="24"/>
                <w:szCs w:val="24"/>
              </w:rPr>
              <w:t>—</w:t>
            </w:r>
            <w:r>
              <w:rPr>
                <w:rFonts w:hint="default" w:ascii="Times New Roman" w:hAnsi="Times New Roman" w:cs="Times New Roman"/>
                <w:color w:val="auto"/>
                <w:spacing w:val="-1"/>
                <w:sz w:val="24"/>
                <w:szCs w:val="24"/>
              </w:rPr>
              <w:t>第</w:t>
            </w:r>
            <w:r>
              <w:rPr>
                <w:rFonts w:hint="default" w:ascii="Times New Roman" w:hAnsi="Times New Roman" w:eastAsia="Times New Roman" w:cs="Times New Roman"/>
                <w:color w:val="auto"/>
                <w:spacing w:val="-1"/>
                <w:sz w:val="24"/>
                <w:szCs w:val="24"/>
              </w:rPr>
              <w:t>i</w:t>
            </w:r>
            <w:r>
              <w:rPr>
                <w:rFonts w:hint="default" w:ascii="Times New Roman" w:hAnsi="Times New Roman" w:cs="Times New Roman"/>
                <w:color w:val="auto"/>
                <w:spacing w:val="-1"/>
                <w:sz w:val="24"/>
                <w:szCs w:val="24"/>
              </w:rPr>
              <w:t>个污染物的最大浓度(</w:t>
            </w:r>
            <w:r>
              <w:rPr>
                <w:rFonts w:hint="default" w:ascii="Times New Roman" w:hAnsi="Times New Roman" w:eastAsia="Times New Roman" w:cs="Times New Roman"/>
                <w:color w:val="auto"/>
                <w:spacing w:val="-1"/>
                <w:sz w:val="24"/>
                <w:szCs w:val="24"/>
              </w:rPr>
              <w:t>μg/</w:t>
            </w:r>
            <w:r>
              <w:rPr>
                <w:rFonts w:hint="default" w:ascii="Times New Roman" w:hAnsi="Times New Roman" w:eastAsia="宋体" w:cs="Times New Roman"/>
                <w:color w:val="auto"/>
                <w:spacing w:val="-1"/>
                <w:sz w:val="24"/>
                <w:szCs w:val="24"/>
                <w:lang w:eastAsia="zh-CN"/>
              </w:rPr>
              <w:t>m³</w:t>
            </w:r>
            <w:r>
              <w:rPr>
                <w:rFonts w:hint="default" w:ascii="Times New Roman" w:hAnsi="Times New Roman" w:cs="Times New Roman"/>
                <w:color w:val="auto"/>
                <w:spacing w:val="3"/>
                <w:position w:val="1"/>
                <w:sz w:val="24"/>
                <w:szCs w:val="24"/>
              </w:rPr>
              <w:t>）</w:t>
            </w:r>
            <w:r>
              <w:rPr>
                <w:rFonts w:hint="default" w:ascii="Times New Roman" w:hAnsi="Times New Roman" w:cs="Times New Roman"/>
                <w:color w:val="auto"/>
                <w:spacing w:val="3"/>
                <w:sz w:val="24"/>
                <w:szCs w:val="24"/>
              </w:rPr>
              <w:t>；</w:t>
            </w:r>
          </w:p>
          <w:p>
            <w:pPr>
              <w:keepNext w:val="0"/>
              <w:keepLines w:val="0"/>
              <w:pageBreakBefore w:val="0"/>
              <w:widowControl w:val="0"/>
              <w:kinsoku/>
              <w:wordWrap/>
              <w:overflowPunct/>
              <w:topLinePunct w:val="0"/>
              <w:autoSpaceDE/>
              <w:autoSpaceDN/>
              <w:bidi w:val="0"/>
              <w:adjustRightInd/>
              <w:snapToGrid/>
              <w:spacing w:line="500" w:lineRule="exact"/>
              <w:ind w:firstLine="1190" w:firstLineChars="5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Times New Roman" w:cs="Times New Roman"/>
                <w:i/>
                <w:iCs/>
                <w:color w:val="auto"/>
                <w:spacing w:val="-1"/>
                <w:sz w:val="24"/>
                <w:szCs w:val="24"/>
              </w:rPr>
              <w:t>C</w:t>
            </w:r>
            <w:r>
              <w:rPr>
                <w:rFonts w:hint="default" w:ascii="Times New Roman" w:hAnsi="Times New Roman" w:eastAsia="Times New Roman" w:cs="Times New Roman"/>
                <w:i/>
                <w:iCs/>
                <w:color w:val="auto"/>
                <w:spacing w:val="-1"/>
                <w:position w:val="-1"/>
                <w:sz w:val="24"/>
                <w:szCs w:val="24"/>
              </w:rPr>
              <w:t>oi</w:t>
            </w:r>
            <w:r>
              <w:rPr>
                <w:rFonts w:hint="default" w:ascii="Times New Roman" w:hAnsi="Times New Roman" w:eastAsia="Times New Roman" w:cs="Times New Roman"/>
                <w:color w:val="auto"/>
                <w:spacing w:val="-1"/>
                <w:sz w:val="24"/>
                <w:szCs w:val="24"/>
              </w:rPr>
              <w:t>—</w:t>
            </w:r>
            <w:r>
              <w:rPr>
                <w:rFonts w:hint="default" w:ascii="Times New Roman" w:hAnsi="Times New Roman" w:cs="Times New Roman"/>
                <w:color w:val="auto"/>
                <w:spacing w:val="-1"/>
                <w:sz w:val="24"/>
                <w:szCs w:val="24"/>
              </w:rPr>
              <w:t>第</w:t>
            </w:r>
            <w:r>
              <w:rPr>
                <w:rFonts w:hint="default" w:ascii="Times New Roman" w:hAnsi="Times New Roman" w:eastAsia="Times New Roman" w:cs="Times New Roman"/>
                <w:color w:val="auto"/>
                <w:spacing w:val="-1"/>
                <w:sz w:val="24"/>
                <w:szCs w:val="24"/>
              </w:rPr>
              <w:t>i</w:t>
            </w:r>
            <w:r>
              <w:rPr>
                <w:rFonts w:hint="default" w:ascii="Times New Roman" w:hAnsi="Times New Roman" w:cs="Times New Roman"/>
                <w:color w:val="auto"/>
                <w:spacing w:val="-1"/>
                <w:sz w:val="24"/>
                <w:szCs w:val="24"/>
              </w:rPr>
              <w:t>个污染物的环境空气质量浓度标准(</w:t>
            </w:r>
            <w:r>
              <w:rPr>
                <w:rFonts w:hint="default" w:ascii="Times New Roman" w:hAnsi="Times New Roman" w:eastAsia="Times New Roman" w:cs="Times New Roman"/>
                <w:color w:val="auto"/>
                <w:spacing w:val="-1"/>
                <w:sz w:val="24"/>
                <w:szCs w:val="24"/>
              </w:rPr>
              <w:t>μg/</w:t>
            </w:r>
            <w:r>
              <w:rPr>
                <w:rFonts w:hint="default" w:ascii="Times New Roman" w:hAnsi="Times New Roman" w:eastAsia="宋体" w:cs="Times New Roman"/>
                <w:color w:val="auto"/>
                <w:spacing w:val="-1"/>
                <w:sz w:val="24"/>
                <w:szCs w:val="24"/>
                <w:lang w:eastAsia="zh-CN"/>
              </w:rPr>
              <w:t>m³</w:t>
            </w:r>
            <w:r>
              <w:rPr>
                <w:rFonts w:hint="default" w:ascii="Times New Roman" w:hAnsi="Times New Roman" w:cs="Times New Roman"/>
                <w:color w:val="auto"/>
                <w:spacing w:val="-1"/>
                <w:position w:val="1"/>
                <w:sz w:val="24"/>
                <w:szCs w:val="24"/>
              </w:rPr>
              <w:t>）</w:t>
            </w:r>
            <w:r>
              <w:rPr>
                <w:rFonts w:hint="default" w:ascii="Times New Roman" w:hAnsi="Times New Roman" w:eastAsia="宋体" w:cs="Times New Roman"/>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）现状监测及评价结果</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大气环境质量现状监测、评价结果见下表。</w:t>
            </w:r>
          </w:p>
          <w:p>
            <w:pPr>
              <w:pStyle w:val="103"/>
              <w:spacing w:before="0" w:beforeLines="0" w:line="240" w:lineRule="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bCs/>
                <w:color w:val="auto"/>
                <w:sz w:val="21"/>
                <w:szCs w:val="21"/>
                <w:highlight w:val="none"/>
              </w:rPr>
              <w:t>表3-</w:t>
            </w:r>
            <w:r>
              <w:rPr>
                <w:rFonts w:hint="eastAsia" w:ascii="Times New Roman" w:hAnsi="Times New Roman" w:eastAsia="宋体" w:cs="Times New Roman"/>
                <w:b/>
                <w:bCs/>
                <w:color w:val="auto"/>
                <w:sz w:val="21"/>
                <w:szCs w:val="21"/>
                <w:highlight w:val="none"/>
                <w:lang w:val="en-US" w:eastAsia="zh-CN"/>
              </w:rPr>
              <w:t>3</w:t>
            </w:r>
            <w:r>
              <w:rPr>
                <w:rFonts w:hint="default" w:ascii="Times New Roman" w:hAnsi="Times New Roman" w:eastAsia="宋体" w:cs="Times New Roman"/>
                <w:b/>
                <w:bCs/>
                <w:color w:val="auto"/>
                <w:sz w:val="21"/>
                <w:szCs w:val="21"/>
                <w:highlight w:val="none"/>
              </w:rPr>
              <w:t xml:space="preserve"> </w:t>
            </w:r>
            <w:r>
              <w:rPr>
                <w:rFonts w:hint="default" w:ascii="Times New Roman" w:hAnsi="Times New Roman" w:eastAsia="宋体" w:cs="Times New Roman"/>
                <w:b/>
                <w:bCs/>
                <w:color w:val="auto"/>
                <w:sz w:val="21"/>
                <w:szCs w:val="21"/>
                <w:highlight w:val="none"/>
                <w:lang w:val="en-US" w:eastAsia="zh-CN"/>
              </w:rPr>
              <w:t xml:space="preserve"> 其他污染物环境质量现状（监测结果）</w:t>
            </w:r>
            <w:r>
              <w:rPr>
                <w:rFonts w:hint="default" w:ascii="Times New Roman" w:hAnsi="Times New Roman" w:eastAsia="宋体" w:cs="Times New Roman"/>
                <w:b/>
                <w:bCs/>
                <w:color w:val="auto"/>
                <w:sz w:val="21"/>
                <w:szCs w:val="21"/>
                <w:highlight w:val="none"/>
              </w:rPr>
              <w:t>评价结果一览表</w:t>
            </w:r>
          </w:p>
          <w:tbl>
            <w:tblPr>
              <w:tblStyle w:val="30"/>
              <w:tblW w:w="44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5"/>
              <w:gridCol w:w="1370"/>
              <w:gridCol w:w="1370"/>
              <w:gridCol w:w="555"/>
              <w:gridCol w:w="511"/>
              <w:gridCol w:w="1111"/>
              <w:gridCol w:w="1403"/>
              <w:gridCol w:w="659"/>
              <w:gridCol w:w="435"/>
              <w:gridCol w:w="4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414" w:type="pct"/>
                  <w:vMerge w:val="restart"/>
                  <w:tcBorders>
                    <w:top w:val="single" w:color="auto" w:sz="12" w:space="0"/>
                    <w:left w:val="single" w:color="auto" w:sz="12"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监测点位</w:t>
                  </w:r>
                </w:p>
              </w:tc>
              <w:tc>
                <w:tcPr>
                  <w:tcW w:w="1171" w:type="dxa"/>
                  <w:gridSpan w:val="2"/>
                  <w:tcBorders>
                    <w:top w:val="single" w:color="auto" w:sz="12" w:space="0"/>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监测点坐标</w:t>
                  </w:r>
                </w:p>
              </w:tc>
              <w:tc>
                <w:tcPr>
                  <w:tcW w:w="408" w:type="pct"/>
                  <w:vMerge w:val="restart"/>
                  <w:tcBorders>
                    <w:top w:val="single" w:color="auto" w:sz="12" w:space="0"/>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污染物</w:t>
                  </w:r>
                </w:p>
              </w:tc>
              <w:tc>
                <w:tcPr>
                  <w:tcW w:w="374" w:type="pct"/>
                  <w:vMerge w:val="restart"/>
                  <w:tcBorders>
                    <w:top w:val="single" w:color="auto" w:sz="12" w:space="0"/>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平均时间</w:t>
                  </w:r>
                </w:p>
              </w:tc>
              <w:tc>
                <w:tcPr>
                  <w:tcW w:w="829" w:type="pct"/>
                  <w:vMerge w:val="restart"/>
                  <w:tcBorders>
                    <w:top w:val="single" w:color="auto" w:sz="12" w:space="0"/>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评价标准/（ug/</w:t>
                  </w:r>
                  <w:r>
                    <w:rPr>
                      <w:rFonts w:hint="eastAsia" w:ascii="Times New Roman" w:hAnsi="Times New Roman" w:eastAsia="宋体" w:cs="Times New Roman"/>
                      <w:color w:val="auto"/>
                      <w:sz w:val="21"/>
                      <w:szCs w:val="21"/>
                      <w:lang w:val="en-US" w:eastAsia="zh-CN"/>
                    </w:rPr>
                    <w:t>m³</w:t>
                  </w:r>
                  <w:r>
                    <w:rPr>
                      <w:rFonts w:hint="default" w:ascii="Times New Roman" w:hAnsi="Times New Roman" w:eastAsia="宋体" w:cs="Times New Roman"/>
                      <w:color w:val="auto"/>
                      <w:sz w:val="21"/>
                      <w:szCs w:val="21"/>
                      <w:lang w:val="en-US" w:eastAsia="zh-CN"/>
                    </w:rPr>
                    <w:t>）</w:t>
                  </w:r>
                </w:p>
              </w:tc>
              <w:tc>
                <w:tcPr>
                  <w:tcW w:w="1051" w:type="pct"/>
                  <w:vMerge w:val="restart"/>
                  <w:tcBorders>
                    <w:top w:val="single" w:color="auto" w:sz="12" w:space="0"/>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监测浓度范围/（ug/</w:t>
                  </w:r>
                  <w:r>
                    <w:rPr>
                      <w:rFonts w:hint="eastAsia" w:ascii="Times New Roman" w:hAnsi="Times New Roman" w:eastAsia="宋体" w:cs="Times New Roman"/>
                      <w:color w:val="auto"/>
                      <w:sz w:val="21"/>
                      <w:szCs w:val="21"/>
                      <w:lang w:val="en-US" w:eastAsia="zh-CN"/>
                    </w:rPr>
                    <w:t>m³</w:t>
                  </w:r>
                  <w:r>
                    <w:rPr>
                      <w:rFonts w:hint="default" w:ascii="Times New Roman" w:hAnsi="Times New Roman" w:eastAsia="宋体" w:cs="Times New Roman"/>
                      <w:color w:val="auto"/>
                      <w:sz w:val="21"/>
                      <w:szCs w:val="21"/>
                      <w:lang w:val="en-US" w:eastAsia="zh-CN"/>
                    </w:rPr>
                    <w:t>）</w:t>
                  </w:r>
                </w:p>
              </w:tc>
              <w:tc>
                <w:tcPr>
                  <w:tcW w:w="486" w:type="pct"/>
                  <w:vMerge w:val="restart"/>
                  <w:tcBorders>
                    <w:top w:val="single" w:color="auto" w:sz="12" w:space="0"/>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最大浓度占标率/%</w:t>
                  </w:r>
                </w:p>
              </w:tc>
              <w:tc>
                <w:tcPr>
                  <w:tcW w:w="318" w:type="pct"/>
                  <w:vMerge w:val="restart"/>
                  <w:tcBorders>
                    <w:top w:val="single" w:color="auto" w:sz="12" w:space="0"/>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超标率/%</w:t>
                  </w:r>
                </w:p>
              </w:tc>
              <w:tc>
                <w:tcPr>
                  <w:tcW w:w="300" w:type="pct"/>
                  <w:vMerge w:val="restart"/>
                  <w:tcBorders>
                    <w:top w:val="single" w:color="auto" w:sz="12" w:space="0"/>
                    <w:left w:val="single" w:color="auto" w:sz="6" w:space="0"/>
                    <w:bottom w:val="single" w:color="auto" w:sz="6" w:space="0"/>
                    <w:right w:val="single" w:color="auto" w:sz="12"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414" w:type="pct"/>
                  <w:vMerge w:val="continue"/>
                  <w:tcBorders>
                    <w:top w:val="single" w:color="auto" w:sz="6" w:space="0"/>
                    <w:left w:val="single" w:color="auto" w:sz="12"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p>
              </w:tc>
              <w:tc>
                <w:tcPr>
                  <w:tcW w:w="585" w:type="dxa"/>
                  <w:tcBorders>
                    <w:top w:val="single" w:color="auto" w:sz="6" w:space="0"/>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E</w:t>
                  </w:r>
                </w:p>
              </w:tc>
              <w:tc>
                <w:tcPr>
                  <w:tcW w:w="586" w:type="dxa"/>
                  <w:tcBorders>
                    <w:top w:val="single" w:color="auto" w:sz="6" w:space="0"/>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N</w:t>
                  </w:r>
                </w:p>
              </w:tc>
              <w:tc>
                <w:tcPr>
                  <w:tcW w:w="408" w:type="pct"/>
                  <w:vMerge w:val="continue"/>
                  <w:tcBorders>
                    <w:top w:val="single" w:color="auto" w:sz="6" w:space="0"/>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p>
              </w:tc>
              <w:tc>
                <w:tcPr>
                  <w:tcW w:w="374" w:type="pct"/>
                  <w:vMerge w:val="continue"/>
                  <w:tcBorders>
                    <w:top w:val="single" w:color="auto" w:sz="6" w:space="0"/>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p>
              </w:tc>
              <w:tc>
                <w:tcPr>
                  <w:tcW w:w="829" w:type="pct"/>
                  <w:vMerge w:val="continue"/>
                  <w:tcBorders>
                    <w:top w:val="single" w:color="auto" w:sz="6" w:space="0"/>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p>
              </w:tc>
              <w:tc>
                <w:tcPr>
                  <w:tcW w:w="1051" w:type="pct"/>
                  <w:vMerge w:val="continue"/>
                  <w:tcBorders>
                    <w:top w:val="single" w:color="auto" w:sz="6" w:space="0"/>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p>
              </w:tc>
              <w:tc>
                <w:tcPr>
                  <w:tcW w:w="486" w:type="pct"/>
                  <w:vMerge w:val="continue"/>
                  <w:tcBorders>
                    <w:top w:val="single" w:color="auto" w:sz="6" w:space="0"/>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p>
              </w:tc>
              <w:tc>
                <w:tcPr>
                  <w:tcW w:w="318" w:type="pct"/>
                  <w:vMerge w:val="continue"/>
                  <w:tcBorders>
                    <w:top w:val="single" w:color="auto" w:sz="6" w:space="0"/>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p>
              </w:tc>
              <w:tc>
                <w:tcPr>
                  <w:tcW w:w="300" w:type="pct"/>
                  <w:vMerge w:val="continue"/>
                  <w:tcBorders>
                    <w:top w:val="single" w:color="auto" w:sz="6" w:space="0"/>
                    <w:left w:val="single" w:color="auto" w:sz="6" w:space="0"/>
                    <w:bottom w:val="single" w:color="auto" w:sz="6" w:space="0"/>
                    <w:right w:val="single" w:color="auto" w:sz="12" w:space="0"/>
                  </w:tcBorders>
                  <w:noWrap w:val="0"/>
                  <w:vAlign w:val="center"/>
                </w:tcPr>
                <w:p>
                  <w:pPr>
                    <w:bidi w:val="0"/>
                    <w:jc w:val="center"/>
                    <w:rPr>
                      <w:rFonts w:hint="default" w:ascii="Times New Roman" w:hAnsi="Times New Roman" w:eastAsia="宋体"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 w:type="pct"/>
                  <w:vMerge w:val="restart"/>
                  <w:tcBorders>
                    <w:top w:val="single" w:color="auto" w:sz="6" w:space="0"/>
                    <w:left w:val="single" w:color="auto" w:sz="12"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下风向5km</w:t>
                  </w:r>
                  <w:r>
                    <w:rPr>
                      <w:rFonts w:hint="eastAsia" w:ascii="Times New Roman" w:hAnsi="Times New Roman" w:eastAsia="宋体" w:cs="Times New Roman"/>
                      <w:color w:val="auto"/>
                      <w:sz w:val="21"/>
                      <w:szCs w:val="21"/>
                      <w:lang w:val="en-US" w:eastAsia="zh-CN"/>
                    </w:rPr>
                    <w:t>范围内</w:t>
                  </w:r>
                </w:p>
              </w:tc>
              <w:tc>
                <w:tcPr>
                  <w:tcW w:w="585" w:type="dxa"/>
                  <w:vMerge w:val="restart"/>
                  <w:tcBorders>
                    <w:top w:val="single" w:color="auto" w:sz="6" w:space="0"/>
                    <w:left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w:t>
                  </w: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14</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35.29″</w:t>
                  </w:r>
                </w:p>
              </w:tc>
              <w:tc>
                <w:tcPr>
                  <w:tcW w:w="586" w:type="dxa"/>
                  <w:vMerge w:val="restart"/>
                  <w:tcBorders>
                    <w:top w:val="single" w:color="auto" w:sz="6" w:space="0"/>
                    <w:left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37</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12</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26.80″</w:t>
                  </w:r>
                </w:p>
              </w:tc>
              <w:tc>
                <w:tcPr>
                  <w:tcW w:w="408" w:type="pct"/>
                  <w:tcBorders>
                    <w:top w:val="single" w:color="auto" w:sz="6" w:space="0"/>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TSP</w:t>
                  </w:r>
                </w:p>
              </w:tc>
              <w:tc>
                <w:tcPr>
                  <w:tcW w:w="374" w:type="pct"/>
                  <w:vMerge w:val="restart"/>
                  <w:tcBorders>
                    <w:top w:val="single" w:color="auto" w:sz="6" w:space="0"/>
                    <w:left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24h平均</w:t>
                  </w:r>
                </w:p>
              </w:tc>
              <w:tc>
                <w:tcPr>
                  <w:tcW w:w="829" w:type="pct"/>
                  <w:tcBorders>
                    <w:top w:val="single" w:color="auto" w:sz="6" w:space="0"/>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300</w:t>
                  </w:r>
                </w:p>
              </w:tc>
              <w:tc>
                <w:tcPr>
                  <w:tcW w:w="1051" w:type="pct"/>
                  <w:tcBorders>
                    <w:top w:val="single" w:color="auto" w:sz="6" w:space="0"/>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94</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158</w:t>
                  </w:r>
                </w:p>
              </w:tc>
              <w:tc>
                <w:tcPr>
                  <w:tcW w:w="486" w:type="pct"/>
                  <w:tcBorders>
                    <w:top w:val="single" w:color="auto" w:sz="6" w:space="0"/>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52.67</w:t>
                  </w:r>
                </w:p>
              </w:tc>
              <w:tc>
                <w:tcPr>
                  <w:tcW w:w="318" w:type="pct"/>
                  <w:tcBorders>
                    <w:top w:val="single" w:color="auto" w:sz="6" w:space="0"/>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p>
              </w:tc>
              <w:tc>
                <w:tcPr>
                  <w:tcW w:w="300" w:type="pct"/>
                  <w:tcBorders>
                    <w:top w:val="single" w:color="auto" w:sz="6" w:space="0"/>
                    <w:left w:val="single" w:color="auto" w:sz="6" w:space="0"/>
                    <w:bottom w:val="single" w:color="auto" w:sz="6" w:space="0"/>
                    <w:right w:val="single" w:color="auto" w:sz="12"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 w:type="pct"/>
                  <w:vMerge w:val="continue"/>
                  <w:tcBorders>
                    <w:left w:val="single" w:color="auto" w:sz="12"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p>
              </w:tc>
              <w:tc>
                <w:tcPr>
                  <w:tcW w:w="0" w:type="auto"/>
                  <w:vMerge w:val="continue"/>
                  <w:tcBorders>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p>
              </w:tc>
              <w:tc>
                <w:tcPr>
                  <w:tcW w:w="0" w:type="auto"/>
                  <w:vMerge w:val="continue"/>
                  <w:tcBorders>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p>
              </w:tc>
              <w:tc>
                <w:tcPr>
                  <w:tcW w:w="408" w:type="pct"/>
                  <w:tcBorders>
                    <w:top w:val="single" w:color="auto" w:sz="6" w:space="0"/>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锑及其化合物</w:t>
                  </w:r>
                </w:p>
              </w:tc>
              <w:tc>
                <w:tcPr>
                  <w:tcW w:w="374" w:type="pct"/>
                  <w:vMerge w:val="continue"/>
                  <w:tcBorders>
                    <w:left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p>
              </w:tc>
              <w:tc>
                <w:tcPr>
                  <w:tcW w:w="829" w:type="pct"/>
                  <w:tcBorders>
                    <w:top w:val="single" w:color="auto" w:sz="6" w:space="0"/>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051" w:type="pct"/>
                  <w:tcBorders>
                    <w:top w:val="single" w:color="auto" w:sz="6" w:space="0"/>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0.0033~0.0065</w:t>
                  </w:r>
                </w:p>
              </w:tc>
              <w:tc>
                <w:tcPr>
                  <w:tcW w:w="486" w:type="pct"/>
                  <w:tcBorders>
                    <w:top w:val="single" w:color="auto" w:sz="6" w:space="0"/>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318" w:type="pct"/>
                  <w:tcBorders>
                    <w:top w:val="single" w:color="auto" w:sz="6" w:space="0"/>
                    <w:left w:val="single" w:color="auto" w:sz="6" w:space="0"/>
                    <w:bottom w:val="single" w:color="auto" w:sz="6" w:space="0"/>
                    <w:right w:val="single" w:color="auto" w:sz="6" w:space="0"/>
                  </w:tcBorders>
                  <w:noWrap w:val="0"/>
                  <w:vAlign w:val="center"/>
                </w:tcPr>
                <w:p>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300" w:type="pct"/>
                  <w:tcBorders>
                    <w:top w:val="single" w:color="auto" w:sz="6" w:space="0"/>
                    <w:left w:val="single" w:color="auto" w:sz="6" w:space="0"/>
                    <w:bottom w:val="single" w:color="auto" w:sz="6" w:space="0"/>
                    <w:right w:val="single" w:color="auto" w:sz="12" w:space="0"/>
                  </w:tcBorders>
                  <w:noWrap w:val="0"/>
                  <w:vAlign w:val="center"/>
                </w:tcPr>
                <w:p>
                  <w:pPr>
                    <w:bidi w:val="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r>
          </w:tbl>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color w:val="auto"/>
                <w:kern w:val="0"/>
                <w:sz w:val="24"/>
                <w:szCs w:val="24"/>
                <w:lang w:val="en-US" w:eastAsia="zh-CN" w:bidi="ar"/>
              </w:rPr>
              <w:t>由上表可知，监测结果小于标准限值，</w:t>
            </w:r>
            <w:r>
              <w:rPr>
                <w:rFonts w:hint="eastAsia" w:cs="Times New Roman"/>
                <w:color w:val="auto"/>
                <w:kern w:val="0"/>
                <w:sz w:val="24"/>
                <w:szCs w:val="24"/>
                <w:lang w:val="en-US" w:eastAsia="zh-CN" w:bidi="ar"/>
              </w:rPr>
              <w:t>TSP</w:t>
            </w:r>
            <w:r>
              <w:rPr>
                <w:rFonts w:hint="default" w:ascii="Times New Roman" w:hAnsi="Times New Roman" w:eastAsia="宋体" w:cs="Times New Roman"/>
                <w:color w:val="auto"/>
                <w:kern w:val="0"/>
                <w:sz w:val="24"/>
                <w:szCs w:val="24"/>
                <w:lang w:val="en-US" w:eastAsia="zh-CN" w:bidi="ar"/>
              </w:rPr>
              <w:t>现状浓度满足</w:t>
            </w:r>
            <w:r>
              <w:rPr>
                <w:rFonts w:hint="default" w:ascii="Times New Roman" w:hAnsi="Times New Roman" w:eastAsia="宋体" w:cs="Times New Roman"/>
                <w:color w:val="auto"/>
                <w:kern w:val="2"/>
                <w:sz w:val="24"/>
                <w:szCs w:val="24"/>
                <w:lang w:val="en-US" w:eastAsia="zh-CN" w:bidi="ar"/>
              </w:rPr>
              <w:t>《环境空气质量标准》（GB3095-2</w:t>
            </w:r>
            <w:r>
              <w:rPr>
                <w:rFonts w:hint="default" w:ascii="Times New Roman" w:hAnsi="Times New Roman" w:cs="Times New Roman"/>
                <w:color w:val="auto"/>
                <w:kern w:val="2"/>
                <w:sz w:val="24"/>
                <w:szCs w:val="24"/>
                <w:lang w:val="en-US" w:eastAsia="zh-CN" w:bidi="ar"/>
              </w:rPr>
              <w:t>026</w:t>
            </w:r>
            <w:r>
              <w:rPr>
                <w:rFonts w:hint="default" w:ascii="Times New Roman" w:hAnsi="Times New Roman" w:eastAsia="宋体" w:cs="Times New Roman"/>
                <w:color w:val="auto"/>
                <w:kern w:val="2"/>
                <w:sz w:val="24"/>
                <w:szCs w:val="24"/>
                <w:lang w:val="en-US" w:eastAsia="zh-CN" w:bidi="ar"/>
              </w:rPr>
              <w:t>）中表2</w:t>
            </w:r>
            <w:r>
              <w:rPr>
                <w:rFonts w:hint="default" w:ascii="Times New Roman" w:hAnsi="Times New Roman" w:cs="Times New Roman"/>
                <w:color w:val="auto"/>
                <w:kern w:val="2"/>
                <w:sz w:val="24"/>
                <w:szCs w:val="24"/>
                <w:lang w:val="en-US" w:eastAsia="zh-CN" w:bidi="ar"/>
              </w:rPr>
              <w:t>二级</w:t>
            </w:r>
            <w:r>
              <w:rPr>
                <w:rFonts w:hint="default" w:ascii="Times New Roman" w:hAnsi="Times New Roman" w:eastAsia="宋体" w:cs="Times New Roman"/>
                <w:color w:val="auto"/>
                <w:kern w:val="2"/>
                <w:sz w:val="24"/>
                <w:szCs w:val="24"/>
                <w:lang w:val="en-US" w:eastAsia="zh-CN" w:bidi="ar"/>
              </w:rPr>
              <w:t>限值要求</w:t>
            </w:r>
            <w:r>
              <w:rPr>
                <w:rFonts w:hint="default" w:ascii="Times New Roman" w:hAnsi="Times New Roman" w:eastAsia="宋体" w:cs="Times New Roman"/>
                <w:b w:val="0"/>
                <w:bCs w:val="0"/>
                <w:color w:val="auto"/>
                <w:sz w:val="24"/>
                <w:szCs w:val="24"/>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val="en-US" w:eastAsia="zh-CN"/>
              </w:rPr>
              <w:t>2</w:t>
            </w:r>
            <w:r>
              <w:rPr>
                <w:rFonts w:hint="default" w:ascii="Times New Roman" w:hAnsi="Times New Roman" w:cs="Times New Roman"/>
                <w:b/>
                <w:bCs/>
                <w:color w:val="auto"/>
                <w:sz w:val="24"/>
                <w:szCs w:val="24"/>
                <w:lang w:val="en-US" w:eastAsia="zh-CN"/>
              </w:rPr>
              <w:t xml:space="preserve"> </w:t>
            </w:r>
            <w:r>
              <w:rPr>
                <w:rFonts w:hint="default" w:ascii="Times New Roman" w:hAnsi="Times New Roman" w:eastAsia="宋体" w:cs="Times New Roman"/>
                <w:b/>
                <w:bCs/>
                <w:color w:val="auto"/>
                <w:sz w:val="24"/>
                <w:szCs w:val="24"/>
              </w:rPr>
              <w:t>地</w:t>
            </w:r>
            <w:r>
              <w:rPr>
                <w:rFonts w:hint="default" w:ascii="Times New Roman" w:hAnsi="Times New Roman" w:eastAsia="宋体" w:cs="Times New Roman"/>
                <w:b/>
                <w:bCs/>
                <w:color w:val="auto"/>
                <w:sz w:val="24"/>
                <w:szCs w:val="24"/>
                <w:lang w:eastAsia="zh-CN"/>
              </w:rPr>
              <w:t>表水</w:t>
            </w:r>
            <w:r>
              <w:rPr>
                <w:rFonts w:hint="default" w:ascii="Times New Roman" w:hAnsi="Times New Roman" w:eastAsia="宋体" w:cs="Times New Roman"/>
                <w:b/>
                <w:bCs/>
                <w:color w:val="auto"/>
                <w:sz w:val="24"/>
                <w:szCs w:val="24"/>
              </w:rPr>
              <w:t>环境质量现状调查及评价</w:t>
            </w:r>
          </w:p>
          <w:p>
            <w:pPr>
              <w:keepNext w:val="0"/>
              <w:keepLines w:val="0"/>
              <w:pageBreakBefore w:val="0"/>
              <w:widowControl w:val="0"/>
              <w:kinsoku/>
              <w:wordWrap/>
              <w:overflowPunct/>
              <w:topLinePunct w:val="0"/>
              <w:autoSpaceDE/>
              <w:autoSpaceDN/>
              <w:bidi w:val="0"/>
              <w:adjustRightInd/>
              <w:snapToGrid/>
              <w:spacing w:line="500" w:lineRule="exact"/>
              <w:ind w:firstLine="464" w:firstLineChars="195"/>
              <w:textAlignment w:val="auto"/>
              <w:rPr>
                <w:rFonts w:hint="default" w:ascii="Times New Roman" w:hAnsi="Times New Roman" w:cs="Times New Roman"/>
                <w:color w:val="auto"/>
                <w:spacing w:val="-1"/>
                <w:sz w:val="24"/>
                <w:szCs w:val="20"/>
              </w:rPr>
            </w:pPr>
            <w:r>
              <w:rPr>
                <w:rFonts w:hint="default" w:ascii="Times New Roman" w:hAnsi="Times New Roman" w:cs="Times New Roman"/>
                <w:color w:val="auto"/>
                <w:spacing w:val="-1"/>
                <w:sz w:val="24"/>
                <w:szCs w:val="20"/>
              </w:rPr>
              <w:t>本项目区位于巴音郭楞蒙古自治州且末县，距本项目最近的地表水体为项目区的南侧700m处的喀拉米兰河，属塔里木内流水系，为常年河流。根据《中国新疆水环境功能区划》，喀拉米兰河段均为I类水体。</w:t>
            </w:r>
          </w:p>
          <w:p>
            <w:pPr>
              <w:keepNext w:val="0"/>
              <w:keepLines w:val="0"/>
              <w:pageBreakBefore w:val="0"/>
              <w:widowControl w:val="0"/>
              <w:kinsoku/>
              <w:wordWrap/>
              <w:overflowPunct/>
              <w:topLinePunct w:val="0"/>
              <w:autoSpaceDE/>
              <w:autoSpaceDN/>
              <w:bidi w:val="0"/>
              <w:adjustRightInd/>
              <w:snapToGrid/>
              <w:spacing w:line="500" w:lineRule="exact"/>
              <w:ind w:firstLine="464" w:firstLineChars="195"/>
              <w:textAlignment w:val="auto"/>
              <w:rPr>
                <w:rFonts w:hint="default" w:ascii="Times New Roman" w:hAnsi="Times New Roman" w:cs="Times New Roman"/>
                <w:color w:val="auto"/>
                <w:spacing w:val="-1"/>
                <w:sz w:val="24"/>
                <w:szCs w:val="20"/>
              </w:rPr>
            </w:pPr>
            <w:r>
              <w:rPr>
                <w:rFonts w:hint="default" w:ascii="Times New Roman" w:hAnsi="Times New Roman" w:cs="Times New Roman"/>
                <w:color w:val="auto"/>
                <w:spacing w:val="-1"/>
                <w:sz w:val="24"/>
                <w:szCs w:val="20"/>
              </w:rPr>
              <w:t>本次环评引用《且末县邦泰矿业投资有限公司新疆且末县屈库勒克东金锑矿450t/d选矿厂新建尾矿库工程环境影响报告书》中新疆玉泽环保科技有限公司2025年1月对喀拉米兰河地表水体进行现状监测。</w:t>
            </w:r>
          </w:p>
          <w:p>
            <w:pPr>
              <w:keepNext w:val="0"/>
              <w:keepLines w:val="0"/>
              <w:pageBreakBefore w:val="0"/>
              <w:widowControl w:val="0"/>
              <w:kinsoku/>
              <w:wordWrap/>
              <w:overflowPunct/>
              <w:topLinePunct w:val="0"/>
              <w:autoSpaceDE/>
              <w:autoSpaceDN/>
              <w:bidi w:val="0"/>
              <w:adjustRightInd/>
              <w:snapToGrid/>
              <w:spacing w:line="500" w:lineRule="exact"/>
              <w:ind w:firstLine="464" w:firstLineChars="195"/>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spacing w:val="-1"/>
                <w:sz w:val="24"/>
                <w:szCs w:val="20"/>
              </w:rPr>
              <w:t>喀拉米兰河地表水环境质量监测结果及现状评价结果见表</w:t>
            </w:r>
            <w:r>
              <w:rPr>
                <w:rFonts w:hint="default" w:ascii="Times New Roman" w:hAnsi="Times New Roman" w:cs="Times New Roman"/>
                <w:color w:val="auto"/>
                <w:spacing w:val="-1"/>
                <w:sz w:val="24"/>
                <w:szCs w:val="20"/>
                <w:lang w:val="en-US" w:eastAsia="zh-CN"/>
              </w:rPr>
              <w:t>3</w:t>
            </w:r>
            <w:r>
              <w:rPr>
                <w:rFonts w:hint="default" w:ascii="Times New Roman" w:hAnsi="Times New Roman" w:cs="Times New Roman"/>
                <w:color w:val="auto"/>
                <w:spacing w:val="-1"/>
                <w:sz w:val="24"/>
                <w:szCs w:val="20"/>
              </w:rPr>
              <w:t>-4。</w:t>
            </w:r>
          </w:p>
        </w:tc>
      </w:tr>
    </w:tbl>
    <w:p>
      <w:pPr>
        <w:pStyle w:val="27"/>
        <w:jc w:val="center"/>
        <w:outlineLvl w:val="0"/>
        <w:rPr>
          <w:rFonts w:hint="default" w:ascii="Times New Roman" w:hAnsi="Times New Roman" w:eastAsia="黑体" w:cs="Times New Roman"/>
          <w:snapToGrid w:val="0"/>
          <w:color w:val="auto"/>
          <w:sz w:val="21"/>
          <w:szCs w:val="21"/>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
        <w:gridCol w:w="12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3" w:type="dxa"/>
          </w:tcPr>
          <w:p>
            <w:pPr>
              <w:pStyle w:val="27"/>
              <w:jc w:val="center"/>
              <w:outlineLvl w:val="0"/>
              <w:rPr>
                <w:rFonts w:hint="default" w:ascii="Times New Roman" w:hAnsi="Times New Roman" w:eastAsia="宋体" w:cs="Times New Roman"/>
                <w:snapToGrid w:val="0"/>
                <w:color w:val="auto"/>
                <w:sz w:val="21"/>
                <w:szCs w:val="21"/>
                <w:vertAlign w:val="baseline"/>
              </w:rPr>
            </w:pPr>
          </w:p>
        </w:tc>
        <w:tc>
          <w:tcPr>
            <w:tcW w:w="12557" w:type="dxa"/>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表3-4    地表水环境质量监测结果及现状评价    单位：mg/L</w:t>
            </w:r>
          </w:p>
          <w:tbl>
            <w:tblPr>
              <w:tblStyle w:val="29"/>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099"/>
              <w:gridCol w:w="1877"/>
              <w:gridCol w:w="1371"/>
              <w:gridCol w:w="1314"/>
              <w:gridCol w:w="1405"/>
              <w:gridCol w:w="1302"/>
              <w:gridCol w:w="1188"/>
              <w:gridCol w:w="174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853" w:type="pct"/>
                  <w:vMerge w:val="restar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监测项目</w:t>
                  </w:r>
                </w:p>
              </w:tc>
              <w:tc>
                <w:tcPr>
                  <w:tcW w:w="763" w:type="pct"/>
                  <w:vMerge w:val="restar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rPr>
                    <w:t>标准值</w:t>
                  </w:r>
                </w:p>
              </w:tc>
              <w:tc>
                <w:tcPr>
                  <w:tcW w:w="1662" w:type="pct"/>
                  <w:gridSpan w:val="3"/>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rPr>
                    <w:t>上游</w:t>
                  </w:r>
                  <w:r>
                    <w:rPr>
                      <w:rFonts w:hint="default" w:ascii="Times New Roman" w:hAnsi="Times New Roman" w:eastAsia="宋体" w:cs="Times New Roman"/>
                      <w:color w:val="auto"/>
                      <w:szCs w:val="21"/>
                      <w:highlight w:val="none"/>
                      <w:lang w:val="en-US" w:eastAsia="zh-CN"/>
                    </w:rPr>
                    <w:t>500</w:t>
                  </w:r>
                  <w:r>
                    <w:rPr>
                      <w:rFonts w:hint="default" w:ascii="Times New Roman" w:hAnsi="Times New Roman" w:eastAsia="宋体" w:cs="Times New Roman"/>
                      <w:color w:val="auto"/>
                      <w:szCs w:val="21"/>
                      <w:highlight w:val="none"/>
                    </w:rPr>
                    <w:t>m</w:t>
                  </w:r>
                  <w:r>
                    <w:rPr>
                      <w:rFonts w:hint="default" w:ascii="Times New Roman" w:hAnsi="Times New Roman" w:eastAsia="宋体" w:cs="Times New Roman"/>
                      <w:color w:val="auto"/>
                      <w:szCs w:val="21"/>
                      <w:highlight w:val="none"/>
                      <w:lang w:val="en-US" w:eastAsia="zh-CN"/>
                    </w:rPr>
                    <w:t>断面</w:t>
                  </w:r>
                </w:p>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（E:8</w:t>
                  </w:r>
                  <w:r>
                    <w:rPr>
                      <w:rFonts w:hint="default" w:ascii="Times New Roman" w:hAnsi="Times New Roman" w:eastAsia="宋体" w:cs="Times New Roman"/>
                      <w:color w:val="auto"/>
                      <w:kern w:val="0"/>
                      <w:szCs w:val="21"/>
                      <w:highlight w:val="none"/>
                      <w:lang w:val="en-US" w:eastAsia="zh-CN"/>
                    </w:rPr>
                    <w:t>5</w:t>
                  </w:r>
                  <w:r>
                    <w:rPr>
                      <w:rFonts w:hint="default" w:ascii="Times New Roman" w:hAnsi="Times New Roman" w:eastAsia="宋体" w:cs="Times New Roman"/>
                      <w:color w:val="auto"/>
                      <w:kern w:val="0"/>
                      <w:szCs w:val="21"/>
                      <w:highlight w:val="none"/>
                    </w:rPr>
                    <w:t>°</w:t>
                  </w:r>
                  <w:r>
                    <w:rPr>
                      <w:rFonts w:hint="default" w:ascii="Times New Roman" w:hAnsi="Times New Roman" w:eastAsia="宋体" w:cs="Times New Roman"/>
                      <w:color w:val="auto"/>
                      <w:kern w:val="0"/>
                      <w:szCs w:val="21"/>
                      <w:highlight w:val="none"/>
                      <w:lang w:val="en-US" w:eastAsia="zh-CN"/>
                    </w:rPr>
                    <w:t>15</w:t>
                  </w:r>
                  <w:r>
                    <w:rPr>
                      <w:rFonts w:hint="default" w:ascii="Times New Roman" w:hAnsi="Times New Roman" w:eastAsia="宋体" w:cs="Times New Roman"/>
                      <w:color w:val="auto"/>
                      <w:kern w:val="0"/>
                      <w:szCs w:val="21"/>
                      <w:highlight w:val="none"/>
                    </w:rPr>
                    <w:t>′</w:t>
                  </w:r>
                  <w:r>
                    <w:rPr>
                      <w:rFonts w:hint="default" w:ascii="Times New Roman" w:hAnsi="Times New Roman" w:eastAsia="宋体" w:cs="Times New Roman"/>
                      <w:color w:val="auto"/>
                      <w:kern w:val="0"/>
                      <w:szCs w:val="21"/>
                      <w:highlight w:val="none"/>
                      <w:lang w:val="en-US" w:eastAsia="zh-CN"/>
                    </w:rPr>
                    <w:t>44.60</w:t>
                  </w:r>
                  <w:r>
                    <w:rPr>
                      <w:rFonts w:hint="default" w:ascii="Times New Roman" w:hAnsi="Times New Roman" w:eastAsia="宋体" w:cs="Times New Roman"/>
                      <w:color w:val="auto"/>
                      <w:kern w:val="0"/>
                      <w:szCs w:val="21"/>
                      <w:highlight w:val="none"/>
                    </w:rPr>
                    <w:t>″</w:t>
                  </w:r>
                  <w:r>
                    <w:rPr>
                      <w:rFonts w:hint="default" w:ascii="Times New Roman" w:hAnsi="Times New Roman" w:eastAsia="宋体" w:cs="Times New Roman"/>
                      <w:color w:val="auto"/>
                      <w:kern w:val="0"/>
                      <w:szCs w:val="21"/>
                      <w:highlight w:val="none"/>
                      <w:lang w:eastAsia="zh-CN"/>
                    </w:rPr>
                    <w:t>，</w:t>
                  </w:r>
                  <w:r>
                    <w:rPr>
                      <w:rFonts w:hint="default" w:ascii="Times New Roman" w:hAnsi="Times New Roman" w:eastAsia="宋体" w:cs="Times New Roman"/>
                      <w:color w:val="auto"/>
                      <w:kern w:val="0"/>
                      <w:szCs w:val="21"/>
                      <w:highlight w:val="none"/>
                    </w:rPr>
                    <w:t>N:</w:t>
                  </w:r>
                  <w:r>
                    <w:rPr>
                      <w:rFonts w:hint="default" w:ascii="Times New Roman" w:hAnsi="Times New Roman" w:eastAsia="宋体" w:cs="Times New Roman"/>
                      <w:color w:val="auto"/>
                      <w:kern w:val="0"/>
                      <w:szCs w:val="21"/>
                      <w:highlight w:val="none"/>
                      <w:lang w:val="en-US" w:eastAsia="zh-CN"/>
                    </w:rPr>
                    <w:t>37</w:t>
                  </w:r>
                  <w:r>
                    <w:rPr>
                      <w:rFonts w:hint="default" w:ascii="Times New Roman" w:hAnsi="Times New Roman" w:eastAsia="宋体" w:cs="Times New Roman"/>
                      <w:color w:val="auto"/>
                      <w:kern w:val="0"/>
                      <w:szCs w:val="21"/>
                      <w:highlight w:val="none"/>
                    </w:rPr>
                    <w:t>°</w:t>
                  </w:r>
                  <w:r>
                    <w:rPr>
                      <w:rFonts w:hint="default" w:ascii="Times New Roman" w:hAnsi="Times New Roman" w:eastAsia="宋体" w:cs="Times New Roman"/>
                      <w:color w:val="auto"/>
                      <w:kern w:val="0"/>
                      <w:szCs w:val="21"/>
                      <w:highlight w:val="none"/>
                      <w:lang w:val="en-US" w:eastAsia="zh-CN"/>
                    </w:rPr>
                    <w:t>11</w:t>
                  </w:r>
                  <w:r>
                    <w:rPr>
                      <w:rFonts w:hint="default" w:ascii="Times New Roman" w:hAnsi="Times New Roman" w:eastAsia="宋体" w:cs="Times New Roman"/>
                      <w:color w:val="auto"/>
                      <w:kern w:val="0"/>
                      <w:szCs w:val="21"/>
                      <w:highlight w:val="none"/>
                    </w:rPr>
                    <w:t>′</w:t>
                  </w:r>
                  <w:r>
                    <w:rPr>
                      <w:rFonts w:hint="default" w:ascii="Times New Roman" w:hAnsi="Times New Roman" w:eastAsia="宋体" w:cs="Times New Roman"/>
                      <w:color w:val="auto"/>
                      <w:kern w:val="0"/>
                      <w:szCs w:val="21"/>
                      <w:highlight w:val="none"/>
                      <w:lang w:val="en-US" w:eastAsia="zh-CN"/>
                    </w:rPr>
                    <w:t>49.03</w:t>
                  </w:r>
                  <w:r>
                    <w:rPr>
                      <w:rFonts w:hint="default" w:ascii="Times New Roman" w:hAnsi="Times New Roman" w:eastAsia="宋体" w:cs="Times New Roman"/>
                      <w:color w:val="auto"/>
                      <w:kern w:val="0"/>
                      <w:szCs w:val="21"/>
                      <w:highlight w:val="none"/>
                    </w:rPr>
                    <w:t>″）</w:t>
                  </w:r>
                </w:p>
              </w:tc>
              <w:tc>
                <w:tcPr>
                  <w:tcW w:w="1721" w:type="pct"/>
                  <w:gridSpan w:val="3"/>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rPr>
                    <w:t>下游</w:t>
                  </w:r>
                  <w:r>
                    <w:rPr>
                      <w:rFonts w:hint="default" w:ascii="Times New Roman" w:hAnsi="Times New Roman" w:eastAsia="宋体" w:cs="Times New Roman"/>
                      <w:color w:val="auto"/>
                      <w:szCs w:val="21"/>
                      <w:highlight w:val="none"/>
                      <w:lang w:val="en-US" w:eastAsia="zh-CN"/>
                    </w:rPr>
                    <w:t>1500m处断面</w:t>
                  </w:r>
                </w:p>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（E:</w:t>
                  </w:r>
                  <w:r>
                    <w:rPr>
                      <w:rFonts w:hint="default" w:ascii="Times New Roman" w:hAnsi="Times New Roman" w:eastAsia="宋体" w:cs="Times New Roman"/>
                      <w:color w:val="auto"/>
                      <w:kern w:val="0"/>
                      <w:szCs w:val="21"/>
                      <w:highlight w:val="none"/>
                      <w:lang w:val="en-US" w:eastAsia="zh-CN"/>
                    </w:rPr>
                    <w:t>85</w:t>
                  </w:r>
                  <w:r>
                    <w:rPr>
                      <w:rFonts w:hint="default" w:ascii="Times New Roman" w:hAnsi="Times New Roman" w:eastAsia="宋体" w:cs="Times New Roman"/>
                      <w:color w:val="auto"/>
                      <w:kern w:val="0"/>
                      <w:szCs w:val="21"/>
                      <w:highlight w:val="none"/>
                    </w:rPr>
                    <w:t>°</w:t>
                  </w:r>
                  <w:r>
                    <w:rPr>
                      <w:rFonts w:hint="default" w:ascii="Times New Roman" w:hAnsi="Times New Roman" w:eastAsia="宋体" w:cs="Times New Roman"/>
                      <w:color w:val="auto"/>
                      <w:kern w:val="0"/>
                      <w:szCs w:val="21"/>
                      <w:highlight w:val="none"/>
                      <w:lang w:val="en-US" w:eastAsia="zh-CN"/>
                    </w:rPr>
                    <w:t>13</w:t>
                  </w:r>
                  <w:r>
                    <w:rPr>
                      <w:rFonts w:hint="default" w:ascii="Times New Roman" w:hAnsi="Times New Roman" w:eastAsia="宋体" w:cs="Times New Roman"/>
                      <w:color w:val="auto"/>
                      <w:kern w:val="0"/>
                      <w:szCs w:val="21"/>
                      <w:highlight w:val="none"/>
                    </w:rPr>
                    <w:t>′</w:t>
                  </w:r>
                  <w:r>
                    <w:rPr>
                      <w:rFonts w:hint="default" w:ascii="Times New Roman" w:hAnsi="Times New Roman" w:eastAsia="宋体" w:cs="Times New Roman"/>
                      <w:color w:val="auto"/>
                      <w:kern w:val="0"/>
                      <w:szCs w:val="21"/>
                      <w:highlight w:val="none"/>
                      <w:lang w:val="en-US" w:eastAsia="zh-CN"/>
                    </w:rPr>
                    <w:t>29.93</w:t>
                  </w:r>
                  <w:r>
                    <w:rPr>
                      <w:rFonts w:hint="default" w:ascii="Times New Roman" w:hAnsi="Times New Roman" w:eastAsia="宋体" w:cs="Times New Roman"/>
                      <w:color w:val="auto"/>
                      <w:kern w:val="0"/>
                      <w:szCs w:val="21"/>
                      <w:highlight w:val="none"/>
                    </w:rPr>
                    <w:t>″</w:t>
                  </w:r>
                  <w:r>
                    <w:rPr>
                      <w:rFonts w:hint="default" w:ascii="Times New Roman" w:hAnsi="Times New Roman" w:eastAsia="宋体" w:cs="Times New Roman"/>
                      <w:color w:val="auto"/>
                      <w:kern w:val="0"/>
                      <w:szCs w:val="21"/>
                      <w:highlight w:val="none"/>
                      <w:lang w:eastAsia="zh-CN"/>
                    </w:rPr>
                    <w:t>，</w:t>
                  </w:r>
                  <w:r>
                    <w:rPr>
                      <w:rFonts w:hint="default" w:ascii="Times New Roman" w:hAnsi="Times New Roman" w:eastAsia="宋体" w:cs="Times New Roman"/>
                      <w:color w:val="auto"/>
                      <w:kern w:val="0"/>
                      <w:szCs w:val="21"/>
                      <w:highlight w:val="none"/>
                    </w:rPr>
                    <w:t>N:</w:t>
                  </w:r>
                  <w:r>
                    <w:rPr>
                      <w:rFonts w:hint="default" w:ascii="Times New Roman" w:hAnsi="Times New Roman" w:eastAsia="宋体" w:cs="Times New Roman"/>
                      <w:color w:val="auto"/>
                      <w:kern w:val="0"/>
                      <w:szCs w:val="21"/>
                      <w:highlight w:val="none"/>
                      <w:lang w:val="en-US" w:eastAsia="zh-CN"/>
                    </w:rPr>
                    <w:t>37</w:t>
                  </w:r>
                  <w:r>
                    <w:rPr>
                      <w:rFonts w:hint="default" w:ascii="Times New Roman" w:hAnsi="Times New Roman" w:eastAsia="宋体" w:cs="Times New Roman"/>
                      <w:color w:val="auto"/>
                      <w:kern w:val="0"/>
                      <w:szCs w:val="21"/>
                      <w:highlight w:val="none"/>
                    </w:rPr>
                    <w:t>°</w:t>
                  </w:r>
                  <w:r>
                    <w:rPr>
                      <w:rFonts w:hint="default" w:ascii="Times New Roman" w:hAnsi="Times New Roman" w:eastAsia="宋体" w:cs="Times New Roman"/>
                      <w:color w:val="auto"/>
                      <w:kern w:val="0"/>
                      <w:szCs w:val="21"/>
                      <w:highlight w:val="none"/>
                      <w:lang w:val="en-US" w:eastAsia="zh-CN"/>
                    </w:rPr>
                    <w:t>11</w:t>
                  </w:r>
                  <w:r>
                    <w:rPr>
                      <w:rFonts w:hint="default" w:ascii="Times New Roman" w:hAnsi="Times New Roman" w:eastAsia="宋体" w:cs="Times New Roman"/>
                      <w:color w:val="auto"/>
                      <w:kern w:val="0"/>
                      <w:szCs w:val="21"/>
                      <w:highlight w:val="none"/>
                    </w:rPr>
                    <w:t>′</w:t>
                  </w:r>
                  <w:r>
                    <w:rPr>
                      <w:rFonts w:hint="default" w:ascii="Times New Roman" w:hAnsi="Times New Roman" w:eastAsia="宋体" w:cs="Times New Roman"/>
                      <w:color w:val="auto"/>
                      <w:kern w:val="0"/>
                      <w:szCs w:val="21"/>
                      <w:highlight w:val="none"/>
                      <w:lang w:val="en-US" w:eastAsia="zh-CN"/>
                    </w:rPr>
                    <w:t>36.76</w:t>
                  </w:r>
                  <w:r>
                    <w:rPr>
                      <w:rFonts w:hint="default" w:ascii="Times New Roman" w:hAnsi="Times New Roman" w:eastAsia="宋体" w:cs="Times New Roman"/>
                      <w:color w:val="auto"/>
                      <w:kern w:val="0"/>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jc w:val="center"/>
              </w:trPr>
              <w:tc>
                <w:tcPr>
                  <w:tcW w:w="853" w:type="pct"/>
                  <w:vMerge w:val="continue"/>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rPr>
                  </w:pPr>
                </w:p>
              </w:tc>
              <w:tc>
                <w:tcPr>
                  <w:tcW w:w="763" w:type="pct"/>
                  <w:vMerge w:val="continue"/>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p>
              </w:tc>
              <w:tc>
                <w:tcPr>
                  <w:tcW w:w="557"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rPr>
                    <w:t>20</w:t>
                  </w:r>
                  <w:r>
                    <w:rPr>
                      <w:rFonts w:hint="default" w:ascii="Times New Roman" w:hAnsi="Times New Roman" w:eastAsia="宋体" w:cs="Times New Roman"/>
                      <w:color w:val="auto"/>
                      <w:kern w:val="0"/>
                      <w:szCs w:val="21"/>
                      <w:highlight w:val="none"/>
                      <w:lang w:val="en-US" w:eastAsia="zh-CN"/>
                    </w:rPr>
                    <w:t>25</w:t>
                  </w:r>
                  <w:r>
                    <w:rPr>
                      <w:rFonts w:hint="default" w:ascii="Times New Roman" w:hAnsi="Times New Roman" w:eastAsia="宋体" w:cs="Times New Roman"/>
                      <w:color w:val="auto"/>
                      <w:kern w:val="0"/>
                      <w:szCs w:val="21"/>
                      <w:highlight w:val="none"/>
                    </w:rPr>
                    <w:t>.</w:t>
                  </w:r>
                  <w:r>
                    <w:rPr>
                      <w:rFonts w:hint="default" w:ascii="Times New Roman" w:hAnsi="Times New Roman" w:eastAsia="宋体" w:cs="Times New Roman"/>
                      <w:color w:val="auto"/>
                      <w:kern w:val="0"/>
                      <w:szCs w:val="21"/>
                      <w:highlight w:val="none"/>
                      <w:lang w:val="en-US" w:eastAsia="zh-CN"/>
                    </w:rPr>
                    <w:t>1</w:t>
                  </w:r>
                  <w:r>
                    <w:rPr>
                      <w:rFonts w:hint="default" w:ascii="Times New Roman" w:hAnsi="Times New Roman" w:eastAsia="宋体" w:cs="Times New Roman"/>
                      <w:color w:val="auto"/>
                      <w:kern w:val="0"/>
                      <w:szCs w:val="21"/>
                      <w:highlight w:val="none"/>
                    </w:rPr>
                    <w:t>.</w:t>
                  </w:r>
                  <w:r>
                    <w:rPr>
                      <w:rFonts w:hint="default" w:ascii="Times New Roman" w:hAnsi="Times New Roman" w:eastAsia="宋体" w:cs="Times New Roman"/>
                      <w:color w:val="auto"/>
                      <w:kern w:val="0"/>
                      <w:szCs w:val="21"/>
                      <w:highlight w:val="none"/>
                      <w:lang w:val="en-US" w:eastAsia="zh-CN"/>
                    </w:rPr>
                    <w:t>21</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2025.1.22</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最大浓度标准指数</w:t>
                  </w:r>
                </w:p>
              </w:tc>
              <w:tc>
                <w:tcPr>
                  <w:tcW w:w="529"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20</w:t>
                  </w:r>
                  <w:r>
                    <w:rPr>
                      <w:rFonts w:hint="default" w:ascii="Times New Roman" w:hAnsi="Times New Roman" w:eastAsia="宋体" w:cs="Times New Roman"/>
                      <w:color w:val="auto"/>
                      <w:kern w:val="0"/>
                      <w:szCs w:val="21"/>
                      <w:highlight w:val="none"/>
                      <w:lang w:val="en-US" w:eastAsia="zh-CN"/>
                    </w:rPr>
                    <w:t>25</w:t>
                  </w:r>
                  <w:r>
                    <w:rPr>
                      <w:rFonts w:hint="default" w:ascii="Times New Roman" w:hAnsi="Times New Roman" w:eastAsia="宋体" w:cs="Times New Roman"/>
                      <w:color w:val="auto"/>
                      <w:kern w:val="0"/>
                      <w:szCs w:val="21"/>
                      <w:highlight w:val="none"/>
                    </w:rPr>
                    <w:t>.</w:t>
                  </w:r>
                  <w:r>
                    <w:rPr>
                      <w:rFonts w:hint="default" w:ascii="Times New Roman" w:hAnsi="Times New Roman" w:eastAsia="宋体" w:cs="Times New Roman"/>
                      <w:color w:val="auto"/>
                      <w:kern w:val="0"/>
                      <w:szCs w:val="21"/>
                      <w:highlight w:val="none"/>
                      <w:lang w:val="en-US" w:eastAsia="zh-CN"/>
                    </w:rPr>
                    <w:t>1</w:t>
                  </w:r>
                  <w:r>
                    <w:rPr>
                      <w:rFonts w:hint="default" w:ascii="Times New Roman" w:hAnsi="Times New Roman" w:eastAsia="宋体" w:cs="Times New Roman"/>
                      <w:color w:val="auto"/>
                      <w:kern w:val="0"/>
                      <w:szCs w:val="21"/>
                      <w:highlight w:val="none"/>
                    </w:rPr>
                    <w:t>.</w:t>
                  </w:r>
                  <w:r>
                    <w:rPr>
                      <w:rFonts w:hint="default" w:ascii="Times New Roman" w:hAnsi="Times New Roman" w:eastAsia="宋体" w:cs="Times New Roman"/>
                      <w:color w:val="auto"/>
                      <w:kern w:val="0"/>
                      <w:szCs w:val="21"/>
                      <w:highlight w:val="none"/>
                      <w:lang w:val="en-US" w:eastAsia="zh-CN"/>
                    </w:rPr>
                    <w:t>21</w:t>
                  </w:r>
                </w:p>
              </w:tc>
              <w:tc>
                <w:tcPr>
                  <w:tcW w:w="483"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lang w:val="en-US" w:eastAsia="zh-CN"/>
                    </w:rPr>
                    <w:t>2025.1.22</w:t>
                  </w:r>
                </w:p>
              </w:tc>
              <w:tc>
                <w:tcPr>
                  <w:tcW w:w="708"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最大浓度标准指数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6"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5"/>
                      <w:kern w:val="0"/>
                      <w:szCs w:val="21"/>
                      <w:highlight w:val="none"/>
                    </w:rPr>
                    <w:t>PH</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pacing w:val="-5"/>
                      <w:kern w:val="0"/>
                      <w:szCs w:val="21"/>
                      <w:highlight w:val="none"/>
                    </w:rPr>
                    <w:t>6-9</w:t>
                  </w:r>
                </w:p>
              </w:tc>
              <w:tc>
                <w:tcPr>
                  <w:tcW w:w="557"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7.7</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7.8</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0.86</w:t>
                  </w:r>
                </w:p>
              </w:tc>
              <w:tc>
                <w:tcPr>
                  <w:tcW w:w="529"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7.7</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pacing w:val="-5"/>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7.6</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0.85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0"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5"/>
                      <w:kern w:val="0"/>
                      <w:szCs w:val="21"/>
                      <w:highlight w:val="none"/>
                    </w:rPr>
                    <w:t>溶解氧</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7.5（饱和率90%）</w:t>
                  </w:r>
                </w:p>
              </w:tc>
              <w:tc>
                <w:tcPr>
                  <w:tcW w:w="557" w:type="pct"/>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14.11</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14.07</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color w:val="auto"/>
                      <w:kern w:val="0"/>
                      <w:szCs w:val="21"/>
                      <w:highlight w:val="none"/>
                      <w:lang w:val="en-US" w:eastAsia="zh-CN"/>
                    </w:rPr>
                  </w:pPr>
                  <w:r>
                    <w:rPr>
                      <w:rFonts w:hint="default" w:ascii="Times New Roman" w:hAnsi="Times New Roman" w:eastAsia="宋体" w:cs="Times New Roman"/>
                      <w:b w:val="0"/>
                      <w:bCs/>
                      <w:color w:val="auto"/>
                      <w:kern w:val="0"/>
                      <w:szCs w:val="21"/>
                      <w:highlight w:val="none"/>
                      <w:lang w:val="en-US" w:eastAsia="zh-CN"/>
                    </w:rPr>
                    <w:t>0.53</w:t>
                  </w:r>
                </w:p>
              </w:tc>
              <w:tc>
                <w:tcPr>
                  <w:tcW w:w="529" w:type="pct"/>
                  <w:shd w:val="clear" w:color="auto" w:fill="auto"/>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13.89</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13.94</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color w:val="auto"/>
                      <w:kern w:val="0"/>
                      <w:szCs w:val="21"/>
                      <w:highlight w:val="none"/>
                      <w:lang w:val="en-US" w:eastAsia="zh-CN"/>
                    </w:rPr>
                    <w:t>0.54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0"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5"/>
                      <w:kern w:val="0"/>
                      <w:szCs w:val="21"/>
                      <w:highlight w:val="none"/>
                    </w:rPr>
                    <w:t>高锰酸盐指数</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lang w:val="en-GB"/>
                    </w:rPr>
                    <w:t>≤</w:t>
                  </w:r>
                  <w:r>
                    <w:rPr>
                      <w:rFonts w:hint="default" w:ascii="Times New Roman" w:hAnsi="Times New Roman" w:eastAsia="宋体" w:cs="Times New Roman"/>
                      <w:color w:val="auto"/>
                      <w:szCs w:val="21"/>
                      <w:highlight w:val="none"/>
                      <w:lang w:val="en-US" w:eastAsia="zh-CN"/>
                    </w:rPr>
                    <w:t>2</w:t>
                  </w:r>
                </w:p>
              </w:tc>
              <w:tc>
                <w:tcPr>
                  <w:tcW w:w="557" w:type="pct"/>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1.2</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1.1</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0.60</w:t>
                  </w:r>
                </w:p>
              </w:tc>
              <w:tc>
                <w:tcPr>
                  <w:tcW w:w="529" w:type="pct"/>
                  <w:shd w:val="clear" w:color="auto" w:fill="auto"/>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1.2</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1.1</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0.60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0"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5"/>
                      <w:kern w:val="0"/>
                      <w:szCs w:val="21"/>
                      <w:highlight w:val="none"/>
                    </w:rPr>
                    <w:t>BOD</w:t>
                  </w:r>
                  <w:r>
                    <w:rPr>
                      <w:rFonts w:hint="default" w:ascii="Times New Roman" w:hAnsi="Times New Roman" w:eastAsia="宋体" w:cs="Times New Roman"/>
                      <w:color w:val="auto"/>
                      <w:spacing w:val="-5"/>
                      <w:kern w:val="0"/>
                      <w:szCs w:val="21"/>
                      <w:highlight w:val="none"/>
                      <w:vertAlign w:val="subscript"/>
                    </w:rPr>
                    <w:t>5</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lang w:val="en-GB"/>
                    </w:rPr>
                    <w:t>≤</w:t>
                  </w:r>
                  <w:r>
                    <w:rPr>
                      <w:rFonts w:hint="default" w:ascii="Times New Roman" w:hAnsi="Times New Roman" w:eastAsia="宋体" w:cs="Times New Roman"/>
                      <w:color w:val="auto"/>
                      <w:szCs w:val="21"/>
                      <w:highlight w:val="none"/>
                      <w:lang w:val="en-US" w:eastAsia="zh-CN"/>
                    </w:rPr>
                    <w:t>3</w:t>
                  </w:r>
                </w:p>
              </w:tc>
              <w:tc>
                <w:tcPr>
                  <w:tcW w:w="557" w:type="pct"/>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szCs w:val="21"/>
                      <w:highlight w:val="none"/>
                      <w:lang w:val="en-US" w:eastAsia="zh-CN"/>
                    </w:rPr>
                  </w:pPr>
                  <w:r>
                    <w:rPr>
                      <w:rFonts w:hint="default" w:ascii="Times New Roman" w:hAnsi="Times New Roman" w:eastAsia="宋体" w:cs="Times New Roman"/>
                      <w:b/>
                      <w:bCs/>
                      <w:color w:val="auto"/>
                      <w:szCs w:val="21"/>
                      <w:highlight w:val="none"/>
                      <w:lang w:val="en-US" w:eastAsia="zh-CN"/>
                    </w:rPr>
                    <w:t>4.1</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Cs w:val="21"/>
                      <w:highlight w:val="none"/>
                      <w:lang w:val="en-US" w:eastAsia="zh-CN"/>
                    </w:rPr>
                    <w:t>4.2</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0"/>
                      <w:szCs w:val="21"/>
                      <w:highlight w:val="none"/>
                      <w:lang w:val="en-US" w:eastAsia="zh-CN"/>
                    </w:rPr>
                  </w:pPr>
                  <w:r>
                    <w:rPr>
                      <w:rFonts w:hint="default" w:ascii="Times New Roman" w:hAnsi="Times New Roman" w:eastAsia="宋体" w:cs="Times New Roman"/>
                      <w:b/>
                      <w:bCs/>
                      <w:color w:val="auto"/>
                      <w:kern w:val="0"/>
                      <w:szCs w:val="21"/>
                      <w:highlight w:val="none"/>
                      <w:lang w:val="en-US" w:eastAsia="zh-CN"/>
                    </w:rPr>
                    <w:t>1.4</w:t>
                  </w:r>
                </w:p>
              </w:tc>
              <w:tc>
                <w:tcPr>
                  <w:tcW w:w="529" w:type="pct"/>
                  <w:shd w:val="clear" w:color="auto" w:fill="auto"/>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Cs w:val="21"/>
                      <w:highlight w:val="none"/>
                      <w:lang w:val="en-US" w:eastAsia="zh-CN"/>
                    </w:rPr>
                    <w:t>4.2</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Cs w:val="21"/>
                      <w:highlight w:val="none"/>
                      <w:lang w:val="en-US" w:eastAsia="zh-CN"/>
                    </w:rPr>
                    <w:t>4.4</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kern w:val="0"/>
                      <w:szCs w:val="21"/>
                      <w:highlight w:val="none"/>
                      <w:lang w:val="en-US" w:eastAsia="zh-CN"/>
                    </w:rPr>
                    <w:t>1.46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5"/>
                      <w:kern w:val="0"/>
                      <w:szCs w:val="21"/>
                      <w:highlight w:val="none"/>
                    </w:rPr>
                    <w:t>氨氮</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lang w:val="en-GB"/>
                    </w:rPr>
                    <w:t>≤</w:t>
                  </w:r>
                  <w:r>
                    <w:rPr>
                      <w:rFonts w:hint="default" w:ascii="Times New Roman" w:hAnsi="Times New Roman" w:eastAsia="宋体" w:cs="Times New Roman"/>
                      <w:color w:val="auto"/>
                      <w:szCs w:val="21"/>
                      <w:highlight w:val="none"/>
                      <w:lang w:val="en-US" w:eastAsia="zh-CN"/>
                    </w:rPr>
                    <w:t>0.15</w:t>
                  </w:r>
                </w:p>
              </w:tc>
              <w:tc>
                <w:tcPr>
                  <w:tcW w:w="557"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szCs w:val="21"/>
                      <w:highlight w:val="none"/>
                      <w:lang w:val="en-US" w:eastAsia="zh-CN"/>
                    </w:rPr>
                  </w:pPr>
                  <w:r>
                    <w:rPr>
                      <w:rFonts w:hint="default" w:ascii="Times New Roman" w:hAnsi="Times New Roman" w:eastAsia="宋体" w:cs="Times New Roman"/>
                      <w:b/>
                      <w:bCs w:val="0"/>
                      <w:color w:val="auto"/>
                      <w:szCs w:val="21"/>
                      <w:highlight w:val="none"/>
                      <w:lang w:val="en-US" w:eastAsia="zh-CN"/>
                    </w:rPr>
                    <w:t>0.316</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Cs w:val="21"/>
                      <w:highlight w:val="none"/>
                      <w:lang w:val="en-US" w:eastAsia="zh-CN"/>
                    </w:rPr>
                    <w:t>0.353</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kern w:val="0"/>
                      <w:szCs w:val="21"/>
                      <w:highlight w:val="none"/>
                      <w:lang w:val="en-US" w:eastAsia="zh-CN"/>
                    </w:rPr>
                  </w:pPr>
                  <w:r>
                    <w:rPr>
                      <w:rFonts w:hint="default" w:ascii="Times New Roman" w:hAnsi="Times New Roman" w:eastAsia="宋体" w:cs="Times New Roman"/>
                      <w:b/>
                      <w:bCs w:val="0"/>
                      <w:color w:val="auto"/>
                      <w:kern w:val="0"/>
                      <w:szCs w:val="21"/>
                      <w:highlight w:val="none"/>
                      <w:lang w:val="en-US" w:eastAsia="zh-CN"/>
                    </w:rPr>
                    <w:t>2.35</w:t>
                  </w:r>
                </w:p>
              </w:tc>
              <w:tc>
                <w:tcPr>
                  <w:tcW w:w="529"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Cs w:val="21"/>
                      <w:highlight w:val="none"/>
                      <w:lang w:val="en-US" w:eastAsia="zh-CN"/>
                    </w:rPr>
                    <w:t>0.325</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Cs w:val="21"/>
                      <w:highlight w:val="none"/>
                      <w:lang w:val="en-US" w:eastAsia="zh-CN"/>
                    </w:rPr>
                    <w:t>0.371</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Cs w:val="21"/>
                      <w:highlight w:val="none"/>
                      <w:lang w:val="en-US" w:eastAsia="zh-CN"/>
                    </w:rPr>
                    <w:t>2.47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pacing w:val="-5"/>
                      <w:kern w:val="0"/>
                      <w:szCs w:val="21"/>
                      <w:highlight w:val="none"/>
                      <w:lang w:val="en-US" w:eastAsia="zh-CN"/>
                    </w:rPr>
                  </w:pPr>
                  <w:r>
                    <w:rPr>
                      <w:rFonts w:hint="default" w:ascii="Times New Roman" w:hAnsi="Times New Roman" w:eastAsia="宋体" w:cs="Times New Roman"/>
                      <w:color w:val="auto"/>
                      <w:spacing w:val="-5"/>
                      <w:kern w:val="0"/>
                      <w:szCs w:val="21"/>
                      <w:highlight w:val="none"/>
                      <w:lang w:val="en-US" w:eastAsia="zh-CN"/>
                    </w:rPr>
                    <w:t>总磷</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0.02</w:t>
                  </w:r>
                </w:p>
              </w:tc>
              <w:tc>
                <w:tcPr>
                  <w:tcW w:w="557"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szCs w:val="21"/>
                      <w:highlight w:val="none"/>
                      <w:lang w:val="en-US" w:eastAsia="zh-CN"/>
                    </w:rPr>
                  </w:pPr>
                  <w:r>
                    <w:rPr>
                      <w:rFonts w:hint="default" w:ascii="Times New Roman" w:hAnsi="Times New Roman" w:eastAsia="宋体" w:cs="Times New Roman"/>
                      <w:b/>
                      <w:bCs w:val="0"/>
                      <w:color w:val="auto"/>
                      <w:szCs w:val="21"/>
                      <w:highlight w:val="none"/>
                      <w:lang w:val="en-US" w:eastAsia="zh-CN"/>
                    </w:rPr>
                    <w:t>0.06</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szCs w:val="21"/>
                      <w:highlight w:val="none"/>
                      <w:lang w:val="en-US" w:eastAsia="zh-CN"/>
                    </w:rPr>
                  </w:pPr>
                  <w:r>
                    <w:rPr>
                      <w:rFonts w:hint="default" w:ascii="Times New Roman" w:hAnsi="Times New Roman" w:eastAsia="宋体" w:cs="Times New Roman"/>
                      <w:b/>
                      <w:bCs w:val="0"/>
                      <w:color w:val="auto"/>
                      <w:szCs w:val="21"/>
                      <w:highlight w:val="none"/>
                      <w:lang w:val="en-US" w:eastAsia="zh-CN"/>
                    </w:rPr>
                    <w:t>0.03</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kern w:val="0"/>
                      <w:szCs w:val="21"/>
                      <w:highlight w:val="none"/>
                      <w:lang w:val="en-US" w:eastAsia="zh-CN"/>
                    </w:rPr>
                  </w:pPr>
                  <w:r>
                    <w:rPr>
                      <w:rFonts w:hint="default" w:ascii="Times New Roman" w:hAnsi="Times New Roman" w:eastAsia="宋体" w:cs="Times New Roman"/>
                      <w:b/>
                      <w:bCs w:val="0"/>
                      <w:color w:val="auto"/>
                      <w:kern w:val="0"/>
                      <w:szCs w:val="21"/>
                      <w:highlight w:val="none"/>
                      <w:lang w:val="en-US" w:eastAsia="zh-CN"/>
                    </w:rPr>
                    <w:t>3</w:t>
                  </w:r>
                </w:p>
              </w:tc>
              <w:tc>
                <w:tcPr>
                  <w:tcW w:w="529"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Cs w:val="21"/>
                      <w:highlight w:val="none"/>
                      <w:lang w:val="en-US" w:eastAsia="zh-CN"/>
                    </w:rPr>
                    <w:t>0.05</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Cs w:val="21"/>
                      <w:highlight w:val="none"/>
                      <w:lang w:val="en-US" w:eastAsia="zh-CN"/>
                    </w:rPr>
                    <w:t>0.04</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Cs w:val="21"/>
                      <w:highlight w:val="none"/>
                      <w:lang w:val="en-US" w:eastAsia="zh-CN"/>
                    </w:rPr>
                    <w:t>2.5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pacing w:val="-5"/>
                      <w:kern w:val="0"/>
                      <w:szCs w:val="21"/>
                      <w:highlight w:val="none"/>
                      <w:lang w:val="en-US" w:eastAsia="zh-CN"/>
                    </w:rPr>
                  </w:pPr>
                  <w:r>
                    <w:rPr>
                      <w:rFonts w:hint="default" w:ascii="Times New Roman" w:hAnsi="Times New Roman" w:eastAsia="宋体" w:cs="Times New Roman"/>
                      <w:color w:val="auto"/>
                      <w:spacing w:val="-5"/>
                      <w:kern w:val="0"/>
                      <w:szCs w:val="21"/>
                      <w:highlight w:val="none"/>
                      <w:lang w:val="en-US" w:eastAsia="zh-CN"/>
                    </w:rPr>
                    <w:t>总氮</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0.2</w:t>
                  </w:r>
                </w:p>
              </w:tc>
              <w:tc>
                <w:tcPr>
                  <w:tcW w:w="557"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szCs w:val="21"/>
                      <w:highlight w:val="none"/>
                      <w:lang w:val="en-US" w:eastAsia="zh-CN"/>
                    </w:rPr>
                  </w:pPr>
                  <w:r>
                    <w:rPr>
                      <w:rFonts w:hint="default" w:ascii="Times New Roman" w:hAnsi="Times New Roman" w:eastAsia="宋体" w:cs="Times New Roman"/>
                      <w:b/>
                      <w:bCs w:val="0"/>
                      <w:color w:val="auto"/>
                      <w:szCs w:val="21"/>
                      <w:highlight w:val="none"/>
                      <w:lang w:val="en-US" w:eastAsia="zh-CN"/>
                    </w:rPr>
                    <w:t>0.98</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szCs w:val="21"/>
                      <w:highlight w:val="none"/>
                      <w:lang w:val="en-US" w:eastAsia="zh-CN"/>
                    </w:rPr>
                  </w:pPr>
                  <w:r>
                    <w:rPr>
                      <w:rFonts w:hint="default" w:ascii="Times New Roman" w:hAnsi="Times New Roman" w:eastAsia="宋体" w:cs="Times New Roman"/>
                      <w:b/>
                      <w:bCs w:val="0"/>
                      <w:color w:val="auto"/>
                      <w:szCs w:val="21"/>
                      <w:highlight w:val="none"/>
                      <w:lang w:val="en-US" w:eastAsia="zh-CN"/>
                    </w:rPr>
                    <w:t>0.95</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kern w:val="0"/>
                      <w:szCs w:val="21"/>
                      <w:highlight w:val="none"/>
                      <w:lang w:val="en-US" w:eastAsia="zh-CN"/>
                    </w:rPr>
                  </w:pPr>
                  <w:r>
                    <w:rPr>
                      <w:rFonts w:hint="default" w:ascii="Times New Roman" w:hAnsi="Times New Roman" w:eastAsia="宋体" w:cs="Times New Roman"/>
                      <w:b/>
                      <w:bCs w:val="0"/>
                      <w:color w:val="auto"/>
                      <w:kern w:val="0"/>
                      <w:szCs w:val="21"/>
                      <w:highlight w:val="none"/>
                      <w:lang w:val="en-US" w:eastAsia="zh-CN"/>
                    </w:rPr>
                    <w:t>4.9</w:t>
                  </w:r>
                </w:p>
              </w:tc>
              <w:tc>
                <w:tcPr>
                  <w:tcW w:w="529"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Cs w:val="21"/>
                      <w:highlight w:val="none"/>
                      <w:lang w:val="en-US" w:eastAsia="zh-CN"/>
                    </w:rPr>
                    <w:t>0.97</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Cs w:val="21"/>
                      <w:highlight w:val="none"/>
                      <w:lang w:val="en-US" w:eastAsia="zh-CN"/>
                    </w:rPr>
                    <w:t>0.96</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Cs w:val="21"/>
                      <w:highlight w:val="none"/>
                      <w:lang w:val="en-US" w:eastAsia="zh-CN"/>
                    </w:rPr>
                    <w:t>4.85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0"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5"/>
                      <w:kern w:val="0"/>
                      <w:szCs w:val="21"/>
                      <w:highlight w:val="none"/>
                    </w:rPr>
                    <w:t>硝酸盐氮</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lang w:val="en-GB"/>
                    </w:rPr>
                    <w:t>10</w:t>
                  </w:r>
                </w:p>
              </w:tc>
              <w:tc>
                <w:tcPr>
                  <w:tcW w:w="557"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0.539</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0.543</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0.054</w:t>
                  </w:r>
                </w:p>
              </w:tc>
              <w:tc>
                <w:tcPr>
                  <w:tcW w:w="529"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0.486</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0.588</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0.059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0"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5"/>
                      <w:kern w:val="0"/>
                      <w:szCs w:val="21"/>
                      <w:highlight w:val="none"/>
                    </w:rPr>
                    <w:t>挥发酚</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lang w:val="en-GB"/>
                    </w:rPr>
                    <w:t>≤0.00</w:t>
                  </w:r>
                  <w:r>
                    <w:rPr>
                      <w:rFonts w:hint="default" w:ascii="Times New Roman" w:hAnsi="Times New Roman" w:eastAsia="宋体" w:cs="Times New Roman"/>
                      <w:color w:val="auto"/>
                      <w:szCs w:val="21"/>
                      <w:highlight w:val="none"/>
                      <w:lang w:val="en-US" w:eastAsia="zh-CN"/>
                    </w:rPr>
                    <w:t>2</w:t>
                  </w:r>
                </w:p>
              </w:tc>
              <w:tc>
                <w:tcPr>
                  <w:tcW w:w="557" w:type="pct"/>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＜0.0003</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GB" w:eastAsia="zh-CN" w:bidi="ar-SA"/>
                    </w:rPr>
                  </w:pPr>
                  <w:r>
                    <w:rPr>
                      <w:rFonts w:hint="default" w:ascii="Times New Roman" w:hAnsi="Times New Roman" w:eastAsia="宋体" w:cs="Times New Roman"/>
                      <w:color w:val="auto"/>
                      <w:szCs w:val="21"/>
                      <w:highlight w:val="none"/>
                      <w:lang w:val="en-US" w:eastAsia="zh-CN"/>
                    </w:rPr>
                    <w:t>＜0.0003</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0.15</w:t>
                  </w:r>
                </w:p>
              </w:tc>
              <w:tc>
                <w:tcPr>
                  <w:tcW w:w="529" w:type="pct"/>
                  <w:shd w:val="clear" w:color="auto" w:fill="auto"/>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＜0.0003</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＜0.0003</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0.15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15"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阴离子表面活性剂</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0.2</w:t>
                  </w:r>
                </w:p>
              </w:tc>
              <w:tc>
                <w:tcPr>
                  <w:tcW w:w="557" w:type="pct"/>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＜0.05</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＜0.05</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0.25</w:t>
                  </w:r>
                </w:p>
              </w:tc>
              <w:tc>
                <w:tcPr>
                  <w:tcW w:w="529" w:type="pct"/>
                  <w:shd w:val="clear" w:color="auto" w:fill="auto"/>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＜0.05</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＜0.05</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0.25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0"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5"/>
                      <w:kern w:val="0"/>
                      <w:szCs w:val="21"/>
                      <w:highlight w:val="none"/>
                      <w:lang w:val="en-US" w:eastAsia="zh-CN"/>
                    </w:rPr>
                    <w:t>石油类</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0.05</w:t>
                  </w:r>
                </w:p>
              </w:tc>
              <w:tc>
                <w:tcPr>
                  <w:tcW w:w="557"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0.02</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0.01</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0.40</w:t>
                  </w:r>
                </w:p>
              </w:tc>
              <w:tc>
                <w:tcPr>
                  <w:tcW w:w="529"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0.03</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0.01</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0.60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0"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5"/>
                      <w:kern w:val="0"/>
                      <w:szCs w:val="21"/>
                      <w:highlight w:val="none"/>
                      <w:lang w:val="en-US" w:eastAsia="zh-CN"/>
                    </w:rPr>
                    <w:t>硒</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lang w:val="en-GB"/>
                    </w:rPr>
                    <w:t>≤</w:t>
                  </w:r>
                  <w:r>
                    <w:rPr>
                      <w:rFonts w:hint="default" w:ascii="Times New Roman" w:hAnsi="Times New Roman" w:eastAsia="宋体" w:cs="Times New Roman"/>
                      <w:color w:val="auto"/>
                      <w:szCs w:val="21"/>
                      <w:highlight w:val="none"/>
                      <w:lang w:val="en-US" w:eastAsia="zh-CN"/>
                    </w:rPr>
                    <w:t>0.01</w:t>
                  </w:r>
                </w:p>
              </w:tc>
              <w:tc>
                <w:tcPr>
                  <w:tcW w:w="557"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＜4.0×10</w:t>
                  </w:r>
                  <w:r>
                    <w:rPr>
                      <w:rFonts w:hint="default" w:ascii="Times New Roman" w:hAnsi="Times New Roman" w:eastAsia="宋体" w:cs="Times New Roman"/>
                      <w:bCs/>
                      <w:color w:val="auto"/>
                      <w:szCs w:val="21"/>
                      <w:highlight w:val="none"/>
                      <w:vertAlign w:val="superscript"/>
                      <w:lang w:val="en-US" w:eastAsia="zh-CN"/>
                    </w:rPr>
                    <w:t>-4</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GB" w:eastAsia="zh-CN" w:bidi="ar-SA"/>
                    </w:rPr>
                  </w:pPr>
                  <w:r>
                    <w:rPr>
                      <w:rFonts w:hint="default" w:ascii="Times New Roman" w:hAnsi="Times New Roman" w:eastAsia="宋体" w:cs="Times New Roman"/>
                      <w:bCs/>
                      <w:color w:val="auto"/>
                      <w:szCs w:val="21"/>
                      <w:highlight w:val="none"/>
                      <w:lang w:val="en-US" w:eastAsia="zh-CN"/>
                    </w:rPr>
                    <w:t>＜4.0×10</w:t>
                  </w:r>
                  <w:r>
                    <w:rPr>
                      <w:rFonts w:hint="default" w:ascii="Times New Roman" w:hAnsi="Times New Roman" w:eastAsia="宋体" w:cs="Times New Roman"/>
                      <w:bCs/>
                      <w:color w:val="auto"/>
                      <w:szCs w:val="21"/>
                      <w:highlight w:val="none"/>
                      <w:vertAlign w:val="superscript"/>
                      <w:lang w:val="en-US" w:eastAsia="zh-CN"/>
                    </w:rPr>
                    <w:t>-4</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0.04</w:t>
                  </w:r>
                </w:p>
              </w:tc>
              <w:tc>
                <w:tcPr>
                  <w:tcW w:w="529"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＜4.0×10</w:t>
                  </w:r>
                  <w:r>
                    <w:rPr>
                      <w:rFonts w:hint="default" w:ascii="Times New Roman" w:hAnsi="Times New Roman" w:eastAsia="宋体" w:cs="Times New Roman"/>
                      <w:bCs/>
                      <w:color w:val="auto"/>
                      <w:szCs w:val="21"/>
                      <w:highlight w:val="none"/>
                      <w:vertAlign w:val="superscript"/>
                      <w:lang w:val="en-US" w:eastAsia="zh-CN"/>
                    </w:rPr>
                    <w:t>-4</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＜4.0×10</w:t>
                  </w:r>
                  <w:r>
                    <w:rPr>
                      <w:rFonts w:hint="default" w:ascii="Times New Roman" w:hAnsi="Times New Roman" w:eastAsia="宋体" w:cs="Times New Roman"/>
                      <w:bCs/>
                      <w:color w:val="auto"/>
                      <w:szCs w:val="21"/>
                      <w:highlight w:val="none"/>
                      <w:vertAlign w:val="superscript"/>
                      <w:lang w:val="en-US" w:eastAsia="zh-CN"/>
                    </w:rPr>
                    <w:t>-4</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0.04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0"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5"/>
                      <w:kern w:val="0"/>
                      <w:szCs w:val="21"/>
                      <w:highlight w:val="none"/>
                    </w:rPr>
                    <w:t>砷</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lang w:val="en-GB"/>
                    </w:rPr>
                    <w:t>≤0.05</w:t>
                  </w:r>
                </w:p>
              </w:tc>
              <w:tc>
                <w:tcPr>
                  <w:tcW w:w="557" w:type="pct"/>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4.1×10</w:t>
                  </w:r>
                  <w:r>
                    <w:rPr>
                      <w:rFonts w:hint="default" w:ascii="Times New Roman" w:hAnsi="Times New Roman" w:eastAsia="宋体" w:cs="Times New Roman"/>
                      <w:color w:val="auto"/>
                      <w:szCs w:val="21"/>
                      <w:highlight w:val="none"/>
                      <w:vertAlign w:val="superscript"/>
                      <w:lang w:val="en-US" w:eastAsia="zh-CN"/>
                    </w:rPr>
                    <w:t>-4</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4.1×10</w:t>
                  </w:r>
                  <w:r>
                    <w:rPr>
                      <w:rFonts w:hint="default" w:ascii="Times New Roman" w:hAnsi="Times New Roman" w:eastAsia="宋体" w:cs="Times New Roman"/>
                      <w:bCs/>
                      <w:color w:val="auto"/>
                      <w:szCs w:val="21"/>
                      <w:highlight w:val="none"/>
                      <w:vertAlign w:val="superscript"/>
                      <w:lang w:val="en-US" w:eastAsia="zh-CN"/>
                    </w:rPr>
                    <w:t>-4</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0.0082</w:t>
                  </w:r>
                </w:p>
              </w:tc>
              <w:tc>
                <w:tcPr>
                  <w:tcW w:w="529" w:type="pct"/>
                  <w:shd w:val="clear" w:color="auto" w:fill="auto"/>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4.8×10</w:t>
                  </w:r>
                  <w:r>
                    <w:rPr>
                      <w:rFonts w:hint="default" w:ascii="Times New Roman" w:hAnsi="Times New Roman" w:eastAsia="宋体" w:cs="Times New Roman"/>
                      <w:color w:val="auto"/>
                      <w:szCs w:val="21"/>
                      <w:highlight w:val="none"/>
                      <w:vertAlign w:val="superscript"/>
                      <w:lang w:val="en-US" w:eastAsia="zh-CN"/>
                    </w:rPr>
                    <w:t>-4</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5.1×10</w:t>
                  </w:r>
                  <w:r>
                    <w:rPr>
                      <w:rFonts w:hint="default" w:ascii="Times New Roman" w:hAnsi="Times New Roman" w:eastAsia="宋体" w:cs="Times New Roman"/>
                      <w:bCs/>
                      <w:color w:val="auto"/>
                      <w:szCs w:val="21"/>
                      <w:highlight w:val="none"/>
                      <w:vertAlign w:val="superscript"/>
                      <w:lang w:val="en-US" w:eastAsia="zh-CN"/>
                    </w:rPr>
                    <w:t>-4</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0.01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0"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5"/>
                      <w:kern w:val="0"/>
                      <w:szCs w:val="21"/>
                      <w:highlight w:val="none"/>
                    </w:rPr>
                    <w:t>汞</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lang w:val="en-GB"/>
                    </w:rPr>
                    <w:t>≤</w:t>
                  </w:r>
                  <w:r>
                    <w:rPr>
                      <w:rFonts w:hint="default" w:ascii="Times New Roman" w:hAnsi="Times New Roman" w:eastAsia="宋体" w:cs="Times New Roman"/>
                      <w:color w:val="auto"/>
                      <w:szCs w:val="21"/>
                      <w:highlight w:val="none"/>
                      <w:lang w:val="en-US" w:eastAsia="zh-CN"/>
                    </w:rPr>
                    <w:t>0.00005</w:t>
                  </w:r>
                </w:p>
              </w:tc>
              <w:tc>
                <w:tcPr>
                  <w:tcW w:w="557"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＜4.0×10</w:t>
                  </w:r>
                  <w:r>
                    <w:rPr>
                      <w:rFonts w:hint="default" w:ascii="Times New Roman" w:hAnsi="Times New Roman" w:eastAsia="宋体" w:cs="Times New Roman"/>
                      <w:bCs/>
                      <w:color w:val="auto"/>
                      <w:szCs w:val="21"/>
                      <w:highlight w:val="none"/>
                      <w:vertAlign w:val="superscript"/>
                      <w:lang w:val="en-US" w:eastAsia="zh-CN"/>
                    </w:rPr>
                    <w:t>-5</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GB" w:eastAsia="zh-CN" w:bidi="ar-SA"/>
                    </w:rPr>
                  </w:pPr>
                  <w:r>
                    <w:rPr>
                      <w:rFonts w:hint="default" w:ascii="Times New Roman" w:hAnsi="Times New Roman" w:eastAsia="宋体" w:cs="Times New Roman"/>
                      <w:bCs/>
                      <w:color w:val="auto"/>
                      <w:szCs w:val="21"/>
                      <w:highlight w:val="none"/>
                      <w:lang w:val="en-US" w:eastAsia="zh-CN"/>
                    </w:rPr>
                    <w:t>＜4.0×10</w:t>
                  </w:r>
                  <w:r>
                    <w:rPr>
                      <w:rFonts w:hint="default" w:ascii="Times New Roman" w:hAnsi="Times New Roman" w:eastAsia="宋体" w:cs="Times New Roman"/>
                      <w:bCs/>
                      <w:color w:val="auto"/>
                      <w:szCs w:val="21"/>
                      <w:highlight w:val="none"/>
                      <w:vertAlign w:val="superscript"/>
                      <w:lang w:val="en-US" w:eastAsia="zh-CN"/>
                    </w:rPr>
                    <w:t>-5</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0.80</w:t>
                  </w:r>
                </w:p>
              </w:tc>
              <w:tc>
                <w:tcPr>
                  <w:tcW w:w="529"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＜4.0×10</w:t>
                  </w:r>
                  <w:r>
                    <w:rPr>
                      <w:rFonts w:hint="default" w:ascii="Times New Roman" w:hAnsi="Times New Roman" w:eastAsia="宋体" w:cs="Times New Roman"/>
                      <w:bCs/>
                      <w:color w:val="auto"/>
                      <w:szCs w:val="21"/>
                      <w:highlight w:val="none"/>
                      <w:vertAlign w:val="superscript"/>
                      <w:lang w:val="en-US" w:eastAsia="zh-CN"/>
                    </w:rPr>
                    <w:t>-5</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＜4.0×10</w:t>
                  </w:r>
                  <w:r>
                    <w:rPr>
                      <w:rFonts w:hint="default" w:ascii="Times New Roman" w:hAnsi="Times New Roman" w:eastAsia="宋体" w:cs="Times New Roman"/>
                      <w:bCs/>
                      <w:color w:val="auto"/>
                      <w:szCs w:val="21"/>
                      <w:highlight w:val="none"/>
                      <w:vertAlign w:val="superscript"/>
                      <w:lang w:val="en-US" w:eastAsia="zh-CN"/>
                    </w:rPr>
                    <w:t>-5</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0.80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0"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5"/>
                      <w:kern w:val="0"/>
                      <w:szCs w:val="21"/>
                      <w:highlight w:val="none"/>
                    </w:rPr>
                    <w:t>六价铬</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lang w:val="en-GB"/>
                    </w:rPr>
                    <w:t>≤0.</w:t>
                  </w:r>
                  <w:r>
                    <w:rPr>
                      <w:rFonts w:hint="default" w:ascii="Times New Roman" w:hAnsi="Times New Roman" w:eastAsia="宋体" w:cs="Times New Roman"/>
                      <w:color w:val="auto"/>
                      <w:szCs w:val="21"/>
                      <w:highlight w:val="none"/>
                      <w:lang w:val="en-US" w:eastAsia="zh-CN"/>
                    </w:rPr>
                    <w:t>01</w:t>
                  </w:r>
                </w:p>
              </w:tc>
              <w:tc>
                <w:tcPr>
                  <w:tcW w:w="557"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0.008</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0.009</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0.90</w:t>
                  </w:r>
                </w:p>
              </w:tc>
              <w:tc>
                <w:tcPr>
                  <w:tcW w:w="529"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0.008</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0.009</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0.90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0"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5"/>
                      <w:kern w:val="0"/>
                      <w:szCs w:val="21"/>
                      <w:highlight w:val="none"/>
                    </w:rPr>
                    <w:t>铅</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lang w:val="en-GB"/>
                    </w:rPr>
                    <w:t>≤0.</w:t>
                  </w:r>
                  <w:r>
                    <w:rPr>
                      <w:rFonts w:hint="default" w:ascii="Times New Roman" w:hAnsi="Times New Roman" w:eastAsia="宋体" w:cs="Times New Roman"/>
                      <w:color w:val="auto"/>
                      <w:szCs w:val="21"/>
                      <w:highlight w:val="none"/>
                      <w:lang w:val="en-US" w:eastAsia="zh-CN"/>
                    </w:rPr>
                    <w:t>01</w:t>
                  </w:r>
                </w:p>
              </w:tc>
              <w:tc>
                <w:tcPr>
                  <w:tcW w:w="557"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7.1×10</w:t>
                  </w:r>
                  <w:r>
                    <w:rPr>
                      <w:rFonts w:hint="default" w:ascii="Times New Roman" w:hAnsi="Times New Roman" w:eastAsia="宋体" w:cs="Times New Roman"/>
                      <w:bCs/>
                      <w:color w:val="auto"/>
                      <w:szCs w:val="21"/>
                      <w:highlight w:val="none"/>
                      <w:vertAlign w:val="superscript"/>
                      <w:lang w:val="en-US" w:eastAsia="zh-CN"/>
                    </w:rPr>
                    <w:t>-3</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GB" w:eastAsia="zh-CN" w:bidi="ar-SA"/>
                    </w:rPr>
                  </w:pPr>
                  <w:r>
                    <w:rPr>
                      <w:rFonts w:hint="default" w:ascii="Times New Roman" w:hAnsi="Times New Roman" w:eastAsia="宋体" w:cs="Times New Roman"/>
                      <w:bCs/>
                      <w:color w:val="auto"/>
                      <w:szCs w:val="21"/>
                      <w:highlight w:val="none"/>
                      <w:lang w:val="en-US" w:eastAsia="zh-CN"/>
                    </w:rPr>
                    <w:t>8.7×10</w:t>
                  </w:r>
                  <w:r>
                    <w:rPr>
                      <w:rFonts w:hint="default" w:ascii="Times New Roman" w:hAnsi="Times New Roman" w:eastAsia="宋体" w:cs="Times New Roman"/>
                      <w:bCs/>
                      <w:color w:val="auto"/>
                      <w:szCs w:val="21"/>
                      <w:highlight w:val="none"/>
                      <w:vertAlign w:val="superscript"/>
                      <w:lang w:val="en-US" w:eastAsia="zh-CN"/>
                    </w:rPr>
                    <w:t>-3</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0.87</w:t>
                  </w:r>
                </w:p>
              </w:tc>
              <w:tc>
                <w:tcPr>
                  <w:tcW w:w="529"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7.4×10</w:t>
                  </w:r>
                  <w:r>
                    <w:rPr>
                      <w:rFonts w:hint="default" w:ascii="Times New Roman" w:hAnsi="Times New Roman" w:eastAsia="宋体" w:cs="Times New Roman"/>
                      <w:bCs/>
                      <w:color w:val="auto"/>
                      <w:szCs w:val="21"/>
                      <w:highlight w:val="none"/>
                      <w:vertAlign w:val="superscript"/>
                      <w:lang w:val="en-US" w:eastAsia="zh-CN"/>
                    </w:rPr>
                    <w:t>-3</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6.3×10</w:t>
                  </w:r>
                  <w:r>
                    <w:rPr>
                      <w:rFonts w:hint="default" w:ascii="Times New Roman" w:hAnsi="Times New Roman" w:eastAsia="宋体" w:cs="Times New Roman"/>
                      <w:bCs/>
                      <w:color w:val="auto"/>
                      <w:szCs w:val="21"/>
                      <w:highlight w:val="none"/>
                      <w:vertAlign w:val="superscript"/>
                      <w:lang w:val="en-US" w:eastAsia="zh-CN"/>
                    </w:rPr>
                    <w:t>-3</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0.74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5"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5"/>
                      <w:kern w:val="0"/>
                      <w:szCs w:val="21"/>
                      <w:highlight w:val="none"/>
                    </w:rPr>
                    <w:t>镉</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lang w:val="en-GB"/>
                    </w:rPr>
                    <w:t>≤0.00</w:t>
                  </w:r>
                  <w:r>
                    <w:rPr>
                      <w:rFonts w:hint="default" w:ascii="Times New Roman" w:hAnsi="Times New Roman" w:eastAsia="宋体" w:cs="Times New Roman"/>
                      <w:color w:val="auto"/>
                      <w:szCs w:val="21"/>
                      <w:highlight w:val="none"/>
                      <w:lang w:val="en-US" w:eastAsia="zh-CN"/>
                    </w:rPr>
                    <w:t>1</w:t>
                  </w:r>
                </w:p>
              </w:tc>
              <w:tc>
                <w:tcPr>
                  <w:tcW w:w="557"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7.5×10</w:t>
                  </w:r>
                  <w:r>
                    <w:rPr>
                      <w:rFonts w:hint="default" w:ascii="Times New Roman" w:hAnsi="Times New Roman" w:eastAsia="宋体" w:cs="Times New Roman"/>
                      <w:bCs/>
                      <w:color w:val="auto"/>
                      <w:szCs w:val="21"/>
                      <w:highlight w:val="none"/>
                      <w:vertAlign w:val="superscript"/>
                      <w:lang w:val="en-US" w:eastAsia="zh-CN"/>
                    </w:rPr>
                    <w:t>-4</w:t>
                  </w:r>
                </w:p>
              </w:tc>
              <w:tc>
                <w:tcPr>
                  <w:tcW w:w="534" w:type="pct"/>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GB" w:eastAsia="zh-CN" w:bidi="ar-SA"/>
                    </w:rPr>
                  </w:pPr>
                  <w:r>
                    <w:rPr>
                      <w:rFonts w:hint="default" w:ascii="Times New Roman" w:hAnsi="Times New Roman" w:eastAsia="宋体" w:cs="Times New Roman"/>
                      <w:bCs/>
                      <w:color w:val="auto"/>
                      <w:szCs w:val="21"/>
                      <w:highlight w:val="none"/>
                      <w:lang w:val="en-US" w:eastAsia="zh-CN"/>
                    </w:rPr>
                    <w:t>8.4×10</w:t>
                  </w:r>
                  <w:r>
                    <w:rPr>
                      <w:rFonts w:hint="default" w:ascii="Times New Roman" w:hAnsi="Times New Roman" w:eastAsia="宋体" w:cs="Times New Roman"/>
                      <w:bCs/>
                      <w:color w:val="auto"/>
                      <w:szCs w:val="21"/>
                      <w:highlight w:val="none"/>
                      <w:vertAlign w:val="superscript"/>
                      <w:lang w:val="en-US" w:eastAsia="zh-CN"/>
                    </w:rPr>
                    <w:t>-4</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0.84</w:t>
                  </w:r>
                </w:p>
              </w:tc>
              <w:tc>
                <w:tcPr>
                  <w:tcW w:w="529"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7.9×10</w:t>
                  </w:r>
                  <w:r>
                    <w:rPr>
                      <w:rFonts w:hint="default" w:ascii="Times New Roman" w:hAnsi="Times New Roman" w:eastAsia="宋体" w:cs="Times New Roman"/>
                      <w:bCs/>
                      <w:color w:val="auto"/>
                      <w:szCs w:val="21"/>
                      <w:highlight w:val="none"/>
                      <w:vertAlign w:val="superscript"/>
                      <w:lang w:val="en-US" w:eastAsia="zh-CN"/>
                    </w:rPr>
                    <w:t>-4</w:t>
                  </w:r>
                </w:p>
              </w:tc>
              <w:tc>
                <w:tcPr>
                  <w:tcW w:w="483" w:type="pct"/>
                  <w:shd w:val="clear" w:color="auto" w:fill="auto"/>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7.0×10</w:t>
                  </w:r>
                  <w:r>
                    <w:rPr>
                      <w:rFonts w:hint="default" w:ascii="Times New Roman" w:hAnsi="Times New Roman" w:eastAsia="宋体" w:cs="Times New Roman"/>
                      <w:bCs/>
                      <w:color w:val="auto"/>
                      <w:szCs w:val="21"/>
                      <w:highlight w:val="none"/>
                      <w:vertAlign w:val="superscript"/>
                      <w:lang w:val="en-US" w:eastAsia="zh-CN"/>
                    </w:rPr>
                    <w:t>-4</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0.79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0"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5"/>
                      <w:kern w:val="0"/>
                      <w:szCs w:val="21"/>
                      <w:highlight w:val="none"/>
                      <w:lang w:val="en-US" w:eastAsia="zh-CN"/>
                    </w:rPr>
                    <w:t>锰</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0.1</w:t>
                  </w:r>
                </w:p>
              </w:tc>
              <w:tc>
                <w:tcPr>
                  <w:tcW w:w="557" w:type="pct"/>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＜0.01</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＜0.01</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0.10</w:t>
                  </w:r>
                </w:p>
              </w:tc>
              <w:tc>
                <w:tcPr>
                  <w:tcW w:w="529" w:type="pct"/>
                  <w:shd w:val="clear" w:color="auto" w:fill="auto"/>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＜0.01</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＜0.01</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0.10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5"/>
                      <w:kern w:val="0"/>
                      <w:szCs w:val="21"/>
                      <w:highlight w:val="none"/>
                    </w:rPr>
                    <w:t>硫酸根</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lang w:val="en-GB"/>
                    </w:rPr>
                    <w:t>250</w:t>
                  </w:r>
                </w:p>
              </w:tc>
              <w:tc>
                <w:tcPr>
                  <w:tcW w:w="557"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211</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214</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0.856</w:t>
                  </w:r>
                </w:p>
              </w:tc>
              <w:tc>
                <w:tcPr>
                  <w:tcW w:w="529"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206</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205</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0.82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8"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5"/>
                      <w:kern w:val="0"/>
                      <w:szCs w:val="21"/>
                      <w:highlight w:val="none"/>
                    </w:rPr>
                    <w:t>氯化物</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lang w:val="en-GB"/>
                    </w:rPr>
                    <w:t>250</w:t>
                  </w:r>
                </w:p>
              </w:tc>
              <w:tc>
                <w:tcPr>
                  <w:tcW w:w="557" w:type="pct"/>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243</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246</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0.984</w:t>
                  </w:r>
                </w:p>
              </w:tc>
              <w:tc>
                <w:tcPr>
                  <w:tcW w:w="529" w:type="pct"/>
                  <w:shd w:val="clear" w:color="auto" w:fill="auto"/>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245</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246</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0.984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0"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5"/>
                      <w:kern w:val="0"/>
                      <w:szCs w:val="21"/>
                      <w:highlight w:val="none"/>
                    </w:rPr>
                    <w:t>CODcr</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lang w:val="en-GB"/>
                    </w:rPr>
                    <w:t>≤</w:t>
                  </w:r>
                  <w:r>
                    <w:rPr>
                      <w:rFonts w:hint="default" w:ascii="Times New Roman" w:hAnsi="Times New Roman" w:eastAsia="宋体" w:cs="Times New Roman"/>
                      <w:color w:val="auto"/>
                      <w:szCs w:val="21"/>
                      <w:highlight w:val="none"/>
                      <w:lang w:val="en-US" w:eastAsia="zh-CN"/>
                    </w:rPr>
                    <w:t>15</w:t>
                  </w:r>
                </w:p>
              </w:tc>
              <w:tc>
                <w:tcPr>
                  <w:tcW w:w="557"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szCs w:val="21"/>
                      <w:highlight w:val="none"/>
                      <w:lang w:val="en-US" w:eastAsia="zh-CN"/>
                    </w:rPr>
                  </w:pPr>
                  <w:r>
                    <w:rPr>
                      <w:rFonts w:hint="default" w:ascii="Times New Roman" w:hAnsi="Times New Roman" w:eastAsia="宋体" w:cs="Times New Roman"/>
                      <w:b/>
                      <w:bCs/>
                      <w:color w:val="auto"/>
                      <w:szCs w:val="21"/>
                      <w:highlight w:val="none"/>
                      <w:lang w:val="en-US" w:eastAsia="zh-CN"/>
                    </w:rPr>
                    <w:t>20</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19</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0"/>
                      <w:szCs w:val="21"/>
                      <w:highlight w:val="none"/>
                      <w:lang w:val="en-US" w:eastAsia="zh-CN"/>
                    </w:rPr>
                  </w:pPr>
                  <w:r>
                    <w:rPr>
                      <w:rFonts w:hint="default" w:ascii="Times New Roman" w:hAnsi="Times New Roman" w:eastAsia="宋体" w:cs="Times New Roman"/>
                      <w:b/>
                      <w:bCs/>
                      <w:color w:val="auto"/>
                      <w:kern w:val="0"/>
                      <w:szCs w:val="21"/>
                      <w:highlight w:val="none"/>
                      <w:lang w:val="en-US" w:eastAsia="zh-CN"/>
                    </w:rPr>
                    <w:t>1.33</w:t>
                  </w:r>
                </w:p>
              </w:tc>
              <w:tc>
                <w:tcPr>
                  <w:tcW w:w="529"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Cs w:val="21"/>
                      <w:highlight w:val="none"/>
                      <w:lang w:val="en-US" w:eastAsia="zh-CN"/>
                    </w:rPr>
                    <w:t>20</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20</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kern w:val="0"/>
                      <w:szCs w:val="21"/>
                      <w:highlight w:val="none"/>
                      <w:lang w:val="en-US" w:eastAsia="zh-CN"/>
                    </w:rPr>
                    <w:t>1.33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0"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5"/>
                      <w:kern w:val="0"/>
                      <w:szCs w:val="21"/>
                      <w:highlight w:val="none"/>
                    </w:rPr>
                    <w:t>铜</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lang w:val="en-GB"/>
                    </w:rPr>
                    <w:t>≤</w:t>
                  </w:r>
                  <w:r>
                    <w:rPr>
                      <w:rFonts w:hint="default" w:ascii="Times New Roman" w:hAnsi="Times New Roman" w:eastAsia="宋体" w:cs="Times New Roman"/>
                      <w:color w:val="auto"/>
                      <w:szCs w:val="21"/>
                      <w:highlight w:val="none"/>
                      <w:lang w:val="en-US" w:eastAsia="zh-CN"/>
                    </w:rPr>
                    <w:t>0.01</w:t>
                  </w:r>
                </w:p>
              </w:tc>
              <w:tc>
                <w:tcPr>
                  <w:tcW w:w="557"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＜1×10</w:t>
                  </w:r>
                  <w:r>
                    <w:rPr>
                      <w:rFonts w:hint="default" w:ascii="Times New Roman" w:hAnsi="Times New Roman" w:eastAsia="宋体" w:cs="Times New Roman"/>
                      <w:color w:val="auto"/>
                      <w:szCs w:val="21"/>
                      <w:highlight w:val="none"/>
                      <w:vertAlign w:val="superscript"/>
                      <w:lang w:val="en-US" w:eastAsia="zh-CN"/>
                    </w:rPr>
                    <w:t>-3</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GB" w:eastAsia="zh-CN" w:bidi="ar-SA"/>
                    </w:rPr>
                  </w:pPr>
                  <w:r>
                    <w:rPr>
                      <w:rFonts w:hint="default" w:ascii="Times New Roman" w:hAnsi="Times New Roman" w:eastAsia="宋体" w:cs="Times New Roman"/>
                      <w:color w:val="auto"/>
                      <w:szCs w:val="21"/>
                      <w:highlight w:val="none"/>
                      <w:lang w:val="en-US" w:eastAsia="zh-CN"/>
                    </w:rPr>
                    <w:t>＜1×10</w:t>
                  </w:r>
                  <w:r>
                    <w:rPr>
                      <w:rFonts w:hint="default" w:ascii="Times New Roman" w:hAnsi="Times New Roman" w:eastAsia="宋体" w:cs="Times New Roman"/>
                      <w:color w:val="auto"/>
                      <w:szCs w:val="21"/>
                      <w:highlight w:val="none"/>
                      <w:vertAlign w:val="superscript"/>
                      <w:lang w:val="en-US" w:eastAsia="zh-CN"/>
                    </w:rPr>
                    <w:t>-3</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0.10</w:t>
                  </w:r>
                </w:p>
              </w:tc>
              <w:tc>
                <w:tcPr>
                  <w:tcW w:w="529"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＜1×10</w:t>
                  </w:r>
                  <w:r>
                    <w:rPr>
                      <w:rFonts w:hint="default" w:ascii="Times New Roman" w:hAnsi="Times New Roman" w:eastAsia="宋体" w:cs="Times New Roman"/>
                      <w:color w:val="auto"/>
                      <w:szCs w:val="21"/>
                      <w:highlight w:val="none"/>
                      <w:vertAlign w:val="superscript"/>
                      <w:lang w:val="en-US" w:eastAsia="zh-CN"/>
                    </w:rPr>
                    <w:t>-3</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＜1×10</w:t>
                  </w:r>
                  <w:r>
                    <w:rPr>
                      <w:rFonts w:hint="default" w:ascii="Times New Roman" w:hAnsi="Times New Roman" w:eastAsia="宋体" w:cs="Times New Roman"/>
                      <w:color w:val="auto"/>
                      <w:szCs w:val="21"/>
                      <w:highlight w:val="none"/>
                      <w:vertAlign w:val="superscript"/>
                      <w:lang w:val="en-US" w:eastAsia="zh-CN"/>
                    </w:rPr>
                    <w:t>-3</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0.10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0"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5"/>
                      <w:kern w:val="0"/>
                      <w:szCs w:val="21"/>
                      <w:highlight w:val="none"/>
                    </w:rPr>
                    <w:t>锌</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lang w:val="en-GB"/>
                    </w:rPr>
                    <w:t>≤</w:t>
                  </w:r>
                  <w:r>
                    <w:rPr>
                      <w:rFonts w:hint="default" w:ascii="Times New Roman" w:hAnsi="Times New Roman" w:eastAsia="宋体" w:cs="Times New Roman"/>
                      <w:color w:val="auto"/>
                      <w:szCs w:val="21"/>
                      <w:highlight w:val="none"/>
                      <w:lang w:val="en-US" w:eastAsia="zh-CN"/>
                    </w:rPr>
                    <w:t>0.05</w:t>
                  </w:r>
                </w:p>
              </w:tc>
              <w:tc>
                <w:tcPr>
                  <w:tcW w:w="557"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＜0.02</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＜0.02</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0.40</w:t>
                  </w:r>
                </w:p>
              </w:tc>
              <w:tc>
                <w:tcPr>
                  <w:tcW w:w="529"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＜0.02</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＜0.02</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0.40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0"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5"/>
                      <w:kern w:val="0"/>
                      <w:szCs w:val="21"/>
                      <w:highlight w:val="none"/>
                      <w:lang w:val="en-US" w:eastAsia="zh-CN"/>
                    </w:rPr>
                    <w:t>铁</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0.3</w:t>
                  </w:r>
                </w:p>
              </w:tc>
              <w:tc>
                <w:tcPr>
                  <w:tcW w:w="557"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＜0.03</w:t>
                  </w:r>
                </w:p>
              </w:tc>
              <w:tc>
                <w:tcPr>
                  <w:tcW w:w="534" w:type="pct"/>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＜0.03</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0.10</w:t>
                  </w:r>
                </w:p>
              </w:tc>
              <w:tc>
                <w:tcPr>
                  <w:tcW w:w="529"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＜0.03</w:t>
                  </w:r>
                </w:p>
              </w:tc>
              <w:tc>
                <w:tcPr>
                  <w:tcW w:w="483" w:type="pct"/>
                  <w:shd w:val="clear" w:color="auto" w:fill="auto"/>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＜0.03</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0.10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0"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5"/>
                      <w:kern w:val="0"/>
                      <w:szCs w:val="21"/>
                      <w:highlight w:val="none"/>
                    </w:rPr>
                    <w:t>氟化物（以F</w:t>
                  </w:r>
                  <w:r>
                    <w:rPr>
                      <w:rFonts w:hint="default" w:ascii="Times New Roman" w:hAnsi="Times New Roman" w:eastAsia="宋体" w:cs="Times New Roman"/>
                      <w:color w:val="auto"/>
                      <w:spacing w:val="-5"/>
                      <w:kern w:val="0"/>
                      <w:szCs w:val="21"/>
                      <w:highlight w:val="none"/>
                      <w:vertAlign w:val="superscript"/>
                    </w:rPr>
                    <w:t>-</w:t>
                  </w:r>
                  <w:r>
                    <w:rPr>
                      <w:rFonts w:hint="default" w:ascii="Times New Roman" w:hAnsi="Times New Roman" w:eastAsia="宋体" w:cs="Times New Roman"/>
                      <w:color w:val="auto"/>
                      <w:spacing w:val="-5"/>
                      <w:kern w:val="0"/>
                      <w:szCs w:val="21"/>
                      <w:highlight w:val="none"/>
                    </w:rPr>
                    <w:t>计）</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lang w:val="en-GB"/>
                    </w:rPr>
                    <w:t>≤1.0</w:t>
                  </w:r>
                </w:p>
              </w:tc>
              <w:tc>
                <w:tcPr>
                  <w:tcW w:w="557"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0.387</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0.441</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0.441</w:t>
                  </w:r>
                </w:p>
              </w:tc>
              <w:tc>
                <w:tcPr>
                  <w:tcW w:w="529"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0.390</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0.407</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0.407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2"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5"/>
                      <w:kern w:val="0"/>
                      <w:szCs w:val="21"/>
                      <w:highlight w:val="none"/>
                    </w:rPr>
                    <w:t>硫化物</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lang w:val="en-GB"/>
                    </w:rPr>
                    <w:t>≤0.</w:t>
                  </w:r>
                  <w:r>
                    <w:rPr>
                      <w:rFonts w:hint="default" w:ascii="Times New Roman" w:hAnsi="Times New Roman" w:eastAsia="宋体" w:cs="Times New Roman"/>
                      <w:color w:val="auto"/>
                      <w:szCs w:val="21"/>
                      <w:highlight w:val="none"/>
                      <w:lang w:val="en-US" w:eastAsia="zh-CN"/>
                    </w:rPr>
                    <w:t>05</w:t>
                  </w:r>
                </w:p>
              </w:tc>
              <w:tc>
                <w:tcPr>
                  <w:tcW w:w="557"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＜0.01</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GB" w:eastAsia="zh-CN" w:bidi="ar-SA"/>
                    </w:rPr>
                  </w:pPr>
                  <w:r>
                    <w:rPr>
                      <w:rFonts w:hint="default" w:ascii="Times New Roman" w:hAnsi="Times New Roman" w:eastAsia="宋体" w:cs="Times New Roman"/>
                      <w:bCs/>
                      <w:color w:val="auto"/>
                      <w:szCs w:val="21"/>
                      <w:highlight w:val="none"/>
                      <w:lang w:val="en-US" w:eastAsia="zh-CN"/>
                    </w:rPr>
                    <w:t>＜0.01</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0.20</w:t>
                  </w:r>
                </w:p>
              </w:tc>
              <w:tc>
                <w:tcPr>
                  <w:tcW w:w="529"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＜0.01</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＜0.01</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0.20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2"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color w:val="auto"/>
                      <w:spacing w:val="-5"/>
                      <w:kern w:val="0"/>
                      <w:szCs w:val="21"/>
                      <w:highlight w:val="none"/>
                    </w:rPr>
                    <w:t>粪大肠菌群个/L</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lang w:val="en-GB"/>
                    </w:rPr>
                    <w:t>≤</w:t>
                  </w:r>
                  <w:r>
                    <w:rPr>
                      <w:rFonts w:hint="default" w:ascii="Times New Roman" w:hAnsi="Times New Roman" w:eastAsia="宋体" w:cs="Times New Roman"/>
                      <w:color w:val="auto"/>
                      <w:szCs w:val="21"/>
                      <w:highlight w:val="none"/>
                      <w:lang w:val="en-US" w:eastAsia="zh-CN"/>
                    </w:rPr>
                    <w:t>200</w:t>
                  </w:r>
                </w:p>
              </w:tc>
              <w:tc>
                <w:tcPr>
                  <w:tcW w:w="557"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160</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150</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0.80</w:t>
                  </w:r>
                </w:p>
              </w:tc>
              <w:tc>
                <w:tcPr>
                  <w:tcW w:w="529"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160</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150</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0.80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2" w:hRule="atLeast"/>
                <w:jc w:val="center"/>
              </w:trPr>
              <w:tc>
                <w:tcPr>
                  <w:tcW w:w="853" w:type="pct"/>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pacing w:val="-5"/>
                      <w:kern w:val="0"/>
                      <w:szCs w:val="21"/>
                      <w:highlight w:val="none"/>
                      <w:lang w:val="en-US" w:eastAsia="zh-CN"/>
                    </w:rPr>
                  </w:pPr>
                  <w:r>
                    <w:rPr>
                      <w:rFonts w:hint="default" w:ascii="Times New Roman" w:hAnsi="Times New Roman" w:eastAsia="宋体" w:cs="Times New Roman"/>
                      <w:color w:val="auto"/>
                      <w:spacing w:val="-5"/>
                      <w:kern w:val="0"/>
                      <w:szCs w:val="21"/>
                      <w:highlight w:val="none"/>
                      <w:lang w:val="en-US" w:eastAsia="zh-CN"/>
                    </w:rPr>
                    <w:t>氰化物</w:t>
                  </w:r>
                </w:p>
              </w:tc>
              <w:tc>
                <w:tcPr>
                  <w:tcW w:w="763" w:type="pct"/>
                  <w:shd w:val="clear" w:color="auto" w:fill="auto"/>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0.005</w:t>
                  </w:r>
                </w:p>
              </w:tc>
              <w:tc>
                <w:tcPr>
                  <w:tcW w:w="557"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＜0.004</w:t>
                  </w:r>
                </w:p>
              </w:tc>
              <w:tc>
                <w:tcPr>
                  <w:tcW w:w="53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＜0.004</w:t>
                  </w:r>
                </w:p>
              </w:tc>
              <w:tc>
                <w:tcPr>
                  <w:tcW w:w="570"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0.80</w:t>
                  </w:r>
                </w:p>
              </w:tc>
              <w:tc>
                <w:tcPr>
                  <w:tcW w:w="529"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＜0.004</w:t>
                  </w:r>
                </w:p>
              </w:tc>
              <w:tc>
                <w:tcPr>
                  <w:tcW w:w="483"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＜0.004</w:t>
                  </w:r>
                </w:p>
              </w:tc>
              <w:tc>
                <w:tcPr>
                  <w:tcW w:w="708" w:type="pct"/>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0.80</w:t>
                  </w:r>
                </w:p>
              </w:tc>
            </w:tr>
          </w:tbl>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Cs/>
                <w:color w:val="auto"/>
                <w:kern w:val="0"/>
                <w:sz w:val="24"/>
                <w:szCs w:val="24"/>
                <w:lang w:val="en-US" w:eastAsia="zh-CN"/>
              </w:rPr>
            </w:pPr>
            <w:r>
              <w:rPr>
                <w:rFonts w:hint="default" w:ascii="Times New Roman" w:hAnsi="Times New Roman" w:eastAsia="宋体" w:cs="Times New Roman"/>
                <w:bCs/>
                <w:color w:val="auto"/>
                <w:kern w:val="0"/>
                <w:sz w:val="24"/>
                <w:szCs w:val="24"/>
                <w:lang w:val="en-US" w:eastAsia="zh-CN"/>
              </w:rPr>
              <w:t>由下表可知，所监测的各项地表水水质指标中BOD</w:t>
            </w:r>
            <w:r>
              <w:rPr>
                <w:rFonts w:hint="default" w:ascii="Times New Roman" w:hAnsi="Times New Roman" w:eastAsia="宋体" w:cs="Times New Roman"/>
                <w:bCs/>
                <w:color w:val="auto"/>
                <w:kern w:val="0"/>
                <w:sz w:val="24"/>
                <w:szCs w:val="24"/>
                <w:vertAlign w:val="subscript"/>
                <w:lang w:val="en-US" w:eastAsia="zh-CN"/>
              </w:rPr>
              <w:t>5</w:t>
            </w:r>
            <w:r>
              <w:rPr>
                <w:rFonts w:hint="default" w:ascii="Times New Roman" w:hAnsi="Times New Roman" w:eastAsia="宋体" w:cs="Times New Roman"/>
                <w:bCs/>
                <w:color w:val="auto"/>
                <w:kern w:val="0"/>
                <w:sz w:val="24"/>
                <w:szCs w:val="24"/>
                <w:lang w:val="en-US" w:eastAsia="zh-CN"/>
              </w:rPr>
              <w:t>、氨氮、总磷、总氮、COD超出《地表水环境质量标准》（GB/3838-2002）中Ⅰ类标准，其余指标均符合标准，根据现场踏勘，超标原因为当地牧民牛羊粪便污染所导致。</w:t>
            </w:r>
          </w:p>
          <w:p>
            <w:pPr>
              <w:pStyle w:val="27"/>
              <w:jc w:val="center"/>
              <w:outlineLvl w:val="0"/>
              <w:rPr>
                <w:rFonts w:hint="default" w:ascii="Times New Roman" w:hAnsi="Times New Roman" w:eastAsia="宋体" w:cs="Times New Roman"/>
                <w:snapToGrid w:val="0"/>
                <w:color w:val="auto"/>
                <w:sz w:val="21"/>
                <w:szCs w:val="21"/>
                <w:vertAlign w:val="baseline"/>
              </w:rPr>
            </w:pPr>
          </w:p>
        </w:tc>
      </w:tr>
    </w:tbl>
    <w:p>
      <w:pPr>
        <w:pStyle w:val="27"/>
        <w:jc w:val="center"/>
        <w:outlineLvl w:val="0"/>
        <w:rPr>
          <w:rFonts w:hint="default" w:ascii="Times New Roman" w:hAnsi="Times New Roman" w:eastAsia="黑体" w:cs="Times New Roman"/>
          <w:snapToGrid w:val="0"/>
          <w:color w:val="auto"/>
          <w:sz w:val="21"/>
          <w:szCs w:val="21"/>
        </w:rPr>
        <w:sectPr>
          <w:pgSz w:w="16840" w:h="11907" w:orient="landscape"/>
          <w:pgMar w:top="1531" w:right="1701" w:bottom="1531" w:left="2127"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81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4" w:type="dxa"/>
          </w:tcPr>
          <w:p>
            <w:pPr>
              <w:pStyle w:val="27"/>
              <w:jc w:val="center"/>
              <w:outlineLvl w:val="0"/>
              <w:rPr>
                <w:rFonts w:hint="default" w:ascii="Times New Roman" w:hAnsi="Times New Roman" w:eastAsia="黑体" w:cs="Times New Roman"/>
                <w:snapToGrid w:val="0"/>
                <w:color w:val="auto"/>
                <w:sz w:val="21"/>
                <w:szCs w:val="21"/>
                <w:vertAlign w:val="baseline"/>
              </w:rPr>
            </w:pPr>
          </w:p>
        </w:tc>
        <w:tc>
          <w:tcPr>
            <w:tcW w:w="8169" w:type="dxa"/>
          </w:tcPr>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snapToGrid w:val="0"/>
                <w:color w:val="auto"/>
                <w:kern w:val="0"/>
                <w:sz w:val="24"/>
                <w:szCs w:val="24"/>
              </w:rPr>
            </w:pPr>
            <w:r>
              <w:rPr>
                <w:rFonts w:hint="default" w:ascii="Times New Roman" w:hAnsi="Times New Roman" w:eastAsia="宋体" w:cs="Times New Roman"/>
                <w:b/>
                <w:color w:val="auto"/>
                <w:sz w:val="24"/>
                <w:szCs w:val="24"/>
                <w:lang w:val="en-US" w:eastAsia="zh-CN"/>
              </w:rPr>
              <w:t xml:space="preserve">3 </w:t>
            </w:r>
            <w:r>
              <w:rPr>
                <w:rFonts w:hint="default" w:ascii="Times New Roman" w:hAnsi="Times New Roman" w:eastAsia="宋体" w:cs="Times New Roman"/>
                <w:b/>
                <w:color w:val="auto"/>
                <w:sz w:val="24"/>
                <w:szCs w:val="24"/>
              </w:rPr>
              <w:t>地下水环境现状调查及评价</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color w:val="auto"/>
                <w:sz w:val="24"/>
                <w:szCs w:val="24"/>
                <w:lang w:val="en-US" w:eastAsia="zh-CN"/>
              </w:rPr>
              <w:t>地下水监测数据引自</w:t>
            </w:r>
            <w:r>
              <w:rPr>
                <w:rFonts w:hint="default" w:ascii="Times New Roman" w:hAnsi="Times New Roman" w:eastAsia="宋体" w:cs="Times New Roman"/>
                <w:b w:val="0"/>
                <w:bCs w:val="0"/>
                <w:color w:val="auto"/>
                <w:sz w:val="24"/>
                <w:szCs w:val="24"/>
                <w:lang w:val="en-US" w:eastAsia="zh-CN"/>
              </w:rPr>
              <w:t>2026年4月对选矿厂上、下游进行监测点数据。</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（1）监测点布设</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表3-5  地下水监测点位一览表</w:t>
            </w:r>
          </w:p>
          <w:tbl>
            <w:tblPr>
              <w:tblStyle w:val="29"/>
              <w:tblW w:w="5013"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820"/>
              <w:gridCol w:w="1722"/>
              <w:gridCol w:w="3305"/>
              <w:gridCol w:w="209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1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编号</w:t>
                  </w:r>
                </w:p>
              </w:tc>
              <w:tc>
                <w:tcPr>
                  <w:tcW w:w="1083"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监测点名称</w:t>
                  </w:r>
                </w:p>
              </w:tc>
              <w:tc>
                <w:tcPr>
                  <w:tcW w:w="2079"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坐标</w:t>
                  </w:r>
                </w:p>
              </w:tc>
              <w:tc>
                <w:tcPr>
                  <w:tcW w:w="1319"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方位</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距离</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1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G1</w:t>
                  </w:r>
                </w:p>
              </w:tc>
              <w:tc>
                <w:tcPr>
                  <w:tcW w:w="1083"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项目区东南侧</w:t>
                  </w:r>
                </w:p>
              </w:tc>
              <w:tc>
                <w:tcPr>
                  <w:tcW w:w="2079" w:type="pct"/>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4"/>
                      <w:highlight w:val="none"/>
                      <w:lang w:val="en-US" w:eastAsia="zh-CN"/>
                    </w:rPr>
                  </w:pPr>
                  <w:r>
                    <w:rPr>
                      <w:rFonts w:hint="default" w:ascii="Times New Roman" w:hAnsi="Times New Roman" w:eastAsia="宋体" w:cs="Times New Roman"/>
                      <w:color w:val="auto"/>
                      <w:spacing w:val="-6"/>
                      <w:sz w:val="21"/>
                      <w:szCs w:val="21"/>
                      <w:highlight w:val="none"/>
                      <w:lang w:val="en-US" w:eastAsia="zh-CN"/>
                    </w:rPr>
                    <w:t>E：85°15′24.31″，N：37°11′56.97″</w:t>
                  </w:r>
                </w:p>
              </w:tc>
              <w:tc>
                <w:tcPr>
                  <w:tcW w:w="1319"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项目区东南侧1.2km</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16"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G2</w:t>
                  </w:r>
                </w:p>
              </w:tc>
              <w:tc>
                <w:tcPr>
                  <w:tcW w:w="1083"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项目区西北侧</w:t>
                  </w:r>
                </w:p>
              </w:tc>
              <w:tc>
                <w:tcPr>
                  <w:tcW w:w="2079" w:type="pct"/>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spacing w:val="-6"/>
                      <w:sz w:val="21"/>
                      <w:szCs w:val="21"/>
                      <w:highlight w:val="none"/>
                      <w:lang w:val="en-US" w:eastAsia="zh-CN"/>
                    </w:rPr>
                    <w:t>E：85°14′33.63″，N：37°12′29.18″</w:t>
                  </w:r>
                </w:p>
              </w:tc>
              <w:tc>
                <w:tcPr>
                  <w:tcW w:w="1319"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项目区西北侧380m</w:t>
                  </w:r>
                </w:p>
              </w:tc>
            </w:tr>
          </w:tbl>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（2）监测结果</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地下水水质现状监测结果</w:t>
            </w:r>
            <w:r>
              <w:rPr>
                <w:rFonts w:hint="default" w:ascii="Times New Roman" w:hAnsi="Times New Roman" w:eastAsia="宋体" w:cs="Times New Roman"/>
                <w:color w:val="auto"/>
                <w:highlight w:val="none"/>
                <w:lang w:val="en-US" w:eastAsia="zh-CN"/>
              </w:rPr>
              <w:t>见下</w:t>
            </w:r>
            <w:r>
              <w:rPr>
                <w:rFonts w:hint="default" w:ascii="Times New Roman" w:hAnsi="Times New Roman" w:eastAsia="宋体" w:cs="Times New Roman"/>
                <w:color w:val="auto"/>
                <w:highlight w:val="none"/>
              </w:rPr>
              <w:t>表</w:t>
            </w:r>
            <w:r>
              <w:rPr>
                <w:rFonts w:hint="default" w:ascii="Times New Roman" w:hAnsi="Times New Roman" w:eastAsia="宋体" w:cs="Times New Roman"/>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表3-6   地下水水质监测结果一览表</w:t>
            </w:r>
          </w:p>
          <w:tbl>
            <w:tblPr>
              <w:tblStyle w:val="29"/>
              <w:tblW w:w="4998" w:type="pct"/>
              <w:jc w:val="center"/>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Layout w:type="fixed"/>
              <w:tblCellMar>
                <w:top w:w="0" w:type="dxa"/>
                <w:left w:w="108" w:type="dxa"/>
                <w:bottom w:w="0" w:type="dxa"/>
                <w:right w:w="108" w:type="dxa"/>
              </w:tblCellMar>
            </w:tblPr>
            <w:tblGrid>
              <w:gridCol w:w="498"/>
              <w:gridCol w:w="933"/>
              <w:gridCol w:w="945"/>
              <w:gridCol w:w="1152"/>
              <w:gridCol w:w="1097"/>
              <w:gridCol w:w="1126"/>
              <w:gridCol w:w="1069"/>
              <w:gridCol w:w="1100"/>
            </w:tblGrid>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90" w:hRule="atLeast"/>
                <w:jc w:val="center"/>
              </w:trPr>
              <w:tc>
                <w:tcPr>
                  <w:tcW w:w="314" w:type="pct"/>
                  <w:vMerge w:val="restar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序号</w:t>
                  </w:r>
                </w:p>
              </w:tc>
              <w:tc>
                <w:tcPr>
                  <w:tcW w:w="589" w:type="pct"/>
                  <w:vMerge w:val="restar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项目</w:t>
                  </w:r>
                </w:p>
              </w:tc>
              <w:tc>
                <w:tcPr>
                  <w:tcW w:w="596" w:type="pct"/>
                  <w:vMerge w:val="restar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单位</w:t>
                  </w:r>
                </w:p>
              </w:tc>
              <w:tc>
                <w:tcPr>
                  <w:tcW w:w="727" w:type="pct"/>
                  <w:vMerge w:val="restar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Style w:val="72"/>
                      <w:rFonts w:hint="default" w:ascii="Times New Roman" w:hAnsi="Times New Roman" w:eastAsia="宋体" w:cs="Times New Roman"/>
                      <w:color w:val="auto"/>
                      <w:sz w:val="21"/>
                      <w:szCs w:val="21"/>
                      <w:highlight w:val="none"/>
                      <w:lang w:val="en-US" w:eastAsia="zh-CN" w:bidi="ar"/>
                    </w:rPr>
                    <w:t>地下水质量</w:t>
                  </w:r>
                  <w:r>
                    <w:rPr>
                      <w:rStyle w:val="95"/>
                      <w:rFonts w:hint="default" w:ascii="Times New Roman" w:hAnsi="Times New Roman" w:eastAsia="宋体" w:cs="Times New Roman"/>
                      <w:color w:val="auto"/>
                      <w:sz w:val="21"/>
                      <w:szCs w:val="21"/>
                      <w:highlight w:val="none"/>
                      <w:lang w:val="en-US" w:eastAsia="zh-CN" w:bidi="ar"/>
                    </w:rPr>
                    <w:t>Ⅲ</w:t>
                  </w:r>
                  <w:r>
                    <w:rPr>
                      <w:rStyle w:val="72"/>
                      <w:rFonts w:hint="default" w:ascii="Times New Roman" w:hAnsi="Times New Roman" w:eastAsia="宋体" w:cs="Times New Roman"/>
                      <w:color w:val="auto"/>
                      <w:sz w:val="21"/>
                      <w:szCs w:val="21"/>
                      <w:highlight w:val="none"/>
                      <w:lang w:val="en-US" w:eastAsia="zh-CN" w:bidi="ar"/>
                    </w:rPr>
                    <w:t>标准</w:t>
                  </w:r>
                </w:p>
              </w:tc>
              <w:tc>
                <w:tcPr>
                  <w:tcW w:w="1403" w:type="pct"/>
                  <w:gridSpan w:val="2"/>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369" w:type="pct"/>
                  <w:gridSpan w:val="2"/>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315" w:hRule="atLeast"/>
                <w:jc w:val="center"/>
              </w:trPr>
              <w:tc>
                <w:tcPr>
                  <w:tcW w:w="314" w:type="pct"/>
                  <w:vMerge w:val="continue"/>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1"/>
                      <w:szCs w:val="21"/>
                      <w:highlight w:val="none"/>
                      <w:u w:val="none"/>
                    </w:rPr>
                  </w:pPr>
                </w:p>
              </w:tc>
              <w:tc>
                <w:tcPr>
                  <w:tcW w:w="589" w:type="pct"/>
                  <w:vMerge w:val="continue"/>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1"/>
                      <w:szCs w:val="21"/>
                      <w:highlight w:val="none"/>
                      <w:u w:val="none"/>
                    </w:rPr>
                  </w:pPr>
                </w:p>
              </w:tc>
              <w:tc>
                <w:tcPr>
                  <w:tcW w:w="596" w:type="pct"/>
                  <w:vMerge w:val="continue"/>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1"/>
                      <w:szCs w:val="21"/>
                      <w:highlight w:val="none"/>
                      <w:u w:val="none"/>
                    </w:rPr>
                  </w:pPr>
                </w:p>
              </w:tc>
              <w:tc>
                <w:tcPr>
                  <w:tcW w:w="727" w:type="pct"/>
                  <w:vMerge w:val="continue"/>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1"/>
                      <w:szCs w:val="21"/>
                      <w:highlight w:val="none"/>
                      <w:u w:val="none"/>
                    </w:rPr>
                  </w:pPr>
                </w:p>
              </w:tc>
              <w:tc>
                <w:tcPr>
                  <w:tcW w:w="692"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监测数据</w:t>
                  </w:r>
                </w:p>
              </w:tc>
              <w:tc>
                <w:tcPr>
                  <w:tcW w:w="710"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标准指数</w:t>
                  </w:r>
                </w:p>
              </w:tc>
              <w:tc>
                <w:tcPr>
                  <w:tcW w:w="67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监测数据</w:t>
                  </w:r>
                </w:p>
              </w:tc>
              <w:tc>
                <w:tcPr>
                  <w:tcW w:w="69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标准指数</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315" w:hRule="atLeast"/>
                <w:jc w:val="center"/>
              </w:trPr>
              <w:tc>
                <w:tcPr>
                  <w:tcW w:w="31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589"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pH</w:t>
                  </w:r>
                </w:p>
              </w:tc>
              <w:tc>
                <w:tcPr>
                  <w:tcW w:w="596"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无量纲</w:t>
                  </w:r>
                </w:p>
              </w:tc>
              <w:tc>
                <w:tcPr>
                  <w:tcW w:w="727"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6.5-8.5</w:t>
                  </w:r>
                </w:p>
              </w:tc>
              <w:tc>
                <w:tcPr>
                  <w:tcW w:w="692"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7.2</w:t>
                  </w:r>
                </w:p>
              </w:tc>
              <w:tc>
                <w:tcPr>
                  <w:tcW w:w="710" w:type="pct"/>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lang w:val="en-US" w:eastAsia="zh-CN"/>
                    </w:rPr>
                    <w:t>0.1</w:t>
                  </w:r>
                </w:p>
              </w:tc>
              <w:tc>
                <w:tcPr>
                  <w:tcW w:w="67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7.4</w:t>
                  </w:r>
                </w:p>
              </w:tc>
              <w:tc>
                <w:tcPr>
                  <w:tcW w:w="694" w:type="pct"/>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lang w:val="en-US" w:eastAsia="zh-CN"/>
                    </w:rPr>
                    <w:t>0.2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315" w:hRule="atLeast"/>
                <w:jc w:val="center"/>
              </w:trPr>
              <w:tc>
                <w:tcPr>
                  <w:tcW w:w="31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589"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挥发酚</w:t>
                  </w:r>
                </w:p>
              </w:tc>
              <w:tc>
                <w:tcPr>
                  <w:tcW w:w="596"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mg/</w:t>
                  </w:r>
                </w:p>
              </w:tc>
              <w:tc>
                <w:tcPr>
                  <w:tcW w:w="727"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692"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0.0003L</w:t>
                  </w:r>
                </w:p>
              </w:tc>
              <w:tc>
                <w:tcPr>
                  <w:tcW w:w="710"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0.15</w:t>
                  </w:r>
                </w:p>
              </w:tc>
              <w:tc>
                <w:tcPr>
                  <w:tcW w:w="67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0.0003L</w:t>
                  </w:r>
                </w:p>
              </w:tc>
              <w:tc>
                <w:tcPr>
                  <w:tcW w:w="69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0.15</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315" w:hRule="atLeast"/>
                <w:jc w:val="center"/>
              </w:trPr>
              <w:tc>
                <w:tcPr>
                  <w:tcW w:w="31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589"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镉</w:t>
                  </w:r>
                </w:p>
              </w:tc>
              <w:tc>
                <w:tcPr>
                  <w:tcW w:w="596"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mg/</w:t>
                  </w:r>
                </w:p>
              </w:tc>
              <w:tc>
                <w:tcPr>
                  <w:tcW w:w="727"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0.005</w:t>
                  </w:r>
                </w:p>
              </w:tc>
              <w:tc>
                <w:tcPr>
                  <w:tcW w:w="692"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0.00005L</w:t>
                  </w:r>
                </w:p>
              </w:tc>
              <w:tc>
                <w:tcPr>
                  <w:tcW w:w="710"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0.01</w:t>
                  </w:r>
                </w:p>
              </w:tc>
              <w:tc>
                <w:tcPr>
                  <w:tcW w:w="67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0.00005L</w:t>
                  </w:r>
                </w:p>
              </w:tc>
              <w:tc>
                <w:tcPr>
                  <w:tcW w:w="69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0.01</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315" w:hRule="atLeast"/>
                <w:jc w:val="center"/>
              </w:trPr>
              <w:tc>
                <w:tcPr>
                  <w:tcW w:w="31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w:t>
                  </w:r>
                </w:p>
              </w:tc>
              <w:tc>
                <w:tcPr>
                  <w:tcW w:w="589"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砷</w:t>
                  </w:r>
                </w:p>
              </w:tc>
              <w:tc>
                <w:tcPr>
                  <w:tcW w:w="596"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mg/</w:t>
                  </w:r>
                </w:p>
              </w:tc>
              <w:tc>
                <w:tcPr>
                  <w:tcW w:w="727"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0.01</w:t>
                  </w:r>
                </w:p>
              </w:tc>
              <w:tc>
                <w:tcPr>
                  <w:tcW w:w="692"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0.00012L</w:t>
                  </w:r>
                </w:p>
              </w:tc>
              <w:tc>
                <w:tcPr>
                  <w:tcW w:w="710"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67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0.00012L</w:t>
                  </w:r>
                </w:p>
              </w:tc>
              <w:tc>
                <w:tcPr>
                  <w:tcW w:w="69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315" w:hRule="atLeast"/>
                <w:jc w:val="center"/>
              </w:trPr>
              <w:tc>
                <w:tcPr>
                  <w:tcW w:w="31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w:t>
                  </w:r>
                </w:p>
              </w:tc>
              <w:tc>
                <w:tcPr>
                  <w:tcW w:w="589"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汞</w:t>
                  </w:r>
                </w:p>
              </w:tc>
              <w:tc>
                <w:tcPr>
                  <w:tcW w:w="596"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mg/</w:t>
                  </w:r>
                </w:p>
              </w:tc>
              <w:tc>
                <w:tcPr>
                  <w:tcW w:w="727"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692"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0.00004L</w:t>
                  </w:r>
                </w:p>
              </w:tc>
              <w:tc>
                <w:tcPr>
                  <w:tcW w:w="710"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0.04</w:t>
                  </w:r>
                </w:p>
              </w:tc>
              <w:tc>
                <w:tcPr>
                  <w:tcW w:w="67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0.00004L</w:t>
                  </w:r>
                </w:p>
              </w:tc>
              <w:tc>
                <w:tcPr>
                  <w:tcW w:w="69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0.04</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315" w:hRule="atLeast"/>
                <w:jc w:val="center"/>
              </w:trPr>
              <w:tc>
                <w:tcPr>
                  <w:tcW w:w="31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6</w:t>
                  </w:r>
                </w:p>
              </w:tc>
              <w:tc>
                <w:tcPr>
                  <w:tcW w:w="589"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铅</w:t>
                  </w:r>
                </w:p>
              </w:tc>
              <w:tc>
                <w:tcPr>
                  <w:tcW w:w="596"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mg/</w:t>
                  </w:r>
                </w:p>
              </w:tc>
              <w:tc>
                <w:tcPr>
                  <w:tcW w:w="727"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0.01</w:t>
                  </w:r>
                </w:p>
              </w:tc>
              <w:tc>
                <w:tcPr>
                  <w:tcW w:w="692"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0.00148</w:t>
                  </w:r>
                </w:p>
              </w:tc>
              <w:tc>
                <w:tcPr>
                  <w:tcW w:w="710"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0.148</w:t>
                  </w:r>
                </w:p>
              </w:tc>
              <w:tc>
                <w:tcPr>
                  <w:tcW w:w="67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0.00163</w:t>
                  </w:r>
                </w:p>
              </w:tc>
              <w:tc>
                <w:tcPr>
                  <w:tcW w:w="69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0.163</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315" w:hRule="atLeast"/>
                <w:jc w:val="center"/>
              </w:trPr>
              <w:tc>
                <w:tcPr>
                  <w:tcW w:w="31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w:t>
                  </w:r>
                </w:p>
              </w:tc>
              <w:tc>
                <w:tcPr>
                  <w:tcW w:w="589"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氯化物</w:t>
                  </w:r>
                </w:p>
              </w:tc>
              <w:tc>
                <w:tcPr>
                  <w:tcW w:w="596"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mg/</w:t>
                  </w:r>
                </w:p>
              </w:tc>
              <w:tc>
                <w:tcPr>
                  <w:tcW w:w="727"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250</w:t>
                  </w:r>
                </w:p>
              </w:tc>
              <w:tc>
                <w:tcPr>
                  <w:tcW w:w="692"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78</w:t>
                  </w:r>
                </w:p>
              </w:tc>
              <w:tc>
                <w:tcPr>
                  <w:tcW w:w="710"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0.312</w:t>
                  </w:r>
                </w:p>
              </w:tc>
              <w:tc>
                <w:tcPr>
                  <w:tcW w:w="67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138</w:t>
                  </w:r>
                </w:p>
              </w:tc>
              <w:tc>
                <w:tcPr>
                  <w:tcW w:w="69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0.552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315" w:hRule="atLeast"/>
                <w:jc w:val="center"/>
              </w:trPr>
              <w:tc>
                <w:tcPr>
                  <w:tcW w:w="31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w:t>
                  </w:r>
                </w:p>
              </w:tc>
              <w:tc>
                <w:tcPr>
                  <w:tcW w:w="589"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硫酸盐</w:t>
                  </w:r>
                </w:p>
              </w:tc>
              <w:tc>
                <w:tcPr>
                  <w:tcW w:w="596"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mg/</w:t>
                  </w:r>
                </w:p>
              </w:tc>
              <w:tc>
                <w:tcPr>
                  <w:tcW w:w="727"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250</w:t>
                  </w:r>
                </w:p>
              </w:tc>
              <w:tc>
                <w:tcPr>
                  <w:tcW w:w="692"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163</w:t>
                  </w:r>
                </w:p>
              </w:tc>
              <w:tc>
                <w:tcPr>
                  <w:tcW w:w="710"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0.652</w:t>
                  </w:r>
                </w:p>
              </w:tc>
              <w:tc>
                <w:tcPr>
                  <w:tcW w:w="67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lang w:val="en-US" w:eastAsia="zh-CN"/>
                    </w:rPr>
                    <w:t>236</w:t>
                  </w:r>
                </w:p>
              </w:tc>
              <w:tc>
                <w:tcPr>
                  <w:tcW w:w="69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lang w:val="en-US" w:eastAsia="zh-CN"/>
                    </w:rPr>
                    <w:t>0.944</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315" w:hRule="atLeast"/>
                <w:jc w:val="center"/>
              </w:trPr>
              <w:tc>
                <w:tcPr>
                  <w:tcW w:w="31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w:t>
                  </w:r>
                </w:p>
              </w:tc>
              <w:tc>
                <w:tcPr>
                  <w:tcW w:w="589"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总硬度</w:t>
                  </w:r>
                </w:p>
              </w:tc>
              <w:tc>
                <w:tcPr>
                  <w:tcW w:w="596"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mg/</w:t>
                  </w:r>
                </w:p>
              </w:tc>
              <w:tc>
                <w:tcPr>
                  <w:tcW w:w="727"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450</w:t>
                  </w:r>
                </w:p>
              </w:tc>
              <w:tc>
                <w:tcPr>
                  <w:tcW w:w="692"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186</w:t>
                  </w:r>
                </w:p>
              </w:tc>
              <w:tc>
                <w:tcPr>
                  <w:tcW w:w="710"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0.413</w:t>
                  </w:r>
                </w:p>
              </w:tc>
              <w:tc>
                <w:tcPr>
                  <w:tcW w:w="67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360</w:t>
                  </w:r>
                </w:p>
              </w:tc>
              <w:tc>
                <w:tcPr>
                  <w:tcW w:w="69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0.800</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329" w:hRule="atLeast"/>
                <w:jc w:val="center"/>
              </w:trPr>
              <w:tc>
                <w:tcPr>
                  <w:tcW w:w="31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9"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溶解性总固体</w:t>
                  </w:r>
                </w:p>
              </w:tc>
              <w:tc>
                <w:tcPr>
                  <w:tcW w:w="596"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mg/</w:t>
                  </w:r>
                </w:p>
              </w:tc>
              <w:tc>
                <w:tcPr>
                  <w:tcW w:w="727"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1000</w:t>
                  </w:r>
                </w:p>
              </w:tc>
              <w:tc>
                <w:tcPr>
                  <w:tcW w:w="692"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454</w:t>
                  </w:r>
                </w:p>
              </w:tc>
              <w:tc>
                <w:tcPr>
                  <w:tcW w:w="710"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0.454</w:t>
                  </w:r>
                </w:p>
              </w:tc>
              <w:tc>
                <w:tcPr>
                  <w:tcW w:w="67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826</w:t>
                  </w:r>
                </w:p>
              </w:tc>
              <w:tc>
                <w:tcPr>
                  <w:tcW w:w="69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0.826</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315" w:hRule="atLeast"/>
                <w:jc w:val="center"/>
              </w:trPr>
              <w:tc>
                <w:tcPr>
                  <w:tcW w:w="31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11</w:t>
                  </w:r>
                </w:p>
              </w:tc>
              <w:tc>
                <w:tcPr>
                  <w:tcW w:w="589"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铁</w:t>
                  </w:r>
                </w:p>
              </w:tc>
              <w:tc>
                <w:tcPr>
                  <w:tcW w:w="596"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mg/</w:t>
                  </w:r>
                </w:p>
              </w:tc>
              <w:tc>
                <w:tcPr>
                  <w:tcW w:w="727"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0.02L</w:t>
                  </w:r>
                </w:p>
              </w:tc>
              <w:tc>
                <w:tcPr>
                  <w:tcW w:w="692"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0.067</w:t>
                  </w:r>
                </w:p>
              </w:tc>
              <w:tc>
                <w:tcPr>
                  <w:tcW w:w="710"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0.433</w:t>
                  </w:r>
                </w:p>
              </w:tc>
              <w:tc>
                <w:tcPr>
                  <w:tcW w:w="67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0.02L</w:t>
                  </w:r>
                </w:p>
              </w:tc>
              <w:tc>
                <w:tcPr>
                  <w:tcW w:w="69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0.067</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315" w:hRule="atLeast"/>
                <w:jc w:val="center"/>
              </w:trPr>
              <w:tc>
                <w:tcPr>
                  <w:tcW w:w="31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589"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锰</w:t>
                  </w:r>
                </w:p>
              </w:tc>
              <w:tc>
                <w:tcPr>
                  <w:tcW w:w="596"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mg/</w:t>
                  </w:r>
                </w:p>
              </w:tc>
              <w:tc>
                <w:tcPr>
                  <w:tcW w:w="727"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0.1</w:t>
                  </w:r>
                </w:p>
              </w:tc>
              <w:tc>
                <w:tcPr>
                  <w:tcW w:w="692"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0.00035</w:t>
                  </w:r>
                </w:p>
              </w:tc>
              <w:tc>
                <w:tcPr>
                  <w:tcW w:w="710"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0.0035</w:t>
                  </w:r>
                </w:p>
              </w:tc>
              <w:tc>
                <w:tcPr>
                  <w:tcW w:w="67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0.00037</w:t>
                  </w:r>
                </w:p>
              </w:tc>
              <w:tc>
                <w:tcPr>
                  <w:tcW w:w="69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0.0037</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300" w:hRule="atLeast"/>
                <w:jc w:val="center"/>
              </w:trPr>
              <w:tc>
                <w:tcPr>
                  <w:tcW w:w="31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13</w:t>
                  </w:r>
                </w:p>
              </w:tc>
              <w:tc>
                <w:tcPr>
                  <w:tcW w:w="589" w:type="pct"/>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镍</w:t>
                  </w:r>
                </w:p>
              </w:tc>
              <w:tc>
                <w:tcPr>
                  <w:tcW w:w="596"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mg/</w:t>
                  </w:r>
                </w:p>
              </w:tc>
              <w:tc>
                <w:tcPr>
                  <w:tcW w:w="727" w:type="pct"/>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0.02</w:t>
                  </w:r>
                </w:p>
              </w:tc>
              <w:tc>
                <w:tcPr>
                  <w:tcW w:w="692"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lang w:val="en-US" w:eastAsia="zh-CN"/>
                    </w:rPr>
                    <w:t>0.01521</w:t>
                  </w:r>
                </w:p>
              </w:tc>
              <w:tc>
                <w:tcPr>
                  <w:tcW w:w="710"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lang w:val="en-US" w:eastAsia="zh-CN"/>
                    </w:rPr>
                    <w:t>0.7605</w:t>
                  </w:r>
                </w:p>
              </w:tc>
              <w:tc>
                <w:tcPr>
                  <w:tcW w:w="67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lang w:val="en-US" w:eastAsia="zh-CN"/>
                    </w:rPr>
                    <w:t>0.01510</w:t>
                  </w:r>
                </w:p>
              </w:tc>
              <w:tc>
                <w:tcPr>
                  <w:tcW w:w="69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lang w:val="en-US" w:eastAsia="zh-CN"/>
                    </w:rPr>
                    <w:t>0.755</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300" w:hRule="atLeast"/>
                <w:jc w:val="center"/>
              </w:trPr>
              <w:tc>
                <w:tcPr>
                  <w:tcW w:w="31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14</w:t>
                  </w:r>
                </w:p>
              </w:tc>
              <w:tc>
                <w:tcPr>
                  <w:tcW w:w="589" w:type="pct"/>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铜</w:t>
                  </w:r>
                </w:p>
              </w:tc>
              <w:tc>
                <w:tcPr>
                  <w:tcW w:w="596"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mg/</w:t>
                  </w:r>
                </w:p>
              </w:tc>
              <w:tc>
                <w:tcPr>
                  <w:tcW w:w="727" w:type="pct"/>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692"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0.00403</w:t>
                  </w:r>
                </w:p>
              </w:tc>
              <w:tc>
                <w:tcPr>
                  <w:tcW w:w="710"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0.00403</w:t>
                  </w:r>
                </w:p>
              </w:tc>
              <w:tc>
                <w:tcPr>
                  <w:tcW w:w="67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0.00522</w:t>
                  </w:r>
                </w:p>
              </w:tc>
              <w:tc>
                <w:tcPr>
                  <w:tcW w:w="69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0.00522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300" w:hRule="atLeast"/>
                <w:jc w:val="center"/>
              </w:trPr>
              <w:tc>
                <w:tcPr>
                  <w:tcW w:w="31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589" w:type="pct"/>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锌</w:t>
                  </w:r>
                </w:p>
              </w:tc>
              <w:tc>
                <w:tcPr>
                  <w:tcW w:w="596"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mg/</w:t>
                  </w:r>
                </w:p>
              </w:tc>
              <w:tc>
                <w:tcPr>
                  <w:tcW w:w="727" w:type="pct"/>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692"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0.05L</w:t>
                  </w:r>
                </w:p>
              </w:tc>
              <w:tc>
                <w:tcPr>
                  <w:tcW w:w="710"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0.05</w:t>
                  </w:r>
                </w:p>
              </w:tc>
              <w:tc>
                <w:tcPr>
                  <w:tcW w:w="67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0.05L</w:t>
                  </w:r>
                </w:p>
              </w:tc>
              <w:tc>
                <w:tcPr>
                  <w:tcW w:w="69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0.05</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300" w:hRule="atLeast"/>
                <w:jc w:val="center"/>
              </w:trPr>
              <w:tc>
                <w:tcPr>
                  <w:tcW w:w="31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16</w:t>
                  </w:r>
                </w:p>
              </w:tc>
              <w:tc>
                <w:tcPr>
                  <w:tcW w:w="589" w:type="pct"/>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银</w:t>
                  </w:r>
                </w:p>
              </w:tc>
              <w:tc>
                <w:tcPr>
                  <w:tcW w:w="596"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mg/</w:t>
                  </w:r>
                </w:p>
              </w:tc>
              <w:tc>
                <w:tcPr>
                  <w:tcW w:w="727" w:type="pct"/>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0.05</w:t>
                  </w:r>
                </w:p>
              </w:tc>
              <w:tc>
                <w:tcPr>
                  <w:tcW w:w="692"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0.02L</w:t>
                  </w:r>
                </w:p>
              </w:tc>
              <w:tc>
                <w:tcPr>
                  <w:tcW w:w="710"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0.4</w:t>
                  </w:r>
                </w:p>
              </w:tc>
              <w:tc>
                <w:tcPr>
                  <w:tcW w:w="67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0.02L</w:t>
                  </w:r>
                </w:p>
              </w:tc>
              <w:tc>
                <w:tcPr>
                  <w:tcW w:w="69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0.4</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300" w:hRule="atLeast"/>
                <w:jc w:val="center"/>
              </w:trPr>
              <w:tc>
                <w:tcPr>
                  <w:tcW w:w="31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17</w:t>
                  </w:r>
                </w:p>
              </w:tc>
              <w:tc>
                <w:tcPr>
                  <w:tcW w:w="589" w:type="pct"/>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钴</w:t>
                  </w:r>
                </w:p>
              </w:tc>
              <w:tc>
                <w:tcPr>
                  <w:tcW w:w="596"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mg/</w:t>
                  </w:r>
                </w:p>
              </w:tc>
              <w:tc>
                <w:tcPr>
                  <w:tcW w:w="727" w:type="pct"/>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0.05</w:t>
                  </w:r>
                </w:p>
              </w:tc>
              <w:tc>
                <w:tcPr>
                  <w:tcW w:w="692"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0.01L</w:t>
                  </w:r>
                </w:p>
              </w:tc>
              <w:tc>
                <w:tcPr>
                  <w:tcW w:w="710"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0.2</w:t>
                  </w:r>
                </w:p>
              </w:tc>
              <w:tc>
                <w:tcPr>
                  <w:tcW w:w="67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0.01L</w:t>
                  </w:r>
                </w:p>
              </w:tc>
              <w:tc>
                <w:tcPr>
                  <w:tcW w:w="69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300" w:hRule="atLeast"/>
                <w:jc w:val="center"/>
              </w:trPr>
              <w:tc>
                <w:tcPr>
                  <w:tcW w:w="31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18</w:t>
                  </w:r>
                </w:p>
              </w:tc>
              <w:tc>
                <w:tcPr>
                  <w:tcW w:w="589" w:type="pct"/>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锑</w:t>
                  </w:r>
                </w:p>
              </w:tc>
              <w:tc>
                <w:tcPr>
                  <w:tcW w:w="596"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mg/</w:t>
                  </w:r>
                </w:p>
              </w:tc>
              <w:tc>
                <w:tcPr>
                  <w:tcW w:w="727" w:type="pct"/>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0.005</w:t>
                  </w:r>
                </w:p>
              </w:tc>
              <w:tc>
                <w:tcPr>
                  <w:tcW w:w="692"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0.0002L</w:t>
                  </w:r>
                </w:p>
              </w:tc>
              <w:tc>
                <w:tcPr>
                  <w:tcW w:w="710"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0.04</w:t>
                  </w:r>
                </w:p>
              </w:tc>
              <w:tc>
                <w:tcPr>
                  <w:tcW w:w="67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0.0002L</w:t>
                  </w:r>
                </w:p>
              </w:tc>
              <w:tc>
                <w:tcPr>
                  <w:tcW w:w="69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0.04</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315" w:hRule="atLeast"/>
                <w:jc w:val="center"/>
              </w:trPr>
              <w:tc>
                <w:tcPr>
                  <w:tcW w:w="31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19</w:t>
                  </w:r>
                </w:p>
              </w:tc>
              <w:tc>
                <w:tcPr>
                  <w:tcW w:w="589"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耗氧量</w:t>
                  </w:r>
                </w:p>
              </w:tc>
              <w:tc>
                <w:tcPr>
                  <w:tcW w:w="596"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mg/</w:t>
                  </w:r>
                </w:p>
              </w:tc>
              <w:tc>
                <w:tcPr>
                  <w:tcW w:w="727"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692"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w:t>
                  </w:r>
                </w:p>
              </w:tc>
              <w:tc>
                <w:tcPr>
                  <w:tcW w:w="710"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0.800</w:t>
                  </w:r>
                </w:p>
              </w:tc>
              <w:tc>
                <w:tcPr>
                  <w:tcW w:w="67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w:t>
                  </w:r>
                </w:p>
              </w:tc>
              <w:tc>
                <w:tcPr>
                  <w:tcW w:w="69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0.800</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315" w:hRule="atLeast"/>
                <w:jc w:val="center"/>
              </w:trPr>
              <w:tc>
                <w:tcPr>
                  <w:tcW w:w="31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589"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氨氮</w:t>
                  </w:r>
                </w:p>
              </w:tc>
              <w:tc>
                <w:tcPr>
                  <w:tcW w:w="596"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mg/</w:t>
                  </w:r>
                </w:p>
              </w:tc>
              <w:tc>
                <w:tcPr>
                  <w:tcW w:w="727"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0.5</w:t>
                  </w:r>
                </w:p>
              </w:tc>
              <w:tc>
                <w:tcPr>
                  <w:tcW w:w="692"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0.01L</w:t>
                  </w:r>
                </w:p>
              </w:tc>
              <w:tc>
                <w:tcPr>
                  <w:tcW w:w="710"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0.02</w:t>
                  </w:r>
                </w:p>
              </w:tc>
              <w:tc>
                <w:tcPr>
                  <w:tcW w:w="67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0.03</w:t>
                  </w:r>
                </w:p>
              </w:tc>
              <w:tc>
                <w:tcPr>
                  <w:tcW w:w="69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0.06</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315" w:hRule="atLeast"/>
                <w:jc w:val="center"/>
              </w:trPr>
              <w:tc>
                <w:tcPr>
                  <w:tcW w:w="31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21</w:t>
                  </w:r>
                </w:p>
              </w:tc>
              <w:tc>
                <w:tcPr>
                  <w:tcW w:w="589"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氟化物</w:t>
                  </w:r>
                </w:p>
              </w:tc>
              <w:tc>
                <w:tcPr>
                  <w:tcW w:w="596"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mg/</w:t>
                  </w:r>
                </w:p>
              </w:tc>
              <w:tc>
                <w:tcPr>
                  <w:tcW w:w="727"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692"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0.28</w:t>
                  </w:r>
                </w:p>
              </w:tc>
              <w:tc>
                <w:tcPr>
                  <w:tcW w:w="710"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0.28</w:t>
                  </w:r>
                </w:p>
              </w:tc>
              <w:tc>
                <w:tcPr>
                  <w:tcW w:w="67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0.34</w:t>
                  </w:r>
                </w:p>
              </w:tc>
              <w:tc>
                <w:tcPr>
                  <w:tcW w:w="69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0.34</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88" w:hRule="atLeast"/>
                <w:jc w:val="center"/>
              </w:trPr>
              <w:tc>
                <w:tcPr>
                  <w:tcW w:w="31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22</w:t>
                  </w:r>
                </w:p>
              </w:tc>
              <w:tc>
                <w:tcPr>
                  <w:tcW w:w="589"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亚硝酸盐氮</w:t>
                  </w:r>
                </w:p>
              </w:tc>
              <w:tc>
                <w:tcPr>
                  <w:tcW w:w="596"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CFU/m</w:t>
                  </w:r>
                </w:p>
              </w:tc>
              <w:tc>
                <w:tcPr>
                  <w:tcW w:w="727"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692"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0.003L</w:t>
                  </w:r>
                </w:p>
              </w:tc>
              <w:tc>
                <w:tcPr>
                  <w:tcW w:w="710"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67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0.003L</w:t>
                  </w:r>
                </w:p>
              </w:tc>
              <w:tc>
                <w:tcPr>
                  <w:tcW w:w="69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315" w:hRule="atLeast"/>
                <w:jc w:val="center"/>
              </w:trPr>
              <w:tc>
                <w:tcPr>
                  <w:tcW w:w="31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23</w:t>
                  </w:r>
                </w:p>
              </w:tc>
              <w:tc>
                <w:tcPr>
                  <w:tcW w:w="589"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硝酸盐氮</w:t>
                  </w:r>
                </w:p>
              </w:tc>
              <w:tc>
                <w:tcPr>
                  <w:tcW w:w="596"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MPN/100m</w:t>
                  </w:r>
                </w:p>
              </w:tc>
              <w:tc>
                <w:tcPr>
                  <w:tcW w:w="727"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692"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0.29</w:t>
                  </w:r>
                </w:p>
              </w:tc>
              <w:tc>
                <w:tcPr>
                  <w:tcW w:w="710"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0.0145</w:t>
                  </w:r>
                </w:p>
              </w:tc>
              <w:tc>
                <w:tcPr>
                  <w:tcW w:w="67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0.31</w:t>
                  </w:r>
                </w:p>
              </w:tc>
              <w:tc>
                <w:tcPr>
                  <w:tcW w:w="694" w:type="pct"/>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0.0155</w:t>
                  </w:r>
                </w:p>
              </w:tc>
            </w:tr>
          </w:tbl>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由上表可知，</w:t>
            </w:r>
            <w:r>
              <w:rPr>
                <w:rFonts w:hint="default" w:ascii="Times New Roman" w:hAnsi="Times New Roman" w:eastAsia="宋体" w:cs="Times New Roman"/>
                <w:color w:val="auto"/>
                <w:highlight w:val="none"/>
                <w:lang w:val="en-US" w:eastAsia="zh-CN"/>
              </w:rPr>
              <w:t>地下水监测点各指标均满足《地下水质量标准》（GB/T14848-2017）中Ⅲ类标准，当地地下水环境质量较好。</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snapToGrid w:val="0"/>
                <w:color w:val="auto"/>
                <w:kern w:val="0"/>
                <w:sz w:val="24"/>
                <w:szCs w:val="24"/>
              </w:rPr>
            </w:pPr>
            <w:r>
              <w:rPr>
                <w:rFonts w:hint="default" w:ascii="Times New Roman" w:hAnsi="Times New Roman" w:eastAsia="宋体" w:cs="Times New Roman"/>
                <w:b/>
                <w:bCs/>
                <w:snapToGrid w:val="0"/>
                <w:color w:val="auto"/>
                <w:kern w:val="0"/>
                <w:sz w:val="24"/>
                <w:szCs w:val="24"/>
                <w:lang w:val="en-US" w:eastAsia="zh-CN"/>
              </w:rPr>
              <w:t xml:space="preserve">4 </w:t>
            </w:r>
            <w:r>
              <w:rPr>
                <w:rFonts w:hint="default" w:ascii="Times New Roman" w:hAnsi="Times New Roman" w:eastAsia="宋体" w:cs="Times New Roman"/>
                <w:b/>
                <w:bCs/>
                <w:snapToGrid w:val="0"/>
                <w:color w:val="auto"/>
                <w:kern w:val="0"/>
                <w:sz w:val="24"/>
                <w:szCs w:val="24"/>
              </w:rPr>
              <w:t>声环境质量现状监测及评价</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根据《建设项目环境影响报告表编制技术指南（污染影响类）》，项目边界50m范围内无声环境敏感目标，因此不进行声环境质量现状调查。</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5</w:t>
            </w:r>
            <w:r>
              <w:rPr>
                <w:rFonts w:hint="default" w:ascii="Times New Roman" w:hAnsi="Times New Roman" w:eastAsia="宋体" w:cs="Times New Roman"/>
                <w:b/>
                <w:bCs/>
                <w:color w:val="auto"/>
                <w:sz w:val="24"/>
                <w:szCs w:val="24"/>
                <w:lang w:val="en-US" w:eastAsia="zh-CN"/>
              </w:rPr>
              <w:t xml:space="preserve"> </w:t>
            </w:r>
            <w:r>
              <w:rPr>
                <w:rFonts w:hint="default" w:ascii="Times New Roman" w:hAnsi="Times New Roman" w:eastAsia="宋体" w:cs="Times New Roman"/>
                <w:b/>
                <w:bCs/>
                <w:color w:val="auto"/>
                <w:sz w:val="24"/>
                <w:szCs w:val="24"/>
              </w:rPr>
              <w:t>土壤环境质量现状调查及评价</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（1）监测点位</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土壤监测数据引用新疆且末县屈库勒克东金（锑）矿450t/d选矿工程例行监测数据（2025年5月）及2026年4月对选矿厂进行监测点数据。</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监测点位布设见下表：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表3-7  土壤监测点位布设表</w:t>
            </w:r>
          </w:p>
          <w:tbl>
            <w:tblPr>
              <w:tblStyle w:val="30"/>
              <w:tblW w:w="7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1124"/>
              <w:gridCol w:w="1317"/>
              <w:gridCol w:w="3249"/>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dxa"/>
                  <w:tcBorders>
                    <w:top w:val="single" w:color="auto" w:sz="12" w:space="0"/>
                    <w:left w:val="single" w:color="auto" w:sz="12" w:space="0"/>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序号</w:t>
                  </w:r>
                </w:p>
              </w:tc>
              <w:tc>
                <w:tcPr>
                  <w:tcW w:w="1124" w:type="dxa"/>
                  <w:tcBorders>
                    <w:top w:val="single" w:color="auto" w:sz="12" w:space="0"/>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监测点类型</w:t>
                  </w:r>
                </w:p>
              </w:tc>
              <w:tc>
                <w:tcPr>
                  <w:tcW w:w="1317" w:type="dxa"/>
                  <w:tcBorders>
                    <w:top w:val="single" w:color="auto" w:sz="12" w:space="0"/>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监测点位</w:t>
                  </w:r>
                </w:p>
              </w:tc>
              <w:tc>
                <w:tcPr>
                  <w:tcW w:w="3249" w:type="dxa"/>
                  <w:tcBorders>
                    <w:top w:val="single" w:color="auto" w:sz="12" w:space="0"/>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坐标</w:t>
                  </w:r>
                </w:p>
              </w:tc>
              <w:tc>
                <w:tcPr>
                  <w:tcW w:w="1827" w:type="dxa"/>
                  <w:tcBorders>
                    <w:top w:val="single" w:color="auto" w:sz="12" w:space="0"/>
                    <w:right w:val="single" w:color="auto" w:sz="12" w:space="0"/>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dxa"/>
                  <w:tcBorders>
                    <w:left w:val="single" w:color="auto" w:sz="12" w:space="0"/>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1124" w:type="dxa"/>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柱状样</w:t>
                  </w:r>
                </w:p>
              </w:tc>
              <w:tc>
                <w:tcPr>
                  <w:tcW w:w="1317" w:type="dxa"/>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厂区内上游</w:t>
                  </w:r>
                </w:p>
              </w:tc>
              <w:tc>
                <w:tcPr>
                  <w:tcW w:w="3249" w:type="dxa"/>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E85°14′48.18″，N37°12′23.77″</w:t>
                  </w:r>
                </w:p>
              </w:tc>
              <w:tc>
                <w:tcPr>
                  <w:tcW w:w="1827" w:type="dxa"/>
                  <w:vMerge w:val="restart"/>
                  <w:tcBorders>
                    <w:right w:val="single" w:color="auto" w:sz="12" w:space="0"/>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本次监测（2026年4月）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dxa"/>
                  <w:tcBorders>
                    <w:left w:val="single" w:color="auto" w:sz="12" w:space="0"/>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w:t>
                  </w:r>
                </w:p>
              </w:tc>
              <w:tc>
                <w:tcPr>
                  <w:tcW w:w="1124" w:type="dxa"/>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柱状样</w:t>
                  </w:r>
                </w:p>
              </w:tc>
              <w:tc>
                <w:tcPr>
                  <w:tcW w:w="1317" w:type="dxa"/>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厂区内下游</w:t>
                  </w:r>
                </w:p>
              </w:tc>
              <w:tc>
                <w:tcPr>
                  <w:tcW w:w="3249" w:type="dxa"/>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E85°14′47.35″，N37°12′24.03″</w:t>
                  </w:r>
                </w:p>
              </w:tc>
              <w:tc>
                <w:tcPr>
                  <w:tcW w:w="1827" w:type="dxa"/>
                  <w:vMerge w:val="continue"/>
                  <w:tcBorders>
                    <w:right w:val="single" w:color="auto" w:sz="12" w:space="0"/>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dxa"/>
                  <w:tcBorders>
                    <w:left w:val="single" w:color="auto" w:sz="12" w:space="0"/>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w:t>
                  </w:r>
                </w:p>
              </w:tc>
              <w:tc>
                <w:tcPr>
                  <w:tcW w:w="1124" w:type="dxa"/>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表层样</w:t>
                  </w:r>
                </w:p>
              </w:tc>
              <w:tc>
                <w:tcPr>
                  <w:tcW w:w="1317" w:type="dxa"/>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厂区内</w:t>
                  </w:r>
                </w:p>
              </w:tc>
              <w:tc>
                <w:tcPr>
                  <w:tcW w:w="3249" w:type="dxa"/>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E85°14′48.77″，N37°12′25.12″</w:t>
                  </w:r>
                </w:p>
              </w:tc>
              <w:tc>
                <w:tcPr>
                  <w:tcW w:w="1827" w:type="dxa"/>
                  <w:vMerge w:val="continue"/>
                  <w:tcBorders>
                    <w:right w:val="single" w:color="auto" w:sz="12" w:space="0"/>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dxa"/>
                  <w:tcBorders>
                    <w:left w:val="single" w:color="auto" w:sz="12" w:space="0"/>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w:t>
                  </w:r>
                </w:p>
              </w:tc>
              <w:tc>
                <w:tcPr>
                  <w:tcW w:w="1124" w:type="dxa"/>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表层样</w:t>
                  </w:r>
                </w:p>
              </w:tc>
              <w:tc>
                <w:tcPr>
                  <w:tcW w:w="1317" w:type="dxa"/>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厂区内下游</w:t>
                  </w:r>
                </w:p>
              </w:tc>
              <w:tc>
                <w:tcPr>
                  <w:tcW w:w="3249" w:type="dxa"/>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E85°14′47.94″，N37°12′25.30″</w:t>
                  </w:r>
                </w:p>
              </w:tc>
              <w:tc>
                <w:tcPr>
                  <w:tcW w:w="1827" w:type="dxa"/>
                  <w:vMerge w:val="continue"/>
                  <w:tcBorders>
                    <w:right w:val="single" w:color="auto" w:sz="12" w:space="0"/>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dxa"/>
                  <w:tcBorders>
                    <w:left w:val="single" w:color="auto" w:sz="12" w:space="0"/>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w:t>
                  </w:r>
                </w:p>
              </w:tc>
              <w:tc>
                <w:tcPr>
                  <w:tcW w:w="1124" w:type="dxa"/>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表层样</w:t>
                  </w:r>
                </w:p>
              </w:tc>
              <w:tc>
                <w:tcPr>
                  <w:tcW w:w="1317" w:type="dxa"/>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厂区外下游</w:t>
                  </w:r>
                </w:p>
              </w:tc>
              <w:tc>
                <w:tcPr>
                  <w:tcW w:w="3249" w:type="dxa"/>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N37°12′26.62″，E85°14′36.51″</w:t>
                  </w:r>
                </w:p>
              </w:tc>
              <w:tc>
                <w:tcPr>
                  <w:tcW w:w="1827" w:type="dxa"/>
                  <w:vMerge w:val="restart"/>
                  <w:tcBorders>
                    <w:right w:val="single" w:color="auto" w:sz="12" w:space="0"/>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引用（2025年5月）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dxa"/>
                  <w:tcBorders>
                    <w:left w:val="single" w:color="auto" w:sz="12" w:space="0"/>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w:t>
                  </w:r>
                </w:p>
              </w:tc>
              <w:tc>
                <w:tcPr>
                  <w:tcW w:w="1124" w:type="dxa"/>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表层样</w:t>
                  </w:r>
                </w:p>
              </w:tc>
              <w:tc>
                <w:tcPr>
                  <w:tcW w:w="1317" w:type="dxa"/>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厂区外下游</w:t>
                  </w:r>
                </w:p>
              </w:tc>
              <w:tc>
                <w:tcPr>
                  <w:tcW w:w="3249" w:type="dxa"/>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N37°12′26.94″，E85°14′35.47″</w:t>
                  </w:r>
                </w:p>
              </w:tc>
              <w:tc>
                <w:tcPr>
                  <w:tcW w:w="1827" w:type="dxa"/>
                  <w:vMerge w:val="continue"/>
                  <w:tcBorders>
                    <w:right w:val="single" w:color="auto" w:sz="12" w:space="0"/>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r>
          </w:tbl>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rPr>
              <w:t>监测结果</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监测结果见下表：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表3-8    项目区内土壤监测结果(1#)</w:t>
            </w:r>
          </w:p>
          <w:tbl>
            <w:tblPr>
              <w:tblStyle w:val="29"/>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5" w:type="dxa"/>
                <w:left w:w="15" w:type="dxa"/>
                <w:bottom w:w="15" w:type="dxa"/>
                <w:right w:w="15" w:type="dxa"/>
              </w:tblCellMar>
            </w:tblPr>
            <w:tblGrid>
              <w:gridCol w:w="1872"/>
              <w:gridCol w:w="1298"/>
              <w:gridCol w:w="1271"/>
              <w:gridCol w:w="1299"/>
              <w:gridCol w:w="1096"/>
              <w:gridCol w:w="108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vMerge w:val="restar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kern w:val="0"/>
                      <w:szCs w:val="21"/>
                      <w:highlight w:val="none"/>
                      <w:lang w:bidi="ar"/>
                    </w:rPr>
                    <w:t>检测项目</w:t>
                  </w:r>
                </w:p>
              </w:tc>
              <w:tc>
                <w:tcPr>
                  <w:tcW w:w="819" w:type="pct"/>
                  <w:vMerge w:val="restar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kern w:val="0"/>
                      <w:szCs w:val="21"/>
                      <w:highlight w:val="none"/>
                      <w:lang w:bidi="ar"/>
                    </w:rPr>
                    <w:t>单位</w:t>
                  </w:r>
                </w:p>
              </w:tc>
              <w:tc>
                <w:tcPr>
                  <w:tcW w:w="2314" w:type="pct"/>
                  <w:gridSpan w:val="3"/>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Cs w:val="21"/>
                      <w:highlight w:val="none"/>
                      <w:lang w:val="en-US" w:eastAsia="zh-CN" w:bidi="ar"/>
                    </w:rPr>
                  </w:pPr>
                  <w:r>
                    <w:rPr>
                      <w:rFonts w:hint="default" w:ascii="Times New Roman" w:hAnsi="Times New Roman" w:eastAsia="宋体" w:cs="Times New Roman"/>
                      <w:bCs/>
                      <w:color w:val="auto"/>
                      <w:kern w:val="0"/>
                      <w:szCs w:val="21"/>
                      <w:highlight w:val="none"/>
                      <w:lang w:val="en-US" w:eastAsia="zh-CN" w:bidi="ar"/>
                    </w:rPr>
                    <w:t>检测结果</w:t>
                  </w:r>
                </w:p>
              </w:tc>
              <w:tc>
                <w:tcPr>
                  <w:tcW w:w="684" w:type="pct"/>
                  <w:vMerge w:val="restar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Cs w:val="21"/>
                      <w:highlight w:val="none"/>
                      <w:lang w:val="en-US" w:eastAsia="zh-CN" w:bidi="ar"/>
                    </w:rPr>
                  </w:pPr>
                  <w:r>
                    <w:rPr>
                      <w:rFonts w:hint="default" w:ascii="Times New Roman" w:hAnsi="Times New Roman" w:eastAsia="宋体" w:cs="Times New Roman"/>
                      <w:bCs/>
                      <w:color w:val="auto"/>
                      <w:kern w:val="0"/>
                      <w:szCs w:val="21"/>
                      <w:highlight w:val="none"/>
                      <w:lang w:val="en-US" w:eastAsia="zh-CN" w:bidi="ar"/>
                    </w:rPr>
                    <w:t>标准值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vMerge w:val="continue"/>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p>
              </w:tc>
              <w:tc>
                <w:tcPr>
                  <w:tcW w:w="819" w:type="pct"/>
                  <w:vMerge w:val="continue"/>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p>
              </w:tc>
              <w:tc>
                <w:tcPr>
                  <w:tcW w:w="802" w:type="pc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z w:val="21"/>
                      <w:szCs w:val="21"/>
                      <w:highlight w:val="none"/>
                      <w:lang w:val="en-US" w:eastAsia="zh-CN"/>
                    </w:rPr>
                    <w:t>30cm</w:t>
                  </w:r>
                </w:p>
              </w:tc>
              <w:tc>
                <w:tcPr>
                  <w:tcW w:w="820" w:type="pc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140cm</w:t>
                  </w:r>
                </w:p>
              </w:tc>
              <w:tc>
                <w:tcPr>
                  <w:tcW w:w="691" w:type="pc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190cm</w:t>
                  </w:r>
                </w:p>
              </w:tc>
              <w:tc>
                <w:tcPr>
                  <w:tcW w:w="684" w:type="pct"/>
                  <w:vMerge w:val="continue"/>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shd w:val="clear" w:color="auto" w:fill="auto"/>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氯乙烯</w:t>
                  </w:r>
                </w:p>
              </w:tc>
              <w:tc>
                <w:tcPr>
                  <w:tcW w:w="819" w:type="pct"/>
                  <w:tcBorders>
                    <w:tl2br w:val="nil"/>
                    <w:tr2bl w:val="nil"/>
                  </w:tcBorders>
                  <w:shd w:val="clear" w:color="auto" w:fill="auto"/>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shd w:val="clear" w:color="auto" w:fill="auto"/>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shd w:val="clear" w:color="auto" w:fill="auto"/>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shd w:val="clear" w:color="auto" w:fill="auto"/>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shd w:val="clear" w:color="auto" w:fill="auto"/>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0.43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1,1-二氯乙烯</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66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二氯甲烷</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616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反-1,2-二氯乙烯</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54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1,1-二氯乙烷</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顺-1,2-二氯乙烯</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596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氯仿</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0.9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1,1,1-三氯乙烷</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840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四氯化碳</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2.8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 xml:space="preserve">1,2-二氯乙烷 </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苯</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三氯乙烯</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2.8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1,2-二氯丙烷</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 xml:space="preserve">甲苯 </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1200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1,1,2-三氯乙烷</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2.8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四氯乙烯</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53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氯苯</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270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1,1,1,2-四氯乙烷</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乙苯</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28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间,对-二甲苯</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570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 xml:space="preserve">邻-二甲苯 </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640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苯乙烯</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1290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1,1,2,2-四氯乙烷</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6.8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1,2,3-三氯丙烷</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1,4-二氯苯</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1,2-二氯苯</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560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 xml:space="preserve">氯甲烷 </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lang w:eastAsia="zh-CN"/>
                    </w:rPr>
                    <w:t>μ</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37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硝基苯</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rPr>
                    <w:t>mg/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76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苯胺</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rPr>
                    <w:t>mg/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260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2-氯苯酚</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rPr>
                    <w:t>mg/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2256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苯并[a]蒽</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rPr>
                    <w:t>mg/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 xml:space="preserve">苯并[a]芘 </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rPr>
                    <w:t>mg/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苯并[b]荧蒽</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rPr>
                    <w:t>mg/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苯并[k]荧蒽</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rPr>
                    <w:t>mg/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151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䓛</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rPr>
                    <w:t>mg/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1293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二苯并[a,h]蒽</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rPr>
                    <w:t>mg/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茚并[1,2,3-cd]芘</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rPr>
                    <w:t>mg/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 xml:space="preserve">萘 </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rPr>
                    <w:t>mg/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pH值</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highlight w:val="none"/>
                      <w:lang w:eastAsia="zh-CN"/>
                    </w:rPr>
                  </w:pPr>
                  <w:r>
                    <w:rPr>
                      <w:rFonts w:hint="default" w:ascii="Times New Roman" w:hAnsi="Times New Roman" w:eastAsia="宋体" w:cs="Times New Roman"/>
                      <w:color w:val="auto"/>
                      <w:kern w:val="0"/>
                      <w:highlight w:val="none"/>
                      <w:lang w:eastAsia="zh-CN"/>
                    </w:rPr>
                    <w:t>无量纲</w:t>
                  </w:r>
                </w:p>
              </w:tc>
              <w:tc>
                <w:tcPr>
                  <w:tcW w:w="802" w:type="pc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8.22</w:t>
                  </w:r>
                </w:p>
              </w:tc>
              <w:tc>
                <w:tcPr>
                  <w:tcW w:w="820" w:type="pc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8.11</w:t>
                  </w:r>
                </w:p>
              </w:tc>
              <w:tc>
                <w:tcPr>
                  <w:tcW w:w="691" w:type="pc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7.99</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锑</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kern w:val="0"/>
                      <w:highlight w:val="none"/>
                    </w:rPr>
                    <w:t>mg/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0.16</w:t>
                  </w:r>
                </w:p>
              </w:tc>
              <w:tc>
                <w:tcPr>
                  <w:tcW w:w="820" w:type="pc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0.14</w:t>
                  </w:r>
                </w:p>
              </w:tc>
              <w:tc>
                <w:tcPr>
                  <w:tcW w:w="691" w:type="pc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0.09</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180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eastAsia="zh-CN"/>
                    </w:rPr>
                    <w:t>砷</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rPr>
                    <w:t>mg/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0.8</w:t>
                  </w:r>
                </w:p>
              </w:tc>
              <w:tc>
                <w:tcPr>
                  <w:tcW w:w="691" w:type="pc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eastAsia="zh-CN"/>
                    </w:rPr>
                    <w:t>铅</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rPr>
                    <w:t>mg/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14</w:t>
                  </w:r>
                </w:p>
              </w:tc>
              <w:tc>
                <w:tcPr>
                  <w:tcW w:w="820" w:type="pc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13</w:t>
                  </w:r>
                </w:p>
              </w:tc>
              <w:tc>
                <w:tcPr>
                  <w:tcW w:w="691" w:type="pc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13</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800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eastAsia="zh-CN"/>
                    </w:rPr>
                    <w:t>汞</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rPr>
                    <w:t>mg/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0.011</w:t>
                  </w:r>
                </w:p>
              </w:tc>
              <w:tc>
                <w:tcPr>
                  <w:tcW w:w="820" w:type="pc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0.016</w:t>
                  </w:r>
                </w:p>
              </w:tc>
              <w:tc>
                <w:tcPr>
                  <w:tcW w:w="691" w:type="pc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0.011</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38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eastAsia="zh-CN"/>
                    </w:rPr>
                    <w:t>镉</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rPr>
                    <w:t>mg/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0.22</w:t>
                  </w:r>
                </w:p>
              </w:tc>
              <w:tc>
                <w:tcPr>
                  <w:tcW w:w="820" w:type="pc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0.25</w:t>
                  </w:r>
                </w:p>
              </w:tc>
              <w:tc>
                <w:tcPr>
                  <w:tcW w:w="691" w:type="pc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0.22</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color w:val="auto"/>
                      <w:sz w:val="21"/>
                      <w:szCs w:val="21"/>
                      <w:highlight w:val="none"/>
                      <w:lang w:val="en-US" w:eastAsia="zh-CN"/>
                    </w:rPr>
                    <w:t>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eastAsia="zh-CN"/>
                    </w:rPr>
                    <w:t>铜</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rPr>
                    <w:t>mg/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3.9</w:t>
                  </w:r>
                </w:p>
              </w:tc>
              <w:tc>
                <w:tcPr>
                  <w:tcW w:w="820" w:type="pc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3.8</w:t>
                  </w:r>
                </w:p>
              </w:tc>
              <w:tc>
                <w:tcPr>
                  <w:tcW w:w="691" w:type="pc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3.8</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18000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eastAsia="zh-CN"/>
                    </w:rPr>
                    <w:t>镍</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rPr>
                    <w:t>mg/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w:t>
                  </w:r>
                </w:p>
              </w:tc>
              <w:tc>
                <w:tcPr>
                  <w:tcW w:w="82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w:t>
                  </w:r>
                </w:p>
              </w:tc>
              <w:tc>
                <w:tcPr>
                  <w:tcW w:w="69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900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18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eastAsia="zh-CN"/>
                    </w:rPr>
                    <w:t>六价铬</w:t>
                  </w:r>
                </w:p>
              </w:tc>
              <w:tc>
                <w:tcPr>
                  <w:tcW w:w="81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highlight w:val="none"/>
                    </w:rPr>
                    <w:t>mg/</w:t>
                  </w:r>
                  <w:r>
                    <w:rPr>
                      <w:rFonts w:hint="default" w:ascii="Times New Roman" w:hAnsi="Times New Roman" w:eastAsia="宋体" w:cs="Times New Roman"/>
                      <w:color w:val="auto"/>
                      <w:kern w:val="0"/>
                      <w:highlight w:val="none"/>
                      <w:lang w:val="en-US" w:eastAsia="zh-CN"/>
                    </w:rPr>
                    <w:t>kg</w:t>
                  </w:r>
                </w:p>
              </w:tc>
              <w:tc>
                <w:tcPr>
                  <w:tcW w:w="802" w:type="pct"/>
                  <w:tcBorders>
                    <w:tl2br w:val="nil"/>
                    <w:tr2bl w:val="nil"/>
                  </w:tcBorders>
                  <w:shd w:val="clear" w:color="auto" w:fill="auto"/>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820" w:type="pct"/>
                  <w:tcBorders>
                    <w:tl2br w:val="nil"/>
                    <w:tr2bl w:val="nil"/>
                  </w:tcBorders>
                  <w:shd w:val="clear" w:color="auto" w:fill="auto"/>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91" w:type="pct"/>
                  <w:tcBorders>
                    <w:tl2br w:val="nil"/>
                    <w:tr2bl w:val="nil"/>
                  </w:tcBorders>
                  <w:shd w:val="clear" w:color="auto" w:fill="auto"/>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5.7</w:t>
                  </w:r>
                </w:p>
              </w:tc>
            </w:tr>
          </w:tbl>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表3-9    项目区内土壤监测结果(2~4#)</w:t>
            </w:r>
          </w:p>
          <w:tbl>
            <w:tblPr>
              <w:tblStyle w:val="29"/>
              <w:tblW w:w="499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5" w:type="dxa"/>
                <w:left w:w="15" w:type="dxa"/>
                <w:bottom w:w="15" w:type="dxa"/>
                <w:right w:w="15" w:type="dxa"/>
              </w:tblCellMar>
            </w:tblPr>
            <w:tblGrid>
              <w:gridCol w:w="541"/>
              <w:gridCol w:w="857"/>
              <w:gridCol w:w="684"/>
              <w:gridCol w:w="798"/>
              <w:gridCol w:w="684"/>
              <w:gridCol w:w="684"/>
              <w:gridCol w:w="798"/>
              <w:gridCol w:w="684"/>
              <w:gridCol w:w="684"/>
              <w:gridCol w:w="686"/>
              <w:gridCol w:w="8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87" w:hRule="atLeast"/>
                <w:jc w:val="center"/>
              </w:trPr>
              <w:tc>
                <w:tcPr>
                  <w:tcW w:w="883" w:type="pct"/>
                  <w:gridSpan w:val="2"/>
                  <w:tcBorders>
                    <w:tl2br w:val="nil"/>
                    <w:tr2bl w:val="nil"/>
                  </w:tcBorders>
                  <w:noWrap w:val="0"/>
                  <w:vAlign w:val="center"/>
                </w:tcPr>
                <w:p>
                  <w:pPr>
                    <w:keepNext w:val="0"/>
                    <w:keepLines w:val="0"/>
                    <w:suppressLineNumbers w:val="0"/>
                    <w:tabs>
                      <w:tab w:val="left" w:pos="414"/>
                    </w:tabs>
                    <w:spacing w:before="0" w:beforeAutospacing="0" w:after="0" w:afterAutospacing="0"/>
                    <w:ind w:left="0" w:right="0"/>
                    <w:jc w:val="center"/>
                    <w:rPr>
                      <w:rFonts w:hint="default" w:ascii="Times New Roman" w:hAnsi="Times New Roman" w:eastAsia="宋体" w:cs="Times New Roman"/>
                      <w:bCs/>
                      <w:color w:val="auto"/>
                      <w:kern w:val="0"/>
                      <w:szCs w:val="21"/>
                      <w:highlight w:val="none"/>
                      <w:lang w:bidi="ar"/>
                    </w:rPr>
                  </w:pPr>
                  <w:r>
                    <w:rPr>
                      <w:rFonts w:hint="default" w:ascii="Times New Roman" w:hAnsi="Times New Roman" w:eastAsia="宋体" w:cs="Times New Roman"/>
                      <w:bCs/>
                      <w:color w:val="auto"/>
                      <w:kern w:val="0"/>
                      <w:szCs w:val="21"/>
                      <w:highlight w:val="none"/>
                      <w:lang w:bidi="ar"/>
                    </w:rPr>
                    <w:t>检测项目</w:t>
                  </w:r>
                </w:p>
              </w:tc>
              <w:tc>
                <w:tcPr>
                  <w:tcW w:w="432" w:type="pct"/>
                  <w:tcBorders>
                    <w:tl2br w:val="nil"/>
                    <w:tr2bl w:val="nil"/>
                  </w:tcBorders>
                  <w:noWrap w:val="0"/>
                  <w:vAlign w:val="center"/>
                </w:tcPr>
                <w:p>
                  <w:pPr>
                    <w:keepNext w:val="0"/>
                    <w:keepLines w:val="0"/>
                    <w:suppressLineNumbers w:val="0"/>
                    <w:tabs>
                      <w:tab w:val="left" w:pos="414"/>
                    </w:tabs>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汞</w:t>
                  </w:r>
                </w:p>
              </w:tc>
              <w:tc>
                <w:tcPr>
                  <w:tcW w:w="504" w:type="pct"/>
                  <w:tcBorders>
                    <w:tl2br w:val="nil"/>
                    <w:tr2bl w:val="nil"/>
                  </w:tcBorders>
                  <w:noWrap w:val="0"/>
                  <w:vAlign w:val="center"/>
                </w:tcPr>
                <w:p>
                  <w:pPr>
                    <w:keepNext w:val="0"/>
                    <w:keepLines w:val="0"/>
                    <w:suppressLineNumbers w:val="0"/>
                    <w:tabs>
                      <w:tab w:val="left" w:pos="414"/>
                    </w:tabs>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砷</w:t>
                  </w:r>
                </w:p>
              </w:tc>
              <w:tc>
                <w:tcPr>
                  <w:tcW w:w="432" w:type="pct"/>
                  <w:tcBorders>
                    <w:tl2br w:val="nil"/>
                    <w:tr2bl w:val="nil"/>
                  </w:tcBorders>
                  <w:noWrap w:val="0"/>
                  <w:vAlign w:val="center"/>
                </w:tcPr>
                <w:p>
                  <w:pPr>
                    <w:keepNext w:val="0"/>
                    <w:keepLines w:val="0"/>
                    <w:suppressLineNumbers w:val="0"/>
                    <w:tabs>
                      <w:tab w:val="left" w:pos="414"/>
                    </w:tabs>
                    <w:spacing w:before="0" w:beforeAutospacing="0" w:after="0" w:afterAutospacing="0"/>
                    <w:ind w:left="0" w:right="0"/>
                    <w:jc w:val="center"/>
                    <w:rPr>
                      <w:rFonts w:hint="default" w:ascii="Times New Roman" w:hAnsi="Times New Roman" w:eastAsia="宋体" w:cs="Times New Roman"/>
                      <w:bCs/>
                      <w:color w:val="auto"/>
                      <w:kern w:val="0"/>
                      <w:szCs w:val="21"/>
                      <w:highlight w:val="none"/>
                      <w:lang w:val="en-US" w:eastAsia="zh-CN" w:bidi="ar"/>
                    </w:rPr>
                  </w:pPr>
                  <w:r>
                    <w:rPr>
                      <w:rFonts w:hint="default" w:ascii="Times New Roman" w:hAnsi="Times New Roman" w:eastAsia="宋体" w:cs="Times New Roman"/>
                      <w:bCs/>
                      <w:color w:val="auto"/>
                      <w:kern w:val="0"/>
                      <w:szCs w:val="21"/>
                      <w:highlight w:val="none"/>
                      <w:lang w:val="en-US" w:eastAsia="zh-CN" w:bidi="ar"/>
                    </w:rPr>
                    <w:t>铅</w:t>
                  </w:r>
                </w:p>
              </w:tc>
              <w:tc>
                <w:tcPr>
                  <w:tcW w:w="432" w:type="pct"/>
                  <w:tcBorders>
                    <w:tl2br w:val="nil"/>
                    <w:tr2bl w:val="nil"/>
                  </w:tcBorders>
                  <w:noWrap w:val="0"/>
                  <w:vAlign w:val="center"/>
                </w:tcPr>
                <w:p>
                  <w:pPr>
                    <w:keepNext w:val="0"/>
                    <w:keepLines w:val="0"/>
                    <w:suppressLineNumbers w:val="0"/>
                    <w:tabs>
                      <w:tab w:val="left" w:pos="414"/>
                    </w:tabs>
                    <w:spacing w:before="0" w:beforeAutospacing="0" w:after="0" w:afterAutospacing="0"/>
                    <w:ind w:left="0" w:right="0"/>
                    <w:jc w:val="center"/>
                    <w:rPr>
                      <w:rFonts w:hint="default" w:ascii="Times New Roman" w:hAnsi="Times New Roman" w:eastAsia="宋体" w:cs="Times New Roman"/>
                      <w:bCs/>
                      <w:color w:val="auto"/>
                      <w:kern w:val="0"/>
                      <w:szCs w:val="21"/>
                      <w:highlight w:val="none"/>
                      <w:lang w:val="en-US" w:eastAsia="zh-CN" w:bidi="ar"/>
                    </w:rPr>
                  </w:pPr>
                  <w:r>
                    <w:rPr>
                      <w:rFonts w:hint="default" w:ascii="Times New Roman" w:hAnsi="Times New Roman" w:eastAsia="宋体" w:cs="Times New Roman"/>
                      <w:bCs/>
                      <w:color w:val="auto"/>
                      <w:kern w:val="0"/>
                      <w:szCs w:val="21"/>
                      <w:highlight w:val="none"/>
                      <w:lang w:val="en-US" w:eastAsia="zh-CN" w:bidi="ar"/>
                    </w:rPr>
                    <w:t>镉</w:t>
                  </w:r>
                </w:p>
              </w:tc>
              <w:tc>
                <w:tcPr>
                  <w:tcW w:w="504" w:type="pct"/>
                  <w:tcBorders>
                    <w:tl2br w:val="nil"/>
                    <w:tr2bl w:val="nil"/>
                  </w:tcBorders>
                  <w:noWrap w:val="0"/>
                  <w:vAlign w:val="center"/>
                </w:tcPr>
                <w:p>
                  <w:pPr>
                    <w:keepNext w:val="0"/>
                    <w:keepLines w:val="0"/>
                    <w:suppressLineNumbers w:val="0"/>
                    <w:tabs>
                      <w:tab w:val="left" w:pos="414"/>
                    </w:tabs>
                    <w:spacing w:before="0" w:beforeAutospacing="0" w:after="0" w:afterAutospacing="0"/>
                    <w:ind w:left="0" w:right="0"/>
                    <w:jc w:val="center"/>
                    <w:rPr>
                      <w:rFonts w:hint="default" w:ascii="Times New Roman" w:hAnsi="Times New Roman" w:eastAsia="宋体" w:cs="Times New Roman"/>
                      <w:bCs/>
                      <w:color w:val="auto"/>
                      <w:kern w:val="0"/>
                      <w:szCs w:val="21"/>
                      <w:highlight w:val="none"/>
                      <w:lang w:val="en-US" w:eastAsia="zh-CN" w:bidi="ar"/>
                    </w:rPr>
                  </w:pPr>
                  <w:r>
                    <w:rPr>
                      <w:rFonts w:hint="default" w:ascii="Times New Roman" w:hAnsi="Times New Roman" w:eastAsia="宋体" w:cs="Times New Roman"/>
                      <w:bCs/>
                      <w:color w:val="auto"/>
                      <w:kern w:val="0"/>
                      <w:szCs w:val="21"/>
                      <w:highlight w:val="none"/>
                      <w:lang w:val="en-US" w:eastAsia="zh-CN" w:bidi="ar"/>
                    </w:rPr>
                    <w:t>六价铬</w:t>
                  </w:r>
                </w:p>
              </w:tc>
              <w:tc>
                <w:tcPr>
                  <w:tcW w:w="432" w:type="pct"/>
                  <w:tcBorders>
                    <w:tl2br w:val="nil"/>
                    <w:tr2bl w:val="nil"/>
                  </w:tcBorders>
                  <w:noWrap w:val="0"/>
                  <w:vAlign w:val="center"/>
                </w:tcPr>
                <w:p>
                  <w:pPr>
                    <w:keepNext w:val="0"/>
                    <w:keepLines w:val="0"/>
                    <w:suppressLineNumbers w:val="0"/>
                    <w:tabs>
                      <w:tab w:val="left" w:pos="414"/>
                    </w:tabs>
                    <w:spacing w:before="0" w:beforeAutospacing="0" w:after="0" w:afterAutospacing="0"/>
                    <w:ind w:left="0" w:right="0"/>
                    <w:jc w:val="center"/>
                    <w:rPr>
                      <w:rFonts w:hint="default" w:ascii="Times New Roman" w:hAnsi="Times New Roman" w:eastAsia="宋体" w:cs="Times New Roman"/>
                      <w:bCs/>
                      <w:color w:val="auto"/>
                      <w:kern w:val="0"/>
                      <w:szCs w:val="21"/>
                      <w:highlight w:val="none"/>
                      <w:lang w:val="en-US" w:eastAsia="zh-CN" w:bidi="ar"/>
                    </w:rPr>
                  </w:pPr>
                  <w:r>
                    <w:rPr>
                      <w:rFonts w:hint="default" w:ascii="Times New Roman" w:hAnsi="Times New Roman" w:eastAsia="宋体" w:cs="Times New Roman"/>
                      <w:bCs/>
                      <w:color w:val="auto"/>
                      <w:kern w:val="0"/>
                      <w:szCs w:val="21"/>
                      <w:highlight w:val="none"/>
                      <w:lang w:val="en-US" w:eastAsia="zh-CN" w:bidi="ar"/>
                    </w:rPr>
                    <w:t>铜</w:t>
                  </w:r>
                </w:p>
              </w:tc>
              <w:tc>
                <w:tcPr>
                  <w:tcW w:w="432" w:type="pct"/>
                  <w:tcBorders>
                    <w:tl2br w:val="nil"/>
                    <w:tr2bl w:val="nil"/>
                  </w:tcBorders>
                  <w:noWrap w:val="0"/>
                  <w:vAlign w:val="center"/>
                </w:tcPr>
                <w:p>
                  <w:pPr>
                    <w:keepNext w:val="0"/>
                    <w:keepLines w:val="0"/>
                    <w:suppressLineNumbers w:val="0"/>
                    <w:tabs>
                      <w:tab w:val="left" w:pos="414"/>
                    </w:tabs>
                    <w:spacing w:before="0" w:beforeAutospacing="0" w:after="0" w:afterAutospacing="0"/>
                    <w:ind w:left="0" w:right="0"/>
                    <w:jc w:val="center"/>
                    <w:rPr>
                      <w:rFonts w:hint="default" w:ascii="Times New Roman" w:hAnsi="Times New Roman" w:eastAsia="宋体" w:cs="Times New Roman"/>
                      <w:bCs/>
                      <w:color w:val="auto"/>
                      <w:kern w:val="0"/>
                      <w:szCs w:val="21"/>
                      <w:highlight w:val="none"/>
                      <w:lang w:val="en-US" w:eastAsia="zh-CN" w:bidi="ar"/>
                    </w:rPr>
                  </w:pPr>
                  <w:r>
                    <w:rPr>
                      <w:rFonts w:hint="default" w:ascii="Times New Roman" w:hAnsi="Times New Roman" w:eastAsia="宋体" w:cs="Times New Roman"/>
                      <w:bCs/>
                      <w:color w:val="auto"/>
                      <w:kern w:val="0"/>
                      <w:szCs w:val="21"/>
                      <w:highlight w:val="none"/>
                      <w:lang w:val="en-US" w:eastAsia="zh-CN" w:bidi="ar"/>
                    </w:rPr>
                    <w:t>镍</w:t>
                  </w:r>
                </w:p>
              </w:tc>
              <w:tc>
                <w:tcPr>
                  <w:tcW w:w="433" w:type="pct"/>
                  <w:tcBorders>
                    <w:tl2br w:val="nil"/>
                    <w:tr2bl w:val="nil"/>
                  </w:tcBorders>
                  <w:noWrap w:val="0"/>
                  <w:vAlign w:val="center"/>
                </w:tcPr>
                <w:p>
                  <w:pPr>
                    <w:keepNext w:val="0"/>
                    <w:keepLines w:val="0"/>
                    <w:suppressLineNumbers w:val="0"/>
                    <w:tabs>
                      <w:tab w:val="left" w:pos="414"/>
                    </w:tabs>
                    <w:spacing w:before="0" w:beforeAutospacing="0" w:after="0" w:afterAutospacing="0"/>
                    <w:ind w:left="0" w:right="0"/>
                    <w:jc w:val="center"/>
                    <w:rPr>
                      <w:rFonts w:hint="default" w:ascii="Times New Roman" w:hAnsi="Times New Roman" w:eastAsia="宋体" w:cs="Times New Roman"/>
                      <w:bCs/>
                      <w:color w:val="auto"/>
                      <w:kern w:val="0"/>
                      <w:szCs w:val="21"/>
                      <w:highlight w:val="none"/>
                      <w:lang w:val="en-US" w:eastAsia="zh-CN" w:bidi="ar"/>
                    </w:rPr>
                  </w:pPr>
                  <w:r>
                    <w:rPr>
                      <w:rFonts w:hint="default" w:ascii="Times New Roman" w:hAnsi="Times New Roman" w:eastAsia="宋体" w:cs="Times New Roman"/>
                      <w:bCs/>
                      <w:color w:val="auto"/>
                      <w:kern w:val="0"/>
                      <w:szCs w:val="21"/>
                      <w:highlight w:val="none"/>
                      <w:lang w:val="en-US" w:eastAsia="zh-CN" w:bidi="ar"/>
                    </w:rPr>
                    <w:t>锑</w:t>
                  </w:r>
                </w:p>
              </w:tc>
              <w:tc>
                <w:tcPr>
                  <w:tcW w:w="509" w:type="pct"/>
                  <w:tcBorders>
                    <w:tl2br w:val="nil"/>
                    <w:tr2bl w:val="nil"/>
                  </w:tcBorders>
                  <w:noWrap w:val="0"/>
                  <w:vAlign w:val="center"/>
                </w:tcPr>
                <w:p>
                  <w:pPr>
                    <w:keepNext w:val="0"/>
                    <w:keepLines w:val="0"/>
                    <w:suppressLineNumbers w:val="0"/>
                    <w:tabs>
                      <w:tab w:val="left" w:pos="414"/>
                    </w:tabs>
                    <w:spacing w:before="0" w:beforeAutospacing="0" w:after="0" w:afterAutospacing="0"/>
                    <w:ind w:left="0" w:right="0"/>
                    <w:jc w:val="center"/>
                    <w:rPr>
                      <w:rFonts w:hint="default" w:ascii="Times New Roman" w:hAnsi="Times New Roman" w:eastAsia="宋体" w:cs="Times New Roman"/>
                      <w:bCs/>
                      <w:color w:val="auto"/>
                      <w:kern w:val="0"/>
                      <w:szCs w:val="21"/>
                      <w:highlight w:val="none"/>
                      <w:lang w:val="en-US" w:eastAsia="zh-CN" w:bidi="ar"/>
                    </w:rPr>
                  </w:pPr>
                  <w:r>
                    <w:rPr>
                      <w:rFonts w:hint="default" w:ascii="Times New Roman" w:hAnsi="Times New Roman" w:eastAsia="宋体" w:cs="Times New Roman"/>
                      <w:color w:val="auto"/>
                      <w:szCs w:val="21"/>
                      <w:highlight w:val="none"/>
                      <w:lang w:val="en-US" w:eastAsia="zh-CN"/>
                    </w:rPr>
                    <w:t>pH值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87" w:hRule="atLeast"/>
                <w:jc w:val="center"/>
              </w:trPr>
              <w:tc>
                <w:tcPr>
                  <w:tcW w:w="883" w:type="pct"/>
                  <w:gridSpan w:val="2"/>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0"/>
                      <w:szCs w:val="21"/>
                      <w:highlight w:val="none"/>
                      <w:lang w:bidi="ar"/>
                    </w:rPr>
                  </w:pPr>
                  <w:r>
                    <w:rPr>
                      <w:rFonts w:hint="default" w:ascii="Times New Roman" w:hAnsi="Times New Roman" w:eastAsia="宋体" w:cs="Times New Roman"/>
                      <w:bCs/>
                      <w:color w:val="auto"/>
                      <w:kern w:val="0"/>
                      <w:szCs w:val="21"/>
                      <w:highlight w:val="none"/>
                      <w:lang w:bidi="ar"/>
                    </w:rPr>
                    <w:t>单位</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lang w:val="en-US" w:eastAsia="zh-CN"/>
                    </w:rPr>
                    <w:t>m</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50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color w:val="auto"/>
                      <w:kern w:val="0"/>
                      <w:highlight w:val="none"/>
                      <w:lang w:val="en-US" w:eastAsia="zh-CN"/>
                    </w:rPr>
                    <w:t>m</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0"/>
                      <w:szCs w:val="21"/>
                      <w:highlight w:val="none"/>
                      <w:lang w:val="en-US" w:eastAsia="zh-CN" w:bidi="ar"/>
                    </w:rPr>
                  </w:pPr>
                  <w:r>
                    <w:rPr>
                      <w:rFonts w:hint="default" w:ascii="Times New Roman" w:hAnsi="Times New Roman" w:eastAsia="宋体" w:cs="Times New Roman"/>
                      <w:color w:val="auto"/>
                      <w:kern w:val="0"/>
                      <w:highlight w:val="none"/>
                      <w:lang w:val="en-US" w:eastAsia="zh-CN"/>
                    </w:rPr>
                    <w:t>m</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0"/>
                      <w:szCs w:val="21"/>
                      <w:highlight w:val="none"/>
                      <w:lang w:val="en-US" w:eastAsia="zh-CN" w:bidi="ar"/>
                    </w:rPr>
                  </w:pPr>
                  <w:r>
                    <w:rPr>
                      <w:rFonts w:hint="default" w:ascii="Times New Roman" w:hAnsi="Times New Roman" w:eastAsia="宋体" w:cs="Times New Roman"/>
                      <w:color w:val="auto"/>
                      <w:kern w:val="0"/>
                      <w:highlight w:val="none"/>
                      <w:lang w:val="en-US" w:eastAsia="zh-CN"/>
                    </w:rPr>
                    <w:t>m</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50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0"/>
                      <w:szCs w:val="21"/>
                      <w:highlight w:val="none"/>
                      <w:lang w:val="en-US" w:eastAsia="zh-CN" w:bidi="ar"/>
                    </w:rPr>
                  </w:pPr>
                  <w:r>
                    <w:rPr>
                      <w:rFonts w:hint="default" w:ascii="Times New Roman" w:hAnsi="Times New Roman" w:eastAsia="宋体" w:cs="Times New Roman"/>
                      <w:color w:val="auto"/>
                      <w:kern w:val="0"/>
                      <w:highlight w:val="none"/>
                      <w:lang w:val="en-US" w:eastAsia="zh-CN"/>
                    </w:rPr>
                    <w:t>m</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color w:val="auto"/>
                      <w:kern w:val="0"/>
                      <w:highlight w:val="none"/>
                      <w:lang w:val="en-US" w:eastAsia="zh-CN"/>
                    </w:rPr>
                    <w:t>m</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color w:val="auto"/>
                      <w:kern w:val="0"/>
                      <w:highlight w:val="none"/>
                      <w:lang w:val="en-US" w:eastAsia="zh-CN"/>
                    </w:rPr>
                    <w:t>m</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433"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color w:val="auto"/>
                      <w:kern w:val="0"/>
                      <w:highlight w:val="none"/>
                      <w:lang w:val="en-US" w:eastAsia="zh-CN"/>
                    </w:rPr>
                    <w:t>m</w:t>
                  </w:r>
                  <w:r>
                    <w:rPr>
                      <w:rFonts w:hint="default" w:ascii="Times New Roman" w:hAnsi="Times New Roman" w:eastAsia="宋体" w:cs="Times New Roman"/>
                      <w:color w:val="auto"/>
                      <w:kern w:val="0"/>
                      <w:highlight w:val="none"/>
                    </w:rPr>
                    <w:t>g/</w:t>
                  </w:r>
                  <w:r>
                    <w:rPr>
                      <w:rFonts w:hint="default" w:ascii="Times New Roman" w:hAnsi="Times New Roman" w:eastAsia="宋体" w:cs="Times New Roman"/>
                      <w:color w:val="auto"/>
                      <w:kern w:val="0"/>
                      <w:highlight w:val="none"/>
                      <w:lang w:val="en-US" w:eastAsia="zh-CN"/>
                    </w:rPr>
                    <w:t>kg</w:t>
                  </w:r>
                </w:p>
              </w:tc>
              <w:tc>
                <w:tcPr>
                  <w:tcW w:w="50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color w:val="auto"/>
                      <w:kern w:val="0"/>
                      <w:highlight w:val="none"/>
                      <w:lang w:eastAsia="zh-CN"/>
                    </w:rPr>
                    <w:t>无量纲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99" w:hRule="atLeast"/>
                <w:jc w:val="center"/>
              </w:trPr>
              <w:tc>
                <w:tcPr>
                  <w:tcW w:w="342" w:type="pct"/>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szCs w:val="21"/>
                      <w:highlight w:val="none"/>
                      <w:lang w:eastAsia="zh-CN"/>
                    </w:rPr>
                  </w:pPr>
                  <w:r>
                    <w:rPr>
                      <w:rFonts w:hint="default" w:ascii="Times New Roman" w:hAnsi="Times New Roman" w:eastAsia="宋体" w:cs="Times New Roman"/>
                      <w:bCs/>
                      <w:color w:val="auto"/>
                      <w:kern w:val="0"/>
                      <w:szCs w:val="21"/>
                      <w:highlight w:val="none"/>
                      <w:lang w:eastAsia="zh-CN" w:bidi="ar"/>
                    </w:rPr>
                    <w:t>点位</w:t>
                  </w:r>
                </w:p>
              </w:tc>
              <w:tc>
                <w:tcPr>
                  <w:tcW w:w="54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深度</w:t>
                  </w:r>
                </w:p>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Cs w:val="21"/>
                      <w:highlight w:val="none"/>
                      <w:lang w:val="en-US" w:eastAsia="zh-CN" w:bidi="ar"/>
                    </w:rPr>
                  </w:pPr>
                  <w:r>
                    <w:rPr>
                      <w:rFonts w:hint="default" w:ascii="Times New Roman" w:hAnsi="Times New Roman" w:eastAsia="宋体" w:cs="Times New Roman"/>
                      <w:color w:val="auto"/>
                      <w:sz w:val="21"/>
                      <w:szCs w:val="21"/>
                      <w:highlight w:val="none"/>
                      <w:lang w:val="en-US" w:eastAsia="zh-CN"/>
                    </w:rPr>
                    <w:t>（cm）</w:t>
                  </w:r>
                </w:p>
              </w:tc>
              <w:tc>
                <w:tcPr>
                  <w:tcW w:w="4116" w:type="pct"/>
                  <w:gridSpan w:val="9"/>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0"/>
                      <w:szCs w:val="21"/>
                      <w:highlight w:val="none"/>
                      <w:lang w:val="en-US" w:eastAsia="zh-CN" w:bidi="ar"/>
                    </w:rPr>
                  </w:pPr>
                  <w:r>
                    <w:rPr>
                      <w:rFonts w:hint="default" w:ascii="Times New Roman" w:hAnsi="Times New Roman" w:eastAsia="宋体" w:cs="Times New Roman"/>
                      <w:bCs/>
                      <w:color w:val="auto"/>
                      <w:kern w:val="2"/>
                      <w:sz w:val="21"/>
                      <w:szCs w:val="21"/>
                      <w:highlight w:val="none"/>
                      <w:lang w:val="en-US" w:eastAsia="zh-CN" w:bidi="ar-SA"/>
                    </w:rPr>
                    <w:t>检测结果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97" w:hRule="atLeast"/>
                <w:jc w:val="center"/>
              </w:trPr>
              <w:tc>
                <w:tcPr>
                  <w:tcW w:w="342" w:type="pct"/>
                  <w:vMerge w:val="restar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w:t>
                  </w:r>
                </w:p>
              </w:tc>
              <w:tc>
                <w:tcPr>
                  <w:tcW w:w="54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40</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0.025</w:t>
                  </w:r>
                </w:p>
              </w:tc>
              <w:tc>
                <w:tcPr>
                  <w:tcW w:w="50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
                    </w:rPr>
                  </w:pPr>
                  <w:r>
                    <w:rPr>
                      <w:rFonts w:hint="default" w:ascii="Times New Roman" w:hAnsi="Times New Roman" w:eastAsia="宋体" w:cs="Times New Roman"/>
                      <w:bCs/>
                      <w:color w:val="auto"/>
                      <w:kern w:val="0"/>
                      <w:sz w:val="21"/>
                      <w:szCs w:val="21"/>
                      <w:highlight w:val="none"/>
                      <w:lang w:val="en-US" w:eastAsia="zh-CN" w:bidi="ar"/>
                    </w:rPr>
                    <w:t>13</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
                    </w:rPr>
                  </w:pPr>
                  <w:r>
                    <w:rPr>
                      <w:rFonts w:hint="default" w:ascii="Times New Roman" w:hAnsi="Times New Roman" w:eastAsia="宋体" w:cs="Times New Roman"/>
                      <w:bCs/>
                      <w:color w:val="auto"/>
                      <w:kern w:val="0"/>
                      <w:sz w:val="21"/>
                      <w:szCs w:val="21"/>
                      <w:highlight w:val="none"/>
                      <w:lang w:val="en-US" w:eastAsia="zh-CN" w:bidi="ar"/>
                    </w:rPr>
                    <w:t>0.22</w:t>
                  </w:r>
                </w:p>
              </w:tc>
              <w:tc>
                <w:tcPr>
                  <w:tcW w:w="50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3.7</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5</w:t>
                  </w:r>
                </w:p>
              </w:tc>
              <w:tc>
                <w:tcPr>
                  <w:tcW w:w="433"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0.13</w:t>
                  </w:r>
                </w:p>
              </w:tc>
              <w:tc>
                <w:tcPr>
                  <w:tcW w:w="50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8.23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97" w:hRule="atLeast"/>
                <w:jc w:val="center"/>
              </w:trPr>
              <w:tc>
                <w:tcPr>
                  <w:tcW w:w="342" w:type="pct"/>
                  <w:vMerge w:val="continue"/>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p>
              </w:tc>
              <w:tc>
                <w:tcPr>
                  <w:tcW w:w="54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130</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0.028</w:t>
                  </w:r>
                </w:p>
              </w:tc>
              <w:tc>
                <w:tcPr>
                  <w:tcW w:w="50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0.7</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
                    </w:rPr>
                  </w:pPr>
                  <w:r>
                    <w:rPr>
                      <w:rFonts w:hint="default" w:ascii="Times New Roman" w:hAnsi="Times New Roman" w:eastAsia="宋体" w:cs="Times New Roman"/>
                      <w:bCs/>
                      <w:color w:val="auto"/>
                      <w:kern w:val="0"/>
                      <w:sz w:val="21"/>
                      <w:szCs w:val="21"/>
                      <w:highlight w:val="none"/>
                      <w:lang w:val="en-US" w:eastAsia="zh-CN" w:bidi="ar"/>
                    </w:rPr>
                    <w:t>13</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
                    </w:rPr>
                  </w:pPr>
                  <w:r>
                    <w:rPr>
                      <w:rFonts w:hint="default" w:ascii="Times New Roman" w:hAnsi="Times New Roman" w:eastAsia="宋体" w:cs="Times New Roman"/>
                      <w:bCs/>
                      <w:color w:val="auto"/>
                      <w:kern w:val="0"/>
                      <w:sz w:val="21"/>
                      <w:szCs w:val="21"/>
                      <w:highlight w:val="none"/>
                      <w:lang w:val="en-US" w:eastAsia="zh-CN" w:bidi="ar"/>
                    </w:rPr>
                    <w:t>0.26</w:t>
                  </w:r>
                </w:p>
              </w:tc>
              <w:tc>
                <w:tcPr>
                  <w:tcW w:w="50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3.4</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5</w:t>
                  </w:r>
                </w:p>
              </w:tc>
              <w:tc>
                <w:tcPr>
                  <w:tcW w:w="433"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0.09</w:t>
                  </w:r>
                </w:p>
              </w:tc>
              <w:tc>
                <w:tcPr>
                  <w:tcW w:w="50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8.10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97" w:hRule="atLeast"/>
                <w:jc w:val="center"/>
              </w:trPr>
              <w:tc>
                <w:tcPr>
                  <w:tcW w:w="342" w:type="pct"/>
                  <w:vMerge w:val="continue"/>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p>
              </w:tc>
              <w:tc>
                <w:tcPr>
                  <w:tcW w:w="54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170</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0.026</w:t>
                  </w:r>
                </w:p>
              </w:tc>
              <w:tc>
                <w:tcPr>
                  <w:tcW w:w="50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10</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0.24</w:t>
                  </w:r>
                </w:p>
              </w:tc>
              <w:tc>
                <w:tcPr>
                  <w:tcW w:w="50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未检出</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2.7</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5</w:t>
                  </w:r>
                </w:p>
              </w:tc>
              <w:tc>
                <w:tcPr>
                  <w:tcW w:w="433"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0.09</w:t>
                  </w:r>
                </w:p>
              </w:tc>
              <w:tc>
                <w:tcPr>
                  <w:tcW w:w="50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7.96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97" w:hRule="atLeast"/>
                <w:jc w:val="center"/>
              </w:trPr>
              <w:tc>
                <w:tcPr>
                  <w:tcW w:w="342" w:type="pct"/>
                  <w:vMerge w:val="restart"/>
                  <w:tcBorders>
                    <w:tl2br w:val="nil"/>
                    <w:tr2bl w:val="nil"/>
                  </w:tcBorders>
                  <w:shd w:val="clear" w:color="auto" w:fill="auto"/>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3#</w:t>
                  </w:r>
                </w:p>
              </w:tc>
              <w:tc>
                <w:tcPr>
                  <w:tcW w:w="54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30</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0.032</w:t>
                  </w:r>
                </w:p>
              </w:tc>
              <w:tc>
                <w:tcPr>
                  <w:tcW w:w="50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0.6</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11</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0.19</w:t>
                  </w:r>
                </w:p>
              </w:tc>
              <w:tc>
                <w:tcPr>
                  <w:tcW w:w="50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未检出</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2.9</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5</w:t>
                  </w:r>
                </w:p>
              </w:tc>
              <w:tc>
                <w:tcPr>
                  <w:tcW w:w="433"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0.24</w:t>
                  </w:r>
                </w:p>
              </w:tc>
              <w:tc>
                <w:tcPr>
                  <w:tcW w:w="50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8.18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97" w:hRule="atLeast"/>
                <w:jc w:val="center"/>
              </w:trPr>
              <w:tc>
                <w:tcPr>
                  <w:tcW w:w="342" w:type="pct"/>
                  <w:vMerge w:val="continue"/>
                  <w:tcBorders>
                    <w:tl2br w:val="nil"/>
                    <w:tr2bl w:val="nil"/>
                  </w:tcBorders>
                  <w:shd w:val="clear" w:color="auto" w:fill="auto"/>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p>
              </w:tc>
              <w:tc>
                <w:tcPr>
                  <w:tcW w:w="54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140</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0.014</w:t>
                  </w:r>
                </w:p>
              </w:tc>
              <w:tc>
                <w:tcPr>
                  <w:tcW w:w="50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8.1</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21</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0.98</w:t>
                  </w:r>
                </w:p>
              </w:tc>
              <w:tc>
                <w:tcPr>
                  <w:tcW w:w="50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未检出</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15.5</w:t>
                  </w:r>
                </w:p>
              </w:tc>
              <w:tc>
                <w:tcPr>
                  <w:tcW w:w="432" w:type="pct"/>
                  <w:tcBorders>
                    <w:tl2br w:val="nil"/>
                    <w:tr2bl w:val="nil"/>
                  </w:tcBorders>
                  <w:shd w:val="clear" w:color="auto" w:fill="auto"/>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19</w:t>
                  </w:r>
                </w:p>
              </w:tc>
              <w:tc>
                <w:tcPr>
                  <w:tcW w:w="433"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0.16</w:t>
                  </w:r>
                </w:p>
              </w:tc>
              <w:tc>
                <w:tcPr>
                  <w:tcW w:w="50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7.97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97" w:hRule="atLeast"/>
                <w:jc w:val="center"/>
              </w:trPr>
              <w:tc>
                <w:tcPr>
                  <w:tcW w:w="342" w:type="pct"/>
                  <w:vMerge w:val="continue"/>
                  <w:tcBorders>
                    <w:tl2br w:val="nil"/>
                    <w:tr2bl w:val="nil"/>
                  </w:tcBorders>
                  <w:shd w:val="clear" w:color="auto" w:fill="auto"/>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p>
              </w:tc>
              <w:tc>
                <w:tcPr>
                  <w:tcW w:w="54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180</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0.040</w:t>
                  </w:r>
                </w:p>
              </w:tc>
              <w:tc>
                <w:tcPr>
                  <w:tcW w:w="50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6.0</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13</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0.95</w:t>
                  </w:r>
                </w:p>
              </w:tc>
              <w:tc>
                <w:tcPr>
                  <w:tcW w:w="50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未检出</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14.0</w:t>
                  </w:r>
                </w:p>
              </w:tc>
              <w:tc>
                <w:tcPr>
                  <w:tcW w:w="432" w:type="pct"/>
                  <w:tcBorders>
                    <w:tl2br w:val="nil"/>
                    <w:tr2bl w:val="nil"/>
                  </w:tcBorders>
                  <w:shd w:val="clear" w:color="auto" w:fill="auto"/>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18</w:t>
                  </w:r>
                </w:p>
              </w:tc>
              <w:tc>
                <w:tcPr>
                  <w:tcW w:w="433"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0.21</w:t>
                  </w:r>
                </w:p>
              </w:tc>
              <w:tc>
                <w:tcPr>
                  <w:tcW w:w="50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7.88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97" w:hRule="atLeast"/>
                <w:jc w:val="center"/>
              </w:trPr>
              <w:tc>
                <w:tcPr>
                  <w:tcW w:w="34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4#</w:t>
                  </w:r>
                </w:p>
              </w:tc>
              <w:tc>
                <w:tcPr>
                  <w:tcW w:w="54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17</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0.017</w:t>
                  </w:r>
                </w:p>
              </w:tc>
              <w:tc>
                <w:tcPr>
                  <w:tcW w:w="50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5.6</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12</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1.12</w:t>
                  </w:r>
                </w:p>
              </w:tc>
              <w:tc>
                <w:tcPr>
                  <w:tcW w:w="50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未检出</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14.8</w:t>
                  </w:r>
                </w:p>
              </w:tc>
              <w:tc>
                <w:tcPr>
                  <w:tcW w:w="432" w:type="pct"/>
                  <w:tcBorders>
                    <w:tl2br w:val="nil"/>
                    <w:tr2bl w:val="nil"/>
                  </w:tcBorders>
                  <w:shd w:val="clear" w:color="auto" w:fill="auto"/>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16</w:t>
                  </w:r>
                </w:p>
              </w:tc>
              <w:tc>
                <w:tcPr>
                  <w:tcW w:w="433"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0.16</w:t>
                  </w:r>
                </w:p>
              </w:tc>
              <w:tc>
                <w:tcPr>
                  <w:tcW w:w="50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7.85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97" w:hRule="atLeast"/>
                <w:jc w:val="center"/>
              </w:trPr>
              <w:tc>
                <w:tcPr>
                  <w:tcW w:w="883" w:type="pct"/>
                  <w:gridSpan w:val="2"/>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color w:val="auto"/>
                      <w:sz w:val="21"/>
                      <w:szCs w:val="21"/>
                      <w:highlight w:val="none"/>
                      <w:lang w:val="en-US" w:eastAsia="zh-CN"/>
                    </w:rPr>
                    <w:t>标准值</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38</w:t>
                  </w:r>
                </w:p>
              </w:tc>
              <w:tc>
                <w:tcPr>
                  <w:tcW w:w="50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60</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800</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65</w:t>
                  </w:r>
                </w:p>
              </w:tc>
              <w:tc>
                <w:tcPr>
                  <w:tcW w:w="50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5.7</w:t>
                  </w:r>
                </w:p>
              </w:tc>
              <w:tc>
                <w:tcPr>
                  <w:tcW w:w="43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18000</w:t>
                  </w:r>
                </w:p>
              </w:tc>
              <w:tc>
                <w:tcPr>
                  <w:tcW w:w="432" w:type="pct"/>
                  <w:tcBorders>
                    <w:tl2br w:val="nil"/>
                    <w:tr2bl w:val="nil"/>
                  </w:tcBorders>
                  <w:shd w:val="clear" w:color="auto" w:fill="auto"/>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900</w:t>
                  </w:r>
                </w:p>
              </w:tc>
              <w:tc>
                <w:tcPr>
                  <w:tcW w:w="433"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180</w:t>
                  </w:r>
                </w:p>
              </w:tc>
              <w:tc>
                <w:tcPr>
                  <w:tcW w:w="509"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w:t>
                  </w:r>
                </w:p>
              </w:tc>
            </w:tr>
          </w:tbl>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表3-10   厂区外土壤环境质量现状监测结果统计表（5~</w:t>
            </w:r>
            <w:r>
              <w:rPr>
                <w:rFonts w:hint="default" w:ascii="Times New Roman" w:hAnsi="Times New Roman" w:cs="Times New Roman"/>
                <w:b/>
                <w:bCs w:val="0"/>
                <w:color w:val="auto"/>
                <w:sz w:val="21"/>
                <w:szCs w:val="21"/>
                <w:lang w:val="en-US" w:eastAsia="zh-CN"/>
              </w:rPr>
              <w:t>6</w:t>
            </w:r>
            <w:r>
              <w:rPr>
                <w:rFonts w:hint="default" w:ascii="Times New Roman" w:hAnsi="Times New Roman" w:eastAsia="宋体" w:cs="Times New Roman"/>
                <w:b/>
                <w:bCs w:val="0"/>
                <w:color w:val="auto"/>
                <w:sz w:val="21"/>
                <w:szCs w:val="21"/>
                <w:lang w:val="en-US" w:eastAsia="zh-CN"/>
              </w:rPr>
              <w:t>#表层样）</w:t>
            </w:r>
          </w:p>
          <w:tbl>
            <w:tblPr>
              <w:tblStyle w:val="71"/>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2140"/>
              <w:gridCol w:w="1282"/>
              <w:gridCol w:w="1810"/>
              <w:gridCol w:w="1810"/>
              <w:gridCol w:w="87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51"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zh-CN"/>
                    </w:rPr>
                    <w:t>检测项目</w:t>
                  </w:r>
                </w:p>
              </w:tc>
              <w:tc>
                <w:tcPr>
                  <w:tcW w:w="809" w:type="pct"/>
                  <w:tcBorders>
                    <w:tl2br w:val="nil"/>
                    <w:tr2bl w:val="nil"/>
                  </w:tcBorders>
                  <w:shd w:val="clear" w:color="auto" w:fill="auto"/>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zh-CN"/>
                    </w:rPr>
                    <w:t>单位</w:t>
                  </w:r>
                </w:p>
              </w:tc>
              <w:tc>
                <w:tcPr>
                  <w:tcW w:w="1142"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w:t>
                  </w:r>
                </w:p>
              </w:tc>
              <w:tc>
                <w:tcPr>
                  <w:tcW w:w="1142"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w:t>
                  </w:r>
                </w:p>
              </w:tc>
              <w:tc>
                <w:tcPr>
                  <w:tcW w:w="55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标准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51"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pH</w:t>
                  </w:r>
                </w:p>
              </w:tc>
              <w:tc>
                <w:tcPr>
                  <w:tcW w:w="809"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无量纲</w:t>
                  </w:r>
                </w:p>
              </w:tc>
              <w:tc>
                <w:tcPr>
                  <w:tcW w:w="1142"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8.2</w:t>
                  </w:r>
                </w:p>
              </w:tc>
              <w:tc>
                <w:tcPr>
                  <w:tcW w:w="1142"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8.3</w:t>
                  </w:r>
                </w:p>
              </w:tc>
              <w:tc>
                <w:tcPr>
                  <w:tcW w:w="55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bCs/>
                      <w:color w:val="auto"/>
                      <w:szCs w:val="21"/>
                      <w:highlight w:val="none"/>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51"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全盐量</w:t>
                  </w:r>
                </w:p>
              </w:tc>
              <w:tc>
                <w:tcPr>
                  <w:tcW w:w="809"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g/kg</w:t>
                  </w:r>
                </w:p>
              </w:tc>
              <w:tc>
                <w:tcPr>
                  <w:tcW w:w="1142"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13.4</w:t>
                  </w:r>
                </w:p>
              </w:tc>
              <w:tc>
                <w:tcPr>
                  <w:tcW w:w="1142"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6.2</w:t>
                  </w:r>
                </w:p>
              </w:tc>
              <w:tc>
                <w:tcPr>
                  <w:tcW w:w="55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bCs/>
                      <w:color w:val="auto"/>
                      <w:szCs w:val="21"/>
                      <w:highlight w:val="none"/>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51"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铬（六价）</w:t>
                  </w:r>
                </w:p>
              </w:tc>
              <w:tc>
                <w:tcPr>
                  <w:tcW w:w="809"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mg/kg</w:t>
                  </w:r>
                </w:p>
              </w:tc>
              <w:tc>
                <w:tcPr>
                  <w:tcW w:w="1142"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ND</w:t>
                  </w:r>
                </w:p>
              </w:tc>
              <w:tc>
                <w:tcPr>
                  <w:tcW w:w="1142"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ND</w:t>
                  </w:r>
                </w:p>
              </w:tc>
              <w:tc>
                <w:tcPr>
                  <w:tcW w:w="55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51"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铜</w:t>
                  </w:r>
                </w:p>
              </w:tc>
              <w:tc>
                <w:tcPr>
                  <w:tcW w:w="809"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mg/kg</w:t>
                  </w:r>
                </w:p>
              </w:tc>
              <w:tc>
                <w:tcPr>
                  <w:tcW w:w="1142"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34</w:t>
                  </w:r>
                </w:p>
              </w:tc>
              <w:tc>
                <w:tcPr>
                  <w:tcW w:w="1142"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35</w:t>
                  </w:r>
                </w:p>
              </w:tc>
              <w:tc>
                <w:tcPr>
                  <w:tcW w:w="55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18000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51"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镍</w:t>
                  </w:r>
                </w:p>
              </w:tc>
              <w:tc>
                <w:tcPr>
                  <w:tcW w:w="809"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mg/kg</w:t>
                  </w:r>
                </w:p>
              </w:tc>
              <w:tc>
                <w:tcPr>
                  <w:tcW w:w="1142"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38</w:t>
                  </w:r>
                </w:p>
              </w:tc>
              <w:tc>
                <w:tcPr>
                  <w:tcW w:w="1142"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38</w:t>
                  </w:r>
                </w:p>
              </w:tc>
              <w:tc>
                <w:tcPr>
                  <w:tcW w:w="55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900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51"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铅</w:t>
                  </w:r>
                </w:p>
              </w:tc>
              <w:tc>
                <w:tcPr>
                  <w:tcW w:w="809"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mg/kg</w:t>
                  </w:r>
                </w:p>
              </w:tc>
              <w:tc>
                <w:tcPr>
                  <w:tcW w:w="1142"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33</w:t>
                  </w:r>
                </w:p>
              </w:tc>
              <w:tc>
                <w:tcPr>
                  <w:tcW w:w="1142"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37</w:t>
                  </w:r>
                </w:p>
              </w:tc>
              <w:tc>
                <w:tcPr>
                  <w:tcW w:w="55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800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51"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镉</w:t>
                  </w:r>
                </w:p>
              </w:tc>
              <w:tc>
                <w:tcPr>
                  <w:tcW w:w="809"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mg/kg</w:t>
                  </w:r>
                </w:p>
              </w:tc>
              <w:tc>
                <w:tcPr>
                  <w:tcW w:w="1142"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0.22</w:t>
                  </w:r>
                </w:p>
              </w:tc>
              <w:tc>
                <w:tcPr>
                  <w:tcW w:w="1142"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0.22</w:t>
                  </w:r>
                </w:p>
              </w:tc>
              <w:tc>
                <w:tcPr>
                  <w:tcW w:w="55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51"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汞</w:t>
                  </w:r>
                </w:p>
              </w:tc>
              <w:tc>
                <w:tcPr>
                  <w:tcW w:w="809"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mg/kg</w:t>
                  </w:r>
                </w:p>
              </w:tc>
              <w:tc>
                <w:tcPr>
                  <w:tcW w:w="1142"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0.065</w:t>
                  </w:r>
                </w:p>
              </w:tc>
              <w:tc>
                <w:tcPr>
                  <w:tcW w:w="1142"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0.065</w:t>
                  </w:r>
                </w:p>
              </w:tc>
              <w:tc>
                <w:tcPr>
                  <w:tcW w:w="55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51"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砷</w:t>
                  </w:r>
                </w:p>
              </w:tc>
              <w:tc>
                <w:tcPr>
                  <w:tcW w:w="809"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mg/kg</w:t>
                  </w:r>
                </w:p>
              </w:tc>
              <w:tc>
                <w:tcPr>
                  <w:tcW w:w="1142"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10.5</w:t>
                  </w:r>
                </w:p>
              </w:tc>
              <w:tc>
                <w:tcPr>
                  <w:tcW w:w="1142"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17.0</w:t>
                  </w:r>
                </w:p>
              </w:tc>
              <w:tc>
                <w:tcPr>
                  <w:tcW w:w="55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60</w:t>
                  </w:r>
                </w:p>
              </w:tc>
            </w:tr>
          </w:tbl>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由上表可知：</w:t>
            </w:r>
            <w:r>
              <w:rPr>
                <w:rFonts w:hint="eastAsia" w:eastAsia="宋体" w:cs="Times New Roman"/>
                <w:color w:val="auto"/>
                <w:highlight w:val="none"/>
                <w:lang w:val="en-US" w:eastAsia="zh-CN"/>
              </w:rPr>
              <w:t>占地范围内</w:t>
            </w:r>
            <w:r>
              <w:rPr>
                <w:rFonts w:hint="default" w:ascii="Times New Roman" w:hAnsi="Times New Roman" w:eastAsia="宋体" w:cs="Times New Roman"/>
                <w:color w:val="auto"/>
                <w:highlight w:val="none"/>
                <w:lang w:val="en-US" w:eastAsia="zh-CN"/>
              </w:rPr>
              <w:t>土壤监测结果均低于《土壤环境质量 建设用地土壤污染风险管控标准（试行）（GB36600-2018）》二类用地土壤筛选值</w:t>
            </w:r>
            <w:r>
              <w:rPr>
                <w:rFonts w:hint="default" w:ascii="Times New Roman" w:hAnsi="Times New Roman" w:eastAsia="宋体" w:cs="Times New Roman"/>
                <w:color w:val="auto"/>
                <w:highlight w:val="none"/>
                <w:lang w:eastAsia="zh-CN"/>
              </w:rPr>
              <w:t>。占地范围外土壤监测点各监测因子满足《土壤环境质量 农用地土壤污染风险管控标准（试行）》（GB 15618-2018）中农用地土壤污染风险筛选值。</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6</w:t>
            </w:r>
            <w:r>
              <w:rPr>
                <w:rFonts w:hint="default" w:ascii="Times New Roman" w:hAnsi="Times New Roman" w:eastAsia="宋体" w:cs="Times New Roman"/>
                <w:b/>
                <w:bCs/>
                <w:color w:val="auto"/>
                <w:sz w:val="24"/>
                <w:szCs w:val="24"/>
                <w:lang w:val="en-US" w:eastAsia="zh-CN"/>
              </w:rPr>
              <w:t xml:space="preserve"> </w:t>
            </w:r>
            <w:r>
              <w:rPr>
                <w:rFonts w:hint="default" w:ascii="Times New Roman" w:hAnsi="Times New Roman" w:eastAsia="宋体" w:cs="Times New Roman"/>
                <w:b/>
                <w:bCs/>
                <w:color w:val="auto"/>
                <w:sz w:val="24"/>
                <w:szCs w:val="24"/>
              </w:rPr>
              <w:t>生态环境质量现状调查及评价</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项目位于且末县邦泰矿业投资有限公司选矿厂区内，不新增用地且用地范围内无生态环境保护目标。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（1）生态功能区划</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sz w:val="24"/>
                <w:szCs w:val="24"/>
                <w:lang w:val="de-DE" w:eastAsia="zh-CN"/>
              </w:rPr>
            </w:pPr>
            <w:r>
              <w:rPr>
                <w:rFonts w:hint="default" w:ascii="Times New Roman" w:hAnsi="Times New Roman" w:eastAsia="宋体" w:cs="Times New Roman"/>
                <w:b w:val="0"/>
                <w:bCs w:val="0"/>
                <w:color w:val="auto"/>
                <w:sz w:val="24"/>
                <w:szCs w:val="24"/>
                <w:lang w:val="en-US" w:eastAsia="zh-CN"/>
              </w:rPr>
              <w:t>根据《新疆生态功能区划》，项目所在地属于Ⅳ塔里木盆地暖温带极干旱沙漠、戈壁及绿洲农业生态区、</w:t>
            </w:r>
            <w:r>
              <w:rPr>
                <w:rFonts w:hint="default" w:ascii="Times New Roman" w:hAnsi="Times New Roman" w:eastAsia="宋体" w:cs="Times New Roman"/>
                <w:b w:val="0"/>
                <w:bCs w:val="0"/>
                <w:color w:val="auto"/>
                <w:sz w:val="24"/>
                <w:szCs w:val="24"/>
                <w:lang w:val="en-US" w:eastAsia="zh-CN"/>
              </w:rPr>
              <w:fldChar w:fldCharType="begin"/>
            </w:r>
            <w:r>
              <w:rPr>
                <w:rFonts w:hint="default" w:ascii="Times New Roman" w:hAnsi="Times New Roman" w:eastAsia="宋体" w:cs="Times New Roman"/>
                <w:b w:val="0"/>
                <w:bCs w:val="0"/>
                <w:color w:val="auto"/>
                <w:sz w:val="24"/>
                <w:szCs w:val="24"/>
                <w:lang w:val="en-US" w:eastAsia="zh-CN"/>
              </w:rPr>
              <w:instrText xml:space="preserve"> = 5 \* ROMAN \* MERGEFORMAT </w:instrText>
            </w:r>
            <w:r>
              <w:rPr>
                <w:rFonts w:hint="default" w:ascii="Times New Roman" w:hAnsi="Times New Roman" w:eastAsia="宋体" w:cs="Times New Roman"/>
                <w:b w:val="0"/>
                <w:bCs w:val="0"/>
                <w:color w:val="auto"/>
                <w:sz w:val="24"/>
                <w:szCs w:val="24"/>
                <w:lang w:val="en-US" w:eastAsia="zh-CN"/>
              </w:rPr>
              <w:fldChar w:fldCharType="separate"/>
            </w:r>
            <w:r>
              <w:rPr>
                <w:rFonts w:hint="default" w:ascii="Times New Roman" w:hAnsi="Times New Roman" w:eastAsia="宋体" w:cs="Times New Roman"/>
                <w:b w:val="0"/>
                <w:bCs w:val="0"/>
                <w:color w:val="auto"/>
                <w:sz w:val="24"/>
                <w:szCs w:val="24"/>
                <w:lang w:val="en-US" w:eastAsia="zh-CN"/>
              </w:rPr>
              <w:t>V</w:t>
            </w:r>
            <w:r>
              <w:rPr>
                <w:rFonts w:hint="default" w:ascii="Times New Roman" w:hAnsi="Times New Roman" w:eastAsia="宋体" w:cs="Times New Roman"/>
                <w:b w:val="0"/>
                <w:bCs w:val="0"/>
                <w:color w:val="auto"/>
                <w:sz w:val="24"/>
                <w:szCs w:val="24"/>
                <w:lang w:val="en-US" w:eastAsia="zh-CN"/>
              </w:rPr>
              <w:fldChar w:fldCharType="end"/>
            </w:r>
            <w:r>
              <w:rPr>
                <w:rFonts w:hint="default" w:ascii="Times New Roman" w:hAnsi="Times New Roman" w:eastAsia="宋体" w:cs="Times New Roman"/>
                <w:b w:val="0"/>
                <w:bCs w:val="0"/>
                <w:color w:val="auto"/>
                <w:sz w:val="24"/>
                <w:szCs w:val="24"/>
                <w:lang w:val="en-US" w:eastAsia="zh-CN"/>
              </w:rPr>
              <w:t>2昆仑山高寒草原侵蚀控制生态亚区—63．车尔臣河平原荒漠、绿洲农业、林草保育及台特玛湖湿地恢复生态功能区。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区域生态特征见下表及</w:t>
            </w:r>
            <w:r>
              <w:rPr>
                <w:rFonts w:hint="default" w:ascii="Times New Roman" w:hAnsi="Times New Roman" w:eastAsia="宋体" w:cs="Times New Roman"/>
                <w:b w:val="0"/>
                <w:bCs w:val="0"/>
                <w:color w:val="auto"/>
                <w:sz w:val="24"/>
                <w:szCs w:val="24"/>
                <w:highlight w:val="none"/>
                <w:lang w:val="en-US" w:eastAsia="zh-CN"/>
              </w:rPr>
              <w:t>附图</w:t>
            </w:r>
            <w:r>
              <w:rPr>
                <w:rFonts w:hint="default" w:ascii="Times New Roman" w:hAnsi="Times New Roman" w:cs="Times New Roman"/>
                <w:b w:val="0"/>
                <w:bCs w:val="0"/>
                <w:color w:val="auto"/>
                <w:sz w:val="24"/>
                <w:szCs w:val="24"/>
                <w:highlight w:val="none"/>
                <w:lang w:val="en-US" w:eastAsia="zh-CN"/>
              </w:rPr>
              <w:t>6</w:t>
            </w:r>
            <w:r>
              <w:rPr>
                <w:rFonts w:hint="default" w:ascii="Times New Roman" w:hAnsi="Times New Roman" w:eastAsia="宋体" w:cs="Times New Roman"/>
                <w:b w:val="0"/>
                <w:bCs w:val="0"/>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表3-11    生态功能区主要特征（依据《新疆生态功能区划》）</w:t>
            </w:r>
          </w:p>
          <w:tbl>
            <w:tblPr>
              <w:tblStyle w:val="30"/>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796"/>
              <w:gridCol w:w="512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1765"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名称</w:t>
                  </w:r>
                </w:p>
              </w:tc>
              <w:tc>
                <w:tcPr>
                  <w:tcW w:w="3234"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65"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主要生态服务功能</w:t>
                  </w:r>
                </w:p>
              </w:tc>
              <w:tc>
                <w:tcPr>
                  <w:tcW w:w="3234"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kern w:val="0"/>
                      <w:szCs w:val="21"/>
                      <w:highlight w:val="none"/>
                    </w:rPr>
                    <w:t>沙漠化控制、农产品生产、土壤保持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65"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主要生态环境问题</w:t>
                  </w:r>
                </w:p>
              </w:tc>
              <w:tc>
                <w:tcPr>
                  <w:tcW w:w="3234"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kern w:val="0"/>
                      <w:szCs w:val="21"/>
                      <w:highlight w:val="none"/>
                    </w:rPr>
                    <w:t>沙漠化扩大、风沙危害、植被衰败、毁林毁草开荒、樵采柽柳、乱挖甘草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65"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生态敏感因子与敏感程度</w:t>
                  </w:r>
                </w:p>
              </w:tc>
              <w:tc>
                <w:tcPr>
                  <w:tcW w:w="3234"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kern w:val="0"/>
                      <w:szCs w:val="21"/>
                      <w:highlight w:val="none"/>
                    </w:rPr>
                    <w:t>生物多样性和生境不敏感，土壤侵蚀高度敏感，土地沙漠化极度敏感，土壤盐渍化不敏感、轻度敏感。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65"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主要保护目标</w:t>
                  </w:r>
                </w:p>
              </w:tc>
              <w:tc>
                <w:tcPr>
                  <w:tcW w:w="3234"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kern w:val="0"/>
                      <w:szCs w:val="21"/>
                      <w:highlight w:val="none"/>
                    </w:rPr>
                    <w:t>保护绿洲农田、保护荒漠植被、恢复湿地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65"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主要保护措施</w:t>
                  </w:r>
                </w:p>
              </w:tc>
              <w:tc>
                <w:tcPr>
                  <w:tcW w:w="3234"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kern w:val="0"/>
                      <w:szCs w:val="21"/>
                      <w:highlight w:val="none"/>
                    </w:rPr>
                    <w:t>扩大绿洲防护林、向台特玛湖输水、禁止开荒、禁樵禁采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65"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发展方向</w:t>
                  </w:r>
                </w:p>
              </w:tc>
              <w:tc>
                <w:tcPr>
                  <w:tcW w:w="3234"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kern w:val="0"/>
                      <w:szCs w:val="21"/>
                      <w:highlight w:val="none"/>
                    </w:rPr>
                    <w:t>加强交通建设，调整能源结构，发展特色经济作物和林果业。</w:t>
                  </w:r>
                </w:p>
              </w:tc>
            </w:tr>
          </w:tbl>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（2）</w:t>
            </w:r>
            <w:r>
              <w:rPr>
                <w:rFonts w:hint="default" w:ascii="Times New Roman" w:hAnsi="Times New Roman" w:eastAsia="宋体" w:cs="Times New Roman"/>
                <w:b w:val="0"/>
                <w:bCs w:val="0"/>
                <w:color w:val="auto"/>
                <w:sz w:val="24"/>
                <w:szCs w:val="24"/>
                <w:lang w:val="en-US" w:eastAsia="zh-CN"/>
              </w:rPr>
              <w:t>植被</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项目所在区域土层薄，石砾多，细土少，有机质含量很低，土壤发育程度差，碱性反应，因此植被不发育，大部分地区岩石裸露，植被的覆盖度为5％</w:t>
            </w:r>
            <w:r>
              <w:rPr>
                <w:rFonts w:hint="eastAsia"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项目区植被类型为昆仑针茅、粉花蒿草原</w:t>
            </w:r>
            <w:r>
              <w:rPr>
                <w:rFonts w:hint="eastAsia"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本项目在现有场地内进行扩建，地表无植被发育。现有场地内生活区有人工种植植被。</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根据调查，项目区内无国家级及自治区级保护野生植物。</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（3）</w:t>
            </w:r>
            <w:r>
              <w:rPr>
                <w:rFonts w:hint="default" w:ascii="Times New Roman" w:hAnsi="Times New Roman" w:eastAsia="宋体" w:cs="Times New Roman"/>
                <w:b w:val="0"/>
                <w:bCs w:val="0"/>
                <w:color w:val="auto"/>
                <w:sz w:val="24"/>
                <w:szCs w:val="24"/>
                <w:lang w:val="en-US" w:eastAsia="zh-CN"/>
              </w:rPr>
              <w:t>动物</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根据《中国动物地理》（张荣祖科学出版社，2010），项目位于新疆维吾尔自治区巴音郭楞蒙古自治州且末县境内，动物区划属属古北界-中亚亚界-蒙新区，为典型大陆性气候。区域内存在野生动物活动踪迹，多为季节迁徙。历史资料显示游徙于区域内的野生动物主要有：北山羊、盘羊（岩羊）、雪鸡等野生动物，其中盘羊、旱獭、高山雪鸡、赤狐等野生动物属于国家二级保护动物，北山羊属于国家一级重点保护野生动物。调查期间未发现</w:t>
            </w:r>
            <w:r>
              <w:rPr>
                <w:rFonts w:hint="default" w:ascii="Times New Roman" w:hAnsi="Times New Roman" w:cs="Times New Roman"/>
                <w:b w:val="0"/>
                <w:bCs w:val="0"/>
                <w:color w:val="auto"/>
                <w:sz w:val="24"/>
                <w:szCs w:val="24"/>
                <w:lang w:val="en-US" w:eastAsia="zh-CN"/>
              </w:rPr>
              <w:t>项目区</w:t>
            </w:r>
            <w:r>
              <w:rPr>
                <w:rFonts w:hint="default" w:ascii="Times New Roman" w:hAnsi="Times New Roman" w:eastAsia="宋体" w:cs="Times New Roman"/>
                <w:b w:val="0"/>
                <w:bCs w:val="0"/>
                <w:color w:val="auto"/>
                <w:sz w:val="24"/>
                <w:szCs w:val="24"/>
                <w:lang w:val="en-US" w:eastAsia="zh-CN"/>
              </w:rPr>
              <w:t>内有国家级、新疆维吾尔自治区重点保护野生动物，珍稀濒危物种。</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w:t>
            </w:r>
            <w:r>
              <w:rPr>
                <w:rFonts w:hint="eastAsia" w:cs="Times New Roman"/>
                <w:b w:val="0"/>
                <w:bCs w:val="0"/>
                <w:color w:val="auto"/>
                <w:sz w:val="24"/>
                <w:szCs w:val="24"/>
                <w:lang w:val="en-US" w:eastAsia="zh-CN"/>
              </w:rPr>
              <w:t>4</w:t>
            </w:r>
            <w:r>
              <w:rPr>
                <w:rFonts w:hint="default" w:ascii="Times New Roman" w:hAnsi="Times New Roman" w:cs="Times New Roman"/>
                <w:b w:val="0"/>
                <w:bCs w:val="0"/>
                <w:color w:val="auto"/>
                <w:sz w:val="24"/>
                <w:szCs w:val="24"/>
                <w:lang w:val="en-US" w:eastAsia="zh-CN"/>
              </w:rPr>
              <w:t>）土壤</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根据国家土壤信息服务平台查询，项目区土壤类型为含盐石质土，石质土是深受母岩岩性影响的初育土。石质土由于处在不同的生物气候地带以及由不同岩性的母岩风化物形成因而理化性状差异较大。总的说，石质土无明显的元素迁移特征，一般，生物富集作用弱，有机质含量多在1克每千克，左右，全氮在1克每千克以下，磷、钾含量变异很大。砾石含量高是石质土的共同特点。据各地典型剖面分析，大于2毫米的砾石含量达到30%-50%，土壤通透性强，粘结力强，容易发生水蚀和重力崩塌。随区域成土母岩性质及温湿状况不同，土壤可呈酸性、中性及石灰性不等，酸碱度变幅大，pH4.5到8.5。阳离于交换量和盐基饱和度均有一定的区域变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w:t>
            </w:r>
            <w:r>
              <w:rPr>
                <w:rFonts w:hint="eastAsia" w:cs="Times New Roman"/>
                <w:b w:val="0"/>
                <w:bCs w:val="0"/>
                <w:color w:val="auto"/>
                <w:sz w:val="24"/>
                <w:szCs w:val="24"/>
                <w:lang w:val="en-US" w:eastAsia="zh-CN"/>
              </w:rPr>
              <w:t>5</w:t>
            </w:r>
            <w:r>
              <w:rPr>
                <w:rFonts w:hint="default"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水土流失现状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根据《水利部办公厅关于做好国家级水土流失重点预防区和重点治理区落地上图成果应用的通知》（办水保〔2025〕170号），《关于印发新疆自治区级水土流失重点预防区和重点治理区复核划分成果的通知》新水水保〔2019〕4号，项目区不在重点预防区和重点治理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4" w:type="dxa"/>
            <w:vAlign w:val="center"/>
          </w:tcPr>
          <w:p>
            <w:pPr>
              <w:adjustRightInd w:val="0"/>
              <w:snapToGrid w:val="0"/>
              <w:jc w:val="center"/>
              <w:rPr>
                <w:rFonts w:hint="default" w:ascii="Times New Roman" w:hAnsi="Times New Roman" w:eastAsia="黑体" w:cs="Times New Roman"/>
                <w:snapToGrid w:val="0"/>
                <w:color w:val="auto"/>
                <w:sz w:val="21"/>
                <w:szCs w:val="21"/>
                <w:vertAlign w:val="baseline"/>
              </w:rPr>
            </w:pPr>
            <w:r>
              <w:rPr>
                <w:rFonts w:hint="default" w:ascii="Times New Roman" w:hAnsi="Times New Roman" w:cs="Times New Roman"/>
                <w:color w:val="auto"/>
                <w:kern w:val="0"/>
                <w:sz w:val="24"/>
                <w:szCs w:val="24"/>
              </w:rPr>
              <w:t>环境保护目标</w:t>
            </w:r>
          </w:p>
        </w:tc>
        <w:tc>
          <w:tcPr>
            <w:tcW w:w="8169" w:type="dxa"/>
            <w:vAlign w:val="center"/>
          </w:tcPr>
          <w:p>
            <w:pPr>
              <w:pStyle w:val="68"/>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宋体" w:cs="Times New Roman"/>
                <w:b/>
                <w:bCs/>
                <w:color w:val="auto"/>
                <w:sz w:val="24"/>
                <w:szCs w:val="20"/>
              </w:rPr>
            </w:pPr>
            <w:r>
              <w:rPr>
                <w:rFonts w:hint="default" w:ascii="Times New Roman" w:hAnsi="Times New Roman" w:eastAsia="宋体" w:cs="Times New Roman"/>
                <w:b/>
                <w:bCs/>
                <w:color w:val="auto"/>
                <w:sz w:val="24"/>
                <w:szCs w:val="20"/>
              </w:rPr>
              <w:t>1</w:t>
            </w:r>
            <w:r>
              <w:rPr>
                <w:rFonts w:hint="default" w:ascii="Times New Roman" w:hAnsi="Times New Roman" w:cs="Times New Roman"/>
                <w:b/>
                <w:bCs/>
                <w:color w:val="auto"/>
                <w:sz w:val="24"/>
                <w:szCs w:val="20"/>
                <w:lang w:val="en-US" w:eastAsia="zh-CN"/>
              </w:rPr>
              <w:t xml:space="preserve"> </w:t>
            </w:r>
            <w:r>
              <w:rPr>
                <w:rFonts w:hint="default" w:ascii="Times New Roman" w:hAnsi="Times New Roman" w:eastAsia="宋体" w:cs="Times New Roman"/>
                <w:b/>
                <w:bCs/>
                <w:color w:val="auto"/>
                <w:sz w:val="24"/>
                <w:szCs w:val="20"/>
              </w:rPr>
              <w:t>大气环境</w:t>
            </w:r>
          </w:p>
          <w:p>
            <w:pPr>
              <w:pStyle w:val="68"/>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宋体" w:cs="Times New Roman"/>
                <w:color w:val="auto"/>
                <w:sz w:val="24"/>
                <w:szCs w:val="20"/>
              </w:rPr>
            </w:pPr>
            <w:r>
              <w:rPr>
                <w:rFonts w:hint="default" w:ascii="Times New Roman" w:hAnsi="Times New Roman" w:eastAsia="宋体" w:cs="Times New Roman"/>
                <w:color w:val="auto"/>
                <w:sz w:val="24"/>
                <w:szCs w:val="20"/>
              </w:rPr>
              <w:t>本项目厂界外500m范围内无自然保护区、风景名胜区、居住区、文化区和农村地区中人群较集中的区域等保护目标。</w:t>
            </w:r>
          </w:p>
          <w:p>
            <w:pPr>
              <w:pStyle w:val="68"/>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宋体" w:cs="Times New Roman"/>
                <w:b/>
                <w:bCs/>
                <w:color w:val="auto"/>
                <w:sz w:val="24"/>
                <w:szCs w:val="20"/>
              </w:rPr>
            </w:pPr>
            <w:r>
              <w:rPr>
                <w:rFonts w:hint="default" w:ascii="Times New Roman" w:hAnsi="Times New Roman" w:eastAsia="宋体" w:cs="Times New Roman"/>
                <w:b/>
                <w:bCs/>
                <w:color w:val="auto"/>
                <w:sz w:val="24"/>
                <w:szCs w:val="20"/>
              </w:rPr>
              <w:t>2</w:t>
            </w:r>
            <w:r>
              <w:rPr>
                <w:rFonts w:hint="default" w:ascii="Times New Roman" w:hAnsi="Times New Roman" w:cs="Times New Roman"/>
                <w:b/>
                <w:bCs/>
                <w:color w:val="auto"/>
                <w:sz w:val="24"/>
                <w:szCs w:val="20"/>
                <w:lang w:val="en-US" w:eastAsia="zh-CN"/>
              </w:rPr>
              <w:t xml:space="preserve"> </w:t>
            </w:r>
            <w:r>
              <w:rPr>
                <w:rFonts w:hint="default" w:ascii="Times New Roman" w:hAnsi="Times New Roman" w:eastAsia="宋体" w:cs="Times New Roman"/>
                <w:b/>
                <w:bCs/>
                <w:color w:val="auto"/>
                <w:sz w:val="24"/>
                <w:szCs w:val="20"/>
              </w:rPr>
              <w:t>声环境</w:t>
            </w:r>
          </w:p>
          <w:p>
            <w:pPr>
              <w:pStyle w:val="68"/>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宋体" w:cs="Times New Roman"/>
                <w:color w:val="auto"/>
                <w:sz w:val="24"/>
                <w:szCs w:val="20"/>
              </w:rPr>
            </w:pPr>
            <w:r>
              <w:rPr>
                <w:rFonts w:hint="default" w:ascii="Times New Roman" w:hAnsi="Times New Roman" w:eastAsia="宋体" w:cs="Times New Roman"/>
                <w:color w:val="auto"/>
                <w:sz w:val="24"/>
                <w:szCs w:val="20"/>
              </w:rPr>
              <w:t>本项目厂界外50m范围内无声环境保护目标。</w:t>
            </w:r>
          </w:p>
          <w:p>
            <w:pPr>
              <w:pStyle w:val="68"/>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宋体" w:cs="Times New Roman"/>
                <w:b/>
                <w:bCs/>
                <w:color w:val="auto"/>
                <w:sz w:val="24"/>
                <w:szCs w:val="20"/>
              </w:rPr>
            </w:pPr>
            <w:r>
              <w:rPr>
                <w:rFonts w:hint="default" w:ascii="Times New Roman" w:hAnsi="Times New Roman" w:eastAsia="宋体" w:cs="Times New Roman"/>
                <w:b/>
                <w:bCs/>
                <w:color w:val="auto"/>
                <w:sz w:val="24"/>
                <w:szCs w:val="20"/>
              </w:rPr>
              <w:t>3</w:t>
            </w:r>
            <w:r>
              <w:rPr>
                <w:rFonts w:hint="default" w:ascii="Times New Roman" w:hAnsi="Times New Roman" w:cs="Times New Roman"/>
                <w:b/>
                <w:bCs/>
                <w:color w:val="auto"/>
                <w:sz w:val="24"/>
                <w:szCs w:val="20"/>
                <w:lang w:val="en-US" w:eastAsia="zh-CN"/>
              </w:rPr>
              <w:t xml:space="preserve"> </w:t>
            </w:r>
            <w:r>
              <w:rPr>
                <w:rFonts w:hint="default" w:ascii="Times New Roman" w:hAnsi="Times New Roman" w:eastAsia="宋体" w:cs="Times New Roman"/>
                <w:b/>
                <w:bCs/>
                <w:color w:val="auto"/>
                <w:sz w:val="24"/>
                <w:szCs w:val="20"/>
              </w:rPr>
              <w:t>地下水环境</w:t>
            </w:r>
          </w:p>
          <w:p>
            <w:pPr>
              <w:pStyle w:val="68"/>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宋体" w:cs="Times New Roman"/>
                <w:color w:val="auto"/>
                <w:sz w:val="24"/>
                <w:szCs w:val="20"/>
              </w:rPr>
            </w:pPr>
            <w:r>
              <w:rPr>
                <w:rFonts w:hint="default" w:ascii="Times New Roman" w:hAnsi="Times New Roman" w:eastAsia="宋体" w:cs="Times New Roman"/>
                <w:color w:val="auto"/>
                <w:sz w:val="24"/>
                <w:szCs w:val="20"/>
              </w:rPr>
              <w:t>本项目厂界外500m范围内无地下水集中式饮用水水源和热水、矿泉水、温泉等特殊地下水资源。</w:t>
            </w:r>
          </w:p>
          <w:p>
            <w:pPr>
              <w:pStyle w:val="68"/>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宋体" w:cs="Times New Roman"/>
                <w:b/>
                <w:bCs/>
                <w:color w:val="auto"/>
                <w:sz w:val="24"/>
                <w:szCs w:val="20"/>
              </w:rPr>
            </w:pPr>
            <w:r>
              <w:rPr>
                <w:rFonts w:hint="default" w:ascii="Times New Roman" w:hAnsi="Times New Roman" w:eastAsia="宋体" w:cs="Times New Roman"/>
                <w:b/>
                <w:bCs/>
                <w:color w:val="auto"/>
                <w:sz w:val="24"/>
                <w:szCs w:val="20"/>
              </w:rPr>
              <w:t>4</w:t>
            </w:r>
            <w:r>
              <w:rPr>
                <w:rFonts w:hint="default" w:ascii="Times New Roman" w:hAnsi="Times New Roman" w:cs="Times New Roman"/>
                <w:b/>
                <w:bCs/>
                <w:color w:val="auto"/>
                <w:sz w:val="24"/>
                <w:szCs w:val="20"/>
                <w:lang w:val="en-US" w:eastAsia="zh-CN"/>
              </w:rPr>
              <w:t xml:space="preserve"> </w:t>
            </w:r>
            <w:r>
              <w:rPr>
                <w:rFonts w:hint="default" w:ascii="Times New Roman" w:hAnsi="Times New Roman" w:eastAsia="宋体" w:cs="Times New Roman"/>
                <w:b/>
                <w:bCs/>
                <w:color w:val="auto"/>
                <w:sz w:val="24"/>
                <w:szCs w:val="20"/>
              </w:rPr>
              <w:t>生态环境</w:t>
            </w:r>
          </w:p>
          <w:p>
            <w:pPr>
              <w:pStyle w:val="68"/>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color w:val="auto"/>
                <w:sz w:val="24"/>
                <w:szCs w:val="20"/>
              </w:rPr>
              <w:t>本项目位于</w:t>
            </w:r>
            <w:r>
              <w:rPr>
                <w:rFonts w:hint="default" w:ascii="Times New Roman" w:hAnsi="Times New Roman" w:cs="Times New Roman"/>
                <w:color w:val="auto"/>
                <w:sz w:val="24"/>
                <w:szCs w:val="24"/>
                <w:lang w:val="en-US"/>
              </w:rPr>
              <w:t>且末县邦泰矿业投资有限公司选矿</w:t>
            </w:r>
            <w:r>
              <w:rPr>
                <w:rFonts w:hint="default" w:ascii="Times New Roman" w:hAnsi="Times New Roman" w:eastAsia="宋体" w:cs="Times New Roman"/>
                <w:color w:val="auto"/>
                <w:sz w:val="24"/>
                <w:szCs w:val="20"/>
              </w:rPr>
              <w:t>厂区内，不新增用地且用地范围内无生态环境保护目标。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4" w:type="dxa"/>
            <w:vAlign w:val="center"/>
          </w:tcPr>
          <w:p>
            <w:pPr>
              <w:adjustRightInd w:val="0"/>
              <w:snapToGrid w:val="0"/>
              <w:jc w:val="center"/>
              <w:rPr>
                <w:rFonts w:hint="default" w:ascii="Times New Roman" w:hAnsi="Times New Roman" w:eastAsia="黑体" w:cs="Times New Roman"/>
                <w:snapToGrid w:val="0"/>
                <w:color w:val="auto"/>
                <w:sz w:val="21"/>
                <w:szCs w:val="21"/>
                <w:vertAlign w:val="baseline"/>
              </w:rPr>
            </w:pPr>
            <w:r>
              <w:rPr>
                <w:rFonts w:hint="default" w:ascii="Times New Roman" w:hAnsi="Times New Roman" w:cs="Times New Roman"/>
                <w:color w:val="auto"/>
                <w:kern w:val="0"/>
                <w:sz w:val="24"/>
                <w:szCs w:val="24"/>
              </w:rPr>
              <w:t>污染物排放控制标准</w:t>
            </w:r>
          </w:p>
        </w:tc>
        <w:tc>
          <w:tcPr>
            <w:tcW w:w="8169" w:type="dxa"/>
            <w:vAlign w:val="center"/>
          </w:tcPr>
          <w:p>
            <w:pPr>
              <w:keepNext w:val="0"/>
              <w:keepLines w:val="0"/>
              <w:pageBreakBefore w:val="0"/>
              <w:widowControl w:val="0"/>
              <w:kinsoku/>
              <w:wordWrap/>
              <w:overflowPunct/>
              <w:topLinePunct w:val="0"/>
              <w:autoSpaceDE/>
              <w:autoSpaceDN/>
              <w:bidi w:val="0"/>
              <w:adjustRightInd/>
              <w:snapToGrid/>
              <w:spacing w:line="500" w:lineRule="exact"/>
              <w:ind w:firstLine="446" w:firstLineChars="195"/>
              <w:textAlignment w:val="auto"/>
              <w:rPr>
                <w:rFonts w:hint="default" w:ascii="Times New Roman" w:hAnsi="Times New Roman" w:eastAsia="宋体" w:cs="Times New Roman"/>
                <w:color w:val="auto"/>
                <w:sz w:val="24"/>
                <w:szCs w:val="32"/>
              </w:rPr>
            </w:pPr>
            <w:r>
              <w:rPr>
                <w:rFonts w:hint="default" w:ascii="Times New Roman" w:hAnsi="Times New Roman" w:eastAsia="宋体" w:cs="Times New Roman"/>
                <w:b/>
                <w:bCs/>
                <w:color w:val="auto"/>
                <w:spacing w:val="-6"/>
                <w:sz w:val="24"/>
                <w:szCs w:val="32"/>
              </w:rPr>
              <w:t>1</w:t>
            </w:r>
            <w:r>
              <w:rPr>
                <w:rFonts w:hint="default" w:ascii="Times New Roman" w:hAnsi="Times New Roman" w:eastAsia="宋体" w:cs="Times New Roman"/>
                <w:b/>
                <w:bCs/>
                <w:color w:val="auto"/>
                <w:spacing w:val="-6"/>
                <w:sz w:val="24"/>
                <w:szCs w:val="32"/>
                <w:lang w:val="en-US" w:eastAsia="zh-CN"/>
              </w:rPr>
              <w:t xml:space="preserve"> </w:t>
            </w:r>
            <w:r>
              <w:rPr>
                <w:rFonts w:hint="default" w:ascii="Times New Roman" w:hAnsi="Times New Roman" w:eastAsia="宋体" w:cs="Times New Roman"/>
                <w:b/>
                <w:bCs/>
                <w:color w:val="auto"/>
                <w:spacing w:val="-6"/>
                <w:sz w:val="24"/>
                <w:szCs w:val="32"/>
              </w:rPr>
              <w:t>大气污染物</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Cs/>
                <w:color w:val="auto"/>
                <w:kern w:val="0"/>
                <w:sz w:val="24"/>
                <w:szCs w:val="24"/>
                <w:lang w:val="en-US" w:eastAsia="zh-CN"/>
              </w:rPr>
            </w:pPr>
            <w:r>
              <w:rPr>
                <w:rFonts w:hint="default" w:ascii="Times New Roman" w:hAnsi="Times New Roman" w:cs="Times New Roman"/>
                <w:color w:val="auto"/>
                <w:sz w:val="24"/>
                <w:szCs w:val="24"/>
                <w:lang w:val="en-US" w:eastAsia="zh-CN"/>
              </w:rPr>
              <w:t>本项目无组织颗粒物执行《大气污染物综合排放标准》（GB16927-1996）表2大气污染物浓度限值</w:t>
            </w:r>
            <w:r>
              <w:rPr>
                <w:rFonts w:hint="eastAsia" w:cs="Times New Roman"/>
                <w:color w:val="auto"/>
                <w:sz w:val="24"/>
                <w:szCs w:val="24"/>
                <w:lang w:val="en-US" w:eastAsia="zh-CN"/>
              </w:rPr>
              <w:t>；锑及其化合物执行</w:t>
            </w:r>
            <w:r>
              <w:rPr>
                <w:rFonts w:hint="default" w:ascii="Times New Roman" w:hAnsi="Times New Roman" w:cs="Times New Roman"/>
                <w:color w:val="auto"/>
                <w:sz w:val="24"/>
                <w:szCs w:val="24"/>
              </w:rPr>
              <w:t>《锡、锑、汞工业污染物排放标准》(GB30770－2014)及修改单中</w:t>
            </w:r>
            <w:r>
              <w:rPr>
                <w:rFonts w:hint="eastAsia" w:ascii="Times New Roman" w:hAnsi="Times New Roman" w:cs="Times New Roman"/>
                <w:color w:val="auto"/>
                <w:sz w:val="24"/>
                <w:szCs w:val="24"/>
                <w:lang w:val="en-US" w:eastAsia="zh-CN"/>
              </w:rPr>
              <w:t>表7</w:t>
            </w:r>
            <w:r>
              <w:rPr>
                <w:rFonts w:hint="default" w:ascii="Times New Roman" w:hAnsi="Times New Roman" w:cs="Times New Roman"/>
                <w:color w:val="auto"/>
                <w:sz w:val="24"/>
                <w:szCs w:val="24"/>
                <w:lang w:val="en-US" w:eastAsia="zh-CN"/>
              </w:rPr>
              <w:t>浓度限值。</w:t>
            </w:r>
            <w:r>
              <w:rPr>
                <w:rFonts w:hint="default" w:ascii="Times New Roman" w:hAnsi="Times New Roman" w:eastAsia="宋体" w:cs="Times New Roman"/>
                <w:bCs/>
                <w:color w:val="auto"/>
                <w:kern w:val="0"/>
                <w:sz w:val="24"/>
                <w:szCs w:val="24"/>
                <w:lang w:val="en-US" w:eastAsia="zh-CN"/>
              </w:rPr>
              <w:t>食堂油烟执行《饮食业油烟排放标准》（GB18483-2001）限值。本项目废气污染物排放标准见下表：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 xml:space="preserve">表3-12  </w:t>
            </w:r>
            <w:r>
              <w:rPr>
                <w:rFonts w:hint="eastAsia" w:cs="Times New Roman"/>
                <w:b/>
                <w:bCs w:val="0"/>
                <w:color w:val="auto"/>
                <w:sz w:val="21"/>
                <w:szCs w:val="21"/>
                <w:lang w:val="en-US" w:eastAsia="zh-CN"/>
              </w:rPr>
              <w:t>食堂油烟</w:t>
            </w:r>
            <w:r>
              <w:rPr>
                <w:rFonts w:hint="default" w:ascii="Times New Roman" w:hAnsi="Times New Roman" w:eastAsia="宋体" w:cs="Times New Roman"/>
                <w:b/>
                <w:bCs w:val="0"/>
                <w:color w:val="auto"/>
                <w:sz w:val="21"/>
                <w:szCs w:val="21"/>
                <w:lang w:val="en-US" w:eastAsia="zh-CN"/>
              </w:rPr>
              <w:t>排放标准一览表</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98"/>
              <w:gridCol w:w="833"/>
              <w:gridCol w:w="1702"/>
              <w:gridCol w:w="1011"/>
              <w:gridCol w:w="764"/>
              <w:gridCol w:w="1084"/>
              <w:gridCol w:w="192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8" w:type="pct"/>
                  <w:vMerge w:val="restart"/>
                  <w:tcBorders>
                    <w:tl2br w:val="nil"/>
                    <w:tr2bl w:val="nil"/>
                  </w:tcBorders>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产污环节</w:t>
                  </w:r>
                </w:p>
              </w:tc>
              <w:tc>
                <w:tcPr>
                  <w:tcW w:w="526" w:type="pct"/>
                  <w:vMerge w:val="restart"/>
                  <w:tcBorders>
                    <w:tl2br w:val="nil"/>
                    <w:tr2bl w:val="nil"/>
                  </w:tcBorders>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排放口</w:t>
                  </w:r>
                </w:p>
              </w:tc>
              <w:tc>
                <w:tcPr>
                  <w:tcW w:w="1074" w:type="pct"/>
                  <w:vMerge w:val="restart"/>
                  <w:tcBorders>
                    <w:tl2br w:val="nil"/>
                    <w:tr2bl w:val="nil"/>
                  </w:tcBorders>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污染物</w:t>
                  </w:r>
                </w:p>
              </w:tc>
              <w:tc>
                <w:tcPr>
                  <w:tcW w:w="1804" w:type="pct"/>
                  <w:gridSpan w:val="3"/>
                  <w:tcBorders>
                    <w:tl2br w:val="nil"/>
                    <w:tr2bl w:val="nil"/>
                  </w:tcBorders>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标准值</w:t>
                  </w:r>
                </w:p>
              </w:tc>
              <w:tc>
                <w:tcPr>
                  <w:tcW w:w="1217" w:type="pct"/>
                  <w:vMerge w:val="restart"/>
                  <w:tcBorders>
                    <w:tl2br w:val="nil"/>
                    <w:tr2bl w:val="nil"/>
                  </w:tcBorders>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执行标准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8" w:type="pct"/>
                  <w:vMerge w:val="continue"/>
                  <w:tcBorders>
                    <w:tl2br w:val="nil"/>
                    <w:tr2bl w:val="nil"/>
                  </w:tcBorders>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526" w:type="pct"/>
                  <w:vMerge w:val="continue"/>
                  <w:tcBorders>
                    <w:tl2br w:val="nil"/>
                    <w:tr2bl w:val="nil"/>
                  </w:tcBorders>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1074" w:type="pct"/>
                  <w:vMerge w:val="continue"/>
                  <w:tcBorders>
                    <w:tl2br w:val="nil"/>
                    <w:tr2bl w:val="nil"/>
                  </w:tcBorders>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638" w:type="pct"/>
                  <w:tcBorders>
                    <w:tl2br w:val="nil"/>
                    <w:tr2bl w:val="nil"/>
                  </w:tcBorders>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浓度（mg/</w:t>
                  </w:r>
                  <w:r>
                    <w:rPr>
                      <w:rFonts w:hint="default" w:ascii="Times New Roman" w:hAnsi="Times New Roman" w:eastAsia="宋体" w:cs="Times New Roman"/>
                      <w:color w:val="auto"/>
                      <w:highlight w:val="none"/>
                      <w:lang w:eastAsia="zh-CN"/>
                    </w:rPr>
                    <w:t>m³</w:t>
                  </w:r>
                  <w:r>
                    <w:rPr>
                      <w:rFonts w:hint="default" w:ascii="Times New Roman" w:hAnsi="Times New Roman" w:eastAsia="宋体" w:cs="Times New Roman"/>
                      <w:color w:val="auto"/>
                      <w:highlight w:val="none"/>
                    </w:rPr>
                    <w:t>）</w:t>
                  </w:r>
                </w:p>
              </w:tc>
              <w:tc>
                <w:tcPr>
                  <w:tcW w:w="482" w:type="pct"/>
                  <w:tcBorders>
                    <w:tl2br w:val="nil"/>
                    <w:tr2bl w:val="nil"/>
                  </w:tcBorders>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速率（kg/h）</w:t>
                  </w:r>
                </w:p>
              </w:tc>
              <w:tc>
                <w:tcPr>
                  <w:tcW w:w="683" w:type="pct"/>
                  <w:tcBorders>
                    <w:tl2br w:val="nil"/>
                    <w:tr2bl w:val="nil"/>
                  </w:tcBorders>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排气筒高度（m）</w:t>
                  </w:r>
                </w:p>
              </w:tc>
              <w:tc>
                <w:tcPr>
                  <w:tcW w:w="1217" w:type="pct"/>
                  <w:vMerge w:val="continue"/>
                  <w:tcBorders>
                    <w:tl2br w:val="nil"/>
                    <w:tr2bl w:val="nil"/>
                  </w:tcBorders>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8" w:type="pct"/>
                  <w:vMerge w:val="restart"/>
                  <w:tcBorders>
                    <w:tl2br w:val="nil"/>
                    <w:tr2bl w:val="nil"/>
                  </w:tcBorders>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食堂</w:t>
                  </w:r>
                </w:p>
              </w:tc>
              <w:tc>
                <w:tcPr>
                  <w:tcW w:w="526" w:type="pct"/>
                  <w:vMerge w:val="restart"/>
                  <w:tcBorders>
                    <w:tl2br w:val="nil"/>
                    <w:tr2bl w:val="nil"/>
                  </w:tcBorders>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油烟排气筒</w:t>
                  </w:r>
                </w:p>
              </w:tc>
              <w:tc>
                <w:tcPr>
                  <w:tcW w:w="1074" w:type="pct"/>
                  <w:tcBorders>
                    <w:tl2br w:val="nil"/>
                    <w:tr2bl w:val="nil"/>
                  </w:tcBorders>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油烟</w:t>
                  </w:r>
                </w:p>
              </w:tc>
              <w:tc>
                <w:tcPr>
                  <w:tcW w:w="638" w:type="pct"/>
                  <w:tcBorders>
                    <w:tl2br w:val="nil"/>
                    <w:tr2bl w:val="nil"/>
                  </w:tcBorders>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2.0</w:t>
                  </w:r>
                </w:p>
              </w:tc>
              <w:tc>
                <w:tcPr>
                  <w:tcW w:w="482" w:type="pct"/>
                  <w:tcBorders>
                    <w:tl2br w:val="nil"/>
                    <w:tr2bl w:val="nil"/>
                  </w:tcBorders>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c>
                <w:tcPr>
                  <w:tcW w:w="683" w:type="pct"/>
                  <w:tcBorders>
                    <w:tl2br w:val="nil"/>
                    <w:tr2bl w:val="nil"/>
                  </w:tcBorders>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c>
                <w:tcPr>
                  <w:tcW w:w="1217" w:type="pct"/>
                  <w:vMerge w:val="restart"/>
                  <w:tcBorders>
                    <w:tl2br w:val="nil"/>
                    <w:tr2bl w:val="nil"/>
                  </w:tcBorders>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《饮食业油烟排放标准》（GB18483-2001）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8" w:type="pct"/>
                  <w:vMerge w:val="continue"/>
                  <w:tcBorders>
                    <w:tl2br w:val="nil"/>
                    <w:tr2bl w:val="nil"/>
                  </w:tcBorders>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526" w:type="pct"/>
                  <w:vMerge w:val="continue"/>
                  <w:tcBorders>
                    <w:tl2br w:val="nil"/>
                    <w:tr2bl w:val="nil"/>
                  </w:tcBorders>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1074" w:type="pct"/>
                  <w:tcBorders>
                    <w:tl2br w:val="nil"/>
                    <w:tr2bl w:val="nil"/>
                  </w:tcBorders>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净化设施最低处理效率</w:t>
                  </w:r>
                </w:p>
              </w:tc>
              <w:tc>
                <w:tcPr>
                  <w:tcW w:w="1804" w:type="pct"/>
                  <w:gridSpan w:val="3"/>
                  <w:tcBorders>
                    <w:tl2br w:val="nil"/>
                    <w:tr2bl w:val="nil"/>
                  </w:tcBorders>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60%</w:t>
                  </w:r>
                </w:p>
              </w:tc>
              <w:tc>
                <w:tcPr>
                  <w:tcW w:w="1217" w:type="pct"/>
                  <w:vMerge w:val="continue"/>
                  <w:tcBorders>
                    <w:tl2br w:val="nil"/>
                    <w:tr2bl w:val="nil"/>
                  </w:tcBorders>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表3-13 无组织</w:t>
            </w:r>
            <w:r>
              <w:rPr>
                <w:rFonts w:hint="eastAsia" w:cs="Times New Roman"/>
                <w:b/>
                <w:bCs w:val="0"/>
                <w:color w:val="auto"/>
                <w:sz w:val="21"/>
                <w:szCs w:val="21"/>
                <w:lang w:val="en-US" w:eastAsia="zh-CN"/>
              </w:rPr>
              <w:t>颗粒物</w:t>
            </w:r>
            <w:r>
              <w:rPr>
                <w:rFonts w:hint="default" w:ascii="Times New Roman" w:hAnsi="Times New Roman" w:eastAsia="宋体" w:cs="Times New Roman"/>
                <w:b/>
                <w:bCs w:val="0"/>
                <w:color w:val="auto"/>
                <w:sz w:val="21"/>
                <w:szCs w:val="21"/>
                <w:lang w:val="en-US" w:eastAsia="zh-CN"/>
              </w:rPr>
              <w:t>排放标准一览表</w:t>
            </w:r>
          </w:p>
          <w:tbl>
            <w:tblPr>
              <w:tblStyle w:val="30"/>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287"/>
              <w:gridCol w:w="3613"/>
              <w:gridCol w:w="302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812"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污染因子</w:t>
                  </w:r>
                </w:p>
              </w:tc>
              <w:tc>
                <w:tcPr>
                  <w:tcW w:w="2280"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无组织排放监控点浓度限值</w:t>
                  </w:r>
                  <w:r>
                    <w:rPr>
                      <w:rFonts w:hint="default" w:ascii="Times New Roman" w:hAnsi="Times New Roman" w:eastAsia="宋体" w:cs="Times New Roman"/>
                      <w:color w:val="auto"/>
                      <w:highlight w:val="none"/>
                    </w:rPr>
                    <w:t>（mg/</w:t>
                  </w:r>
                  <w:r>
                    <w:rPr>
                      <w:rFonts w:hint="default" w:ascii="Times New Roman" w:hAnsi="Times New Roman" w:eastAsia="宋体" w:cs="Times New Roman"/>
                      <w:color w:val="auto"/>
                      <w:highlight w:val="none"/>
                      <w:lang w:eastAsia="zh-CN"/>
                    </w:rPr>
                    <w:t>m³</w:t>
                  </w:r>
                  <w:r>
                    <w:rPr>
                      <w:rFonts w:hint="default" w:ascii="Times New Roman" w:hAnsi="Times New Roman" w:eastAsia="宋体" w:cs="Times New Roman"/>
                      <w:color w:val="auto"/>
                      <w:highlight w:val="none"/>
                    </w:rPr>
                    <w:t>）</w:t>
                  </w:r>
                </w:p>
              </w:tc>
              <w:tc>
                <w:tcPr>
                  <w:tcW w:w="1906"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执行标准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812"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颗粒物</w:t>
                  </w:r>
                </w:p>
              </w:tc>
              <w:tc>
                <w:tcPr>
                  <w:tcW w:w="2280"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1.0</w:t>
                  </w:r>
                </w:p>
              </w:tc>
              <w:tc>
                <w:tcPr>
                  <w:tcW w:w="1906"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《大气污染物综合排放标准》（GB16297-1996）表2</w:t>
                  </w:r>
                </w:p>
              </w:tc>
            </w:tr>
          </w:tbl>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表3-1</w:t>
            </w:r>
            <w:r>
              <w:rPr>
                <w:rFonts w:hint="eastAsia" w:ascii="Times New Roman" w:hAnsi="Times New Roman" w:eastAsia="宋体" w:cs="Times New Roman"/>
                <w:b/>
                <w:bCs w:val="0"/>
                <w:color w:val="auto"/>
                <w:sz w:val="21"/>
                <w:szCs w:val="21"/>
                <w:lang w:val="en-US" w:eastAsia="zh-CN"/>
              </w:rPr>
              <w:t>4</w:t>
            </w:r>
            <w:r>
              <w:rPr>
                <w:rFonts w:hint="default" w:ascii="Times New Roman" w:hAnsi="Times New Roman" w:eastAsia="宋体" w:cs="Times New Roman"/>
                <w:b/>
                <w:bCs w:val="0"/>
                <w:color w:val="auto"/>
                <w:sz w:val="21"/>
                <w:szCs w:val="21"/>
                <w:lang w:val="en-US" w:eastAsia="zh-CN"/>
              </w:rPr>
              <w:t xml:space="preserve"> 锑及其化合物排放标准一览表</w:t>
            </w:r>
          </w:p>
          <w:tbl>
            <w:tblPr>
              <w:tblStyle w:val="30"/>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958"/>
              <w:gridCol w:w="2942"/>
              <w:gridCol w:w="302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1236"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污染因子</w:t>
                  </w:r>
                </w:p>
              </w:tc>
              <w:tc>
                <w:tcPr>
                  <w:tcW w:w="1857"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限值</w:t>
                  </w:r>
                  <w:r>
                    <w:rPr>
                      <w:rFonts w:hint="default" w:ascii="Times New Roman" w:hAnsi="Times New Roman" w:eastAsia="宋体" w:cs="Times New Roman"/>
                      <w:color w:val="auto"/>
                      <w:highlight w:val="none"/>
                    </w:rPr>
                    <w:t>（mg/</w:t>
                  </w:r>
                  <w:r>
                    <w:rPr>
                      <w:rFonts w:hint="default" w:ascii="Times New Roman" w:hAnsi="Times New Roman" w:eastAsia="宋体" w:cs="Times New Roman"/>
                      <w:color w:val="auto"/>
                      <w:highlight w:val="none"/>
                      <w:lang w:eastAsia="zh-CN"/>
                    </w:rPr>
                    <w:t>m³</w:t>
                  </w:r>
                  <w:r>
                    <w:rPr>
                      <w:rFonts w:hint="default" w:ascii="Times New Roman" w:hAnsi="Times New Roman" w:eastAsia="宋体" w:cs="Times New Roman"/>
                      <w:color w:val="auto"/>
                      <w:highlight w:val="none"/>
                    </w:rPr>
                    <w:t>）</w:t>
                  </w:r>
                </w:p>
              </w:tc>
              <w:tc>
                <w:tcPr>
                  <w:tcW w:w="1906"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执行标准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1236" w:type="pct"/>
                  <w:tcBorders>
                    <w:tl2br w:val="nil"/>
                    <w:tr2bl w:val="nil"/>
                  </w:tcBorders>
                  <w:vAlign w:val="center"/>
                </w:tcPr>
                <w:p>
                  <w:pPr>
                    <w:adjustRightInd w:val="0"/>
                    <w:snapToGrid w:val="0"/>
                    <w:spacing w:line="320" w:lineRule="exact"/>
                    <w:jc w:val="center"/>
                    <w:rPr>
                      <w:rFonts w:hint="default" w:ascii="Times New Roman" w:hAnsi="Times New Roman" w:eastAsia="宋体" w:cs="Times New Roman"/>
                      <w:color w:val="auto"/>
                      <w:highlight w:val="none"/>
                    </w:rPr>
                  </w:pPr>
                  <w:r>
                    <w:rPr>
                      <w:rFonts w:hint="default" w:ascii="Times New Roman" w:hAnsi="Times New Roman" w:cs="Times New Roman"/>
                      <w:color w:val="auto"/>
                      <w:szCs w:val="21"/>
                      <w:lang w:val="en-US" w:eastAsia="zh-CN"/>
                    </w:rPr>
                    <w:t>锑及其化合物</w:t>
                  </w:r>
                </w:p>
              </w:tc>
              <w:tc>
                <w:tcPr>
                  <w:tcW w:w="1857"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0.01</w:t>
                  </w:r>
                </w:p>
              </w:tc>
              <w:tc>
                <w:tcPr>
                  <w:tcW w:w="1906" w:type="pct"/>
                  <w:tcBorders>
                    <w:tl2br w:val="nil"/>
                    <w:tr2bl w:val="nil"/>
                  </w:tcBorders>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《锡、锑、汞工业污染物排放标准》(GB30770－2014)</w:t>
                  </w:r>
                </w:p>
              </w:tc>
            </w:tr>
          </w:tbl>
          <w:p>
            <w:pPr>
              <w:keepNext w:val="0"/>
              <w:keepLines w:val="0"/>
              <w:pageBreakBefore w:val="0"/>
              <w:widowControl w:val="0"/>
              <w:kinsoku/>
              <w:wordWrap/>
              <w:overflowPunct/>
              <w:topLinePunct w:val="0"/>
              <w:autoSpaceDE/>
              <w:autoSpaceDN/>
              <w:bidi w:val="0"/>
              <w:adjustRightInd/>
              <w:snapToGrid/>
              <w:spacing w:line="500" w:lineRule="exact"/>
              <w:ind w:firstLine="552" w:firstLineChars="195"/>
              <w:textAlignment w:val="auto"/>
              <w:rPr>
                <w:rFonts w:hint="default" w:ascii="Times New Roman" w:hAnsi="Times New Roman" w:eastAsia="宋体" w:cs="Times New Roman"/>
                <w:b/>
                <w:bCs/>
                <w:color w:val="auto"/>
                <w:spacing w:val="21"/>
                <w:sz w:val="24"/>
                <w:szCs w:val="24"/>
                <w:lang w:val="en-US" w:eastAsia="zh-CN"/>
              </w:rPr>
            </w:pPr>
            <w:r>
              <w:rPr>
                <w:rFonts w:hint="default" w:ascii="Times New Roman" w:hAnsi="Times New Roman" w:eastAsia="宋体" w:cs="Times New Roman"/>
                <w:b/>
                <w:bCs/>
                <w:color w:val="auto"/>
                <w:spacing w:val="21"/>
                <w:sz w:val="24"/>
                <w:szCs w:val="24"/>
                <w:lang w:val="en-US" w:eastAsia="zh-CN"/>
              </w:rPr>
              <w:t>2 废水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Cs/>
                <w:color w:val="auto"/>
                <w:kern w:val="0"/>
                <w:sz w:val="24"/>
                <w:szCs w:val="24"/>
                <w:lang w:eastAsia="zh-CN"/>
              </w:rPr>
            </w:pPr>
            <w:r>
              <w:rPr>
                <w:rFonts w:hint="default" w:ascii="Times New Roman" w:hAnsi="Times New Roman" w:eastAsia="宋体" w:cs="Times New Roman"/>
                <w:bCs/>
                <w:color w:val="auto"/>
                <w:kern w:val="0"/>
                <w:sz w:val="24"/>
                <w:szCs w:val="24"/>
                <w:lang w:val="en-US" w:eastAsia="zh-CN"/>
              </w:rPr>
              <w:t>本项目运营期选矿水闭路循环不外排。生活污水依托选矿厂办公生活区现有地埋式一体化污水处理设施，</w:t>
            </w:r>
            <w:r>
              <w:rPr>
                <w:rFonts w:hint="default" w:ascii="Times New Roman" w:hAnsi="Times New Roman" w:cs="Times New Roman"/>
                <w:bCs/>
                <w:color w:val="auto"/>
                <w:kern w:val="0"/>
                <w:sz w:val="24"/>
                <w:szCs w:val="24"/>
                <w:lang w:val="en-US" w:eastAsia="zh-CN"/>
              </w:rPr>
              <w:t>经提标改造后，</w:t>
            </w:r>
            <w:r>
              <w:rPr>
                <w:rFonts w:hint="default" w:ascii="Times New Roman" w:hAnsi="Times New Roman" w:eastAsia="宋体" w:cs="Times New Roman"/>
                <w:bCs/>
                <w:color w:val="auto"/>
                <w:kern w:val="0"/>
                <w:sz w:val="24"/>
                <w:szCs w:val="24"/>
                <w:lang w:val="en-US" w:eastAsia="zh-CN"/>
              </w:rPr>
              <w:t>生活污水处理满足</w:t>
            </w:r>
            <w:r>
              <w:rPr>
                <w:rFonts w:hint="default" w:ascii="Times New Roman" w:hAnsi="Times New Roman" w:eastAsia="宋体" w:cs="Times New Roman"/>
                <w:color w:val="auto"/>
                <w:sz w:val="24"/>
                <w:szCs w:val="24"/>
                <w:lang w:val="en-US" w:eastAsia="zh-CN"/>
              </w:rPr>
              <w:t>《城市污水再生利用</w:t>
            </w:r>
            <w:r>
              <w:rPr>
                <w:rFonts w:hint="eastAsia" w:cs="Times New Roman"/>
                <w:color w:val="auto"/>
                <w:sz w:val="24"/>
                <w:szCs w:val="24"/>
                <w:lang w:val="en-US" w:eastAsia="zh-CN"/>
              </w:rPr>
              <w:t xml:space="preserve"> </w:t>
            </w:r>
            <w:r>
              <w:rPr>
                <w:rFonts w:hint="default" w:ascii="Times New Roman" w:hAnsi="Times New Roman" w:eastAsia="宋体" w:cs="Times New Roman"/>
                <w:color w:val="auto"/>
                <w:sz w:val="24"/>
                <w:szCs w:val="24"/>
                <w:lang w:val="en-US" w:eastAsia="zh-CN"/>
              </w:rPr>
              <w:t>城市杂用水水质》</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GB/T 18920-2020</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中的城市绿化、道路清扫、消防</w:t>
            </w:r>
            <w:r>
              <w:rPr>
                <w:rFonts w:hint="eastAsia" w:ascii="Times New Roman" w:hAnsi="Times New Roman" w:eastAsia="宋体" w:cs="Times New Roman"/>
                <w:color w:val="auto"/>
                <w:sz w:val="24"/>
                <w:szCs w:val="24"/>
                <w:lang w:val="en-US" w:eastAsia="zh-CN"/>
              </w:rPr>
              <w:t>水质标准</w:t>
            </w:r>
            <w:r>
              <w:rPr>
                <w:rFonts w:hint="default" w:ascii="Times New Roman" w:hAnsi="Times New Roman" w:eastAsia="宋体" w:cs="Times New Roman"/>
                <w:bCs/>
                <w:color w:val="auto"/>
                <w:kern w:val="0"/>
                <w:sz w:val="24"/>
                <w:szCs w:val="24"/>
                <w:lang w:val="en-US" w:eastAsia="zh-CN"/>
              </w:rPr>
              <w:t>用于</w:t>
            </w:r>
            <w:r>
              <w:rPr>
                <w:rFonts w:hint="eastAsia" w:cs="Times New Roman"/>
                <w:bCs/>
                <w:color w:val="auto"/>
                <w:kern w:val="0"/>
                <w:sz w:val="24"/>
                <w:szCs w:val="24"/>
                <w:lang w:val="en-US" w:eastAsia="zh-CN"/>
              </w:rPr>
              <w:t>绿化灌溉、道路洒扫等</w:t>
            </w:r>
            <w:r>
              <w:rPr>
                <w:rFonts w:hint="default" w:ascii="Times New Roman" w:hAnsi="Times New Roman" w:eastAsia="宋体" w:cs="Times New Roman"/>
                <w:bCs/>
                <w:color w:val="auto"/>
                <w:kern w:val="0"/>
                <w:sz w:val="24"/>
                <w:szCs w:val="24"/>
                <w:lang w:val="en-US" w:eastAsia="zh-CN"/>
              </w:rPr>
              <w:t>。</w:t>
            </w:r>
            <w:r>
              <w:rPr>
                <w:rFonts w:hint="default" w:ascii="Times New Roman" w:hAnsi="Times New Roman" w:eastAsia="宋体" w:cs="Times New Roman"/>
                <w:bCs/>
                <w:color w:val="auto"/>
                <w:kern w:val="0"/>
                <w:sz w:val="24"/>
                <w:szCs w:val="24"/>
              </w:rPr>
              <w:t>本项目废水及其污染物产排情况见</w:t>
            </w:r>
            <w:r>
              <w:rPr>
                <w:rFonts w:hint="default" w:ascii="Times New Roman" w:hAnsi="Times New Roman" w:eastAsia="宋体" w:cs="Times New Roman"/>
                <w:bCs/>
                <w:color w:val="auto"/>
                <w:kern w:val="0"/>
                <w:sz w:val="24"/>
                <w:szCs w:val="24"/>
                <w:lang w:val="en-US" w:eastAsia="zh-CN"/>
              </w:rPr>
              <w:t>下</w:t>
            </w:r>
            <w:r>
              <w:rPr>
                <w:rFonts w:hint="default" w:ascii="Times New Roman" w:hAnsi="Times New Roman" w:eastAsia="宋体" w:cs="Times New Roman"/>
                <w:bCs/>
                <w:color w:val="auto"/>
                <w:kern w:val="0"/>
                <w:sz w:val="24"/>
                <w:szCs w:val="24"/>
              </w:rPr>
              <w:t>表</w:t>
            </w:r>
            <w:r>
              <w:rPr>
                <w:rFonts w:hint="default" w:ascii="Times New Roman" w:hAnsi="Times New Roman" w:eastAsia="宋体" w:cs="Times New Roman"/>
                <w:bCs/>
                <w:color w:val="auto"/>
                <w:kern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表3-14  本项目生活污水标准限值一览表</w:t>
            </w:r>
          </w:p>
          <w:tbl>
            <w:tblPr>
              <w:tblStyle w:val="29"/>
              <w:tblW w:w="488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05"/>
              <w:gridCol w:w="1573"/>
              <w:gridCol w:w="1599"/>
              <w:gridCol w:w="604"/>
              <w:gridCol w:w="1841"/>
              <w:gridCol w:w="15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90"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序号</w:t>
                  </w:r>
                </w:p>
              </w:tc>
              <w:tc>
                <w:tcPr>
                  <w:tcW w:w="1015"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项目</w:t>
                  </w:r>
                </w:p>
              </w:tc>
              <w:tc>
                <w:tcPr>
                  <w:tcW w:w="1032"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城市绿化、道路清扫、消防、建筑施工水质标准</w:t>
                  </w:r>
                </w:p>
              </w:tc>
              <w:tc>
                <w:tcPr>
                  <w:tcW w:w="390"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序号</w:t>
                  </w:r>
                </w:p>
              </w:tc>
              <w:tc>
                <w:tcPr>
                  <w:tcW w:w="1188"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项目</w:t>
                  </w:r>
                </w:p>
              </w:tc>
              <w:tc>
                <w:tcPr>
                  <w:tcW w:w="984"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城市绿化、道路清扫、消防、建筑施工水质标准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90"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w:t>
                  </w:r>
                </w:p>
              </w:tc>
              <w:tc>
                <w:tcPr>
                  <w:tcW w:w="1015"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pH</w:t>
                  </w:r>
                </w:p>
              </w:tc>
              <w:tc>
                <w:tcPr>
                  <w:tcW w:w="1032"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6.0～9.0</w:t>
                  </w:r>
                </w:p>
              </w:tc>
              <w:tc>
                <w:tcPr>
                  <w:tcW w:w="390"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8</w:t>
                  </w:r>
                </w:p>
              </w:tc>
              <w:tc>
                <w:tcPr>
                  <w:tcW w:w="1188"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溶解性总固体</w:t>
                  </w:r>
                </w:p>
              </w:tc>
              <w:tc>
                <w:tcPr>
                  <w:tcW w:w="984"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≤2000mg/L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90"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w:t>
                  </w:r>
                </w:p>
              </w:tc>
              <w:tc>
                <w:tcPr>
                  <w:tcW w:w="1015"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色度（铂钴色度单位）</w:t>
                  </w:r>
                </w:p>
              </w:tc>
              <w:tc>
                <w:tcPr>
                  <w:tcW w:w="1032"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≤30</w:t>
                  </w:r>
                </w:p>
              </w:tc>
              <w:tc>
                <w:tcPr>
                  <w:tcW w:w="390"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9</w:t>
                  </w:r>
                </w:p>
              </w:tc>
              <w:tc>
                <w:tcPr>
                  <w:tcW w:w="1188"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溶解氧</w:t>
                  </w:r>
                </w:p>
              </w:tc>
              <w:tc>
                <w:tcPr>
                  <w:tcW w:w="984"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≥2.0mg/L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90"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w:t>
                  </w:r>
                </w:p>
              </w:tc>
              <w:tc>
                <w:tcPr>
                  <w:tcW w:w="1015"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嗅</w:t>
                  </w:r>
                </w:p>
              </w:tc>
              <w:tc>
                <w:tcPr>
                  <w:tcW w:w="1032"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无不快感</w:t>
                  </w:r>
                </w:p>
              </w:tc>
              <w:tc>
                <w:tcPr>
                  <w:tcW w:w="390"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10</w:t>
                  </w:r>
                </w:p>
              </w:tc>
              <w:tc>
                <w:tcPr>
                  <w:tcW w:w="1188"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总氯</w:t>
                  </w:r>
                </w:p>
              </w:tc>
              <w:tc>
                <w:tcPr>
                  <w:tcW w:w="984"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≥1.0mg/L（出厂），0.2mg/L（管网末端）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90"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w:t>
                  </w:r>
                </w:p>
              </w:tc>
              <w:tc>
                <w:tcPr>
                  <w:tcW w:w="1015"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浊度（NTU）</w:t>
                  </w:r>
                </w:p>
              </w:tc>
              <w:tc>
                <w:tcPr>
                  <w:tcW w:w="1032"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10</w:t>
                  </w:r>
                </w:p>
              </w:tc>
              <w:tc>
                <w:tcPr>
                  <w:tcW w:w="390"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11</w:t>
                  </w:r>
                </w:p>
              </w:tc>
              <w:tc>
                <w:tcPr>
                  <w:tcW w:w="1188"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大肠埃希氏菌（MPN/100mL）</w:t>
                  </w:r>
                </w:p>
              </w:tc>
              <w:tc>
                <w:tcPr>
                  <w:tcW w:w="984"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90"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w:t>
                  </w:r>
                </w:p>
              </w:tc>
              <w:tc>
                <w:tcPr>
                  <w:tcW w:w="1015"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五日生化需氧量</w:t>
                  </w:r>
                </w:p>
              </w:tc>
              <w:tc>
                <w:tcPr>
                  <w:tcW w:w="1032"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≤10mg/L</w:t>
                  </w:r>
                </w:p>
              </w:tc>
              <w:tc>
                <w:tcPr>
                  <w:tcW w:w="390"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12</w:t>
                  </w:r>
                </w:p>
              </w:tc>
              <w:tc>
                <w:tcPr>
                  <w:tcW w:w="1188"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氯化物（Cl</w:t>
                  </w:r>
                  <w:r>
                    <w:rPr>
                      <w:rFonts w:hint="default" w:ascii="Times New Roman" w:hAnsi="Times New Roman" w:eastAsia="宋体" w:cs="Times New Roman"/>
                      <w:color w:val="auto"/>
                      <w:highlight w:val="none"/>
                      <w:vertAlign w:val="superscript"/>
                    </w:rPr>
                    <w:t>-</w:t>
                  </w:r>
                  <w:r>
                    <w:rPr>
                      <w:rFonts w:hint="default" w:ascii="Times New Roman" w:hAnsi="Times New Roman" w:eastAsia="宋体" w:cs="Times New Roman"/>
                      <w:color w:val="auto"/>
                      <w:highlight w:val="none"/>
                    </w:rPr>
                    <w:t>）</w:t>
                  </w:r>
                </w:p>
              </w:tc>
              <w:tc>
                <w:tcPr>
                  <w:tcW w:w="984"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90"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6</w:t>
                  </w:r>
                </w:p>
              </w:tc>
              <w:tc>
                <w:tcPr>
                  <w:tcW w:w="1015"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氨氮</w:t>
                  </w:r>
                </w:p>
              </w:tc>
              <w:tc>
                <w:tcPr>
                  <w:tcW w:w="1032"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≤8mg/L</w:t>
                  </w:r>
                </w:p>
              </w:tc>
              <w:tc>
                <w:tcPr>
                  <w:tcW w:w="390"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13</w:t>
                  </w:r>
                </w:p>
              </w:tc>
              <w:tc>
                <w:tcPr>
                  <w:tcW w:w="1188"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硫酸盐（SO</w:t>
                  </w:r>
                  <w:r>
                    <w:rPr>
                      <w:rFonts w:hint="default" w:ascii="Times New Roman" w:hAnsi="Times New Roman" w:eastAsia="宋体" w:cs="Times New Roman"/>
                      <w:color w:val="auto"/>
                      <w:highlight w:val="none"/>
                      <w:vertAlign w:val="subscript"/>
                    </w:rPr>
                    <w:t>4</w:t>
                  </w:r>
                  <w:r>
                    <w:rPr>
                      <w:rFonts w:hint="default" w:ascii="Times New Roman" w:hAnsi="Times New Roman" w:eastAsia="宋体" w:cs="Times New Roman"/>
                      <w:color w:val="auto"/>
                      <w:highlight w:val="none"/>
                      <w:vertAlign w:val="superscript"/>
                    </w:rPr>
                    <w:t>2-</w:t>
                  </w:r>
                  <w:r>
                    <w:rPr>
                      <w:rFonts w:hint="default" w:ascii="Times New Roman" w:hAnsi="Times New Roman" w:eastAsia="宋体" w:cs="Times New Roman"/>
                      <w:color w:val="auto"/>
                      <w:highlight w:val="none"/>
                    </w:rPr>
                    <w:t>）</w:t>
                  </w:r>
                </w:p>
              </w:tc>
              <w:tc>
                <w:tcPr>
                  <w:tcW w:w="984"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90"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7</w:t>
                  </w:r>
                </w:p>
              </w:tc>
              <w:tc>
                <w:tcPr>
                  <w:tcW w:w="1015"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阴离子表面活性剂</w:t>
                  </w:r>
                </w:p>
              </w:tc>
              <w:tc>
                <w:tcPr>
                  <w:tcW w:w="1032"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≤0.5mg/L</w:t>
                  </w:r>
                </w:p>
              </w:tc>
              <w:tc>
                <w:tcPr>
                  <w:tcW w:w="390"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1188"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984" w:type="pct"/>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r>
          </w:tbl>
          <w:p>
            <w:pPr>
              <w:keepNext w:val="0"/>
              <w:keepLines w:val="0"/>
              <w:pageBreakBefore w:val="0"/>
              <w:widowControl w:val="0"/>
              <w:kinsoku/>
              <w:wordWrap/>
              <w:overflowPunct/>
              <w:topLinePunct w:val="0"/>
              <w:autoSpaceDE/>
              <w:autoSpaceDN/>
              <w:bidi w:val="0"/>
              <w:adjustRightInd/>
              <w:snapToGrid/>
              <w:spacing w:line="500" w:lineRule="exact"/>
              <w:ind w:firstLine="552" w:firstLineChars="195"/>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pacing w:val="21"/>
                <w:sz w:val="24"/>
                <w:szCs w:val="24"/>
                <w:lang w:val="en-US" w:eastAsia="zh-CN"/>
              </w:rPr>
              <w:t xml:space="preserve">3 </w:t>
            </w:r>
            <w:r>
              <w:rPr>
                <w:rFonts w:hint="default" w:ascii="Times New Roman" w:hAnsi="Times New Roman" w:eastAsia="宋体" w:cs="Times New Roman"/>
                <w:b/>
                <w:bCs/>
                <w:color w:val="auto"/>
                <w:spacing w:val="-11"/>
                <w:sz w:val="24"/>
                <w:szCs w:val="24"/>
              </w:rPr>
              <w:t>噪声</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Cs/>
                <w:color w:val="auto"/>
                <w:kern w:val="0"/>
                <w:sz w:val="24"/>
                <w:szCs w:val="24"/>
              </w:rPr>
            </w:pPr>
            <w:r>
              <w:rPr>
                <w:rFonts w:hint="default" w:ascii="Times New Roman" w:hAnsi="Times New Roman" w:eastAsia="宋体" w:cs="Times New Roman"/>
                <w:bCs/>
                <w:color w:val="auto"/>
                <w:kern w:val="0"/>
                <w:sz w:val="24"/>
                <w:szCs w:val="24"/>
              </w:rPr>
              <w:t>施工期执行《建筑施工噪声排放标准》（</w:t>
            </w:r>
            <w:r>
              <w:rPr>
                <w:rFonts w:hint="default" w:ascii="Times New Roman" w:hAnsi="Times New Roman" w:eastAsia="宋体" w:cs="Times New Roman"/>
                <w:bCs/>
                <w:color w:val="auto"/>
                <w:kern w:val="0"/>
                <w:sz w:val="24"/>
                <w:szCs w:val="24"/>
                <w:lang w:eastAsia="zh-CN"/>
              </w:rPr>
              <w:t>GB</w:t>
            </w:r>
            <w:r>
              <w:rPr>
                <w:rFonts w:hint="default" w:ascii="Times New Roman" w:hAnsi="Times New Roman" w:eastAsia="宋体" w:cs="Times New Roman"/>
                <w:bCs/>
                <w:color w:val="auto"/>
                <w:kern w:val="0"/>
                <w:sz w:val="24"/>
                <w:szCs w:val="24"/>
              </w:rPr>
              <w:t>12523-20</w:t>
            </w:r>
            <w:r>
              <w:rPr>
                <w:rFonts w:hint="default" w:ascii="Times New Roman" w:hAnsi="Times New Roman" w:eastAsia="宋体" w:cs="Times New Roman"/>
                <w:bCs/>
                <w:color w:val="auto"/>
                <w:kern w:val="0"/>
                <w:sz w:val="24"/>
                <w:szCs w:val="24"/>
                <w:lang w:val="en-US" w:eastAsia="zh-CN"/>
              </w:rPr>
              <w:t>25</w:t>
            </w:r>
            <w:r>
              <w:rPr>
                <w:rFonts w:hint="default" w:ascii="Times New Roman" w:hAnsi="Times New Roman" w:eastAsia="宋体" w:cs="Times New Roman"/>
                <w:bCs/>
                <w:color w:val="auto"/>
                <w:kern w:val="0"/>
                <w:sz w:val="24"/>
                <w:szCs w:val="24"/>
              </w:rPr>
              <w:t>）</w:t>
            </w:r>
            <w:r>
              <w:rPr>
                <w:rFonts w:hint="default" w:ascii="Times New Roman" w:hAnsi="Times New Roman" w:eastAsia="宋体" w:cs="Times New Roman"/>
                <w:bCs/>
                <w:color w:val="auto"/>
                <w:kern w:val="0"/>
                <w:sz w:val="24"/>
                <w:szCs w:val="24"/>
                <w:lang w:eastAsia="zh-CN"/>
              </w:rPr>
              <w:t>；</w:t>
            </w:r>
            <w:r>
              <w:rPr>
                <w:rFonts w:hint="default" w:ascii="Times New Roman" w:hAnsi="Times New Roman" w:eastAsia="宋体" w:cs="Times New Roman"/>
                <w:bCs/>
                <w:color w:val="auto"/>
                <w:kern w:val="0"/>
                <w:sz w:val="24"/>
                <w:szCs w:val="24"/>
                <w:lang w:val="en-US" w:eastAsia="zh-CN"/>
              </w:rPr>
              <w:t>运营期厂界噪声执行《工业企业厂界环境噪声排放标准》（GB12348-2008）3类标准，具体如下表：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表3-15    厂界噪声排放标准</w:t>
            </w:r>
          </w:p>
          <w:tbl>
            <w:tblPr>
              <w:tblStyle w:val="29"/>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01"/>
              <w:gridCol w:w="1108"/>
              <w:gridCol w:w="881"/>
              <w:gridCol w:w="843"/>
              <w:gridCol w:w="36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7" w:hRule="atLeast"/>
                <w:tblHeader/>
                <w:jc w:val="center"/>
              </w:trPr>
              <w:tc>
                <w:tcPr>
                  <w:tcW w:w="884" w:type="pct"/>
                  <w:vMerge w:val="restar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项目</w:t>
                  </w:r>
                </w:p>
              </w:tc>
              <w:tc>
                <w:tcPr>
                  <w:tcW w:w="699" w:type="pct"/>
                  <w:vMerge w:val="restar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单位</w:t>
                  </w:r>
                </w:p>
              </w:tc>
              <w:tc>
                <w:tcPr>
                  <w:tcW w:w="1088" w:type="pct"/>
                  <w:gridSpan w:val="2"/>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限值</w:t>
                  </w:r>
                </w:p>
              </w:tc>
              <w:tc>
                <w:tcPr>
                  <w:tcW w:w="2327" w:type="pct"/>
                  <w:vMerge w:val="restar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标准来源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7" w:hRule="atLeast"/>
                <w:tblHeader/>
                <w:jc w:val="center"/>
              </w:trPr>
              <w:tc>
                <w:tcPr>
                  <w:tcW w:w="884" w:type="pct"/>
                  <w:vMerge w:val="continue"/>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699" w:type="pct"/>
                  <w:vMerge w:val="continue"/>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556"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昼间</w:t>
                  </w:r>
                </w:p>
              </w:tc>
              <w:tc>
                <w:tcPr>
                  <w:tcW w:w="532"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夜间</w:t>
                  </w:r>
                </w:p>
              </w:tc>
              <w:tc>
                <w:tcPr>
                  <w:tcW w:w="2327" w:type="pct"/>
                  <w:vMerge w:val="continue"/>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88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厂界四周</w:t>
                  </w:r>
                </w:p>
              </w:tc>
              <w:tc>
                <w:tcPr>
                  <w:tcW w:w="699"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dB(A)</w:t>
                  </w:r>
                </w:p>
              </w:tc>
              <w:tc>
                <w:tcPr>
                  <w:tcW w:w="556"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65</w:t>
                  </w:r>
                </w:p>
              </w:tc>
              <w:tc>
                <w:tcPr>
                  <w:tcW w:w="532"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55</w:t>
                  </w:r>
                </w:p>
              </w:tc>
              <w:tc>
                <w:tcPr>
                  <w:tcW w:w="2327"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《工业企业厂界环境噪声排放标准》（GB12348-2008）3类</w:t>
                  </w:r>
                </w:p>
              </w:tc>
            </w:tr>
          </w:tbl>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表3-16    建筑施工噪声排放标准</w:t>
            </w:r>
          </w:p>
          <w:tbl>
            <w:tblPr>
              <w:tblStyle w:val="29"/>
              <w:tblW w:w="499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49"/>
              <w:gridCol w:w="3458"/>
              <w:gridCol w:w="1710"/>
              <w:gridCol w:w="190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536" w:type="pct"/>
                  <w:vMerge w:val="restart"/>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位置</w:t>
                  </w:r>
                </w:p>
              </w:tc>
              <w:tc>
                <w:tcPr>
                  <w:tcW w:w="2182" w:type="pct"/>
                  <w:vMerge w:val="restart"/>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执行标准</w:t>
                  </w:r>
                </w:p>
              </w:tc>
              <w:tc>
                <w:tcPr>
                  <w:tcW w:w="2280" w:type="pct"/>
                  <w:gridSpan w:val="2"/>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噪声限值（等效声级Leq[dB(A)]）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536" w:type="pct"/>
                  <w:vMerge w:val="continue"/>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2182" w:type="pct"/>
                  <w:vMerge w:val="continue"/>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1079" w:type="pct"/>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昼间</w:t>
                  </w:r>
                </w:p>
              </w:tc>
              <w:tc>
                <w:tcPr>
                  <w:tcW w:w="1201" w:type="pct"/>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36" w:type="pct"/>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场界</w:t>
                  </w:r>
                </w:p>
              </w:tc>
              <w:tc>
                <w:tcPr>
                  <w:tcW w:w="2182" w:type="pct"/>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《建筑施工噪声排放标准》（</w:t>
                  </w:r>
                  <w:r>
                    <w:rPr>
                      <w:rFonts w:hint="default" w:ascii="Times New Roman" w:hAnsi="Times New Roman" w:eastAsia="宋体" w:cs="Times New Roman"/>
                      <w:color w:val="auto"/>
                      <w:highlight w:val="none"/>
                      <w:lang w:eastAsia="zh-CN"/>
                    </w:rPr>
                    <w:t>GB</w:t>
                  </w:r>
                  <w:r>
                    <w:rPr>
                      <w:rFonts w:hint="default" w:ascii="Times New Roman" w:hAnsi="Times New Roman" w:eastAsia="宋体" w:cs="Times New Roman"/>
                      <w:color w:val="auto"/>
                      <w:highlight w:val="none"/>
                    </w:rPr>
                    <w:t>12523-20</w:t>
                  </w:r>
                  <w:r>
                    <w:rPr>
                      <w:rFonts w:hint="default" w:ascii="Times New Roman" w:hAnsi="Times New Roman" w:eastAsia="宋体" w:cs="Times New Roman"/>
                      <w:color w:val="auto"/>
                      <w:highlight w:val="none"/>
                      <w:lang w:val="en-US" w:eastAsia="zh-CN"/>
                    </w:rPr>
                    <w:t>25</w:t>
                  </w:r>
                  <w:r>
                    <w:rPr>
                      <w:rFonts w:hint="default" w:ascii="Times New Roman" w:hAnsi="Times New Roman" w:eastAsia="宋体" w:cs="Times New Roman"/>
                      <w:color w:val="auto"/>
                      <w:highlight w:val="none"/>
                    </w:rPr>
                    <w:t>）</w:t>
                  </w:r>
                </w:p>
              </w:tc>
              <w:tc>
                <w:tcPr>
                  <w:tcW w:w="1079" w:type="pct"/>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70</w:t>
                  </w:r>
                </w:p>
              </w:tc>
              <w:tc>
                <w:tcPr>
                  <w:tcW w:w="1201" w:type="pct"/>
                  <w:noWrap w:val="0"/>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55</w:t>
                  </w:r>
                </w:p>
              </w:tc>
            </w:tr>
          </w:tbl>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color w:val="auto"/>
                <w:kern w:val="0"/>
                <w:sz w:val="24"/>
                <w:szCs w:val="24"/>
              </w:rPr>
            </w:pPr>
            <w:r>
              <w:rPr>
                <w:rFonts w:hint="default" w:ascii="Times New Roman" w:hAnsi="Times New Roman" w:eastAsia="宋体" w:cs="Times New Roman"/>
                <w:b/>
                <w:color w:val="auto"/>
                <w:kern w:val="0"/>
                <w:sz w:val="24"/>
                <w:szCs w:val="24"/>
                <w:lang w:val="en-US" w:eastAsia="zh-CN"/>
              </w:rPr>
              <w:t xml:space="preserve">4 </w:t>
            </w:r>
            <w:r>
              <w:rPr>
                <w:rFonts w:hint="default" w:ascii="Times New Roman" w:hAnsi="Times New Roman" w:eastAsia="宋体" w:cs="Times New Roman"/>
                <w:b/>
                <w:color w:val="auto"/>
                <w:kern w:val="0"/>
                <w:sz w:val="24"/>
                <w:szCs w:val="24"/>
              </w:rPr>
              <w:t>固体废物</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Cs/>
                <w:color w:val="auto"/>
                <w:kern w:val="0"/>
                <w:sz w:val="24"/>
                <w:szCs w:val="24"/>
              </w:rPr>
              <w:t>一般工业固体废物执行《一般工业固体废物贮存和填埋污染控制标准》</w:t>
            </w:r>
            <w:r>
              <w:rPr>
                <w:rFonts w:hint="default" w:ascii="Times New Roman" w:hAnsi="Times New Roman" w:eastAsia="宋体" w:cs="Times New Roman"/>
                <w:bCs/>
                <w:color w:val="auto"/>
                <w:kern w:val="0"/>
                <w:sz w:val="24"/>
                <w:szCs w:val="24"/>
                <w:lang w:eastAsia="zh-CN"/>
              </w:rPr>
              <w:t>（</w:t>
            </w:r>
            <w:r>
              <w:rPr>
                <w:rFonts w:hint="default" w:ascii="Times New Roman" w:hAnsi="Times New Roman" w:eastAsia="宋体" w:cs="Times New Roman"/>
                <w:bCs/>
                <w:color w:val="auto"/>
                <w:kern w:val="0"/>
                <w:sz w:val="24"/>
                <w:szCs w:val="24"/>
              </w:rPr>
              <w:t>GB18599-2020</w:t>
            </w:r>
            <w:r>
              <w:rPr>
                <w:rFonts w:hint="default" w:ascii="Times New Roman" w:hAnsi="Times New Roman" w:eastAsia="宋体" w:cs="Times New Roman"/>
                <w:bCs/>
                <w:color w:val="auto"/>
                <w:kern w:val="0"/>
                <w:sz w:val="24"/>
                <w:szCs w:val="24"/>
                <w:lang w:eastAsia="zh-CN"/>
              </w:rPr>
              <w:t>）</w:t>
            </w:r>
            <w:r>
              <w:rPr>
                <w:rFonts w:hint="default" w:ascii="Times New Roman" w:hAnsi="Times New Roman" w:eastAsia="宋体" w:cs="Times New Roman"/>
                <w:bCs/>
                <w:color w:val="auto"/>
                <w:kern w:val="0"/>
                <w:sz w:val="24"/>
                <w:szCs w:val="24"/>
              </w:rPr>
              <w:t>相关要求。</w:t>
            </w:r>
            <w:r>
              <w:rPr>
                <w:rFonts w:hint="default" w:ascii="Times New Roman" w:hAnsi="Times New Roman" w:eastAsia="宋体" w:cs="Times New Roman"/>
                <w:color w:val="auto"/>
                <w:sz w:val="24"/>
                <w:szCs w:val="32"/>
                <w:lang w:val="en-US" w:eastAsia="zh-CN"/>
              </w:rPr>
              <w:t>危险</w:t>
            </w:r>
            <w:r>
              <w:rPr>
                <w:rFonts w:hint="default" w:ascii="Times New Roman" w:hAnsi="Times New Roman" w:eastAsia="宋体" w:cs="Times New Roman"/>
                <w:bCs/>
                <w:color w:val="auto"/>
                <w:kern w:val="0"/>
                <w:sz w:val="24"/>
                <w:szCs w:val="24"/>
                <w:lang w:val="en-US" w:eastAsia="zh-CN"/>
              </w:rPr>
              <w:t>废物执行</w:t>
            </w:r>
            <w:r>
              <w:rPr>
                <w:rFonts w:hint="default" w:ascii="Times New Roman" w:hAnsi="Times New Roman" w:eastAsia="宋体" w:cs="Times New Roman"/>
                <w:bCs/>
                <w:color w:val="auto"/>
                <w:kern w:val="0"/>
                <w:sz w:val="24"/>
                <w:szCs w:val="24"/>
              </w:rPr>
              <w:t>《危险废物贮存污染控制标准》（GB18597-2023）</w:t>
            </w:r>
            <w:r>
              <w:rPr>
                <w:rFonts w:hint="default" w:ascii="Times New Roman" w:hAnsi="Times New Roman" w:eastAsia="宋体" w:cs="Times New Roman"/>
                <w:bCs/>
                <w:color w:val="auto"/>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1" w:hRule="atLeast"/>
        </w:trPr>
        <w:tc>
          <w:tcPr>
            <w:tcW w:w="794" w:type="dxa"/>
            <w:vAlign w:val="center"/>
          </w:tcPr>
          <w:p>
            <w:pPr>
              <w:adjustRightInd w:val="0"/>
              <w:snapToGrid w:val="0"/>
              <w:jc w:val="center"/>
              <w:rPr>
                <w:rFonts w:hint="default" w:ascii="Times New Roman" w:hAnsi="Times New Roman" w:eastAsia="黑体" w:cs="Times New Roman"/>
                <w:snapToGrid w:val="0"/>
                <w:color w:val="auto"/>
                <w:sz w:val="21"/>
                <w:szCs w:val="21"/>
                <w:vertAlign w:val="baseline"/>
              </w:rPr>
            </w:pPr>
            <w:r>
              <w:rPr>
                <w:rFonts w:hint="default" w:ascii="Times New Roman" w:hAnsi="Times New Roman" w:cs="Times New Roman"/>
                <w:color w:val="auto"/>
                <w:kern w:val="0"/>
                <w:sz w:val="24"/>
                <w:szCs w:val="24"/>
              </w:rPr>
              <w:t>总量控制指标</w:t>
            </w:r>
          </w:p>
        </w:tc>
        <w:tc>
          <w:tcPr>
            <w:tcW w:w="8169" w:type="dxa"/>
            <w:vAlign w:val="center"/>
          </w:tcPr>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Cs/>
                <w:color w:val="auto"/>
                <w:kern w:val="0"/>
                <w:sz w:val="24"/>
                <w:szCs w:val="24"/>
                <w:lang w:val="en-US" w:eastAsia="zh-CN"/>
              </w:rPr>
              <w:t>本项目大气污染物主要为颗粒物；生产废水、生活污水经处理后综合利用，不外排。因此本项目不建议设置总量控制指标。</w:t>
            </w:r>
          </w:p>
        </w:tc>
      </w:tr>
    </w:tbl>
    <w:p>
      <w:pPr>
        <w:pStyle w:val="27"/>
        <w:jc w:val="center"/>
        <w:outlineLvl w:val="0"/>
        <w:rPr>
          <w:rFonts w:hint="default" w:ascii="Times New Roman" w:hAnsi="Times New Roman" w:eastAsia="黑体" w:cs="Times New Roman"/>
          <w:snapToGrid w:val="0"/>
          <w:color w:val="auto"/>
          <w:sz w:val="21"/>
          <w:szCs w:val="21"/>
        </w:rPr>
      </w:pPr>
      <w:r>
        <w:rPr>
          <w:rFonts w:hint="default" w:ascii="Times New Roman" w:hAnsi="Times New Roman" w:eastAsia="黑体" w:cs="Times New Roman"/>
          <w:snapToGrid w:val="0"/>
          <w:color w:val="auto"/>
          <w:sz w:val="21"/>
          <w:szCs w:val="21"/>
        </w:rPr>
        <w:br w:type="page"/>
      </w:r>
      <w:r>
        <w:rPr>
          <w:rFonts w:hint="default" w:ascii="Times New Roman" w:hAnsi="Times New Roman" w:eastAsia="黑体" w:cs="Times New Roman"/>
          <w:snapToGrid w:val="0"/>
          <w:color w:val="auto"/>
          <w:sz w:val="30"/>
          <w:szCs w:val="30"/>
        </w:rPr>
        <w:t>四、主要环境影响和保护措施</w:t>
      </w:r>
    </w:p>
    <w:tbl>
      <w:tblPr>
        <w:tblStyle w:val="29"/>
        <w:tblW w:w="891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819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6" w:type="dxa"/>
            <w:noWrap w:val="0"/>
            <w:tcMar>
              <w:left w:w="28" w:type="dxa"/>
              <w:right w:w="28" w:type="dxa"/>
            </w:tcMar>
            <w:vAlign w:val="center"/>
          </w:tcPr>
          <w:p>
            <w:pPr>
              <w:pStyle w:val="27"/>
              <w:adjustRightInd w:val="0"/>
              <w:snapToGrid w:val="0"/>
              <w:spacing w:before="0" w:beforeAutospacing="0" w:after="0" w:afterAutospacing="0"/>
              <w:jc w:val="center"/>
              <w:rPr>
                <w:rFonts w:hint="default" w:ascii="Times New Roman" w:hAnsi="Times New Roman" w:cs="Times New Roman"/>
                <w:bCs/>
                <w:color w:val="auto"/>
                <w:kern w:val="2"/>
                <w:sz w:val="24"/>
                <w:szCs w:val="24"/>
              </w:rPr>
            </w:pPr>
            <w:r>
              <w:rPr>
                <w:rFonts w:hint="default" w:ascii="Times New Roman" w:hAnsi="Times New Roman" w:cs="Times New Roman"/>
                <w:color w:val="auto"/>
                <w:kern w:val="2"/>
                <w:sz w:val="24"/>
                <w:szCs w:val="24"/>
              </w:rPr>
              <w:t>施工期环境保护措施</w:t>
            </w:r>
          </w:p>
        </w:tc>
        <w:tc>
          <w:tcPr>
            <w:tcW w:w="816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cs="Times New Roman"/>
                <w:b/>
                <w:color w:val="auto"/>
                <w:sz w:val="24"/>
                <w:szCs w:val="24"/>
              </w:rPr>
            </w:pPr>
            <w:r>
              <w:rPr>
                <w:rFonts w:hint="default" w:ascii="Times New Roman" w:hAnsi="Times New Roman" w:cs="Times New Roman"/>
                <w:b/>
                <w:color w:val="auto"/>
                <w:sz w:val="24"/>
                <w:szCs w:val="24"/>
                <w:lang w:val="en-US" w:eastAsia="zh-CN" w:bidi="ar"/>
              </w:rPr>
              <w:t>4.1</w:t>
            </w:r>
            <w:r>
              <w:rPr>
                <w:rFonts w:hint="default" w:ascii="Times New Roman" w:hAnsi="Times New Roman" w:cs="Times New Roman"/>
                <w:b/>
                <w:color w:val="auto"/>
                <w:sz w:val="24"/>
                <w:szCs w:val="24"/>
                <w:lang w:bidi="ar"/>
              </w:rPr>
              <w:t>施工期大气治理措施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（1）施工扬尘</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①在施工过程中，露天原料堆场采取围挡、围护以减少扬尘扩散。</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②施工现场周边实行围挡全封闭施工，施工场地根据天气状况进行</w:t>
            </w:r>
            <w:r>
              <w:rPr>
                <w:rFonts w:hint="default" w:ascii="Times New Roman" w:hAnsi="Times New Roman" w:cs="Times New Roman"/>
                <w:bCs/>
                <w:color w:val="auto"/>
                <w:sz w:val="24"/>
                <w:szCs w:val="24"/>
                <w:lang w:val="en-US" w:eastAsia="zh-CN"/>
              </w:rPr>
              <w:t>洒水</w:t>
            </w:r>
            <w:r>
              <w:rPr>
                <w:rFonts w:hint="default" w:ascii="Times New Roman" w:hAnsi="Times New Roman" w:cs="Times New Roman"/>
                <w:bCs/>
                <w:color w:val="auto"/>
                <w:sz w:val="24"/>
                <w:szCs w:val="24"/>
              </w:rPr>
              <w:t>抑尘，一般每天洒水1-2次，遇到大风或干燥天气适当增加洒水次数。施工场地洒水与否对扬尘的影响较大，场地洒水后，扬尘量将降低28%-75%，大大减少了其对环境的影响。</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③谨防运输车辆装载过满，对运输建筑材料的车辆加盖</w:t>
            </w:r>
            <w:r>
              <w:rPr>
                <w:rFonts w:hint="default" w:ascii="Times New Roman" w:hAnsi="Times New Roman" w:cs="Times New Roman"/>
                <w:bCs/>
                <w:color w:val="auto"/>
                <w:sz w:val="24"/>
                <w:szCs w:val="24"/>
                <w:lang w:eastAsia="zh-CN"/>
              </w:rPr>
              <w:t>篷布</w:t>
            </w:r>
            <w:r>
              <w:rPr>
                <w:rFonts w:hint="default" w:ascii="Times New Roman" w:hAnsi="Times New Roman" w:cs="Times New Roman"/>
                <w:bCs/>
                <w:color w:val="auto"/>
                <w:sz w:val="24"/>
                <w:szCs w:val="24"/>
              </w:rPr>
              <w:t>减少洒落。同时运输车辆限速行驶。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④在施工场地设专人负责弃土、建筑垃圾、建筑材料的处置、清运和堆放，堆放场地加盖</w:t>
            </w:r>
            <w:r>
              <w:rPr>
                <w:rFonts w:hint="default" w:ascii="Times New Roman" w:hAnsi="Times New Roman" w:cs="Times New Roman"/>
                <w:bCs/>
                <w:color w:val="auto"/>
                <w:sz w:val="24"/>
                <w:szCs w:val="24"/>
                <w:lang w:eastAsia="zh-CN"/>
              </w:rPr>
              <w:t>篷布</w:t>
            </w:r>
            <w:r>
              <w:rPr>
                <w:rFonts w:hint="default" w:ascii="Times New Roman" w:hAnsi="Times New Roman" w:cs="Times New Roman"/>
                <w:bCs/>
                <w:color w:val="auto"/>
                <w:sz w:val="24"/>
                <w:szCs w:val="24"/>
              </w:rPr>
              <w:t>或洒水，防止二次扬尘。</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⑤对施工现场实行合理化管理，使砂石料统一堆放，水泥设散装水泥罐，并尽量减少搬运环节。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2）燃油废气</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项目施工期主要用挖掘机、装载机及各类型运输车辆大部分使用柴油</w:t>
            </w:r>
            <w:r>
              <w:rPr>
                <w:rFonts w:hint="default" w:ascii="Times New Roman" w:hAnsi="Times New Roman" w:cs="Times New Roman"/>
                <w:bCs/>
                <w:color w:val="auto"/>
                <w:sz w:val="24"/>
                <w:szCs w:val="24"/>
                <w:lang w:eastAsia="zh-CN"/>
              </w:rPr>
              <w:t>作为</w:t>
            </w:r>
            <w:r>
              <w:rPr>
                <w:rFonts w:hint="default" w:ascii="Times New Roman" w:hAnsi="Times New Roman" w:cs="Times New Roman"/>
                <w:bCs/>
                <w:color w:val="auto"/>
                <w:sz w:val="24"/>
                <w:szCs w:val="24"/>
              </w:rPr>
              <w:t>燃料，少量使用汽油，这部分机械主要在土石方阶段使用，是主要的废气来源。废气主要污染物为CO、NOx等成分，影响半径约在50~100m左右。</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运输车辆产生的燃油废气属低架点源无组织排放性质，具有间断性产生、产生量较小、产生点相对分散、易被稀释扩散等特点，加之项目区施工范围相对较大，施工场地周围较空旷，大气扩散条件相对较好，建议加强对进出车辆的管理，做到车辆定期保养，减少燃油废气的污染物排放。</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综上，施工期切实落实防护措施，施工过程满足六个百分百，即施工工地周边100%围挡，出入车辆100%冲洗，拆迁工地100%湿法作业，渣土车辆100%密闭运输，施工现场地面100%硬化，物料堆放100%。施工场地扬尘对环境造成不利影响，但施工结束后，废气影响也随之消失，不会造成长期的影响。</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cs="Times New Roman"/>
                <w:color w:val="auto"/>
                <w:sz w:val="24"/>
                <w:szCs w:val="24"/>
              </w:rPr>
            </w:pPr>
            <w:r>
              <w:rPr>
                <w:rFonts w:hint="default" w:ascii="Times New Roman" w:hAnsi="Times New Roman" w:cs="Times New Roman"/>
                <w:b/>
                <w:color w:val="auto"/>
                <w:sz w:val="24"/>
                <w:szCs w:val="24"/>
                <w:lang w:val="en-US" w:eastAsia="zh-CN" w:bidi="ar"/>
              </w:rPr>
              <w:t>4.2</w:t>
            </w:r>
            <w:r>
              <w:rPr>
                <w:rFonts w:hint="default" w:ascii="Times New Roman" w:hAnsi="Times New Roman" w:cs="Times New Roman"/>
                <w:b/>
                <w:color w:val="auto"/>
                <w:sz w:val="24"/>
                <w:szCs w:val="24"/>
                <w:lang w:bidi="ar"/>
              </w:rPr>
              <w:t>施工期废水防治措施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bidi="ar"/>
              </w:rPr>
              <w:t>施工期的废水主要来自建筑施工废水。建筑废水主要来自施工过程中的清洗、养护等施工工序，废水量不大。建筑施工废水多为无机废水，除悬浮物含量较高外，一般不含有毒有害物质，这部分废水经沉淀后回用于项目区降尘；施工人员生活污水</w:t>
            </w:r>
            <w:r>
              <w:rPr>
                <w:rFonts w:hint="default" w:ascii="Times New Roman" w:hAnsi="Times New Roman" w:cs="Times New Roman"/>
                <w:color w:val="auto"/>
                <w:sz w:val="24"/>
                <w:szCs w:val="24"/>
                <w:lang w:val="en-US" w:eastAsia="zh-CN" w:bidi="ar"/>
              </w:rPr>
              <w:t>依托选矿厂现有污水处理站</w:t>
            </w:r>
            <w:r>
              <w:rPr>
                <w:rFonts w:hint="default" w:ascii="Times New Roman" w:hAnsi="Times New Roman" w:cs="Times New Roman"/>
                <w:color w:val="auto"/>
                <w:sz w:val="24"/>
                <w:szCs w:val="24"/>
                <w:lang w:bidi="ar"/>
              </w:rPr>
              <w:t>。施工期的废水对周围环境的影响不大，并随着施工期的完成而消除。</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color w:val="auto"/>
                <w:sz w:val="24"/>
                <w:szCs w:val="24"/>
                <w:lang w:val="en-US" w:eastAsia="zh-CN" w:bidi="ar"/>
              </w:rPr>
            </w:pPr>
            <w:r>
              <w:rPr>
                <w:rFonts w:hint="default" w:ascii="Times New Roman" w:hAnsi="Times New Roman" w:eastAsia="宋体" w:cs="Times New Roman"/>
                <w:b/>
                <w:color w:val="auto"/>
                <w:sz w:val="24"/>
                <w:szCs w:val="24"/>
                <w:lang w:val="en-US" w:eastAsia="zh-CN" w:bidi="ar"/>
              </w:rPr>
              <w:t>4.3施工期噪声防治措施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Cs/>
                <w:color w:val="auto"/>
                <w:kern w:val="0"/>
                <w:sz w:val="24"/>
                <w:szCs w:val="24"/>
              </w:rPr>
            </w:pPr>
            <w:r>
              <w:rPr>
                <w:rFonts w:hint="default" w:ascii="Times New Roman" w:hAnsi="Times New Roman" w:cs="Times New Roman"/>
                <w:bCs/>
                <w:color w:val="auto"/>
                <w:kern w:val="0"/>
                <w:sz w:val="24"/>
                <w:szCs w:val="24"/>
              </w:rPr>
              <w:t>本项目施工过程中噪声主要来源于施工机械、车辆等噪声，对周围声环境产生一定的影响，应采取以下噪声污染防治措施：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Cs/>
                <w:color w:val="auto"/>
                <w:kern w:val="0"/>
                <w:sz w:val="24"/>
                <w:szCs w:val="24"/>
              </w:rPr>
            </w:pPr>
            <w:r>
              <w:rPr>
                <w:rFonts w:hint="default" w:ascii="Times New Roman" w:hAnsi="Times New Roman" w:cs="Times New Roman"/>
                <w:bCs/>
                <w:color w:val="auto"/>
                <w:kern w:val="0"/>
                <w:sz w:val="24"/>
                <w:szCs w:val="24"/>
              </w:rPr>
              <w:t>（1）施工单位对施工场地应合理布设，使高噪声设备尽量远离场界。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Cs/>
                <w:color w:val="auto"/>
                <w:kern w:val="0"/>
                <w:sz w:val="24"/>
                <w:szCs w:val="24"/>
              </w:rPr>
            </w:pPr>
            <w:r>
              <w:rPr>
                <w:rFonts w:hint="default" w:ascii="Times New Roman" w:hAnsi="Times New Roman" w:cs="Times New Roman"/>
                <w:bCs/>
                <w:color w:val="auto"/>
                <w:kern w:val="0"/>
                <w:sz w:val="24"/>
                <w:szCs w:val="24"/>
              </w:rPr>
              <w:t>（2）施工单位应合理安排施工时间，避免长时间使用高噪声设备，使施工期造成的噪声污染降到最低。</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Cs/>
                <w:color w:val="auto"/>
                <w:kern w:val="0"/>
                <w:sz w:val="24"/>
                <w:szCs w:val="24"/>
              </w:rPr>
            </w:pPr>
            <w:r>
              <w:rPr>
                <w:rFonts w:hint="default" w:ascii="Times New Roman" w:hAnsi="Times New Roman" w:cs="Times New Roman"/>
                <w:bCs/>
                <w:color w:val="auto"/>
                <w:kern w:val="0"/>
                <w:sz w:val="24"/>
                <w:szCs w:val="24"/>
              </w:rPr>
              <w:t>（3）施工设备选型时，在满足施工需要的前提下，尽可能选取噪声低、振动小、能耗小的先进设备。加强施工机械的维护保养，避免由于设备性能差而使机械噪声增大的现象发生。</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Cs/>
                <w:color w:val="auto"/>
                <w:kern w:val="0"/>
                <w:sz w:val="24"/>
                <w:szCs w:val="24"/>
              </w:rPr>
            </w:pPr>
            <w:r>
              <w:rPr>
                <w:rFonts w:hint="default" w:ascii="Times New Roman" w:hAnsi="Times New Roman" w:cs="Times New Roman"/>
                <w:bCs/>
                <w:color w:val="auto"/>
                <w:kern w:val="0"/>
                <w:sz w:val="24"/>
                <w:szCs w:val="24"/>
              </w:rPr>
              <w:t>（4）场外运输作业安排在白天进行，施工车辆经过村庄时采取减速、禁鸣等措施，夜间禁止施工作业及运输。</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Cs/>
                <w:color w:val="auto"/>
                <w:kern w:val="0"/>
                <w:sz w:val="24"/>
                <w:szCs w:val="24"/>
              </w:rPr>
            </w:pPr>
            <w:r>
              <w:rPr>
                <w:rFonts w:hint="default" w:ascii="Times New Roman" w:hAnsi="Times New Roman" w:cs="Times New Roman"/>
                <w:bCs/>
                <w:color w:val="auto"/>
                <w:kern w:val="0"/>
                <w:sz w:val="24"/>
                <w:szCs w:val="24"/>
              </w:rPr>
              <w:t>（5）提高施工人员特别是现场施工负责人员的环保意识，施工部门负责人应学习国家相关环保法律、法规，增强环保意识，明确认识噪声对人体的危害。</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Cs/>
                <w:color w:val="auto"/>
                <w:kern w:val="0"/>
                <w:sz w:val="24"/>
                <w:szCs w:val="24"/>
              </w:rPr>
            </w:pPr>
            <w:r>
              <w:rPr>
                <w:rFonts w:hint="default" w:ascii="Times New Roman" w:hAnsi="Times New Roman" w:cs="Times New Roman"/>
                <w:bCs/>
                <w:color w:val="auto"/>
                <w:kern w:val="0"/>
                <w:sz w:val="24"/>
                <w:szCs w:val="24"/>
              </w:rPr>
              <w:t>（6）严格按照国家和地方环境保护法律法规的要求，建筑施工场界噪声不得超过《建筑施工噪声排放标准》（GB12523-20</w:t>
            </w:r>
            <w:r>
              <w:rPr>
                <w:rFonts w:hint="default" w:ascii="Times New Roman" w:hAnsi="Times New Roman" w:cs="Times New Roman"/>
                <w:bCs/>
                <w:color w:val="auto"/>
                <w:kern w:val="0"/>
                <w:sz w:val="24"/>
                <w:szCs w:val="24"/>
                <w:lang w:val="en-US" w:eastAsia="zh-CN"/>
              </w:rPr>
              <w:t>25</w:t>
            </w:r>
            <w:r>
              <w:rPr>
                <w:rFonts w:hint="default" w:ascii="Times New Roman" w:hAnsi="Times New Roman" w:cs="Times New Roman"/>
                <w:bCs/>
                <w:color w:val="auto"/>
                <w:kern w:val="0"/>
                <w:sz w:val="24"/>
                <w:szCs w:val="24"/>
              </w:rPr>
              <w:t>）中的排放限值。</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Cs/>
                <w:color w:val="auto"/>
                <w:kern w:val="0"/>
                <w:sz w:val="24"/>
                <w:szCs w:val="24"/>
              </w:rPr>
            </w:pPr>
            <w:r>
              <w:rPr>
                <w:rFonts w:hint="default" w:ascii="Times New Roman" w:hAnsi="Times New Roman" w:cs="Times New Roman"/>
                <w:bCs/>
                <w:color w:val="auto"/>
                <w:kern w:val="0"/>
                <w:sz w:val="24"/>
                <w:szCs w:val="24"/>
              </w:rPr>
              <w:t>采取以上噪声污染控制措施后，可将施工期噪声影响降至最低程度，对周围环境影响可接受，措施可行。随着工程的结束，施工期对周围环境的影响也将消失。</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cs="Times New Roman"/>
                <w:b/>
                <w:color w:val="auto"/>
                <w:sz w:val="24"/>
                <w:szCs w:val="24"/>
              </w:rPr>
            </w:pPr>
            <w:r>
              <w:rPr>
                <w:rFonts w:hint="default" w:ascii="Times New Roman" w:hAnsi="Times New Roman" w:cs="Times New Roman"/>
                <w:b/>
                <w:color w:val="auto"/>
                <w:sz w:val="24"/>
                <w:szCs w:val="24"/>
                <w:lang w:val="en-US" w:eastAsia="zh-CN" w:bidi="ar"/>
              </w:rPr>
              <w:t>4.4</w:t>
            </w:r>
            <w:r>
              <w:rPr>
                <w:rFonts w:hint="default" w:ascii="Times New Roman" w:hAnsi="Times New Roman" w:cs="Times New Roman"/>
                <w:b/>
                <w:color w:val="auto"/>
                <w:sz w:val="24"/>
                <w:szCs w:val="24"/>
                <w:lang w:bidi="ar"/>
              </w:rPr>
              <w:t>施工期固废治理措施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Cs/>
                <w:color w:val="auto"/>
                <w:kern w:val="0"/>
                <w:sz w:val="24"/>
                <w:szCs w:val="24"/>
              </w:rPr>
            </w:pPr>
            <w:r>
              <w:rPr>
                <w:rFonts w:hint="default" w:ascii="Times New Roman" w:hAnsi="Times New Roman" w:eastAsia="宋体" w:cs="Times New Roman"/>
                <w:bCs/>
                <w:color w:val="auto"/>
                <w:kern w:val="0"/>
                <w:sz w:val="24"/>
                <w:szCs w:val="24"/>
              </w:rPr>
              <w:t>本项目施工期固体废物主要为人员生活垃圾，施工中产生的建筑垃圾。建设单位和施工单位要重视和加强固体废物的管理，采取积极措施防止对环境的污染。施工期采取以下固废防治措施：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Cs/>
                <w:color w:val="auto"/>
                <w:kern w:val="0"/>
                <w:sz w:val="24"/>
                <w:szCs w:val="24"/>
              </w:rPr>
            </w:pPr>
            <w:r>
              <w:rPr>
                <w:rFonts w:hint="default" w:ascii="Times New Roman" w:hAnsi="Times New Roman" w:eastAsia="宋体" w:cs="Times New Roman"/>
                <w:bCs/>
                <w:color w:val="auto"/>
                <w:kern w:val="0"/>
                <w:sz w:val="24"/>
                <w:szCs w:val="24"/>
              </w:rPr>
              <w:t>（1）做到土石方合理平衡，弃土在施工区内暂时堆放，并采取苫布遮盖、洒水抑尘等措施，完工后全部用于施工区场地平整，无弃方。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Cs/>
                <w:color w:val="auto"/>
                <w:kern w:val="0"/>
                <w:sz w:val="24"/>
                <w:szCs w:val="24"/>
              </w:rPr>
            </w:pPr>
            <w:r>
              <w:rPr>
                <w:rFonts w:hint="default" w:ascii="Times New Roman" w:hAnsi="Times New Roman" w:eastAsia="宋体" w:cs="Times New Roman"/>
                <w:bCs/>
                <w:color w:val="auto"/>
                <w:kern w:val="0"/>
                <w:sz w:val="24"/>
                <w:szCs w:val="24"/>
              </w:rPr>
              <w:t>（2）建筑垃圾进行分类收集、分类暂存，能够回收利用的尽量回收利用；对无利用价值的建筑垃圾及时清运至当地指定的建筑垃圾填埋场，防止其因长期堆放而产生扬尘污染。</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Cs/>
                <w:color w:val="auto"/>
                <w:kern w:val="0"/>
                <w:sz w:val="24"/>
                <w:szCs w:val="24"/>
              </w:rPr>
            </w:pPr>
            <w:r>
              <w:rPr>
                <w:rFonts w:hint="default" w:ascii="Times New Roman" w:hAnsi="Times New Roman" w:eastAsia="宋体" w:cs="Times New Roman"/>
                <w:bCs/>
                <w:color w:val="auto"/>
                <w:kern w:val="0"/>
                <w:sz w:val="24"/>
                <w:szCs w:val="24"/>
              </w:rPr>
              <w:t>（3）施工区设置生活垃圾桶，施工人员产生的生活垃圾集中收集后，运往邻厂新疆路源矿业有限公司垃圾填埋场填埋处置。</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Cs/>
                <w:color w:val="auto"/>
                <w:kern w:val="0"/>
                <w:sz w:val="24"/>
                <w:szCs w:val="24"/>
              </w:rPr>
            </w:pPr>
            <w:r>
              <w:rPr>
                <w:rFonts w:hint="default" w:ascii="Times New Roman" w:hAnsi="Times New Roman" w:eastAsia="宋体" w:cs="Times New Roman"/>
                <w:bCs/>
                <w:color w:val="auto"/>
                <w:kern w:val="0"/>
                <w:sz w:val="24"/>
                <w:szCs w:val="24"/>
              </w:rPr>
              <w:t>通过加强施工期间的卫生管理，严禁乱堆、乱倒垃圾，可以减轻施工期固体废物对环境的影响。只要加强管理，采取切实可行的措施，施工废弃物不会给环境带来较大影响。</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color w:val="auto"/>
                <w:sz w:val="24"/>
                <w:szCs w:val="24"/>
                <w:lang w:val="en-US" w:eastAsia="zh-CN" w:bidi="ar"/>
              </w:rPr>
            </w:pPr>
            <w:r>
              <w:rPr>
                <w:rFonts w:hint="default" w:ascii="Times New Roman" w:hAnsi="Times New Roman" w:eastAsia="宋体" w:cs="Times New Roman"/>
                <w:b/>
                <w:color w:val="auto"/>
                <w:sz w:val="24"/>
                <w:szCs w:val="24"/>
                <w:lang w:val="en-US" w:eastAsia="zh-CN" w:bidi="ar"/>
              </w:rPr>
              <w:t>4.5水土流失防治措施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32"/>
                <w:lang w:val="en-US" w:eastAsia="zh-CN"/>
              </w:rPr>
              <w:t>建筑物</w:t>
            </w:r>
            <w:r>
              <w:rPr>
                <w:rFonts w:hint="default" w:ascii="Times New Roman" w:hAnsi="Times New Roman" w:eastAsia="宋体" w:cs="Times New Roman"/>
                <w:color w:val="auto"/>
                <w:sz w:val="24"/>
                <w:szCs w:val="24"/>
              </w:rPr>
              <w:t>施工过程中基础开挖将不可避免产生水土流失。水土流失的成因主要有施工过程中开挖造成地表裸露，表层土抗蚀能力减弱，将加剧水土流失。施工区的土石渣料堆放遇下雨时受雨水冲刷，将不可避免的产生部分水土流失。</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①在施工过程中必须做到对施工区土壤的分层剥离、分层开挖、分层堆放。应注意表层土壤的堆放及防护问题，避免雨天施工。施工设置杂货区、垃圾箱，明确卫生责任区，确定责任人，并定期打扫清除。</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②施工过程中采用土工编织袋等沙袋沙障措施；施工结束后，清除与项目生产无关的建筑物，对场地进行平整，恢复临时占地的地貌原状，避免水土流失；</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③</w:t>
            </w:r>
            <w:r>
              <w:rPr>
                <w:rFonts w:hint="default" w:ascii="Times New Roman" w:hAnsi="Times New Roman" w:eastAsia="宋体" w:cs="Times New Roman"/>
                <w:color w:val="auto"/>
                <w:sz w:val="24"/>
                <w:szCs w:val="24"/>
              </w:rPr>
              <w:t>加强管理，禁止施工人员对野生植被乱砍滥伐、乱捕滥猎野生动物，严格限制人员的活动范围。施工便道尽量利用现有道路。</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color w:val="auto"/>
                <w:sz w:val="24"/>
                <w:szCs w:val="24"/>
                <w:lang w:val="en-US" w:eastAsia="zh-CN" w:bidi="ar"/>
              </w:rPr>
            </w:pPr>
            <w:r>
              <w:rPr>
                <w:rFonts w:hint="default" w:ascii="Times New Roman" w:hAnsi="Times New Roman" w:eastAsia="宋体" w:cs="Times New Roman"/>
                <w:b/>
                <w:color w:val="auto"/>
                <w:sz w:val="24"/>
                <w:szCs w:val="24"/>
                <w:lang w:val="en-US" w:eastAsia="zh-CN" w:bidi="ar"/>
              </w:rPr>
              <w:t>4.6防沙治沙影响</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根据《新疆第六次沙化监测报告》，本项目位于非沙化土地范围内。施工期间对环境产生的影响主要为土建施工、交通运输和机械设备的安装、调试等。施工过程中，对现有地表土壤造成扰动，造成地表现有结构的破坏，影响区域植被生长，造成土壤逐渐沙化。对原地貌的扰动大大降低了项目占地范围内的土壤抗侵蚀能力若未采取相应的防护措施，遇大风天气，极易加重区域沙尘天气。</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为避免本项目施工期对周边土壤环境造成一定的影响，建议项目区采取以下措施后在一定程度上可以减轻沙化土地的潜势。</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2"/>
                <w:sz w:val="24"/>
                <w:szCs w:val="24"/>
                <w:lang w:val="en-US" w:eastAsia="zh-CN" w:bidi="ar-SA"/>
              </w:rPr>
              <w:t>1）</w:t>
            </w:r>
            <w:r>
              <w:rPr>
                <w:rFonts w:hint="default" w:ascii="Times New Roman" w:hAnsi="Times New Roman" w:eastAsia="宋体" w:cs="Times New Roman"/>
                <w:color w:val="auto"/>
                <w:sz w:val="24"/>
                <w:szCs w:val="24"/>
              </w:rPr>
              <w:t>优化施工组织，科学安排施工进度，尽量缩短施工周期和施工强度，减轻对项目区及周边植被的影响。</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2"/>
                <w:sz w:val="24"/>
                <w:szCs w:val="24"/>
                <w:lang w:val="en-US" w:eastAsia="zh-CN" w:bidi="ar-SA"/>
              </w:rPr>
              <w:t>2）</w:t>
            </w:r>
            <w:r>
              <w:rPr>
                <w:rFonts w:hint="default" w:ascii="Times New Roman" w:hAnsi="Times New Roman" w:eastAsia="宋体" w:cs="Times New Roman"/>
                <w:color w:val="auto"/>
                <w:sz w:val="24"/>
                <w:szCs w:val="24"/>
              </w:rPr>
              <w:t>严格控制施工活动范围，严禁乱碾乱轧，避免对项目占地范围外的区域造成扰动，严禁破坏占地范围外的植被。</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rPr>
            </w:pP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rPr>
              <w:t>）施工结束后，对施工场地进行平整，清除施工垃圾并妥善处置，按照相关要求做好施工场区的平整与生态恢复的治理工作。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rPr>
            </w:pPr>
            <w:r>
              <w:rPr>
                <w:rFonts w:hint="eastAsia" w:cs="Times New Roman"/>
                <w:color w:val="auto"/>
                <w:sz w:val="24"/>
                <w:szCs w:val="24"/>
                <w:lang w:val="en-US" w:eastAsia="zh-CN"/>
              </w:rPr>
              <w:t>4</w:t>
            </w:r>
            <w:r>
              <w:rPr>
                <w:rFonts w:hint="default" w:ascii="Times New Roman" w:hAnsi="Times New Roman" w:eastAsia="宋体" w:cs="Times New Roman"/>
                <w:color w:val="auto"/>
                <w:sz w:val="24"/>
                <w:szCs w:val="24"/>
              </w:rPr>
              <w:t>）大力宣传《中华人民共和国防沙治沙法》，使施工人员知法、懂法、守法，自觉履行防治义务。</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Cs/>
                <w:color w:val="auto"/>
                <w:kern w:val="0"/>
                <w:sz w:val="24"/>
                <w:szCs w:val="24"/>
                <w:lang w:val="en-US" w:eastAsia="zh-CN"/>
              </w:rPr>
            </w:pPr>
            <w:r>
              <w:rPr>
                <w:rFonts w:hint="default" w:ascii="Times New Roman" w:hAnsi="Times New Roman" w:eastAsia="宋体" w:cs="Times New Roman"/>
                <w:color w:val="auto"/>
                <w:sz w:val="24"/>
                <w:szCs w:val="24"/>
              </w:rPr>
              <w:t>综上所述，本项目施工期施工作业影响是暂时的，在施工结束后，影响区域的各环境要素</w:t>
            </w:r>
            <w:r>
              <w:rPr>
                <w:rFonts w:hint="default" w:ascii="Times New Roman" w:hAnsi="Times New Roman" w:eastAsia="宋体" w:cs="Times New Roman"/>
                <w:color w:val="auto"/>
                <w:sz w:val="24"/>
                <w:szCs w:val="32"/>
                <w:lang w:val="en-US" w:eastAsia="zh-CN"/>
              </w:rPr>
              <w:t>基本</w:t>
            </w:r>
            <w:r>
              <w:rPr>
                <w:rFonts w:hint="default" w:ascii="Times New Roman" w:hAnsi="Times New Roman" w:eastAsia="宋体" w:cs="Times New Roman"/>
                <w:color w:val="auto"/>
                <w:sz w:val="24"/>
                <w:szCs w:val="24"/>
              </w:rPr>
              <w:t>都可以得到恢复。只要建设单位认真制定和严格落实工程施工期应该采取的环保对策措施，则施工建设活动对外环境的不利影响可得到消除或有效控制。</w:t>
            </w:r>
          </w:p>
          <w:p>
            <w:pPr>
              <w:topLinePunct/>
              <w:adjustRightInd w:val="0"/>
              <w:snapToGrid w:val="0"/>
              <w:spacing w:line="360" w:lineRule="auto"/>
              <w:ind w:firstLine="380" w:firstLineChars="200"/>
              <w:rPr>
                <w:rFonts w:hint="default" w:ascii="Times New Roman" w:hAnsi="Times New Roman" w:eastAsia="宋体" w:cs="Times New Roman"/>
                <w:bCs/>
                <w:color w:val="auto"/>
                <w:spacing w:val="-1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6" w:type="dxa"/>
            <w:noWrap w:val="0"/>
            <w:tcMar>
              <w:left w:w="28" w:type="dxa"/>
              <w:right w:w="28" w:type="dxa"/>
            </w:tcMar>
            <w:vAlign w:val="center"/>
          </w:tcPr>
          <w:p>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运营期环境影响和保护措施</w:t>
            </w:r>
          </w:p>
        </w:tc>
        <w:tc>
          <w:tcPr>
            <w:tcW w:w="816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1废气</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1.1废气污染源强核算</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本次回采对象为现有五等尾矿库</w:t>
            </w:r>
            <w:r>
              <w:rPr>
                <w:rFonts w:hint="default" w:ascii="Times New Roman" w:hAnsi="Times New Roman" w:cs="Times New Roman"/>
                <w:color w:val="auto"/>
                <w:sz w:val="24"/>
                <w:szCs w:val="24"/>
                <w:lang w:val="en-US" w:eastAsia="zh-CN"/>
              </w:rPr>
              <w:t>，划分Ⅰ尾砂回采区、Ⅱ坝体回采区，尾矿埋深0~20m，尾矿含水率≥70%，采用绞吸采砂船水下湿式分层回采，船载搅拌器扰动尾砂造浆，全程无产尘。</w:t>
            </w:r>
            <w:r>
              <w:rPr>
                <w:rFonts w:hint="default" w:ascii="Times New Roman" w:hAnsi="Times New Roman" w:eastAsia="宋体" w:cs="Times New Roman"/>
                <w:color w:val="auto"/>
                <w:sz w:val="24"/>
                <w:szCs w:val="24"/>
              </w:rPr>
              <w:t>湿式开采形成的高含水矿浆通过浮筒密闭管道泵送至精选车间缓冲浆池，全程无露天干砂转运，从源头切断干料扬尘与重金属粉尘产生路径。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因此，本项目运营期废气主要包括成品装卸堆放、尾矿干滩粉尘和新增食堂油烟等。</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（1）成品堆放及装卸</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1）参照《固体物料堆存颗粒物产排污核算系数手册》，工业企业固体物料堆存颗粒物包括装卸扬尘和风蚀扬尘，颗粒物产生量核算公式如下：</w:t>
            </w:r>
          </w:p>
          <w:p>
            <w:pPr>
              <w:pStyle w:val="78"/>
              <w:bidi w:val="0"/>
              <w:spacing w:line="240" w:lineRule="auto"/>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drawing>
                <wp:inline distT="0" distB="0" distL="114300" distR="114300">
                  <wp:extent cx="3759200" cy="326390"/>
                  <wp:effectExtent l="0" t="0" r="12700" b="1651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5"/>
                          <a:stretch>
                            <a:fillRect/>
                          </a:stretch>
                        </pic:blipFill>
                        <pic:spPr>
                          <a:xfrm>
                            <a:off x="0" y="0"/>
                            <a:ext cx="3759200" cy="326390"/>
                          </a:xfrm>
                          <a:prstGeom prst="rect">
                            <a:avLst/>
                          </a:prstGeom>
                          <a:noFill/>
                          <a:ln w="9525">
                            <a:noFill/>
                          </a:ln>
                        </pic:spPr>
                      </pic:pic>
                    </a:graphicData>
                  </a:graphic>
                </wp:inline>
              </w:drawing>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式中：</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P——颗粒物产生量（单位：吨）；</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ZC</w:t>
            </w:r>
            <w:r>
              <w:rPr>
                <w:rFonts w:hint="default" w:ascii="Times New Roman" w:hAnsi="Times New Roman" w:eastAsia="宋体" w:cs="Times New Roman"/>
                <w:color w:val="auto"/>
                <w:highlight w:val="none"/>
                <w:vertAlign w:val="subscript"/>
                <w:lang w:val="en-US" w:eastAsia="zh-CN"/>
              </w:rPr>
              <w:t>y</w:t>
            </w:r>
            <w:r>
              <w:rPr>
                <w:rFonts w:hint="default" w:ascii="Times New Roman" w:hAnsi="Times New Roman" w:eastAsia="宋体" w:cs="Times New Roman"/>
                <w:color w:val="auto"/>
                <w:highlight w:val="none"/>
                <w:lang w:val="en-US" w:eastAsia="zh-CN"/>
              </w:rPr>
              <w:t>——装卸扬尘产生量（单位：吨）；</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FC</w:t>
            </w:r>
            <w:r>
              <w:rPr>
                <w:rFonts w:hint="default" w:ascii="Times New Roman" w:hAnsi="Times New Roman" w:eastAsia="宋体" w:cs="Times New Roman"/>
                <w:color w:val="auto"/>
                <w:highlight w:val="none"/>
                <w:vertAlign w:val="subscript"/>
                <w:lang w:val="en-US" w:eastAsia="zh-CN"/>
              </w:rPr>
              <w:t>y</w:t>
            </w:r>
            <w:r>
              <w:rPr>
                <w:rFonts w:hint="default" w:ascii="Times New Roman" w:hAnsi="Times New Roman" w:eastAsia="宋体" w:cs="Times New Roman"/>
                <w:color w:val="auto"/>
                <w:highlight w:val="none"/>
                <w:lang w:val="en-US" w:eastAsia="zh-CN"/>
              </w:rPr>
              <w:t>——风蚀扬尘产生量（单位：吨）；</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N</w:t>
            </w:r>
            <w:r>
              <w:rPr>
                <w:rFonts w:hint="default" w:ascii="Times New Roman" w:hAnsi="Times New Roman" w:eastAsia="宋体" w:cs="Times New Roman"/>
                <w:color w:val="auto"/>
                <w:highlight w:val="none"/>
                <w:vertAlign w:val="subscript"/>
                <w:lang w:val="en-US" w:eastAsia="zh-CN"/>
              </w:rPr>
              <w:t>c</w:t>
            </w:r>
            <w:r>
              <w:rPr>
                <w:rFonts w:hint="default" w:ascii="Times New Roman" w:hAnsi="Times New Roman" w:eastAsia="宋体" w:cs="Times New Roman"/>
                <w:color w:val="auto"/>
                <w:highlight w:val="none"/>
                <w:lang w:val="en-US" w:eastAsia="zh-CN"/>
              </w:rPr>
              <w:t>——年物料运载车次（单位：车）；</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D——单车平均运载量（单位：吨/车）；取50吨/车。</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a/b——装卸扬尘概化系数（单位：千克/吨），a指各省风速概化系数，b指物料含水率概化系数；查询附录a取0.0011，b取0.4%。</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Ef——堆场风蚀扬尘概化系数（单位：千克/平方米）；查询附录取值10.2492。</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S——堆场占地面积（单位：平方米）。根据工程实际取318.75㎡。</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2）工业企业固体物料堆场颗粒物排放量核算公式如下：</w:t>
            </w:r>
          </w:p>
          <w:p>
            <w:pPr>
              <w:pStyle w:val="78"/>
              <w:bidi w:val="0"/>
              <w:spacing w:line="240" w:lineRule="auto"/>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drawing>
                <wp:inline distT="0" distB="0" distL="114300" distR="114300">
                  <wp:extent cx="2080260" cy="339090"/>
                  <wp:effectExtent l="0" t="0" r="15240" b="3810"/>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16"/>
                          <a:stretch>
                            <a:fillRect/>
                          </a:stretch>
                        </pic:blipFill>
                        <pic:spPr>
                          <a:xfrm>
                            <a:off x="0" y="0"/>
                            <a:ext cx="2080260" cy="339090"/>
                          </a:xfrm>
                          <a:prstGeom prst="rect">
                            <a:avLst/>
                          </a:prstGeom>
                          <a:noFill/>
                          <a:ln>
                            <a:noFill/>
                          </a:ln>
                        </pic:spPr>
                      </pic:pic>
                    </a:graphicData>
                  </a:graphic>
                </wp:inline>
              </w:drawing>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式中：</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P——颗粒物产生量（单位：吨）；</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Uc——颗粒物排放量（单位：吨）；</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Cm——颗粒物控制措施控制效率（单位：%），见附录4；本项目主要采取围挡控制措施，查询附录洒水取60%。</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Tm——堆场类型控制效率（单位：%），见附录 5。本项目采取密闭式，查询附录取值99%。</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根据产品方案，本项目年产金精矿</w:t>
            </w:r>
            <w:r>
              <w:rPr>
                <w:rFonts w:hint="eastAsia" w:eastAsia="宋体" w:cs="Times New Roman"/>
                <w:color w:val="auto"/>
                <w:highlight w:val="none"/>
                <w:lang w:val="en-US" w:eastAsia="zh-CN"/>
              </w:rPr>
              <w:t>36255</w:t>
            </w:r>
            <w:r>
              <w:rPr>
                <w:rFonts w:hint="default" w:ascii="Times New Roman" w:hAnsi="Times New Roman" w:eastAsia="宋体" w:cs="Times New Roman"/>
                <w:color w:val="auto"/>
                <w:highlight w:val="none"/>
                <w:lang w:val="en-US" w:eastAsia="zh-CN"/>
              </w:rPr>
              <w:t>t，采用50t载重汽车，满负荷运行情况下年物料运载车次约为</w:t>
            </w:r>
            <w:r>
              <w:rPr>
                <w:rFonts w:hint="eastAsia" w:eastAsia="宋体" w:cs="Times New Roman"/>
                <w:color w:val="auto"/>
                <w:highlight w:val="none"/>
                <w:lang w:val="en-US" w:eastAsia="zh-CN"/>
              </w:rPr>
              <w:t>725</w:t>
            </w:r>
            <w:r>
              <w:rPr>
                <w:rFonts w:hint="default" w:ascii="Times New Roman" w:hAnsi="Times New Roman" w:eastAsia="宋体" w:cs="Times New Roman"/>
                <w:color w:val="auto"/>
                <w:highlight w:val="none"/>
                <w:lang w:val="en-US" w:eastAsia="zh-CN"/>
              </w:rPr>
              <w:t>车。成品区占地面积318.75㎡，成品区采取密闭式措施，查询附录粉尘控制效率取值99.00%。计算本项目成品堆放粉尘产生量为</w:t>
            </w:r>
            <w:r>
              <w:rPr>
                <w:rFonts w:hint="eastAsia" w:eastAsia="宋体" w:cs="Times New Roman"/>
                <w:color w:val="auto"/>
                <w:highlight w:val="none"/>
                <w:lang w:val="en-US" w:eastAsia="zh-CN"/>
              </w:rPr>
              <w:t>16.50</w:t>
            </w:r>
            <w:r>
              <w:rPr>
                <w:rFonts w:hint="default" w:ascii="Times New Roman" w:hAnsi="Times New Roman" w:eastAsia="宋体" w:cs="Times New Roman"/>
                <w:color w:val="auto"/>
                <w:highlight w:val="none"/>
                <w:lang w:val="en-US" w:eastAsia="zh-CN"/>
              </w:rPr>
              <w:t>t/a，成品装卸、堆置粉尘排放量为0.0</w:t>
            </w:r>
            <w:r>
              <w:rPr>
                <w:rFonts w:hint="eastAsia" w:eastAsia="宋体" w:cs="Times New Roman"/>
                <w:color w:val="auto"/>
                <w:highlight w:val="none"/>
                <w:lang w:val="en-US" w:eastAsia="zh-CN"/>
              </w:rPr>
              <w:t>66</w:t>
            </w:r>
            <w:r>
              <w:rPr>
                <w:rFonts w:hint="default" w:ascii="Times New Roman" w:hAnsi="Times New Roman" w:eastAsia="宋体" w:cs="Times New Roman"/>
                <w:color w:val="auto"/>
                <w:highlight w:val="none"/>
                <w:lang w:val="en-US" w:eastAsia="zh-CN"/>
              </w:rPr>
              <w:t>t/a。微量锑等重金属随粉尘同步排放。</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（2）尾矿库干滩粉尘</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尾矿库产生扬尘主要来自尾矿库库内干滩。</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运营期尾矿库无组织大气污染物排放核算采用《扬尘源颗粒物排放清单编制技术指南（试行）》中对应的计算公式。</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highlight w:val="none"/>
              </w:rPr>
              <w:drawing>
                <wp:inline distT="0" distB="0" distL="114300" distR="114300">
                  <wp:extent cx="2927350" cy="364490"/>
                  <wp:effectExtent l="0" t="0" r="6350" b="16510"/>
                  <wp:docPr id="95" name="图片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460"/>
                          <pic:cNvPicPr>
                            <a:picLocks noChangeAspect="1"/>
                          </pic:cNvPicPr>
                        </pic:nvPicPr>
                        <pic:blipFill>
                          <a:blip r:embed="rId17"/>
                          <a:stretch>
                            <a:fillRect/>
                          </a:stretch>
                        </pic:blipFill>
                        <pic:spPr>
                          <a:xfrm>
                            <a:off x="0" y="0"/>
                            <a:ext cx="2927350" cy="364490"/>
                          </a:xfrm>
                          <a:prstGeom prst="rect">
                            <a:avLst/>
                          </a:prstGeom>
                          <a:noFill/>
                          <a:ln>
                            <a:noFill/>
                          </a:ln>
                        </pic:spPr>
                      </pic:pic>
                    </a:graphicData>
                  </a:graphic>
                </wp:inline>
              </w:drawing>
            </w:r>
            <w:r>
              <w:rPr>
                <w:rFonts w:hint="default"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color w:val="auto"/>
                <w:sz w:val="24"/>
                <w:szCs w:val="24"/>
                <w:highlight w:val="none"/>
              </w:rPr>
              <w:t>式</w:t>
            </w:r>
            <w:r>
              <w:rPr>
                <w:rFonts w:hint="default" w:ascii="Times New Roman" w:hAnsi="Times New Roman"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-1</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式中：</w:t>
            </w:r>
          </w:p>
          <w:p>
            <w:pPr>
              <w:keepNext w:val="0"/>
              <w:keepLines w:val="0"/>
              <w:pageBreakBefore w:val="0"/>
              <w:kinsoku/>
              <w:wordWrap/>
              <w:overflowPunct/>
              <w:topLinePunct w:val="0"/>
              <w:autoSpaceDE/>
              <w:autoSpaceDN/>
              <w:bidi w:val="0"/>
              <w:adjustRightInd/>
              <w:snapToGrid/>
              <w:spacing w:line="360" w:lineRule="auto"/>
              <w:ind w:firstLine="960" w:firstLineChars="4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W</w:t>
            </w:r>
            <w:r>
              <w:rPr>
                <w:rFonts w:hint="default" w:ascii="Times New Roman" w:hAnsi="Times New Roman" w:eastAsia="宋体" w:cs="Times New Roman"/>
                <w:color w:val="auto"/>
                <w:sz w:val="24"/>
                <w:szCs w:val="24"/>
                <w:highlight w:val="none"/>
                <w:vertAlign w:val="subscript"/>
              </w:rPr>
              <w:t>Y</w:t>
            </w:r>
            <w:r>
              <w:rPr>
                <w:rFonts w:hint="default" w:ascii="Times New Roman" w:hAnsi="Times New Roman" w:eastAsia="宋体" w:cs="Times New Roman"/>
                <w:color w:val="auto"/>
                <w:sz w:val="24"/>
                <w:szCs w:val="24"/>
                <w:highlight w:val="none"/>
              </w:rPr>
              <w:t>为扬尘源中颗粒物总排放量，t/a。</w:t>
            </w:r>
          </w:p>
          <w:p>
            <w:pPr>
              <w:keepNext w:val="0"/>
              <w:keepLines w:val="0"/>
              <w:pageBreakBefore w:val="0"/>
              <w:kinsoku/>
              <w:wordWrap/>
              <w:overflowPunct/>
              <w:topLinePunct w:val="0"/>
              <w:autoSpaceDE/>
              <w:autoSpaceDN/>
              <w:bidi w:val="0"/>
              <w:adjustRightInd/>
              <w:snapToGrid/>
              <w:spacing w:line="360" w:lineRule="auto"/>
              <w:ind w:firstLine="960" w:firstLineChars="4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E</w:t>
            </w:r>
            <w:r>
              <w:rPr>
                <w:rFonts w:hint="default" w:ascii="Times New Roman" w:hAnsi="Times New Roman" w:eastAsia="宋体" w:cs="Times New Roman"/>
                <w:color w:val="auto"/>
                <w:sz w:val="24"/>
                <w:szCs w:val="24"/>
                <w:highlight w:val="none"/>
                <w:vertAlign w:val="subscript"/>
              </w:rPr>
              <w:t>h</w:t>
            </w:r>
            <w:r>
              <w:rPr>
                <w:rFonts w:hint="default" w:ascii="Times New Roman" w:hAnsi="Times New Roman" w:eastAsia="宋体" w:cs="Times New Roman"/>
                <w:color w:val="auto"/>
                <w:sz w:val="24"/>
                <w:szCs w:val="24"/>
                <w:highlight w:val="none"/>
              </w:rPr>
              <w:t>为装卸运输过程的扬尘颗粒物排放系数，kg/t，其估算公式见式</w:t>
            </w:r>
            <w:r>
              <w:rPr>
                <w:rFonts w:hint="default" w:ascii="Times New Roman" w:hAnsi="Times New Roman" w:cs="Times New Roman"/>
                <w:color w:val="auto"/>
                <w:sz w:val="24"/>
                <w:szCs w:val="24"/>
                <w:highlight w:val="none"/>
                <w:lang w:val="en-US" w:eastAsia="zh-CN"/>
              </w:rPr>
              <w:t>4.1</w:t>
            </w:r>
            <w:r>
              <w:rPr>
                <w:rFonts w:hint="default" w:ascii="Times New Roman" w:hAnsi="Times New Roman" w:eastAsia="宋体" w:cs="Times New Roman"/>
                <w:color w:val="auto"/>
                <w:sz w:val="24"/>
                <w:szCs w:val="24"/>
                <w:highlight w:val="none"/>
              </w:rPr>
              <w:t>-2。</w:t>
            </w:r>
          </w:p>
          <w:p>
            <w:pPr>
              <w:keepNext w:val="0"/>
              <w:keepLines w:val="0"/>
              <w:pageBreakBefore w:val="0"/>
              <w:kinsoku/>
              <w:wordWrap/>
              <w:overflowPunct/>
              <w:topLinePunct w:val="0"/>
              <w:autoSpaceDE/>
              <w:autoSpaceDN/>
              <w:bidi w:val="0"/>
              <w:adjustRightInd/>
              <w:snapToGrid/>
              <w:spacing w:line="360" w:lineRule="auto"/>
              <w:ind w:firstLine="960" w:firstLineChars="4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m为每年料堆物料装卸总次数，此处取1。</w:t>
            </w:r>
          </w:p>
          <w:p>
            <w:pPr>
              <w:keepNext w:val="0"/>
              <w:keepLines w:val="0"/>
              <w:pageBreakBefore w:val="0"/>
              <w:kinsoku/>
              <w:wordWrap/>
              <w:overflowPunct/>
              <w:topLinePunct w:val="0"/>
              <w:autoSpaceDE/>
              <w:autoSpaceDN/>
              <w:bidi w:val="0"/>
              <w:adjustRightInd/>
              <w:snapToGrid/>
              <w:spacing w:line="360" w:lineRule="auto"/>
              <w:ind w:firstLine="960" w:firstLineChars="4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G</w:t>
            </w:r>
            <w:r>
              <w:rPr>
                <w:rFonts w:hint="default" w:ascii="Times New Roman" w:hAnsi="Times New Roman" w:eastAsia="宋体" w:cs="Times New Roman"/>
                <w:color w:val="auto"/>
                <w:sz w:val="24"/>
                <w:szCs w:val="24"/>
                <w:highlight w:val="none"/>
                <w:vertAlign w:val="subscript"/>
              </w:rPr>
              <w:t>Yi</w:t>
            </w:r>
            <w:r>
              <w:rPr>
                <w:rFonts w:hint="default" w:ascii="Times New Roman" w:hAnsi="Times New Roman" w:eastAsia="宋体" w:cs="Times New Roman"/>
                <w:color w:val="auto"/>
                <w:sz w:val="24"/>
                <w:szCs w:val="24"/>
                <w:highlight w:val="none"/>
              </w:rPr>
              <w:t>为第i次装卸过程的物料装卸量，</w:t>
            </w:r>
            <w:r>
              <w:rPr>
                <w:rFonts w:hint="eastAsia" w:cs="Times New Roman"/>
                <w:color w:val="auto"/>
                <w:sz w:val="24"/>
                <w:szCs w:val="24"/>
                <w:highlight w:val="none"/>
                <w:lang w:val="en-US" w:eastAsia="zh-CN"/>
              </w:rPr>
              <w:t>486145</w:t>
            </w:r>
            <w:r>
              <w:rPr>
                <w:rFonts w:hint="default" w:ascii="Times New Roman" w:hAnsi="Times New Roman" w:eastAsia="宋体" w:cs="Times New Roman"/>
                <w:color w:val="auto"/>
                <w:sz w:val="24"/>
                <w:szCs w:val="24"/>
                <w:highlight w:val="none"/>
                <w:lang w:val="en-US" w:eastAsia="zh-CN"/>
              </w:rPr>
              <w:t>t/a</w:t>
            </w:r>
            <w:r>
              <w:rPr>
                <w:rFonts w:hint="default" w:ascii="Times New Roman" w:hAnsi="Times New Roman" w:eastAsia="宋体" w:cs="Times New Roman"/>
                <w:color w:val="auto"/>
                <w:sz w:val="24"/>
                <w:szCs w:val="24"/>
                <w:highlight w:val="none"/>
              </w:rPr>
              <w:t>。</w:t>
            </w:r>
          </w:p>
          <w:p>
            <w:pPr>
              <w:keepNext w:val="0"/>
              <w:keepLines w:val="0"/>
              <w:pageBreakBefore w:val="0"/>
              <w:kinsoku/>
              <w:wordWrap/>
              <w:overflowPunct/>
              <w:topLinePunct w:val="0"/>
              <w:autoSpaceDE/>
              <w:autoSpaceDN/>
              <w:bidi w:val="0"/>
              <w:adjustRightInd/>
              <w:snapToGrid/>
              <w:spacing w:line="360" w:lineRule="auto"/>
              <w:ind w:firstLine="960" w:firstLineChars="4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E</w:t>
            </w:r>
            <w:r>
              <w:rPr>
                <w:rFonts w:hint="default" w:ascii="Times New Roman" w:hAnsi="Times New Roman" w:eastAsia="宋体" w:cs="Times New Roman"/>
                <w:color w:val="auto"/>
                <w:sz w:val="24"/>
                <w:szCs w:val="24"/>
                <w:highlight w:val="none"/>
                <w:vertAlign w:val="subscript"/>
              </w:rPr>
              <w:t>w</w:t>
            </w:r>
            <w:r>
              <w:rPr>
                <w:rFonts w:hint="default" w:ascii="Times New Roman" w:hAnsi="Times New Roman" w:eastAsia="宋体" w:cs="Times New Roman"/>
                <w:color w:val="auto"/>
                <w:sz w:val="24"/>
                <w:szCs w:val="24"/>
                <w:highlight w:val="none"/>
              </w:rPr>
              <w:t>为料堆受到风蚀作用的颗粒物排放系数，kg/</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，其估算公式见式</w:t>
            </w:r>
            <w:r>
              <w:rPr>
                <w:rFonts w:hint="default" w:ascii="Times New Roman" w:hAnsi="Times New Roman" w:cs="Times New Roman"/>
                <w:color w:val="auto"/>
                <w:sz w:val="24"/>
                <w:szCs w:val="24"/>
                <w:highlight w:val="none"/>
                <w:lang w:val="en-US" w:eastAsia="zh-CN"/>
              </w:rPr>
              <w:t>4.1</w:t>
            </w:r>
            <w:r>
              <w:rPr>
                <w:rFonts w:hint="default" w:ascii="Times New Roman" w:hAnsi="Times New Roman" w:eastAsia="宋体" w:cs="Times New Roman"/>
                <w:color w:val="auto"/>
                <w:sz w:val="24"/>
                <w:szCs w:val="24"/>
                <w:highlight w:val="none"/>
              </w:rPr>
              <w:t>-3。</w:t>
            </w:r>
          </w:p>
          <w:p>
            <w:pPr>
              <w:keepNext w:val="0"/>
              <w:keepLines w:val="0"/>
              <w:pageBreakBefore w:val="0"/>
              <w:kinsoku/>
              <w:wordWrap/>
              <w:overflowPunct/>
              <w:topLinePunct w:val="0"/>
              <w:autoSpaceDE/>
              <w:autoSpaceDN/>
              <w:bidi w:val="0"/>
              <w:adjustRightInd/>
              <w:snapToGrid/>
              <w:spacing w:line="360" w:lineRule="auto"/>
              <w:ind w:firstLine="960" w:firstLineChars="400"/>
              <w:textAlignment w:val="auto"/>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sz w:val="24"/>
                <w:szCs w:val="24"/>
                <w:highlight w:val="none"/>
              </w:rPr>
              <w:t>A</w:t>
            </w:r>
            <w:r>
              <w:rPr>
                <w:rFonts w:hint="default" w:ascii="Times New Roman" w:hAnsi="Times New Roman" w:eastAsia="宋体" w:cs="Times New Roman"/>
                <w:color w:val="auto"/>
                <w:sz w:val="24"/>
                <w:szCs w:val="24"/>
                <w:highlight w:val="none"/>
                <w:vertAlign w:val="subscript"/>
              </w:rPr>
              <w:t>Y</w:t>
            </w:r>
            <w:r>
              <w:rPr>
                <w:rFonts w:hint="default" w:ascii="Times New Roman" w:hAnsi="Times New Roman" w:eastAsia="宋体" w:cs="Times New Roman"/>
                <w:color w:val="auto"/>
                <w:sz w:val="24"/>
                <w:szCs w:val="24"/>
                <w:highlight w:val="none"/>
              </w:rPr>
              <w:t>为料堆表面积，</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尾矿库干滩面积</w:t>
            </w:r>
            <w:r>
              <w:rPr>
                <w:rFonts w:hint="default" w:ascii="Times New Roman" w:hAnsi="Times New Roman" w:eastAsia="宋体" w:cs="Times New Roman"/>
                <w:color w:val="auto"/>
                <w:sz w:val="24"/>
                <w:szCs w:val="24"/>
                <w:lang w:val="en-US" w:eastAsia="zh-CN"/>
              </w:rPr>
              <w:t>19195㎡。</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a、装卸、运输物料过程扬尘排放系数的估算</w:t>
            </w:r>
          </w:p>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highlight w:val="none"/>
              </w:rPr>
              <w:drawing>
                <wp:inline distT="0" distB="0" distL="114300" distR="114300">
                  <wp:extent cx="1814195" cy="592455"/>
                  <wp:effectExtent l="0" t="0" r="14605" b="17145"/>
                  <wp:docPr id="96" name="图片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461"/>
                          <pic:cNvPicPr>
                            <a:picLocks noChangeAspect="1"/>
                          </pic:cNvPicPr>
                        </pic:nvPicPr>
                        <pic:blipFill>
                          <a:blip r:embed="rId18"/>
                          <a:stretch>
                            <a:fillRect/>
                          </a:stretch>
                        </pic:blipFill>
                        <pic:spPr>
                          <a:xfrm>
                            <a:off x="0" y="0"/>
                            <a:ext cx="1814195" cy="592455"/>
                          </a:xfrm>
                          <a:prstGeom prst="rect">
                            <a:avLst/>
                          </a:prstGeom>
                          <a:noFill/>
                          <a:ln>
                            <a:noFill/>
                          </a:ln>
                        </pic:spPr>
                      </pic:pic>
                    </a:graphicData>
                  </a:graphic>
                </wp:inline>
              </w:drawing>
            </w:r>
            <w:r>
              <w:rPr>
                <w:rFonts w:hint="default" w:ascii="Times New Roman" w:hAnsi="Times New Roman" w:eastAsia="宋体" w:cs="Times New Roman"/>
                <w:color w:val="auto"/>
                <w:sz w:val="24"/>
                <w:szCs w:val="24"/>
                <w:highlight w:val="none"/>
              </w:rPr>
              <w:t xml:space="preserve">                 式</w:t>
            </w:r>
            <w:r>
              <w:rPr>
                <w:rFonts w:hint="default" w:ascii="Times New Roman" w:hAnsi="Times New Roman" w:cs="Times New Roman"/>
                <w:color w:val="auto"/>
                <w:sz w:val="24"/>
                <w:szCs w:val="24"/>
                <w:highlight w:val="none"/>
                <w:lang w:val="en-US" w:eastAsia="zh-CN"/>
              </w:rPr>
              <w:t>4.1</w:t>
            </w:r>
            <w:r>
              <w:rPr>
                <w:rFonts w:hint="default" w:ascii="Times New Roman" w:hAnsi="Times New Roman" w:eastAsia="宋体" w:cs="Times New Roman"/>
                <w:color w:val="auto"/>
                <w:sz w:val="24"/>
                <w:szCs w:val="24"/>
                <w:highlight w:val="none"/>
              </w:rPr>
              <w:t>-2</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E</w:t>
            </w:r>
            <w:r>
              <w:rPr>
                <w:rFonts w:hint="default" w:ascii="Times New Roman" w:hAnsi="Times New Roman" w:eastAsia="宋体" w:cs="Times New Roman"/>
                <w:color w:val="auto"/>
                <w:sz w:val="24"/>
                <w:szCs w:val="24"/>
                <w:highlight w:val="none"/>
                <w:vertAlign w:val="subscript"/>
              </w:rPr>
              <w:t>h</w:t>
            </w:r>
            <w:r>
              <w:rPr>
                <w:rFonts w:hint="default" w:ascii="Times New Roman" w:hAnsi="Times New Roman" w:eastAsia="宋体" w:cs="Times New Roman"/>
                <w:color w:val="auto"/>
                <w:sz w:val="24"/>
                <w:szCs w:val="24"/>
                <w:highlight w:val="none"/>
              </w:rPr>
              <w:t>为装卸扬尘的排放系数，kg/t。</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k</w:t>
            </w:r>
            <w:r>
              <w:rPr>
                <w:rFonts w:hint="default" w:ascii="Times New Roman" w:hAnsi="Times New Roman" w:eastAsia="宋体" w:cs="Times New Roman"/>
                <w:color w:val="auto"/>
                <w:sz w:val="24"/>
                <w:szCs w:val="24"/>
                <w:highlight w:val="none"/>
                <w:vertAlign w:val="subscript"/>
                <w:lang w:val="en-US" w:eastAsia="zh-CN"/>
              </w:rPr>
              <w:t>i</w:t>
            </w:r>
            <w:r>
              <w:rPr>
                <w:rFonts w:hint="default" w:ascii="Times New Roman" w:hAnsi="Times New Roman" w:eastAsia="宋体" w:cs="Times New Roman"/>
                <w:color w:val="auto"/>
                <w:sz w:val="24"/>
                <w:szCs w:val="24"/>
                <w:highlight w:val="none"/>
              </w:rPr>
              <w:t>为物料的粒度乘数，0.74。</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u为地面平均风速，</w:t>
            </w:r>
            <w:r>
              <w:rPr>
                <w:rFonts w:hint="default" w:ascii="Times New Roman" w:hAnsi="Times New Roman" w:eastAsia="宋体" w:cs="Times New Roman"/>
                <w:color w:val="auto"/>
                <w:sz w:val="24"/>
                <w:szCs w:val="24"/>
                <w:highlight w:val="none"/>
                <w:lang w:val="en-US" w:eastAsia="zh-CN"/>
              </w:rPr>
              <w:t>1.5</w:t>
            </w:r>
            <w:r>
              <w:rPr>
                <w:rFonts w:hint="default" w:ascii="Times New Roman" w:hAnsi="Times New Roman" w:eastAsia="宋体" w:cs="Times New Roman"/>
                <w:color w:val="auto"/>
                <w:sz w:val="24"/>
                <w:szCs w:val="24"/>
                <w:highlight w:val="none"/>
              </w:rPr>
              <w:t>m/s。</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M为物料含水率，</w:t>
            </w:r>
            <w:r>
              <w:rPr>
                <w:rFonts w:hint="default" w:ascii="Times New Roman" w:hAnsi="Times New Roman" w:eastAsia="宋体" w:cs="Times New Roman"/>
                <w:color w:val="auto"/>
                <w:sz w:val="24"/>
                <w:szCs w:val="24"/>
                <w:highlight w:val="none"/>
                <w:lang w:val="en-US" w:eastAsia="zh-CN"/>
              </w:rPr>
              <w:t>15</w:t>
            </w:r>
            <w:r>
              <w:rPr>
                <w:rFonts w:hint="default" w:ascii="Times New Roman" w:hAnsi="Times New Roman" w:eastAsia="宋体" w:cs="Times New Roman"/>
                <w:color w:val="auto"/>
                <w:sz w:val="24"/>
                <w:szCs w:val="24"/>
                <w:highlight w:val="none"/>
              </w:rPr>
              <w:t>%。</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η为污染控制技术对扬尘的去除效率，74%。</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计算出E</w:t>
            </w:r>
            <w:r>
              <w:rPr>
                <w:rFonts w:hint="default" w:ascii="Times New Roman" w:hAnsi="Times New Roman" w:eastAsia="宋体" w:cs="Times New Roman"/>
                <w:color w:val="auto"/>
                <w:sz w:val="24"/>
                <w:szCs w:val="24"/>
                <w:highlight w:val="none"/>
                <w:vertAlign w:val="subscript"/>
              </w:rPr>
              <w:t>h</w:t>
            </w:r>
            <w:r>
              <w:rPr>
                <w:rFonts w:hint="default" w:ascii="Times New Roman" w:hAnsi="Times New Roman" w:eastAsia="宋体" w:cs="Times New Roman"/>
                <w:color w:val="auto"/>
                <w:sz w:val="24"/>
                <w:szCs w:val="24"/>
                <w:highlight w:val="none"/>
              </w:rPr>
              <w:t>为0.00</w:t>
            </w:r>
            <w:r>
              <w:rPr>
                <w:rFonts w:hint="default"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rPr>
              <w:t>kg/t。</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b、尾矿库风蚀扬尘排放系数的计算方法</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尾矿库坝体和干滩表面遭受风扰动后引起颗粒物排放的排放系数可以用下式计算：</w:t>
            </w:r>
          </w:p>
          <w:p>
            <w:pPr>
              <w:keepNext w:val="0"/>
              <w:keepLines w:val="0"/>
              <w:pageBreakBefore w:val="0"/>
              <w:kinsoku/>
              <w:wordWrap/>
              <w:overflowPunct/>
              <w:topLinePunct w:val="0"/>
              <w:autoSpaceDE/>
              <w:autoSpaceDN/>
              <w:bidi w:val="0"/>
              <w:adjustRightInd/>
              <w:snapToGrid/>
              <w:spacing w:line="360" w:lineRule="auto"/>
              <w:jc w:val="righ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highlight w:val="none"/>
              </w:rPr>
              <w:drawing>
                <wp:inline distT="0" distB="0" distL="114300" distR="114300">
                  <wp:extent cx="1972310" cy="371475"/>
                  <wp:effectExtent l="0" t="0" r="8890" b="9525"/>
                  <wp:docPr id="97" name="图片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462"/>
                          <pic:cNvPicPr>
                            <a:picLocks noChangeAspect="1"/>
                          </pic:cNvPicPr>
                        </pic:nvPicPr>
                        <pic:blipFill>
                          <a:blip r:embed="rId19"/>
                          <a:stretch>
                            <a:fillRect/>
                          </a:stretch>
                        </pic:blipFill>
                        <pic:spPr>
                          <a:xfrm>
                            <a:off x="0" y="0"/>
                            <a:ext cx="1972310" cy="371475"/>
                          </a:xfrm>
                          <a:prstGeom prst="rect">
                            <a:avLst/>
                          </a:prstGeom>
                          <a:noFill/>
                          <a:ln>
                            <a:noFill/>
                          </a:ln>
                        </pic:spPr>
                      </pic:pic>
                    </a:graphicData>
                  </a:graphic>
                </wp:inline>
              </w:drawing>
            </w: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rPr>
              <w:t xml:space="preserve">      式</w:t>
            </w:r>
            <w:r>
              <w:rPr>
                <w:rFonts w:hint="default" w:ascii="Times New Roman" w:hAnsi="Times New Roman" w:cs="Times New Roman"/>
                <w:color w:val="auto"/>
                <w:sz w:val="24"/>
                <w:szCs w:val="24"/>
                <w:highlight w:val="none"/>
                <w:lang w:val="en-US" w:eastAsia="zh-CN"/>
              </w:rPr>
              <w:t>4.1</w:t>
            </w:r>
            <w:r>
              <w:rPr>
                <w:rFonts w:hint="default" w:ascii="Times New Roman" w:hAnsi="Times New Roman" w:eastAsia="宋体" w:cs="Times New Roman"/>
                <w:color w:val="auto"/>
                <w:sz w:val="24"/>
                <w:szCs w:val="24"/>
                <w:highlight w:val="none"/>
              </w:rPr>
              <w:t>-3</w:t>
            </w:r>
          </w:p>
          <w:p>
            <w:pPr>
              <w:keepNext w:val="0"/>
              <w:keepLines w:val="0"/>
              <w:pageBreakBefore w:val="0"/>
              <w:kinsoku/>
              <w:wordWrap/>
              <w:overflowPunct/>
              <w:topLinePunct w:val="0"/>
              <w:autoSpaceDE/>
              <w:autoSpaceDN/>
              <w:bidi w:val="0"/>
              <w:adjustRightInd/>
              <w:snapToGrid/>
              <w:spacing w:line="360" w:lineRule="auto"/>
              <w:jc w:val="righ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highlight w:val="none"/>
              </w:rPr>
              <w:drawing>
                <wp:inline distT="0" distB="0" distL="114300" distR="114300">
                  <wp:extent cx="3382645" cy="712470"/>
                  <wp:effectExtent l="0" t="0" r="8255" b="11430"/>
                  <wp:docPr id="98" name="图片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463"/>
                          <pic:cNvPicPr>
                            <a:picLocks noChangeAspect="1"/>
                          </pic:cNvPicPr>
                        </pic:nvPicPr>
                        <pic:blipFill>
                          <a:blip r:embed="rId20"/>
                          <a:stretch>
                            <a:fillRect/>
                          </a:stretch>
                        </pic:blipFill>
                        <pic:spPr>
                          <a:xfrm>
                            <a:off x="0" y="0"/>
                            <a:ext cx="3382645" cy="712470"/>
                          </a:xfrm>
                          <a:prstGeom prst="rect">
                            <a:avLst/>
                          </a:prstGeom>
                          <a:noFill/>
                          <a:ln>
                            <a:noFill/>
                          </a:ln>
                        </pic:spPr>
                      </pic:pic>
                    </a:graphicData>
                  </a:graphic>
                </wp:inline>
              </w:drawing>
            </w:r>
            <w:r>
              <w:rPr>
                <w:rFonts w:hint="default" w:ascii="Times New Roman" w:hAnsi="Times New Roman" w:eastAsia="宋体" w:cs="Times New Roman"/>
                <w:color w:val="auto"/>
                <w:sz w:val="24"/>
                <w:szCs w:val="24"/>
                <w:highlight w:val="none"/>
              </w:rPr>
              <w:t xml:space="preserve">     式</w:t>
            </w:r>
            <w:r>
              <w:rPr>
                <w:rFonts w:hint="default" w:ascii="Times New Roman" w:hAnsi="Times New Roman" w:cs="Times New Roman"/>
                <w:color w:val="auto"/>
                <w:sz w:val="24"/>
                <w:szCs w:val="24"/>
                <w:highlight w:val="none"/>
                <w:lang w:val="en-US" w:eastAsia="zh-CN"/>
              </w:rPr>
              <w:t>4.1</w:t>
            </w:r>
            <w:r>
              <w:rPr>
                <w:rFonts w:hint="default" w:ascii="Times New Roman" w:hAnsi="Times New Roman" w:eastAsia="宋体" w:cs="Times New Roman"/>
                <w:color w:val="auto"/>
                <w:sz w:val="24"/>
                <w:szCs w:val="24"/>
                <w:highlight w:val="none"/>
              </w:rPr>
              <w:t>-4</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E</w:t>
            </w:r>
            <w:r>
              <w:rPr>
                <w:rFonts w:hint="default" w:ascii="Times New Roman" w:hAnsi="Times New Roman" w:eastAsia="宋体" w:cs="Times New Roman"/>
                <w:color w:val="auto"/>
                <w:sz w:val="24"/>
                <w:szCs w:val="24"/>
                <w:highlight w:val="none"/>
                <w:vertAlign w:val="subscript"/>
              </w:rPr>
              <w:t>w</w:t>
            </w:r>
            <w:r>
              <w:rPr>
                <w:rFonts w:hint="default" w:ascii="Times New Roman" w:hAnsi="Times New Roman" w:eastAsia="宋体" w:cs="Times New Roman"/>
                <w:color w:val="auto"/>
                <w:sz w:val="24"/>
                <w:szCs w:val="24"/>
                <w:highlight w:val="none"/>
              </w:rPr>
              <w:t>为堆场风蚀扬尘的排放系数，kg/m。</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k</w:t>
            </w:r>
            <w:r>
              <w:rPr>
                <w:rFonts w:hint="default" w:ascii="Times New Roman" w:hAnsi="Times New Roman" w:eastAsia="宋体" w:cs="Times New Roman"/>
                <w:color w:val="auto"/>
                <w:sz w:val="24"/>
                <w:szCs w:val="24"/>
                <w:highlight w:val="none"/>
                <w:vertAlign w:val="subscript"/>
              </w:rPr>
              <w:t>i</w:t>
            </w:r>
            <w:r>
              <w:rPr>
                <w:rFonts w:hint="default" w:ascii="Times New Roman" w:hAnsi="Times New Roman" w:eastAsia="宋体" w:cs="Times New Roman"/>
                <w:color w:val="auto"/>
                <w:sz w:val="24"/>
                <w:szCs w:val="24"/>
                <w:highlight w:val="none"/>
              </w:rPr>
              <w:t>为物料的粒度乘数，取值1.0。</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n为料堆每年受扰动的次数。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P</w:t>
            </w:r>
            <w:r>
              <w:rPr>
                <w:rFonts w:hint="default" w:ascii="Times New Roman" w:hAnsi="Times New Roman" w:eastAsia="宋体" w:cs="Times New Roman"/>
                <w:color w:val="auto"/>
                <w:sz w:val="24"/>
                <w:szCs w:val="24"/>
                <w:highlight w:val="none"/>
                <w:vertAlign w:val="subscript"/>
              </w:rPr>
              <w:t>i</w:t>
            </w:r>
            <w:r>
              <w:rPr>
                <w:rFonts w:hint="default" w:ascii="Times New Roman" w:hAnsi="Times New Roman" w:eastAsia="宋体" w:cs="Times New Roman"/>
                <w:color w:val="auto"/>
                <w:sz w:val="24"/>
                <w:szCs w:val="24"/>
                <w:highlight w:val="none"/>
              </w:rPr>
              <w:t>为第i次扰动中观测的最大风速的风蚀潜势，g/m，通过公式</w:t>
            </w:r>
            <w:r>
              <w:rPr>
                <w:rFonts w:hint="default" w:ascii="Times New Roman" w:hAnsi="Times New Roman" w:cs="Times New Roman"/>
                <w:color w:val="auto"/>
                <w:sz w:val="24"/>
                <w:szCs w:val="24"/>
                <w:highlight w:val="none"/>
                <w:lang w:val="en-US" w:eastAsia="zh-CN"/>
              </w:rPr>
              <w:t>4.1</w:t>
            </w:r>
            <w:r>
              <w:rPr>
                <w:rFonts w:hint="default" w:ascii="Times New Roman" w:hAnsi="Times New Roman" w:eastAsia="宋体" w:cs="Times New Roman"/>
                <w:color w:val="auto"/>
                <w:sz w:val="24"/>
                <w:szCs w:val="24"/>
                <w:highlight w:val="none"/>
              </w:rPr>
              <w:t>-4求得。</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QUOTE </w:instrText>
            </w:r>
            <w:r>
              <w:rPr>
                <w:rFonts w:hint="default" w:ascii="Times New Roman" w:hAnsi="Times New Roman" w:eastAsia="宋体" w:cs="Times New Roman"/>
                <w:color w:val="auto"/>
                <w:position w:val="-8"/>
                <w:sz w:val="24"/>
                <w:szCs w:val="24"/>
                <w:highlight w:val="none"/>
              </w:rPr>
              <w:pict>
                <v:shape id="_x0000_i1026" o:spt="75" type="#_x0000_t75" style="height:15.75pt;width:6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94&quot;/&gt;&lt;w:displayBackgroundShape/&gt;&lt;w:doNotEmbedSystemFonts/&gt;&lt;w:bordersDontSurroundHeader/&gt;&lt;w:bordersDontSurroundFooter/&gt;&lt;w:hideSpellingErrors/&gt;&lt;w:defaultTabStop w:val=&quot;420&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82A5A&quot;/&gt;&lt;wsp:rsid wsp:val=&quot;00000D02&quot;/&gt;&lt;wsp:rsid wsp:val=&quot;00000F90&quot;/&gt;&lt;wsp:rsid wsp:val=&quot;00002DD6&quot;/&gt;&lt;wsp:rsid wsp:val=&quot;00003C3B&quot;/&gt;&lt;wsp:rsid wsp:val=&quot;00004137&quot;/&gt;&lt;wsp:rsid wsp:val=&quot;00004407&quot;/&gt;&lt;wsp:rsid wsp:val=&quot;000048CB&quot;/&gt;&lt;wsp:rsid wsp:val=&quot;00004FFF&quot;/&gt;&lt;wsp:rsid wsp:val=&quot;000052ED&quot;/&gt;&lt;wsp:rsid wsp:val=&quot;000068EA&quot;/&gt;&lt;wsp:rsid wsp:val=&quot;000079C0&quot;/&gt;&lt;wsp:rsid wsp:val=&quot;00010579&quot;/&gt;&lt;wsp:rsid wsp:val=&quot;000108D9&quot;/&gt;&lt;wsp:rsid wsp:val=&quot;00011409&quot;/&gt;&lt;wsp:rsid wsp:val=&quot;0001296A&quot;/&gt;&lt;wsp:rsid wsp:val=&quot;00014275&quot;/&gt;&lt;wsp:rsid wsp:val=&quot;00014351&quot;/&gt;&lt;wsp:rsid wsp:val=&quot;0001449A&quot;/&gt;&lt;wsp:rsid wsp:val=&quot;00015DD0&quot;/&gt;&lt;wsp:rsid wsp:val=&quot;0001650C&quot;/&gt;&lt;wsp:rsid wsp:val=&quot;00017297&quot;/&gt;&lt;wsp:rsid wsp:val=&quot;00017B9C&quot;/&gt;&lt;wsp:rsid wsp:val=&quot;000205C8&quot;/&gt;&lt;wsp:rsid wsp:val=&quot;000235A3&quot;/&gt;&lt;wsp:rsid wsp:val=&quot;00023D8F&quot;/&gt;&lt;wsp:rsid wsp:val=&quot;0002422E&quot;/&gt;&lt;wsp:rsid wsp:val=&quot;000243AF&quot;/&gt;&lt;wsp:rsid wsp:val=&quot;00024BAD&quot;/&gt;&lt;wsp:rsid wsp:val=&quot;00025526&quot;/&gt;&lt;wsp:rsid wsp:val=&quot;0002623A&quot;/&gt;&lt;wsp:rsid wsp:val=&quot;000262D7&quot;/&gt;&lt;wsp:rsid wsp:val=&quot;0002637C&quot;/&gt;&lt;wsp:rsid wsp:val=&quot;0002690B&quot;/&gt;&lt;wsp:rsid wsp:val=&quot;00026B3C&quot;/&gt;&lt;wsp:rsid wsp:val=&quot;0002708F&quot;/&gt;&lt;wsp:rsid wsp:val=&quot;0003165E&quot;/&gt;&lt;wsp:rsid wsp:val=&quot;0003172F&quot;/&gt;&lt;wsp:rsid wsp:val=&quot;0003188D&quot;/&gt;&lt;wsp:rsid wsp:val=&quot;00031D66&quot;/&gt;&lt;wsp:rsid wsp:val=&quot;00031F5A&quot;/&gt;&lt;wsp:rsid wsp:val=&quot;000333B7&quot;/&gt;&lt;wsp:rsid wsp:val=&quot;00034880&quot;/&gt;&lt;wsp:rsid wsp:val=&quot;00034881&quot;/&gt;&lt;wsp:rsid wsp:val=&quot;000355F3&quot;/&gt;&lt;wsp:rsid wsp:val=&quot;0003581E&quot;/&gt;&lt;wsp:rsid wsp:val=&quot;000363A7&quot;/&gt;&lt;wsp:rsid wsp:val=&quot;000368BC&quot;/&gt;&lt;wsp:rsid wsp:val=&quot;000370F0&quot;/&gt;&lt;wsp:rsid wsp:val=&quot;00037309&quot;/&gt;&lt;wsp:rsid wsp:val=&quot;00037E96&quot;/&gt;&lt;wsp:rsid wsp:val=&quot;000400F4&quot;/&gt;&lt;wsp:rsid wsp:val=&quot;000407EF&quot;/&gt;&lt;wsp:rsid wsp:val=&quot;000408A6&quot;/&gt;&lt;wsp:rsid wsp:val=&quot;000408AB&quot;/&gt;&lt;wsp:rsid wsp:val=&quot;0004180C&quot;/&gt;&lt;wsp:rsid wsp:val=&quot;00041E3C&quot;/&gt;&lt;wsp:rsid wsp:val=&quot;00042180&quot;/&gt;&lt;wsp:rsid wsp:val=&quot;00042E92&quot;/&gt;&lt;wsp:rsid wsp:val=&quot;0004360D&quot;/&gt;&lt;wsp:rsid wsp:val=&quot;0004371E&quot;/&gt;&lt;wsp:rsid wsp:val=&quot;00043952&quot;/&gt;&lt;wsp:rsid wsp:val=&quot;00044DE2&quot;/&gt;&lt;wsp:rsid wsp:val=&quot;00045662&quot;/&gt;&lt;wsp:rsid wsp:val=&quot;00046772&quot;/&gt;&lt;wsp:rsid wsp:val=&quot;0004683B&quot;/&gt;&lt;wsp:rsid wsp:val=&quot;0004701E&quot;/&gt;&lt;wsp:rsid wsp:val=&quot;00050BF0&quot;/&gt;&lt;wsp:rsid wsp:val=&quot;00051A43&quot;/&gt;&lt;wsp:rsid wsp:val=&quot;000533F2&quot;/&gt;&lt;wsp:rsid wsp:val=&quot;000535D6&quot;/&gt;&lt;wsp:rsid wsp:val=&quot;00054EE6&quot;/&gt;&lt;wsp:rsid wsp:val=&quot;0005634C&quot;/&gt;&lt;wsp:rsid wsp:val=&quot;00056B61&quot;/&gt;&lt;wsp:rsid wsp:val=&quot;00057E6E&quot;/&gt;&lt;wsp:rsid wsp:val=&quot;000607AD&quot;/&gt;&lt;wsp:rsid wsp:val=&quot;0006125E&quot;/&gt;&lt;wsp:rsid wsp:val=&quot;00061796&quot;/&gt;&lt;wsp:rsid wsp:val=&quot;00061812&quot;/&gt;&lt;wsp:rsid wsp:val=&quot;00064956&quot;/&gt;&lt;wsp:rsid wsp:val=&quot;00064F3B&quot;/&gt;&lt;wsp:rsid wsp:val=&quot;00065A8F&quot;/&gt;&lt;wsp:rsid wsp:val=&quot;00065F29&quot;/&gt;&lt;wsp:rsid wsp:val=&quot;00070A09&quot;/&gt;&lt;wsp:rsid wsp:val=&quot;00070C7F&quot;/&gt;&lt;wsp:rsid wsp:val=&quot;00073CB1&quot;/&gt;&lt;wsp:rsid wsp:val=&quot;00074058&quot;/&gt;&lt;wsp:rsid wsp:val=&quot;00074AFD&quot;/&gt;&lt;wsp:rsid wsp:val=&quot;00074E15&quot;/&gt;&lt;wsp:rsid wsp:val=&quot;00075C0B&quot;/&gt;&lt;wsp:rsid wsp:val=&quot;00075F90&quot;/&gt;&lt;wsp:rsid wsp:val=&quot;00075FF9&quot;/&gt;&lt;wsp:rsid wsp:val=&quot;000763A0&quot;/&gt;&lt;wsp:rsid wsp:val=&quot;00076760&quot;/&gt;&lt;wsp:rsid wsp:val=&quot;00077C6E&quot;/&gt;&lt;wsp:rsid wsp:val=&quot;00077EBB&quot;/&gt;&lt;wsp:rsid wsp:val=&quot;0008028D&quot;/&gt;&lt;wsp:rsid wsp:val=&quot;00080AA2&quot;/&gt;&lt;wsp:rsid wsp:val=&quot;00080BDD&quot;/&gt;&lt;wsp:rsid wsp:val=&quot;0008159D&quot;/&gt;&lt;wsp:rsid wsp:val=&quot;00082D36&quot;/&gt;&lt;wsp:rsid wsp:val=&quot;0008396F&quot;/&gt;&lt;wsp:rsid wsp:val=&quot;00083C18&quot;/&gt;&lt;wsp:rsid wsp:val=&quot;0008442F&quot;/&gt;&lt;wsp:rsid wsp:val=&quot;000864D5&quot;/&gt;&lt;wsp:rsid wsp:val=&quot;00086CF7&quot;/&gt;&lt;wsp:rsid wsp:val=&quot;00087257&quot;/&gt;&lt;wsp:rsid wsp:val=&quot;00087498&quot;/&gt;&lt;wsp:rsid wsp:val=&quot;000877C8&quot;/&gt;&lt;wsp:rsid wsp:val=&quot;00087FE8&quot;/&gt;&lt;wsp:rsid wsp:val=&quot;00090424&quot;/&gt;&lt;wsp:rsid wsp:val=&quot;000909D8&quot;/&gt;&lt;wsp:rsid wsp:val=&quot;00090C5E&quot;/&gt;&lt;wsp:rsid wsp:val=&quot;000917E6&quot;/&gt;&lt;wsp:rsid wsp:val=&quot;00091B7C&quot;/&gt;&lt;wsp:rsid wsp:val=&quot;00092B59&quot;/&gt;&lt;wsp:rsid wsp:val=&quot;000930C4&quot;/&gt;&lt;wsp:rsid wsp:val=&quot;00093812&quot;/&gt;&lt;wsp:rsid wsp:val=&quot;000964A7&quot;/&gt;&lt;wsp:rsid wsp:val=&quot;000978C5&quot;/&gt;&lt;wsp:rsid wsp:val=&quot;000A08F1&quot;/&gt;&lt;wsp:rsid wsp:val=&quot;000A1217&quot;/&gt;&lt;wsp:rsid wsp:val=&quot;000A20E0&quot;/&gt;&lt;wsp:rsid wsp:val=&quot;000A2264&quot;/&gt;&lt;wsp:rsid wsp:val=&quot;000A38FB&quot;/&gt;&lt;wsp:rsid wsp:val=&quot;000A457D&quot;/&gt;&lt;wsp:rsid wsp:val=&quot;000A4F2C&quot;/&gt;&lt;wsp:rsid wsp:val=&quot;000A589B&quot;/&gt;&lt;wsp:rsid wsp:val=&quot;000A5F49&quot;/&gt;&lt;wsp:rsid wsp:val=&quot;000A64EA&quot;/&gt;&lt;wsp:rsid wsp:val=&quot;000A7A05&quot;/&gt;&lt;wsp:rsid wsp:val=&quot;000B1DD7&quot;/&gt;&lt;wsp:rsid wsp:val=&quot;000B34F4&quot;/&gt;&lt;wsp:rsid wsp:val=&quot;000B487E&quot;/&gt;&lt;wsp:rsid wsp:val=&quot;000B4973&quot;/&gt;&lt;wsp:rsid wsp:val=&quot;000B49B2&quot;/&gt;&lt;wsp:rsid wsp:val=&quot;000B4C16&quot;/&gt;&lt;wsp:rsid wsp:val=&quot;000B4EE4&quot;/&gt;&lt;wsp:rsid wsp:val=&quot;000B56C3&quot;/&gt;&lt;wsp:rsid wsp:val=&quot;000B69BE&quot;/&gt;&lt;wsp:rsid wsp:val=&quot;000B6AF4&quot;/&gt;&lt;wsp:rsid wsp:val=&quot;000C2528&quot;/&gt;&lt;wsp:rsid wsp:val=&quot;000C2696&quot;/&gt;&lt;wsp:rsid wsp:val=&quot;000C2B0E&quot;/&gt;&lt;wsp:rsid wsp:val=&quot;000C3650&quot;/&gt;&lt;wsp:rsid wsp:val=&quot;000C366B&quot;/&gt;&lt;wsp:rsid wsp:val=&quot;000C4235&quot;/&gt;&lt;wsp:rsid wsp:val=&quot;000C54D5&quot;/&gt;&lt;wsp:rsid wsp:val=&quot;000C57FB&quot;/&gt;&lt;wsp:rsid wsp:val=&quot;000C5E64&quot;/&gt;&lt;wsp:rsid wsp:val=&quot;000C6333&quot;/&gt;&lt;wsp:rsid wsp:val=&quot;000C64F8&quot;/&gt;&lt;wsp:rsid wsp:val=&quot;000D0338&quot;/&gt;&lt;wsp:rsid wsp:val=&quot;000D07AD&quot;/&gt;&lt;wsp:rsid wsp:val=&quot;000D08DB&quot;/&gt;&lt;wsp:rsid wsp:val=&quot;000D1088&quot;/&gt;&lt;wsp:rsid wsp:val=&quot;000D168E&quot;/&gt;&lt;wsp:rsid wsp:val=&quot;000D2F3D&quot;/&gt;&lt;wsp:rsid wsp:val=&quot;000D37FA&quot;/&gt;&lt;wsp:rsid wsp:val=&quot;000D6076&quot;/&gt;&lt;wsp:rsid wsp:val=&quot;000D7188&quot;/&gt;&lt;wsp:rsid wsp:val=&quot;000D7605&quot;/&gt;&lt;wsp:rsid wsp:val=&quot;000E0759&quot;/&gt;&lt;wsp:rsid wsp:val=&quot;000E0FF9&quot;/&gt;&lt;wsp:rsid wsp:val=&quot;000E37D9&quot;/&gt;&lt;wsp:rsid wsp:val=&quot;000E401E&quot;/&gt;&lt;wsp:rsid wsp:val=&quot;000E4700&quot;/&gt;&lt;wsp:rsid wsp:val=&quot;000E4DA3&quot;/&gt;&lt;wsp:rsid wsp:val=&quot;000E55BB&quot;/&gt;&lt;wsp:rsid wsp:val=&quot;000E5840&quot;/&gt;&lt;wsp:rsid wsp:val=&quot;000E5FD7&quot;/&gt;&lt;wsp:rsid wsp:val=&quot;000E68B4&quot;/&gt;&lt;wsp:rsid wsp:val=&quot;000E72E8&quot;/&gt;&lt;wsp:rsid wsp:val=&quot;000F03AE&quot;/&gt;&lt;wsp:rsid wsp:val=&quot;000F089B&quot;/&gt;&lt;wsp:rsid wsp:val=&quot;000F106C&quot;/&gt;&lt;wsp:rsid wsp:val=&quot;000F2649&quot;/&gt;&lt;wsp:rsid wsp:val=&quot;000F28E7&quot;/&gt;&lt;wsp:rsid wsp:val=&quot;000F39C8&quot;/&gt;&lt;wsp:rsid wsp:val=&quot;000F3B35&quot;/&gt;&lt;wsp:rsid wsp:val=&quot;000F3DB3&quot;/&gt;&lt;wsp:rsid wsp:val=&quot;000F508C&quot;/&gt;&lt;wsp:rsid wsp:val=&quot;000F53E1&quot;/&gt;&lt;wsp:rsid wsp:val=&quot;000F6B60&quot;/&gt;&lt;wsp:rsid wsp:val=&quot;00100E94&quot;/&gt;&lt;wsp:rsid wsp:val=&quot;0010109B&quot;/&gt;&lt;wsp:rsid wsp:val=&quot;00101299&quot;/&gt;&lt;wsp:rsid wsp:val=&quot;00102D42&quot;/&gt;&lt;wsp:rsid wsp:val=&quot;00102DA9&quot;/&gt;&lt;wsp:rsid wsp:val=&quot;00102EE0&quot;/&gt;&lt;wsp:rsid wsp:val=&quot;00103127&quot;/&gt;&lt;wsp:rsid wsp:val=&quot;001034EA&quot;/&gt;&lt;wsp:rsid wsp:val=&quot;00103B53&quot;/&gt;&lt;wsp:rsid wsp:val=&quot;001047B2&quot;/&gt;&lt;wsp:rsid wsp:val=&quot;00104C51&quot;/&gt;&lt;wsp:rsid wsp:val=&quot;00105B91&quot;/&gt;&lt;wsp:rsid wsp:val=&quot;00105BEB&quot;/&gt;&lt;wsp:rsid wsp:val=&quot;00106601&quot;/&gt;&lt;wsp:rsid wsp:val=&quot;00107554&quot;/&gt;&lt;wsp:rsid wsp:val=&quot;00107A60&quot;/&gt;&lt;wsp:rsid wsp:val=&quot;0011031F&quot;/&gt;&lt;wsp:rsid wsp:val=&quot;001103D2&quot;/&gt;&lt;wsp:rsid wsp:val=&quot;00110EB9&quot;/&gt;&lt;wsp:rsid wsp:val=&quot;00111636&quot;/&gt;&lt;wsp:rsid wsp:val=&quot;00111AC0&quot;/&gt;&lt;wsp:rsid wsp:val=&quot;001121D8&quot;/&gt;&lt;wsp:rsid wsp:val=&quot;00112217&quot;/&gt;&lt;wsp:rsid wsp:val=&quot;00112483&quot;/&gt;&lt;wsp:rsid wsp:val=&quot;00112B6C&quot;/&gt;&lt;wsp:rsid wsp:val=&quot;00113651&quot;/&gt;&lt;wsp:rsid wsp:val=&quot;001142E5&quot;/&gt;&lt;wsp:rsid wsp:val=&quot;001146BB&quot;/&gt;&lt;wsp:rsid wsp:val=&quot;001147D9&quot;/&gt;&lt;wsp:rsid wsp:val=&quot;00115ED6&quot;/&gt;&lt;wsp:rsid wsp:val=&quot;00116BC7&quot;/&gt;&lt;wsp:rsid wsp:val=&quot;00116F50&quot;/&gt;&lt;wsp:rsid wsp:val=&quot;001173B8&quot;/&gt;&lt;wsp:rsid wsp:val=&quot;00117F73&quot;/&gt;&lt;wsp:rsid wsp:val=&quot;00120383&quot;/&gt;&lt;wsp:rsid wsp:val=&quot;00120D7C&quot;/&gt;&lt;wsp:rsid wsp:val=&quot;00121C68&quot;/&gt;&lt;wsp:rsid wsp:val=&quot;001235CF&quot;/&gt;&lt;wsp:rsid wsp:val=&quot;00123A6C&quot;/&gt;&lt;wsp:rsid wsp:val=&quot;001241CD&quot;/&gt;&lt;wsp:rsid wsp:val=&quot;00125EC7&quot;/&gt;&lt;wsp:rsid wsp:val=&quot;0012609F&quot;/&gt;&lt;wsp:rsid wsp:val=&quot;00127F2B&quot;/&gt;&lt;wsp:rsid wsp:val=&quot;00130114&quot;/&gt;&lt;wsp:rsid wsp:val=&quot;0013076E&quot;/&gt;&lt;wsp:rsid wsp:val=&quot;00130B64&quot;/&gt;&lt;wsp:rsid wsp:val=&quot;00130E8C&quot;/&gt;&lt;wsp:rsid wsp:val=&quot;00131F6C&quot;/&gt;&lt;wsp:rsid wsp:val=&quot;00132836&quot;/&gt;&lt;wsp:rsid wsp:val=&quot;00133048&quot;/&gt;&lt;wsp:rsid wsp:val=&quot;00133949&quot;/&gt;&lt;wsp:rsid wsp:val=&quot;00135197&quot;/&gt;&lt;wsp:rsid wsp:val=&quot;00135B64&quot;/&gt;&lt;wsp:rsid wsp:val=&quot;001367F1&quot;/&gt;&lt;wsp:rsid wsp:val=&quot;0013719C&quot;/&gt;&lt;wsp:rsid wsp:val=&quot;001373F3&quot;/&gt;&lt;wsp:rsid wsp:val=&quot;001374BB&quot;/&gt;&lt;wsp:rsid wsp:val=&quot;001405F0&quot;/&gt;&lt;wsp:rsid wsp:val=&quot;0014082D&quot;/&gt;&lt;wsp:rsid wsp:val=&quot;00141038&quot;/&gt;&lt;wsp:rsid wsp:val=&quot;0014154B&quot;/&gt;&lt;wsp:rsid wsp:val=&quot;00141984&quot;/&gt;&lt;wsp:rsid wsp:val=&quot;00141E17&quot;/&gt;&lt;wsp:rsid wsp:val=&quot;00141EEB&quot;/&gt;&lt;wsp:rsid wsp:val=&quot;001421EA&quot;/&gt;&lt;wsp:rsid wsp:val=&quot;00142292&quot;/&gt;&lt;wsp:rsid wsp:val=&quot;001440A1&quot;/&gt;&lt;wsp:rsid wsp:val=&quot;001466ED&quot;/&gt;&lt;wsp:rsid wsp:val=&quot;001469B7&quot;/&gt;&lt;wsp:rsid wsp:val=&quot;00147BE4&quot;/&gt;&lt;wsp:rsid wsp:val=&quot;0015061D&quot;/&gt;&lt;wsp:rsid wsp:val=&quot;001508C4&quot;/&gt;&lt;wsp:rsid wsp:val=&quot;0015197D&quot;/&gt;&lt;wsp:rsid wsp:val=&quot;001523E9&quot;/&gt;&lt;wsp:rsid wsp:val=&quot;00152768&quot;/&gt;&lt;wsp:rsid wsp:val=&quot;001528FA&quot;/&gt;&lt;wsp:rsid wsp:val=&quot;00152B6D&quot;/&gt;&lt;wsp:rsid wsp:val=&quot;001532E7&quot;/&gt;&lt;wsp:rsid wsp:val=&quot;00153366&quot;/&gt;&lt;wsp:rsid wsp:val=&quot;001554B1&quot;/&gt;&lt;wsp:rsid wsp:val=&quot;00156550&quot;/&gt;&lt;wsp:rsid wsp:val=&quot;00156AA1&quot;/&gt;&lt;wsp:rsid wsp:val=&quot;00157B3E&quot;/&gt;&lt;wsp:rsid wsp:val=&quot;001611D0&quot;/&gt;&lt;wsp:rsid wsp:val=&quot;00162183&quot;/&gt;&lt;wsp:rsid wsp:val=&quot;00162845&quot;/&gt;&lt;wsp:rsid wsp:val=&quot;00162BD5&quot;/&gt;&lt;wsp:rsid wsp:val=&quot;001635E7&quot;/&gt;&lt;wsp:rsid wsp:val=&quot;001653F7&quot;/&gt;&lt;wsp:rsid wsp:val=&quot;00165B46&quot;/&gt;&lt;wsp:rsid wsp:val=&quot;00165FD3&quot;/&gt;&lt;wsp:rsid wsp:val=&quot;0016649E&quot;/&gt;&lt;wsp:rsid wsp:val=&quot;00166847&quot;/&gt;&lt;wsp:rsid wsp:val=&quot;0016733A&quot;/&gt;&lt;wsp:rsid wsp:val=&quot;001679DC&quot;/&gt;&lt;wsp:rsid wsp:val=&quot;00167AD0&quot;/&gt;&lt;wsp:rsid wsp:val=&quot;00171430&quot;/&gt;&lt;wsp:rsid wsp:val=&quot;00172401&quot;/&gt;&lt;wsp:rsid wsp:val=&quot;00172572&quot;/&gt;&lt;wsp:rsid wsp:val=&quot;00172F0A&quot;/&gt;&lt;wsp:rsid wsp:val=&quot;00172F4C&quot;/&gt;&lt;wsp:rsid wsp:val=&quot;00175205&quot;/&gt;&lt;wsp:rsid wsp:val=&quot;001774B1&quot;/&gt;&lt;wsp:rsid wsp:val=&quot;00177B4A&quot;/&gt;&lt;wsp:rsid wsp:val=&quot;0018367F&quot;/&gt;&lt;wsp:rsid wsp:val=&quot;00183C0F&quot;/&gt;&lt;wsp:rsid wsp:val=&quot;00185D25&quot;/&gt;&lt;wsp:rsid wsp:val=&quot;001873D2&quot;/&gt;&lt;wsp:rsid wsp:val=&quot;0019016D&quot;/&gt;&lt;wsp:rsid wsp:val=&quot;0019108E&quot;/&gt;&lt;wsp:rsid wsp:val=&quot;001910EB&quot;/&gt;&lt;wsp:rsid wsp:val=&quot;001916C6&quot;/&gt;&lt;wsp:rsid wsp:val=&quot;00191B64&quot;/&gt;&lt;wsp:rsid wsp:val=&quot;0019214B&quot;/&gt;&lt;wsp:rsid wsp:val=&quot;00192A2D&quot;/&gt;&lt;wsp:rsid wsp:val=&quot;00193742&quot;/&gt;&lt;wsp:rsid wsp:val=&quot;00193A8B&quot;/&gt;&lt;wsp:rsid wsp:val=&quot;00196E2A&quot;/&gt;&lt;wsp:rsid wsp:val=&quot;00197FB3&quot;/&gt;&lt;wsp:rsid wsp:val=&quot;001A0095&quot;/&gt;&lt;wsp:rsid wsp:val=&quot;001A018C&quot;/&gt;&lt;wsp:rsid wsp:val=&quot;001A1972&quot;/&gt;&lt;wsp:rsid wsp:val=&quot;001A26F3&quot;/&gt;&lt;wsp:rsid wsp:val=&quot;001A3A52&quot;/&gt;&lt;wsp:rsid wsp:val=&quot;001A5596&quot;/&gt;&lt;wsp:rsid wsp:val=&quot;001A581B&quot;/&gt;&lt;wsp:rsid wsp:val=&quot;001A5C74&quot;/&gt;&lt;wsp:rsid wsp:val=&quot;001A5CA5&quot;/&gt;&lt;wsp:rsid wsp:val=&quot;001A6E5E&quot;/&gt;&lt;wsp:rsid wsp:val=&quot;001A717A&quot;/&gt;&lt;wsp:rsid wsp:val=&quot;001A7265&quot;/&gt;&lt;wsp:rsid wsp:val=&quot;001A7B8D&quot;/&gt;&lt;wsp:rsid wsp:val=&quot;001A7E63&quot;/&gt;&lt;wsp:rsid wsp:val=&quot;001B0085&quot;/&gt;&lt;wsp:rsid wsp:val=&quot;001B1B8D&quot;/&gt;&lt;wsp:rsid wsp:val=&quot;001B1F70&quot;/&gt;&lt;wsp:rsid wsp:val=&quot;001B25A5&quot;/&gt;&lt;wsp:rsid wsp:val=&quot;001B2BA8&quot;/&gt;&lt;wsp:rsid wsp:val=&quot;001B50BD&quot;/&gt;&lt;wsp:rsid wsp:val=&quot;001B52F8&quot;/&gt;&lt;wsp:rsid wsp:val=&quot;001B5DDC&quot;/&gt;&lt;wsp:rsid wsp:val=&quot;001B755C&quot;/&gt;&lt;wsp:rsid wsp:val=&quot;001C0920&quot;/&gt;&lt;wsp:rsid wsp:val=&quot;001C1480&quot;/&gt;&lt;wsp:rsid wsp:val=&quot;001C1736&quot;/&gt;&lt;wsp:rsid wsp:val=&quot;001C20A5&quot;/&gt;&lt;wsp:rsid wsp:val=&quot;001C290B&quot;/&gt;&lt;wsp:rsid wsp:val=&quot;001C3A0D&quot;/&gt;&lt;wsp:rsid wsp:val=&quot;001C45F0&quot;/&gt;&lt;wsp:rsid wsp:val=&quot;001C6350&quot;/&gt;&lt;wsp:rsid wsp:val=&quot;001C67E3&quot;/&gt;&lt;wsp:rsid wsp:val=&quot;001C6E45&quot;/&gt;&lt;wsp:rsid wsp:val=&quot;001C777A&quot;/&gt;&lt;wsp:rsid wsp:val=&quot;001D047E&quot;/&gt;&lt;wsp:rsid wsp:val=&quot;001D081E&quot;/&gt;&lt;wsp:rsid wsp:val=&quot;001D0838&quot;/&gt;&lt;wsp:rsid wsp:val=&quot;001D0A77&quot;/&gt;&lt;wsp:rsid wsp:val=&quot;001D0EC1&quot;/&gt;&lt;wsp:rsid wsp:val=&quot;001D3440&quot;/&gt;&lt;wsp:rsid wsp:val=&quot;001D5301&quot;/&gt;&lt;wsp:rsid wsp:val=&quot;001D6606&quot;/&gt;&lt;wsp:rsid wsp:val=&quot;001D6CD5&quot;/&gt;&lt;wsp:rsid wsp:val=&quot;001D6FB8&quot;/&gt;&lt;wsp:rsid wsp:val=&quot;001D7950&quot;/&gt;&lt;wsp:rsid wsp:val=&quot;001E08A4&quot;/&gt;&lt;wsp:rsid wsp:val=&quot;001E128E&quot;/&gt;&lt;wsp:rsid wsp:val=&quot;001E17A1&quot;/&gt;&lt;wsp:rsid wsp:val=&quot;001E2F44&quot;/&gt;&lt;wsp:rsid wsp:val=&quot;001E30B2&quot;/&gt;&lt;wsp:rsid wsp:val=&quot;001E3279&quot;/&gt;&lt;wsp:rsid wsp:val=&quot;001E3E89&quot;/&gt;&lt;wsp:rsid wsp:val=&quot;001E42C4&quot;/&gt;&lt;wsp:rsid wsp:val=&quot;001E461F&quot;/&gt;&lt;wsp:rsid wsp:val=&quot;001E5821&quot;/&gt;&lt;wsp:rsid wsp:val=&quot;001E5E98&quot;/&gt;&lt;wsp:rsid wsp:val=&quot;001E7467&quot;/&gt;&lt;wsp:rsid wsp:val=&quot;001F09DB&quot;/&gt;&lt;wsp:rsid wsp:val=&quot;001F0B3E&quot;/&gt;&lt;wsp:rsid wsp:val=&quot;001F1A1C&quot;/&gt;&lt;wsp:rsid wsp:val=&quot;001F1A81&quot;/&gt;&lt;wsp:rsid wsp:val=&quot;001F2A1B&quot;/&gt;&lt;wsp:rsid wsp:val=&quot;001F339A&quot;/&gt;&lt;wsp:rsid wsp:val=&quot;001F3AAF&quot;/&gt;&lt;wsp:rsid wsp:val=&quot;001F4401&quot;/&gt;&lt;wsp:rsid wsp:val=&quot;001F531D&quot;/&gt;&lt;wsp:rsid wsp:val=&quot;001F56AD&quot;/&gt;&lt;wsp:rsid wsp:val=&quot;001F5F9E&quot;/&gt;&lt;wsp:rsid wsp:val=&quot;001F62CD&quot;/&gt;&lt;wsp:rsid wsp:val=&quot;001F6E1D&quot;/&gt;&lt;wsp:rsid wsp:val=&quot;001F7A51&quot;/&gt;&lt;wsp:rsid wsp:val=&quot;00200114&quot;/&gt;&lt;wsp:rsid wsp:val=&quot;00202547&quot;/&gt;&lt;wsp:rsid wsp:val=&quot;0020284C&quot;/&gt;&lt;wsp:rsid wsp:val=&quot;002031A3&quot;/&gt;&lt;wsp:rsid wsp:val=&quot;002048C5&quot;/&gt;&lt;wsp:rsid wsp:val=&quot;002049B5&quot;/&gt;&lt;wsp:rsid wsp:val=&quot;00205126&quot;/&gt;&lt;wsp:rsid wsp:val=&quot;002054AF&quot;/&gt;&lt;wsp:rsid wsp:val=&quot;002069AB&quot;/&gt;&lt;wsp:rsid wsp:val=&quot;0021064F&quot;/&gt;&lt;wsp:rsid wsp:val=&quot;00210F97&quot;/&gt;&lt;wsp:rsid wsp:val=&quot;002143D5&quot;/&gt;&lt;wsp:rsid wsp:val=&quot;00214737&quot;/&gt;&lt;wsp:rsid wsp:val=&quot;00214AE9&quot;/&gt;&lt;wsp:rsid wsp:val=&quot;00214C21&quot;/&gt;&lt;wsp:rsid wsp:val=&quot;00214CBA&quot;/&gt;&lt;wsp:rsid wsp:val=&quot;00215913&quot;/&gt;&lt;wsp:rsid wsp:val=&quot;00216726&quot;/&gt;&lt;wsp:rsid wsp:val=&quot;002169F3&quot;/&gt;&lt;wsp:rsid wsp:val=&quot;0021704F&quot;/&gt;&lt;wsp:rsid wsp:val=&quot;002175FC&quot;/&gt;&lt;wsp:rsid wsp:val=&quot;002206F6&quot;/&gt;&lt;wsp:rsid wsp:val=&quot;00220B1A&quot;/&gt;&lt;wsp:rsid wsp:val=&quot;00221715&quot;/&gt;&lt;wsp:rsid wsp:val=&quot;00221927&quot;/&gt;&lt;wsp:rsid wsp:val=&quot;0022225B&quot;/&gt;&lt;wsp:rsid wsp:val=&quot;002225CE&quot;/&gt;&lt;wsp:rsid wsp:val=&quot;00222F51&quot;/&gt;&lt;wsp:rsid wsp:val=&quot;00223A7A&quot;/&gt;&lt;wsp:rsid wsp:val=&quot;00227340&quot;/&gt;&lt;wsp:rsid wsp:val=&quot;002275C6&quot;/&gt;&lt;wsp:rsid wsp:val=&quot;002313B6&quot;/&gt;&lt;wsp:rsid wsp:val=&quot;002322A3&quot;/&gt;&lt;wsp:rsid wsp:val=&quot;00232642&quot;/&gt;&lt;wsp:rsid wsp:val=&quot;00233736&quot;/&gt;&lt;wsp:rsid wsp:val=&quot;00234497&quot;/&gt;&lt;wsp:rsid wsp:val=&quot;002344D7&quot;/&gt;&lt;wsp:rsid wsp:val=&quot;00234587&quot;/&gt;&lt;wsp:rsid wsp:val=&quot;00235031&quot;/&gt;&lt;wsp:rsid wsp:val=&quot;00235121&quot;/&gt;&lt;wsp:rsid wsp:val=&quot;00235496&quot;/&gt;&lt;wsp:rsid wsp:val=&quot;0023591D&quot;/&gt;&lt;wsp:rsid wsp:val=&quot;00237D7A&quot;/&gt;&lt;wsp:rsid wsp:val=&quot;00240263&quot;/&gt;&lt;wsp:rsid wsp:val=&quot;00240582&quot;/&gt;&lt;wsp:rsid wsp:val=&quot;00240D6F&quot;/&gt;&lt;wsp:rsid wsp:val=&quot;002410A6&quot;/&gt;&lt;wsp:rsid wsp:val=&quot;00242005&quot;/&gt;&lt;wsp:rsid wsp:val=&quot;00242177&quot;/&gt;&lt;wsp:rsid wsp:val=&quot;002421F8&quot;/&gt;&lt;wsp:rsid wsp:val=&quot;002435F4&quot;/&gt;&lt;wsp:rsid wsp:val=&quot;00243A36&quot;/&gt;&lt;wsp:rsid wsp:val=&quot;00243BAF&quot;/&gt;&lt;wsp:rsid wsp:val=&quot;0024531A&quot;/&gt;&lt;wsp:rsid wsp:val=&quot;00245C9D&quot;/&gt;&lt;wsp:rsid wsp:val=&quot;00245D36&quot;/&gt;&lt;wsp:rsid wsp:val=&quot;00245E1F&quot;/&gt;&lt;wsp:rsid wsp:val=&quot;00245EF6&quot;/&gt;&lt;wsp:rsid wsp:val=&quot;002460D6&quot;/&gt;&lt;wsp:rsid wsp:val=&quot;00246770&quot;/&gt;&lt;wsp:rsid wsp:val=&quot;0024718C&quot;/&gt;&lt;wsp:rsid wsp:val=&quot;002476CB&quot;/&gt;&lt;wsp:rsid wsp:val=&quot;00251FFD&quot;/&gt;&lt;wsp:rsid wsp:val=&quot;00252503&quot;/&gt;&lt;wsp:rsid wsp:val=&quot;0025273D&quot;/&gt;&lt;wsp:rsid wsp:val=&quot;00253ED6&quot;/&gt;&lt;wsp:rsid wsp:val=&quot;00254796&quot;/&gt;&lt;wsp:rsid wsp:val=&quot;002549BE&quot;/&gt;&lt;wsp:rsid wsp:val=&quot;00254EE7&quot;/&gt;&lt;wsp:rsid wsp:val=&quot;002550F7&quot;/&gt;&lt;wsp:rsid wsp:val=&quot;002569CB&quot;/&gt;&lt;wsp:rsid wsp:val=&quot;00257338&quot;/&gt;&lt;wsp:rsid wsp:val=&quot;00257427&quot;/&gt;&lt;wsp:rsid wsp:val=&quot;0025744B&quot;/&gt;&lt;wsp:rsid wsp:val=&quot;00257C57&quot;/&gt;&lt;wsp:rsid wsp:val=&quot;00260279&quot;/&gt;&lt;wsp:rsid wsp:val=&quot;002604C1&quot;/&gt;&lt;wsp:rsid wsp:val=&quot;00260538&quot;/&gt;&lt;wsp:rsid wsp:val=&quot;00260D0A&quot;/&gt;&lt;wsp:rsid wsp:val=&quot;00262177&quot;/&gt;&lt;wsp:rsid wsp:val=&quot;00262BF8&quot;/&gt;&lt;wsp:rsid wsp:val=&quot;0026364A&quot;/&gt;&lt;wsp:rsid wsp:val=&quot;00264B7E&quot;/&gt;&lt;wsp:rsid wsp:val=&quot;00265568&quot;/&gt;&lt;wsp:rsid wsp:val=&quot;00266219&quot;/&gt;&lt;wsp:rsid wsp:val=&quot;0026645C&quot;/&gt;&lt;wsp:rsid wsp:val=&quot;002666B9&quot;/&gt;&lt;wsp:rsid wsp:val=&quot;002666CC&quot;/&gt;&lt;wsp:rsid wsp:val=&quot;002677D6&quot;/&gt;&lt;wsp:rsid wsp:val=&quot;00270172&quot;/&gt;&lt;wsp:rsid wsp:val=&quot;00270802&quot;/&gt;&lt;wsp:rsid wsp:val=&quot;00270FE3&quot;/&gt;&lt;wsp:rsid wsp:val=&quot;002715FB&quot;/&gt;&lt;wsp:rsid wsp:val=&quot;0027304F&quot;/&gt;&lt;wsp:rsid wsp:val=&quot;002732D6&quot;/&gt;&lt;wsp:rsid wsp:val=&quot;00273916&quot;/&gt;&lt;wsp:rsid wsp:val=&quot;00274080&quot;/&gt;&lt;wsp:rsid wsp:val=&quot;00275000&quot;/&gt;&lt;wsp:rsid wsp:val=&quot;0027520C&quot;/&gt;&lt;wsp:rsid wsp:val=&quot;002764BD&quot;/&gt;&lt;wsp:rsid wsp:val=&quot;00276B4E&quot;/&gt;&lt;wsp:rsid wsp:val=&quot;002772BC&quot;/&gt;&lt;wsp:rsid wsp:val=&quot;00277A25&quot;/&gt;&lt;wsp:rsid wsp:val=&quot;0028000E&quot;/&gt;&lt;wsp:rsid wsp:val=&quot;00280889&quot;/&gt;&lt;wsp:rsid wsp:val=&quot;00281B3A&quot;/&gt;&lt;wsp:rsid wsp:val=&quot;00282755&quot;/&gt;&lt;wsp:rsid wsp:val=&quot;00282A5A&quot;/&gt;&lt;wsp:rsid wsp:val=&quot;00282D41&quot;/&gt;&lt;wsp:rsid wsp:val=&quot;00282D61&quot;/&gt;&lt;wsp:rsid wsp:val=&quot;00283BAB&quot;/&gt;&lt;wsp:rsid wsp:val=&quot;00283FD5&quot;/&gt;&lt;wsp:rsid wsp:val=&quot;002857BA&quot;/&gt;&lt;wsp:rsid wsp:val=&quot;0028643E&quot;/&gt;&lt;wsp:rsid wsp:val=&quot;00286759&quot;/&gt;&lt;wsp:rsid wsp:val=&quot;002873DA&quot;/&gt;&lt;wsp:rsid wsp:val=&quot;00290F19&quot;/&gt;&lt;wsp:rsid wsp:val=&quot;00292312&quot;/&gt;&lt;wsp:rsid wsp:val=&quot;0029231B&quot;/&gt;&lt;wsp:rsid wsp:val=&quot;00293998&quot;/&gt;&lt;wsp:rsid wsp:val=&quot;00295FB0&quot;/&gt;&lt;wsp:rsid wsp:val=&quot;0029646D&quot;/&gt;&lt;wsp:rsid wsp:val=&quot;00296E97&quot;/&gt;&lt;wsp:rsid wsp:val=&quot;002978EC&quot;/&gt;&lt;wsp:rsid wsp:val=&quot;00297925&quot;/&gt;&lt;wsp:rsid wsp:val=&quot;002A0A7E&quot;/&gt;&lt;wsp:rsid wsp:val=&quot;002A0E07&quot;/&gt;&lt;wsp:rsid wsp:val=&quot;002A1D0E&quot;/&gt;&lt;wsp:rsid wsp:val=&quot;002A2CC2&quot;/&gt;&lt;wsp:rsid wsp:val=&quot;002A2D71&quot;/&gt;&lt;wsp:rsid wsp:val=&quot;002A3B7E&quot;/&gt;&lt;wsp:rsid wsp:val=&quot;002A4724&quot;/&gt;&lt;wsp:rsid wsp:val=&quot;002A4E8F&quot;/&gt;&lt;wsp:rsid wsp:val=&quot;002A56F9&quot;/&gt;&lt;wsp:rsid wsp:val=&quot;002A6069&quot;/&gt;&lt;wsp:rsid wsp:val=&quot;002A654A&quot;/&gt;&lt;wsp:rsid wsp:val=&quot;002A77B9&quot;/&gt;&lt;wsp:rsid wsp:val=&quot;002B0590&quot;/&gt;&lt;wsp:rsid wsp:val=&quot;002B3A99&quot;/&gt;&lt;wsp:rsid wsp:val=&quot;002B3F77&quot;/&gt;&lt;wsp:rsid wsp:val=&quot;002B4274&quot;/&gt;&lt;wsp:rsid wsp:val=&quot;002B428A&quot;/&gt;&lt;wsp:rsid wsp:val=&quot;002B4AE6&quot;/&gt;&lt;wsp:rsid wsp:val=&quot;002B5F10&quot;/&gt;&lt;wsp:rsid wsp:val=&quot;002B60E9&quot;/&gt;&lt;wsp:rsid wsp:val=&quot;002B64F5&quot;/&gt;&lt;wsp:rsid wsp:val=&quot;002B78C4&quot;/&gt;&lt;wsp:rsid wsp:val=&quot;002B7B67&quot;/&gt;&lt;wsp:rsid wsp:val=&quot;002C0A39&quot;/&gt;&lt;wsp:rsid wsp:val=&quot;002C2F1A&quot;/&gt;&lt;wsp:rsid wsp:val=&quot;002C37F1&quot;/&gt;&lt;wsp:rsid wsp:val=&quot;002C3A74&quot;/&gt;&lt;wsp:rsid wsp:val=&quot;002C4A0B&quot;/&gt;&lt;wsp:rsid wsp:val=&quot;002C4F40&quot;/&gt;&lt;wsp:rsid wsp:val=&quot;002C5281&quot;/&gt;&lt;wsp:rsid wsp:val=&quot;002C56F0&quot;/&gt;&lt;wsp:rsid wsp:val=&quot;002C582D&quot;/&gt;&lt;wsp:rsid wsp:val=&quot;002C5D48&quot;/&gt;&lt;wsp:rsid wsp:val=&quot;002D13D7&quot;/&gt;&lt;wsp:rsid wsp:val=&quot;002D1968&quot;/&gt;&lt;wsp:rsid wsp:val=&quot;002D27D5&quot;/&gt;&lt;wsp:rsid wsp:val=&quot;002D4110&quot;/&gt;&lt;wsp:rsid wsp:val=&quot;002D4431&quot;/&gt;&lt;wsp:rsid wsp:val=&quot;002D5946&quot;/&gt;&lt;wsp:rsid wsp:val=&quot;002D5F40&quot;/&gt;&lt;wsp:rsid wsp:val=&quot;002D5FBE&quot;/&gt;&lt;wsp:rsid wsp:val=&quot;002D7D84&quot;/&gt;&lt;wsp:rsid wsp:val=&quot;002E06A9&quot;/&gt;&lt;wsp:rsid wsp:val=&quot;002E073D&quot;/&gt;&lt;wsp:rsid wsp:val=&quot;002E1CFC&quot;/&gt;&lt;wsp:rsid wsp:val=&quot;002E3138&quot;/&gt;&lt;wsp:rsid wsp:val=&quot;002E585E&quot;/&gt;&lt;wsp:rsid wsp:val=&quot;002E5A26&quot;/&gt;&lt;wsp:rsid wsp:val=&quot;002E7317&quot;/&gt;&lt;wsp:rsid wsp:val=&quot;002E7EEE&quot;/&gt;&lt;wsp:rsid wsp:val=&quot;002F0B7D&quot;/&gt;&lt;wsp:rsid wsp:val=&quot;002F1652&quot;/&gt;&lt;wsp:rsid wsp:val=&quot;002F3446&quot;/&gt;&lt;wsp:rsid wsp:val=&quot;002F4007&quot;/&gt;&lt;wsp:rsid wsp:val=&quot;002F48BA&quot;/&gt;&lt;wsp:rsid wsp:val=&quot;002F57AA&quot;/&gt;&lt;wsp:rsid wsp:val=&quot;002F61E2&quot;/&gt;&lt;wsp:rsid wsp:val=&quot;002F6E06&quot;/&gt;&lt;wsp:rsid wsp:val=&quot;002F79B9&quot;/&gt;&lt;wsp:rsid wsp:val=&quot;002F7F8D&quot;/&gt;&lt;wsp:rsid wsp:val=&quot;0030184C&quot;/&gt;&lt;wsp:rsid wsp:val=&quot;00301BC2&quot;/&gt;&lt;wsp:rsid wsp:val=&quot;00302F7A&quot;/&gt;&lt;wsp:rsid wsp:val=&quot;00303332&quot;/&gt;&lt;wsp:rsid wsp:val=&quot;00303D87&quot;/&gt;&lt;wsp:rsid wsp:val=&quot;0030706C&quot;/&gt;&lt;wsp:rsid wsp:val=&quot;00310DF4&quot;/&gt;&lt;wsp:rsid wsp:val=&quot;0031101A&quot;/&gt;&lt;wsp:rsid wsp:val=&quot;0031283E&quot;/&gt;&lt;wsp:rsid wsp:val=&quot;0031310C&quot;/&gt;&lt;wsp:rsid wsp:val=&quot;00313A45&quot;/&gt;&lt;wsp:rsid wsp:val=&quot;00313E49&quot;/&gt;&lt;wsp:rsid wsp:val=&quot;00314123&quot;/&gt;&lt;wsp:rsid wsp:val=&quot;003142ED&quot;/&gt;&lt;wsp:rsid wsp:val=&quot;003170E0&quot;/&gt;&lt;wsp:rsid wsp:val=&quot;00317888&quot;/&gt;&lt;wsp:rsid wsp:val=&quot;00317D2E&quot;/&gt;&lt;wsp:rsid wsp:val=&quot;003207DB&quot;/&gt;&lt;wsp:rsid wsp:val=&quot;003219A7&quot;/&gt;&lt;wsp:rsid wsp:val=&quot;00321A63&quot;/&gt;&lt;wsp:rsid wsp:val=&quot;00322808&quot;/&gt;&lt;wsp:rsid wsp:val=&quot;00323791&quot;/&gt;&lt;wsp:rsid wsp:val=&quot;00323EDF&quot;/&gt;&lt;wsp:rsid wsp:val=&quot;0032417A&quot;/&gt;&lt;wsp:rsid wsp:val=&quot;003244B0&quot;/&gt;&lt;wsp:rsid wsp:val=&quot;00324B17&quot;/&gt;&lt;wsp:rsid wsp:val=&quot;003257DA&quot;/&gt;&lt;wsp:rsid wsp:val=&quot;003263BD&quot;/&gt;&lt;wsp:rsid wsp:val=&quot;003263CC&quot;/&gt;&lt;wsp:rsid wsp:val=&quot;00326638&quot;/&gt;&lt;wsp:rsid wsp:val=&quot;0032678E&quot;/&gt;&lt;wsp:rsid wsp:val=&quot;003277BE&quot;/&gt;&lt;wsp:rsid wsp:val=&quot;00327ACB&quot;/&gt;&lt;wsp:rsid wsp:val=&quot;00330E85&quot;/&gt;&lt;wsp:rsid wsp:val=&quot;00331054&quot;/&gt;&lt;wsp:rsid wsp:val=&quot;003314C1&quot;/&gt;&lt;wsp:rsid wsp:val=&quot;003317B3&quot;/&gt;&lt;wsp:rsid wsp:val=&quot;00331F83&quot;/&gt;&lt;wsp:rsid wsp:val=&quot;003332C5&quot;/&gt;&lt;wsp:rsid wsp:val=&quot;00334A0A&quot;/&gt;&lt;wsp:rsid wsp:val=&quot;00340397&quot;/&gt;&lt;wsp:rsid wsp:val=&quot;0034088C&quot;/&gt;&lt;wsp:rsid wsp:val=&quot;003420D3&quot;/&gt;&lt;wsp:rsid wsp:val=&quot;00342FDB&quot;/&gt;&lt;wsp:rsid wsp:val=&quot;00343022&quot;/&gt;&lt;wsp:rsid wsp:val=&quot;00343D1A&quot;/&gt;&lt;wsp:rsid wsp:val=&quot;00344FF9&quot;/&gt;&lt;wsp:rsid wsp:val=&quot;003465E9&quot;/&gt;&lt;wsp:rsid wsp:val=&quot;00346636&quot;/&gt;&lt;wsp:rsid wsp:val=&quot;00346BFC&quot;/&gt;&lt;wsp:rsid wsp:val=&quot;00347631&quot;/&gt;&lt;wsp:rsid wsp:val=&quot;00350446&quot;/&gt;&lt;wsp:rsid wsp:val=&quot;003506D2&quot;/&gt;&lt;wsp:rsid wsp:val=&quot;003507FE&quot;/&gt;&lt;wsp:rsid wsp:val=&quot;003509C3&quot;/&gt;&lt;wsp:rsid wsp:val=&quot;00351A52&quot;/&gt;&lt;wsp:rsid wsp:val=&quot;00351BF3&quot;/&gt;&lt;wsp:rsid wsp:val=&quot;003521CC&quot;/&gt;&lt;wsp:rsid wsp:val=&quot;00352E2D&quot;/&gt;&lt;wsp:rsid wsp:val=&quot;003537B3&quot;/&gt;&lt;wsp:rsid wsp:val=&quot;00353D32&quot;/&gt;&lt;wsp:rsid wsp:val=&quot;0035408F&quot;/&gt;&lt;wsp:rsid wsp:val=&quot;003540E8&quot;/&gt;&lt;wsp:rsid wsp:val=&quot;0035503F&quot;/&gt;&lt;wsp:rsid wsp:val=&quot;003550EF&quot;/&gt;&lt;wsp:rsid wsp:val=&quot;003571BA&quot;/&gt;&lt;wsp:rsid wsp:val=&quot;00357518&quot;/&gt;&lt;wsp:rsid wsp:val=&quot;003578D8&quot;/&gt;&lt;wsp:rsid wsp:val=&quot;00360142&quot;/&gt;&lt;wsp:rsid wsp:val=&quot;00363716&quot;/&gt;&lt;wsp:rsid wsp:val=&quot;003639E9&quot;/&gt;&lt;wsp:rsid wsp:val=&quot;003644C8&quot;/&gt;&lt;wsp:rsid wsp:val=&quot;00365D36&quot;/&gt;&lt;wsp:rsid wsp:val=&quot;00366A05&quot;/&gt;&lt;wsp:rsid wsp:val=&quot;0036750A&quot;/&gt;&lt;wsp:rsid wsp:val=&quot;00370770&quot;/&gt;&lt;wsp:rsid wsp:val=&quot;00370909&quot;/&gt;&lt;wsp:rsid wsp:val=&quot;00370FD1&quot;/&gt;&lt;wsp:rsid wsp:val=&quot;0037341F&quot;/&gt;&lt;wsp:rsid wsp:val=&quot;00374057&quot;/&gt;&lt;wsp:rsid wsp:val=&quot;0037434F&quot;/&gt;&lt;wsp:rsid wsp:val=&quot;003764B7&quot;/&gt;&lt;wsp:rsid wsp:val=&quot;00377AE0&quot;/&gt;&lt;wsp:rsid wsp:val=&quot;00377B22&quot;/&gt;&lt;wsp:rsid wsp:val=&quot;00380A43&quot;/&gt;&lt;wsp:rsid wsp:val=&quot;00380AD2&quot;/&gt;&lt;wsp:rsid wsp:val=&quot;00381804&quot;/&gt;&lt;wsp:rsid wsp:val=&quot;00381859&quot;/&gt;&lt;wsp:rsid wsp:val=&quot;00382B61&quot;/&gt;&lt;wsp:rsid wsp:val=&quot;00382F7E&quot;/&gt;&lt;wsp:rsid wsp:val=&quot;00383A42&quot;/&gt;&lt;wsp:rsid wsp:val=&quot;00384D13&quot;/&gt;&lt;wsp:rsid wsp:val=&quot;003851CC&quot;/&gt;&lt;wsp:rsid wsp:val=&quot;00385D65&quot;/&gt;&lt;wsp:rsid wsp:val=&quot;00385F07&quot;/&gt;&lt;wsp:rsid wsp:val=&quot;00386053&quot;/&gt;&lt;wsp:rsid wsp:val=&quot;00386E2B&quot;/&gt;&lt;wsp:rsid wsp:val=&quot;00387509&quot;/&gt;&lt;wsp:rsid wsp:val=&quot;0039121B&quot;/&gt;&lt;wsp:rsid wsp:val=&quot;00391507&quot;/&gt;&lt;wsp:rsid wsp:val=&quot;00391B1A&quot;/&gt;&lt;wsp:rsid wsp:val=&quot;0039272D&quot;/&gt;&lt;wsp:rsid wsp:val=&quot;003932E9&quot;/&gt;&lt;wsp:rsid wsp:val=&quot;0039336D&quot;/&gt;&lt;wsp:rsid wsp:val=&quot;00393FA9&quot;/&gt;&lt;wsp:rsid wsp:val=&quot;00394873&quot;/&gt;&lt;wsp:rsid wsp:val=&quot;00394AF3&quot;/&gt;&lt;wsp:rsid wsp:val=&quot;00394F1C&quot;/&gt;&lt;wsp:rsid wsp:val=&quot;003950C1&quot;/&gt;&lt;wsp:rsid wsp:val=&quot;00395C88&quot;/&gt;&lt;wsp:rsid wsp:val=&quot;003967DC&quot;/&gt;&lt;wsp:rsid wsp:val=&quot;003970EA&quot;/&gt;&lt;wsp:rsid wsp:val=&quot;0039743F&quot;/&gt;&lt;wsp:rsid wsp:val=&quot;00397738&quot;/&gt;&lt;wsp:rsid wsp:val=&quot;00397FA1&quot;/&gt;&lt;wsp:rsid wsp:val=&quot;003A0212&quot;/&gt;&lt;wsp:rsid wsp:val=&quot;003A09E0&quot;/&gt;&lt;wsp:rsid wsp:val=&quot;003A25E1&quot;/&gt;&lt;wsp:rsid wsp:val=&quot;003A360B&quot;/&gt;&lt;wsp:rsid wsp:val=&quot;003A4833&quot;/&gt;&lt;wsp:rsid wsp:val=&quot;003A4B29&quot;/&gt;&lt;wsp:rsid wsp:val=&quot;003A4D06&quot;/&gt;&lt;wsp:rsid wsp:val=&quot;003A572E&quot;/&gt;&lt;wsp:rsid wsp:val=&quot;003A5779&quot;/&gt;&lt;wsp:rsid wsp:val=&quot;003A6725&quot;/&gt;&lt;wsp:rsid wsp:val=&quot;003A6FFE&quot;/&gt;&lt;wsp:rsid wsp:val=&quot;003A79F4&quot;/&gt;&lt;wsp:rsid wsp:val=&quot;003B158C&quot;/&gt;&lt;wsp:rsid wsp:val=&quot;003B189D&quot;/&gt;&lt;wsp:rsid wsp:val=&quot;003B2833&quot;/&gt;&lt;wsp:rsid wsp:val=&quot;003B3B90&quot;/&gt;&lt;wsp:rsid wsp:val=&quot;003B51C5&quot;/&gt;&lt;wsp:rsid wsp:val=&quot;003B54F9&quot;/&gt;&lt;wsp:rsid wsp:val=&quot;003B609A&quot;/&gt;&lt;wsp:rsid wsp:val=&quot;003B60E9&quot;/&gt;&lt;wsp:rsid wsp:val=&quot;003B63DC&quot;/&gt;&lt;wsp:rsid wsp:val=&quot;003B693C&quot;/&gt;&lt;wsp:rsid wsp:val=&quot;003B7213&quot;/&gt;&lt;wsp:rsid wsp:val=&quot;003C0BE2&quot;/&gt;&lt;wsp:rsid wsp:val=&quot;003C1AF6&quot;/&gt;&lt;wsp:rsid wsp:val=&quot;003C1C40&quot;/&gt;&lt;wsp:rsid wsp:val=&quot;003C2147&quot;/&gt;&lt;wsp:rsid wsp:val=&quot;003C2EB8&quot;/&gt;&lt;wsp:rsid wsp:val=&quot;003C3B77&quot;/&gt;&lt;wsp:rsid wsp:val=&quot;003C40E6&quot;/&gt;&lt;wsp:rsid wsp:val=&quot;003C50BE&quot;/&gt;&lt;wsp:rsid wsp:val=&quot;003D0ACC&quot;/&gt;&lt;wsp:rsid wsp:val=&quot;003D0B08&quot;/&gt;&lt;wsp:rsid wsp:val=&quot;003D0B6D&quot;/&gt;&lt;wsp:rsid wsp:val=&quot;003D0F0E&quot;/&gt;&lt;wsp:rsid wsp:val=&quot;003D1354&quot;/&gt;&lt;wsp:rsid wsp:val=&quot;003D14C5&quot;/&gt;&lt;wsp:rsid wsp:val=&quot;003D1A4E&quot;/&gt;&lt;wsp:rsid wsp:val=&quot;003D1B55&quot;/&gt;&lt;wsp:rsid wsp:val=&quot;003D274E&quot;/&gt;&lt;wsp:rsid wsp:val=&quot;003D284F&quot;/&gt;&lt;wsp:rsid wsp:val=&quot;003D2D27&quot;/&gt;&lt;wsp:rsid wsp:val=&quot;003D3A93&quot;/&gt;&lt;wsp:rsid wsp:val=&quot;003D4752&quot;/&gt;&lt;wsp:rsid wsp:val=&quot;003D4D51&quot;/&gt;&lt;wsp:rsid wsp:val=&quot;003D5C3E&quot;/&gt;&lt;wsp:rsid wsp:val=&quot;003D623F&quot;/&gt;&lt;wsp:rsid wsp:val=&quot;003D6CDC&quot;/&gt;&lt;wsp:rsid wsp:val=&quot;003D7EFC&quot;/&gt;&lt;wsp:rsid wsp:val=&quot;003E060F&quot;/&gt;&lt;wsp:rsid wsp:val=&quot;003E1A69&quot;/&gt;&lt;wsp:rsid wsp:val=&quot;003E1A78&quot;/&gt;&lt;wsp:rsid wsp:val=&quot;003E1B2E&quot;/&gt;&lt;wsp:rsid wsp:val=&quot;003E24D3&quot;/&gt;&lt;wsp:rsid wsp:val=&quot;003E30C8&quot;/&gt;&lt;wsp:rsid wsp:val=&quot;003E3136&quot;/&gt;&lt;wsp:rsid wsp:val=&quot;003E3454&quot;/&gt;&lt;wsp:rsid wsp:val=&quot;003E38F9&quot;/&gt;&lt;wsp:rsid wsp:val=&quot;003E4288&quot;/&gt;&lt;wsp:rsid wsp:val=&quot;003E4E57&quot;/&gt;&lt;wsp:rsid wsp:val=&quot;003E4F2E&quot;/&gt;&lt;wsp:rsid wsp:val=&quot;003E533C&quot;/&gt;&lt;wsp:rsid wsp:val=&quot;003E56E7&quot;/&gt;&lt;wsp:rsid wsp:val=&quot;003E612A&quot;/&gt;&lt;wsp:rsid wsp:val=&quot;003E6CDE&quot;/&gt;&lt;wsp:rsid wsp:val=&quot;003E6D6E&quot;/&gt;&lt;wsp:rsid wsp:val=&quot;003E70A8&quot;/&gt;&lt;wsp:rsid wsp:val=&quot;003E7A02&quot;/&gt;&lt;wsp:rsid wsp:val=&quot;003E7C6D&quot;/&gt;&lt;wsp:rsid wsp:val=&quot;003F16EF&quot;/&gt;&lt;wsp:rsid wsp:val=&quot;003F2B68&quot;/&gt;&lt;wsp:rsid wsp:val=&quot;003F35A4&quot;/&gt;&lt;wsp:rsid wsp:val=&quot;003F386C&quot;/&gt;&lt;wsp:rsid wsp:val=&quot;003F3AD4&quot;/&gt;&lt;wsp:rsid wsp:val=&quot;003F434C&quot;/&gt;&lt;wsp:rsid wsp:val=&quot;003F4E8E&quot;/&gt;&lt;wsp:rsid wsp:val=&quot;003F5510&quot;/&gt;&lt;wsp:rsid wsp:val=&quot;003F5BE8&quot;/&gt;&lt;wsp:rsid wsp:val=&quot;003F74AC&quot;/&gt;&lt;wsp:rsid wsp:val=&quot;003F7869&quot;/&gt;&lt;wsp:rsid wsp:val=&quot;00400A7B&quot;/&gt;&lt;wsp:rsid wsp:val=&quot;00400B8A&quot;/&gt;&lt;wsp:rsid wsp:val=&quot;004012C2&quot;/&gt;&lt;wsp:rsid wsp:val=&quot;00402008&quot;/&gt;&lt;wsp:rsid wsp:val=&quot;00402585&quot;/&gt;&lt;wsp:rsid wsp:val=&quot;00402987&quot;/&gt;&lt;wsp:rsid wsp:val=&quot;004032B0&quot;/&gt;&lt;wsp:rsid wsp:val=&quot;00403F02&quot;/&gt;&lt;wsp:rsid wsp:val=&quot;00404569&quot;/&gt;&lt;wsp:rsid wsp:val=&quot;00404587&quot;/&gt;&lt;wsp:rsid wsp:val=&quot;00404726&quot;/&gt;&lt;wsp:rsid wsp:val=&quot;00405D43&quot;/&gt;&lt;wsp:rsid wsp:val=&quot;004061FB&quot;/&gt;&lt;wsp:rsid wsp:val=&quot;00406210&quot;/&gt;&lt;wsp:rsid wsp:val=&quot;00406481&quot;/&gt;&lt;wsp:rsid wsp:val=&quot;004120C0&quot;/&gt;&lt;wsp:rsid wsp:val=&quot;004120CF&quot;/&gt;&lt;wsp:rsid wsp:val=&quot;00413635&quot;/&gt;&lt;wsp:rsid wsp:val=&quot;004145CD&quot;/&gt;&lt;wsp:rsid wsp:val=&quot;00416121&quot;/&gt;&lt;wsp:rsid wsp:val=&quot;00417486&quot;/&gt;&lt;wsp:rsid wsp:val=&quot;00417AB5&quot;/&gt;&lt;wsp:rsid wsp:val=&quot;004206D0&quot;/&gt;&lt;wsp:rsid wsp:val=&quot;00420D39&quot;/&gt;&lt;wsp:rsid wsp:val=&quot;004212FF&quot;/&gt;&lt;wsp:rsid wsp:val=&quot;004216B8&quot;/&gt;&lt;wsp:rsid wsp:val=&quot;00422094&quot;/&gt;&lt;wsp:rsid wsp:val=&quot;004231CE&quot;/&gt;&lt;wsp:rsid wsp:val=&quot;00423947&quot;/&gt;&lt;wsp:rsid wsp:val=&quot;004249D3&quot;/&gt;&lt;wsp:rsid wsp:val=&quot;00424FCD&quot;/&gt;&lt;wsp:rsid wsp:val=&quot;0042514F&quot;/&gt;&lt;wsp:rsid wsp:val=&quot;0042605F&quot;/&gt;&lt;wsp:rsid wsp:val=&quot;00430C6D&quot;/&gt;&lt;wsp:rsid wsp:val=&quot;0043112E&quot;/&gt;&lt;wsp:rsid wsp:val=&quot;00431536&quot;/&gt;&lt;wsp:rsid wsp:val=&quot;00431F04&quot;/&gt;&lt;wsp:rsid wsp:val=&quot;00432862&quot;/&gt;&lt;wsp:rsid wsp:val=&quot;004334C2&quot;/&gt;&lt;wsp:rsid wsp:val=&quot;004335F4&quot;/&gt;&lt;wsp:rsid wsp:val=&quot;0043486D&quot;/&gt;&lt;wsp:rsid wsp:val=&quot;00435771&quot;/&gt;&lt;wsp:rsid wsp:val=&quot;00435DBA&quot;/&gt;&lt;wsp:rsid wsp:val=&quot;00435F22&quot;/&gt;&lt;wsp:rsid wsp:val=&quot;00436C04&quot;/&gt;&lt;wsp:rsid wsp:val=&quot;004373B5&quot;/&gt;&lt;wsp:rsid wsp:val=&quot;00440990&quot;/&gt;&lt;wsp:rsid wsp:val=&quot;00441070&quot;/&gt;&lt;wsp:rsid wsp:val=&quot;004417FD&quot;/&gt;&lt;wsp:rsid wsp:val=&quot;004419C4&quot;/&gt;&lt;wsp:rsid wsp:val=&quot;00444014&quot;/&gt;&lt;wsp:rsid wsp:val=&quot;00444A86&quot;/&gt;&lt;wsp:rsid wsp:val=&quot;00444AAD&quot;/&gt;&lt;wsp:rsid wsp:val=&quot;004452E3&quot;/&gt;&lt;wsp:rsid wsp:val=&quot;00446DC6&quot;/&gt;&lt;wsp:rsid wsp:val=&quot;0044764C&quot;/&gt;&lt;wsp:rsid wsp:val=&quot;00447689&quot;/&gt;&lt;wsp:rsid wsp:val=&quot;00447BF7&quot;/&gt;&lt;wsp:rsid wsp:val=&quot;00450023&quot;/&gt;&lt;wsp:rsid wsp:val=&quot;004517FD&quot;/&gt;&lt;wsp:rsid wsp:val=&quot;00452229&quot;/&gt;&lt;wsp:rsid wsp:val=&quot;00456146&quot;/&gt;&lt;wsp:rsid wsp:val=&quot;004574FA&quot;/&gt;&lt;wsp:rsid wsp:val=&quot;004611F5&quot;/&gt;&lt;wsp:rsid wsp:val=&quot;0046229E&quot;/&gt;&lt;wsp:rsid wsp:val=&quot;0046269A&quot;/&gt;&lt;wsp:rsid wsp:val=&quot;00463A88&quot;/&gt;&lt;wsp:rsid wsp:val=&quot;004678DA&quot;/&gt;&lt;wsp:rsid wsp:val=&quot;004679D2&quot;/&gt;&lt;wsp:rsid wsp:val=&quot;00470342&quot;/&gt;&lt;wsp:rsid wsp:val=&quot;00470D0A&quot;/&gt;&lt;wsp:rsid wsp:val=&quot;00471498&quot;/&gt;&lt;wsp:rsid wsp:val=&quot;00472CE4&quot;/&gt;&lt;wsp:rsid wsp:val=&quot;0047399E&quot;/&gt;&lt;wsp:rsid wsp:val=&quot;00474109&quot;/&gt;&lt;wsp:rsid wsp:val=&quot;004744B5&quot;/&gt;&lt;wsp:rsid wsp:val=&quot;00474FE4&quot;/&gt;&lt;wsp:rsid wsp:val=&quot;0047533E&quot;/&gt;&lt;wsp:rsid wsp:val=&quot;004757A2&quot;/&gt;&lt;wsp:rsid wsp:val=&quot;00475DC4&quot;/&gt;&lt;wsp:rsid wsp:val=&quot;00475EE5&quot;/&gt;&lt;wsp:rsid wsp:val=&quot;00477187&quot;/&gt;&lt;wsp:rsid wsp:val=&quot;004774DA&quot;/&gt;&lt;wsp:rsid wsp:val=&quot;00477983&quot;/&gt;&lt;wsp:rsid wsp:val=&quot;004800C4&quot;/&gt;&lt;wsp:rsid wsp:val=&quot;00482239&quot;/&gt;&lt;wsp:rsid wsp:val=&quot;00482B9E&quot;/&gt;&lt;wsp:rsid wsp:val=&quot;00483178&quot;/&gt;&lt;wsp:rsid wsp:val=&quot;00483187&quot;/&gt;&lt;wsp:rsid wsp:val=&quot;0048350E&quot;/&gt;&lt;wsp:rsid wsp:val=&quot;00484AB6&quot;/&gt;&lt;wsp:rsid wsp:val=&quot;004865D1&quot;/&gt;&lt;wsp:rsid wsp:val=&quot;0048662D&quot;/&gt;&lt;wsp:rsid wsp:val=&quot;00486AC3&quot;/&gt;&lt;wsp:rsid wsp:val=&quot;004908BA&quot;/&gt;&lt;wsp:rsid wsp:val=&quot;0049186D&quot;/&gt;&lt;wsp:rsid wsp:val=&quot;00491E25&quot;/&gt;&lt;wsp:rsid wsp:val=&quot;00492D2B&quot;/&gt;&lt;wsp:rsid wsp:val=&quot;00493451&quot;/&gt;&lt;wsp:rsid wsp:val=&quot;00495972&quot;/&gt;&lt;wsp:rsid wsp:val=&quot;0049675B&quot;/&gt;&lt;wsp:rsid wsp:val=&quot;00497EC8&quot;/&gt;&lt;wsp:rsid wsp:val=&quot;004A00C2&quot;/&gt;&lt;wsp:rsid wsp:val=&quot;004A0124&quot;/&gt;&lt;wsp:rsid wsp:val=&quot;004A0475&quot;/&gt;&lt;wsp:rsid wsp:val=&quot;004A08A6&quot;/&gt;&lt;wsp:rsid wsp:val=&quot;004A1158&quot;/&gt;&lt;wsp:rsid wsp:val=&quot;004A1486&quot;/&gt;&lt;wsp:rsid wsp:val=&quot;004A1836&quot;/&gt;&lt;wsp:rsid wsp:val=&quot;004A279F&quot;/&gt;&lt;wsp:rsid wsp:val=&quot;004A2C40&quot;/&gt;&lt;wsp:rsid wsp:val=&quot;004A55E7&quot;/&gt;&lt;wsp:rsid wsp:val=&quot;004A579C&quot;/&gt;&lt;wsp:rsid wsp:val=&quot;004A7FF1&quot;/&gt;&lt;wsp:rsid wsp:val=&quot;004B0B9D&quot;/&gt;&lt;wsp:rsid wsp:val=&quot;004B1B88&quot;/&gt;&lt;wsp:rsid wsp:val=&quot;004B2AEE&quot;/&gt;&lt;wsp:rsid wsp:val=&quot;004B2E1C&quot;/&gt;&lt;wsp:rsid wsp:val=&quot;004B3375&quot;/&gt;&lt;wsp:rsid wsp:val=&quot;004B3A2D&quot;/&gt;&lt;wsp:rsid wsp:val=&quot;004B3E46&quot;/&gt;&lt;wsp:rsid wsp:val=&quot;004B5DA6&quot;/&gt;&lt;wsp:rsid wsp:val=&quot;004B5E90&quot;/&gt;&lt;wsp:rsid wsp:val=&quot;004B70AC&quot;/&gt;&lt;wsp:rsid wsp:val=&quot;004B7701&quot;/&gt;&lt;wsp:rsid wsp:val=&quot;004B78B4&quot;/&gt;&lt;wsp:rsid wsp:val=&quot;004B7C8F&quot;/&gt;&lt;wsp:rsid wsp:val=&quot;004C03BF&quot;/&gt;&lt;wsp:rsid wsp:val=&quot;004C094F&quot;/&gt;&lt;wsp:rsid wsp:val=&quot;004C15AA&quot;/&gt;&lt;wsp:rsid wsp:val=&quot;004C20AE&quot;/&gt;&lt;wsp:rsid wsp:val=&quot;004C2251&quot;/&gt;&lt;wsp:rsid wsp:val=&quot;004C2459&quot;/&gt;&lt;wsp:rsid wsp:val=&quot;004C390C&quot;/&gt;&lt;wsp:rsid wsp:val=&quot;004C431E&quot;/&gt;&lt;wsp:rsid wsp:val=&quot;004C48B5&quot;/&gt;&lt;wsp:rsid wsp:val=&quot;004C5044&quot;/&gt;&lt;wsp:rsid wsp:val=&quot;004C5918&quot;/&gt;&lt;wsp:rsid wsp:val=&quot;004C6325&quot;/&gt;&lt;wsp:rsid wsp:val=&quot;004C68F6&quot;/&gt;&lt;wsp:rsid wsp:val=&quot;004C6B5B&quot;/&gt;&lt;wsp:rsid wsp:val=&quot;004C6C07&quot;/&gt;&lt;wsp:rsid wsp:val=&quot;004C6D17&quot;/&gt;&lt;wsp:rsid wsp:val=&quot;004C702A&quot;/&gt;&lt;wsp:rsid wsp:val=&quot;004C75C6&quot;/&gt;&lt;wsp:rsid wsp:val=&quot;004C7D37&quot;/&gt;&lt;wsp:rsid wsp:val=&quot;004D0846&quot;/&gt;&lt;wsp:rsid wsp:val=&quot;004D0D2D&quot;/&gt;&lt;wsp:rsid wsp:val=&quot;004D11F4&quot;/&gt;&lt;wsp:rsid wsp:val=&quot;004D3592&quot;/&gt;&lt;wsp:rsid wsp:val=&quot;004D4718&quot;/&gt;&lt;wsp:rsid wsp:val=&quot;004D7FA4&quot;/&gt;&lt;wsp:rsid wsp:val=&quot;004E08A2&quot;/&gt;&lt;wsp:rsid wsp:val=&quot;004E0C50&quot;/&gt;&lt;wsp:rsid wsp:val=&quot;004E17A4&quot;/&gt;&lt;wsp:rsid wsp:val=&quot;004E3086&quot;/&gt;&lt;wsp:rsid wsp:val=&quot;004E3712&quot;/&gt;&lt;wsp:rsid wsp:val=&quot;004E3C9A&quot;/&gt;&lt;wsp:rsid wsp:val=&quot;004F0ABC&quot;/&gt;&lt;wsp:rsid wsp:val=&quot;004F2E30&quot;/&gt;&lt;wsp:rsid wsp:val=&quot;004F3B8F&quot;/&gt;&lt;wsp:rsid wsp:val=&quot;004F4C91&quot;/&gt;&lt;wsp:rsid wsp:val=&quot;004F540D&quot;/&gt;&lt;wsp:rsid wsp:val=&quot;004F6266&quot;/&gt;&lt;wsp:rsid wsp:val=&quot;004F7F3D&quot;/&gt;&lt;wsp:rsid wsp:val=&quot;005001FF&quot;/&gt;&lt;wsp:rsid wsp:val=&quot;00500C00&quot;/&gt;&lt;wsp:rsid wsp:val=&quot;00501FB9&quot;/&gt;&lt;wsp:rsid wsp:val=&quot;0050217C&quot;/&gt;&lt;wsp:rsid wsp:val=&quot;00503A8F&quot;/&gt;&lt;wsp:rsid wsp:val=&quot;00503CDF&quot;/&gt;&lt;wsp:rsid wsp:val=&quot;00503DB0&quot;/&gt;&lt;wsp:rsid wsp:val=&quot;00504C7C&quot;/&gt;&lt;wsp:rsid wsp:val=&quot;00504CEE&quot;/&gt;&lt;wsp:rsid wsp:val=&quot;0050582C&quot;/&gt;&lt;wsp:rsid wsp:val=&quot;00506897&quot;/&gt;&lt;wsp:rsid wsp:val=&quot;005072B0&quot;/&gt;&lt;wsp:rsid wsp:val=&quot;00507B74&quot;/&gt;&lt;wsp:rsid wsp:val=&quot;00511725&quot;/&gt;&lt;wsp:rsid wsp:val=&quot;005124FF&quot;/&gt;&lt;wsp:rsid wsp:val=&quot;005127EF&quot;/&gt;&lt;wsp:rsid wsp:val=&quot;00512BF2&quot;/&gt;&lt;wsp:rsid wsp:val=&quot;005132EA&quot;/&gt;&lt;wsp:rsid wsp:val=&quot;005142DF&quot;/&gt;&lt;wsp:rsid wsp:val=&quot;00514698&quot;/&gt;&lt;wsp:rsid wsp:val=&quot;00514E77&quot;/&gt;&lt;wsp:rsid wsp:val=&quot;00514FF5&quot;/&gt;&lt;wsp:rsid wsp:val=&quot;00515035&quot;/&gt;&lt;wsp:rsid wsp:val=&quot;00520A12&quot;/&gt;&lt;wsp:rsid wsp:val=&quot;00521B73&quot;/&gt;&lt;wsp:rsid wsp:val=&quot;00522227&quot;/&gt;&lt;wsp:rsid wsp:val=&quot;00524C57&quot;/&gt;&lt;wsp:rsid wsp:val=&quot;005271A7&quot;/&gt;&lt;wsp:rsid wsp:val=&quot;00527287&quot;/&gt;&lt;wsp:rsid wsp:val=&quot;005274EF&quot;/&gt;&lt;wsp:rsid wsp:val=&quot;005274FA&quot;/&gt;&lt;wsp:rsid wsp:val=&quot;00527E29&quot;/&gt;&lt;wsp:rsid wsp:val=&quot;00527E81&quot;/&gt;&lt;wsp:rsid wsp:val=&quot;00531A0F&quot;/&gt;&lt;wsp:rsid wsp:val=&quot;00533564&quot;/&gt;&lt;wsp:rsid wsp:val=&quot;00534245&quot;/&gt;&lt;wsp:rsid wsp:val=&quot;005344B9&quot;/&gt;&lt;wsp:rsid wsp:val=&quot;00534700&quot;/&gt;&lt;wsp:rsid wsp:val=&quot;005360BF&quot;/&gt;&lt;wsp:rsid wsp:val=&quot;0053640C&quot;/&gt;&lt;wsp:rsid wsp:val=&quot;005379F1&quot;/&gt;&lt;wsp:rsid wsp:val=&quot;00540395&quot;/&gt;&lt;wsp:rsid wsp:val=&quot;00542758&quot;/&gt;&lt;wsp:rsid wsp:val=&quot;005427E0&quot;/&gt;&lt;wsp:rsid wsp:val=&quot;005431DE&quot;/&gt;&lt;wsp:rsid wsp:val=&quot;005432B8&quot;/&gt;&lt;wsp:rsid wsp:val=&quot;005433B5&quot;/&gt;&lt;wsp:rsid wsp:val=&quot;00543667&quot;/&gt;&lt;wsp:rsid wsp:val=&quot;00544431&quot;/&gt;&lt;wsp:rsid wsp:val=&quot;00546BFF&quot;/&gt;&lt;wsp:rsid wsp:val=&quot;00550B0E&quot;/&gt;&lt;wsp:rsid wsp:val=&quot;00551E57&quot;/&gt;&lt;wsp:rsid wsp:val=&quot;00553D19&quot;/&gt;&lt;wsp:rsid wsp:val=&quot;0055441F&quot;/&gt;&lt;wsp:rsid wsp:val=&quot;005556EE&quot;/&gt;&lt;wsp:rsid wsp:val=&quot;00555AF7&quot;/&gt;&lt;wsp:rsid wsp:val=&quot;00556299&quot;/&gt;&lt;wsp:rsid wsp:val=&quot;00556566&quot;/&gt;&lt;wsp:rsid wsp:val=&quot;00556A1E&quot;/&gt;&lt;wsp:rsid wsp:val=&quot;005572CB&quot;/&gt;&lt;wsp:rsid wsp:val=&quot;005600B4&quot;/&gt;&lt;wsp:rsid wsp:val=&quot;0056067C&quot;/&gt;&lt;wsp:rsid wsp:val=&quot;00562236&quot;/&gt;&lt;wsp:rsid wsp:val=&quot;00563F14&quot;/&gt;&lt;wsp:rsid wsp:val=&quot;00564667&quot;/&gt;&lt;wsp:rsid wsp:val=&quot;005649FA&quot;/&gt;&lt;wsp:rsid wsp:val=&quot;0056622F&quot;/&gt;&lt;wsp:rsid wsp:val=&quot;005676DA&quot;/&gt;&lt;wsp:rsid wsp:val=&quot;00571890&quot;/&gt;&lt;wsp:rsid wsp:val=&quot;00571E81&quot;/&gt;&lt;wsp:rsid wsp:val=&quot;005726AF&quot;/&gt;&lt;wsp:rsid wsp:val=&quot;005730D3&quot;/&gt;&lt;wsp:rsid wsp:val=&quot;00573B9B&quot;/&gt;&lt;wsp:rsid wsp:val=&quot;00573F24&quot;/&gt;&lt;wsp:rsid wsp:val=&quot;005741C6&quot;/&gt;&lt;wsp:rsid wsp:val=&quot;005744E3&quot;/&gt;&lt;wsp:rsid wsp:val=&quot;005749DD&quot;/&gt;&lt;wsp:rsid wsp:val=&quot;00576F20&quot;/&gt;&lt;wsp:rsid wsp:val=&quot;0058157A&quot;/&gt;&lt;wsp:rsid wsp:val=&quot;005815C3&quot;/&gt;&lt;wsp:rsid wsp:val=&quot;00581902&quot;/&gt;&lt;wsp:rsid wsp:val=&quot;005819AE&quot;/&gt;&lt;wsp:rsid wsp:val=&quot;00582411&quot;/&gt;&lt;wsp:rsid wsp:val=&quot;005829AE&quot;/&gt;&lt;wsp:rsid wsp:val=&quot;00582D1A&quot;/&gt;&lt;wsp:rsid wsp:val=&quot;00582D94&quot;/&gt;&lt;wsp:rsid wsp:val=&quot;0058368C&quot;/&gt;&lt;wsp:rsid wsp:val=&quot;00585DC9&quot;/&gt;&lt;wsp:rsid wsp:val=&quot;0058605B&quot;/&gt;&lt;wsp:rsid wsp:val=&quot;00586184&quot;/&gt;&lt;wsp:rsid wsp:val=&quot;00586894&quot;/&gt;&lt;wsp:rsid wsp:val=&quot;00586ACA&quot;/&gt;&lt;wsp:rsid wsp:val=&quot;00587188&quot;/&gt;&lt;wsp:rsid wsp:val=&quot;00587363&quot;/&gt;&lt;wsp:rsid wsp:val=&quot;005909F9&quot;/&gt;&lt;wsp:rsid wsp:val=&quot;00592CED&quot;/&gt;&lt;wsp:rsid wsp:val=&quot;00592E32&quot;/&gt;&lt;wsp:rsid wsp:val=&quot;00593405&quot;/&gt;&lt;wsp:rsid wsp:val=&quot;00596C4F&quot;/&gt;&lt;wsp:rsid wsp:val=&quot;00596DB3&quot;/&gt;&lt;wsp:rsid wsp:val=&quot;00596EDC&quot;/&gt;&lt;wsp:rsid wsp:val=&quot;00597770&quot;/&gt;&lt;wsp:rsid wsp:val=&quot;00597C88&quot;/&gt;&lt;wsp:rsid wsp:val=&quot;005A0093&quot;/&gt;&lt;wsp:rsid wsp:val=&quot;005A03B9&quot;/&gt;&lt;wsp:rsid wsp:val=&quot;005A0517&quot;/&gt;&lt;wsp:rsid wsp:val=&quot;005A0D23&quot;/&gt;&lt;wsp:rsid wsp:val=&quot;005A1706&quot;/&gt;&lt;wsp:rsid wsp:val=&quot;005A1B4A&quot;/&gt;&lt;wsp:rsid wsp:val=&quot;005A2345&quot;/&gt;&lt;wsp:rsid wsp:val=&quot;005A2976&quot;/&gt;&lt;wsp:rsid wsp:val=&quot;005A35D0&quot;/&gt;&lt;wsp:rsid wsp:val=&quot;005A3670&quot;/&gt;&lt;wsp:rsid wsp:val=&quot;005A37C5&quot;/&gt;&lt;wsp:rsid wsp:val=&quot;005A3C34&quot;/&gt;&lt;wsp:rsid wsp:val=&quot;005A3DAC&quot;/&gt;&lt;wsp:rsid wsp:val=&quot;005A6050&quot;/&gt;&lt;wsp:rsid wsp:val=&quot;005A6632&quot;/&gt;&lt;wsp:rsid wsp:val=&quot;005A722A&quot;/&gt;&lt;wsp:rsid wsp:val=&quot;005A7DDA&quot;/&gt;&lt;wsp:rsid wsp:val=&quot;005B0C5B&quot;/&gt;&lt;wsp:rsid wsp:val=&quot;005B0FCB&quot;/&gt;&lt;wsp:rsid wsp:val=&quot;005B1323&quot;/&gt;&lt;wsp:rsid wsp:val=&quot;005B16BA&quot;/&gt;&lt;wsp:rsid wsp:val=&quot;005B1A9F&quot;/&gt;&lt;wsp:rsid wsp:val=&quot;005B1D8A&quot;/&gt;&lt;wsp:rsid wsp:val=&quot;005B2584&quot;/&gt;&lt;wsp:rsid wsp:val=&quot;005B37D7&quot;/&gt;&lt;wsp:rsid wsp:val=&quot;005B634D&quot;/&gt;&lt;wsp:rsid wsp:val=&quot;005B73CA&quot;/&gt;&lt;wsp:rsid wsp:val=&quot;005B7EB9&quot;/&gt;&lt;wsp:rsid wsp:val=&quot;005C1448&quot;/&gt;&lt;wsp:rsid wsp:val=&quot;005C1DB3&quot;/&gt;&lt;wsp:rsid wsp:val=&quot;005C3143&quot;/&gt;&lt;wsp:rsid wsp:val=&quot;005C32AF&quot;/&gt;&lt;wsp:rsid wsp:val=&quot;005C4529&quot;/&gt;&lt;wsp:rsid wsp:val=&quot;005C4787&quot;/&gt;&lt;wsp:rsid wsp:val=&quot;005C6407&quot;/&gt;&lt;wsp:rsid wsp:val=&quot;005C7D4E&quot;/&gt;&lt;wsp:rsid wsp:val=&quot;005C7E1E&quot;/&gt;&lt;wsp:rsid wsp:val=&quot;005D11CC&quot;/&gt;&lt;wsp:rsid wsp:val=&quot;005D240E&quot;/&gt;&lt;wsp:rsid wsp:val=&quot;005D2869&quot;/&gt;&lt;wsp:rsid wsp:val=&quot;005D2F2F&quot;/&gt;&lt;wsp:rsid wsp:val=&quot;005D3327&quot;/&gt;&lt;wsp:rsid wsp:val=&quot;005D3476&quot;/&gt;&lt;wsp:rsid wsp:val=&quot;005D3F9B&quot;/&gt;&lt;wsp:rsid wsp:val=&quot;005D4BE8&quot;/&gt;&lt;wsp:rsid wsp:val=&quot;005D4E1D&quot;/&gt;&lt;wsp:rsid wsp:val=&quot;005D5BAF&quot;/&gt;&lt;wsp:rsid wsp:val=&quot;005E11D5&quot;/&gt;&lt;wsp:rsid wsp:val=&quot;005E1558&quot;/&gt;&lt;wsp:rsid wsp:val=&quot;005E1AAF&quot;/&gt;&lt;wsp:rsid wsp:val=&quot;005E286C&quot;/&gt;&lt;wsp:rsid wsp:val=&quot;005E2BAD&quot;/&gt;&lt;wsp:rsid wsp:val=&quot;005E34FA&quot;/&gt;&lt;wsp:rsid wsp:val=&quot;005E37B7&quot;/&gt;&lt;wsp:rsid wsp:val=&quot;005E388B&quot;/&gt;&lt;wsp:rsid wsp:val=&quot;005E45DB&quot;/&gt;&lt;wsp:rsid wsp:val=&quot;005E49C1&quot;/&gt;&lt;wsp:rsid wsp:val=&quot;005E4E5E&quot;/&gt;&lt;wsp:rsid wsp:val=&quot;005E56ED&quot;/&gt;&lt;wsp:rsid wsp:val=&quot;005E6608&quot;/&gt;&lt;wsp:rsid wsp:val=&quot;005E6D40&quot;/&gt;&lt;wsp:rsid wsp:val=&quot;005E7505&quot;/&gt;&lt;wsp:rsid wsp:val=&quot;005E7CE0&quot;/&gt;&lt;wsp:rsid wsp:val=&quot;005F08A7&quot;/&gt;&lt;wsp:rsid wsp:val=&quot;005F0E85&quot;/&gt;&lt;wsp:rsid wsp:val=&quot;005F130E&quot;/&gt;&lt;wsp:rsid wsp:val=&quot;005F1433&quot;/&gt;&lt;wsp:rsid wsp:val=&quot;005F1705&quot;/&gt;&lt;wsp:rsid wsp:val=&quot;005F1747&quot;/&gt;&lt;wsp:rsid wsp:val=&quot;005F2511&quot;/&gt;&lt;wsp:rsid wsp:val=&quot;005F423C&quot;/&gt;&lt;wsp:rsid wsp:val=&quot;005F4ABF&quot;/&gt;&lt;wsp:rsid wsp:val=&quot;005F5071&quot;/&gt;&lt;wsp:rsid wsp:val=&quot;005F5BD3&quot;/&gt;&lt;wsp:rsid wsp:val=&quot;005F5C9C&quot;/&gt;&lt;wsp:rsid wsp:val=&quot;005F5E07&quot;/&gt;&lt;wsp:rsid wsp:val=&quot;005F663D&quot;/&gt;&lt;wsp:rsid wsp:val=&quot;005F6B82&quot;/&gt;&lt;wsp:rsid wsp:val=&quot;005F7471&quot;/&gt;&lt;wsp:rsid wsp:val=&quot;005F7F65&quot;/&gt;&lt;wsp:rsid wsp:val=&quot;006011B9&quot;/&gt;&lt;wsp:rsid wsp:val=&quot;00602B30&quot;/&gt;&lt;wsp:rsid wsp:val=&quot;006038DB&quot;/&gt;&lt;wsp:rsid wsp:val=&quot;00603AC2&quot;/&gt;&lt;wsp:rsid wsp:val=&quot;00603DB5&quot;/&gt;&lt;wsp:rsid wsp:val=&quot;00604012&quot;/&gt;&lt;wsp:rsid wsp:val=&quot;006049C7&quot;/&gt;&lt;wsp:rsid wsp:val=&quot;00604E44&quot;/&gt;&lt;wsp:rsid wsp:val=&quot;00606312&quot;/&gt;&lt;wsp:rsid wsp:val=&quot;006066CE&quot;/&gt;&lt;wsp:rsid wsp:val=&quot;006066D6&quot;/&gt;&lt;wsp:rsid wsp:val=&quot;0060723D&quot;/&gt;&lt;wsp:rsid wsp:val=&quot;0060752E&quot;/&gt;&lt;wsp:rsid wsp:val=&quot;006077AC&quot;/&gt;&lt;wsp:rsid wsp:val=&quot;00607BD8&quot;/&gt;&lt;wsp:rsid wsp:val=&quot;006109E0&quot;/&gt;&lt;wsp:rsid wsp:val=&quot;00610A76&quot;/&gt;&lt;wsp:rsid wsp:val=&quot;00611E04&quot;/&gt;&lt;wsp:rsid wsp:val=&quot;00611F42&quot;/&gt;&lt;wsp:rsid wsp:val=&quot;00611F7A&quot;/&gt;&lt;wsp:rsid wsp:val=&quot;00612B6F&quot;/&gt;&lt;wsp:rsid wsp:val=&quot;00613B3D&quot;/&gt;&lt;wsp:rsid wsp:val=&quot;006151B1&quot;/&gt;&lt;wsp:rsid wsp:val=&quot;00616946&quot;/&gt;&lt;wsp:rsid wsp:val=&quot;00620469&quot;/&gt;&lt;wsp:rsid wsp:val=&quot;006204E1&quot;/&gt;&lt;wsp:rsid wsp:val=&quot;00620A22&quot;/&gt;&lt;wsp:rsid wsp:val=&quot;00621211&quot;/&gt;&lt;wsp:rsid wsp:val=&quot;00621BB7&quot;/&gt;&lt;wsp:rsid wsp:val=&quot;00622871&quot;/&gt;&lt;wsp:rsid wsp:val=&quot;00622FC6&quot;/&gt;&lt;wsp:rsid wsp:val=&quot;00623326&quot;/&gt;&lt;wsp:rsid wsp:val=&quot;00623A74&quot;/&gt;&lt;wsp:rsid wsp:val=&quot;00623BF5&quot;/&gt;&lt;wsp:rsid wsp:val=&quot;00623C4B&quot;/&gt;&lt;wsp:rsid wsp:val=&quot;00623EFC&quot;/&gt;&lt;wsp:rsid wsp:val=&quot;0062456B&quot;/&gt;&lt;wsp:rsid wsp:val=&quot;00624D6C&quot;/&gt;&lt;wsp:rsid wsp:val=&quot;006258AA&quot;/&gt;&lt;wsp:rsid wsp:val=&quot;00626825&quot;/&gt;&lt;wsp:rsid wsp:val=&quot;00626FA2&quot;/&gt;&lt;wsp:rsid wsp:val=&quot;006279DB&quot;/&gt;&lt;wsp:rsid wsp:val=&quot;00627B32&quot;/&gt;&lt;wsp:rsid wsp:val=&quot;00627C6C&quot;/&gt;&lt;wsp:rsid wsp:val=&quot;00627DAC&quot;/&gt;&lt;wsp:rsid wsp:val=&quot;00630C1C&quot;/&gt;&lt;wsp:rsid wsp:val=&quot;00630C75&quot;/&gt;&lt;wsp:rsid wsp:val=&quot;00630D4F&quot;/&gt;&lt;wsp:rsid wsp:val=&quot;006313D8&quot;/&gt;&lt;wsp:rsid wsp:val=&quot;0063141A&quot;/&gt;&lt;wsp:rsid wsp:val=&quot;006318F3&quot;/&gt;&lt;wsp:rsid wsp:val=&quot;00632207&quot;/&gt;&lt;wsp:rsid wsp:val=&quot;0063280A&quot;/&gt;&lt;wsp:rsid wsp:val=&quot;00634B4C&quot;/&gt;&lt;wsp:rsid wsp:val=&quot;00634C90&quot;/&gt;&lt;wsp:rsid wsp:val=&quot;00635F70&quot;/&gt;&lt;wsp:rsid wsp:val=&quot;00637122&quot;/&gt;&lt;wsp:rsid wsp:val=&quot;006400D3&quot;/&gt;&lt;wsp:rsid wsp:val=&quot;0064029A&quot;/&gt;&lt;wsp:rsid wsp:val=&quot;00640614&quot;/&gt;&lt;wsp:rsid wsp:val=&quot;006411BF&quot;/&gt;&lt;wsp:rsid wsp:val=&quot;006423CD&quot;/&gt;&lt;wsp:rsid wsp:val=&quot;00642482&quot;/&gt;&lt;wsp:rsid wsp:val=&quot;00642486&quot;/&gt;&lt;wsp:rsid wsp:val=&quot;00642975&quot;/&gt;&lt;wsp:rsid wsp:val=&quot;00642D0B&quot;/&gt;&lt;wsp:rsid wsp:val=&quot;006430B7&quot;/&gt;&lt;wsp:rsid wsp:val=&quot;00643117&quot;/&gt;&lt;wsp:rsid wsp:val=&quot;00643C86&quot;/&gt;&lt;wsp:rsid wsp:val=&quot;00644A78&quot;/&gt;&lt;wsp:rsid wsp:val=&quot;006464DC&quot;/&gt;&lt;wsp:rsid wsp:val=&quot;00646846&quot;/&gt;&lt;wsp:rsid wsp:val=&quot;00647E01&quot;/&gt;&lt;wsp:rsid wsp:val=&quot;00650B7F&quot;/&gt;&lt;wsp:rsid wsp:val=&quot;00651205&quot;/&gt;&lt;wsp:rsid wsp:val=&quot;00651210&quot;/&gt;&lt;wsp:rsid wsp:val=&quot;00651701&quot;/&gt;&lt;wsp:rsid wsp:val=&quot;0065284F&quot;/&gt;&lt;wsp:rsid wsp:val=&quot;00652DBF&quot;/&gt;&lt;wsp:rsid wsp:val=&quot;00653F91&quot;/&gt;&lt;wsp:rsid wsp:val=&quot;0065450E&quot;/&gt;&lt;wsp:rsid wsp:val=&quot;00660115&quot;/&gt;&lt;wsp:rsid wsp:val=&quot;00661DA7&quot;/&gt;&lt;wsp:rsid wsp:val=&quot;00662418&quot;/&gt;&lt;wsp:rsid wsp:val=&quot;00663DA0&quot;/&gt;&lt;wsp:rsid wsp:val=&quot;006650A2&quot;/&gt;&lt;wsp:rsid wsp:val=&quot;0066575C&quot;/&gt;&lt;wsp:rsid wsp:val=&quot;00665C8D&quot;/&gt;&lt;wsp:rsid wsp:val=&quot;00665DB7&quot;/&gt;&lt;wsp:rsid wsp:val=&quot;0066641F&quot;/&gt;&lt;wsp:rsid wsp:val=&quot;00667BF7&quot;/&gt;&lt;wsp:rsid wsp:val=&quot;00671E7A&quot;/&gt;&lt;wsp:rsid wsp:val=&quot;0067257E&quot;/&gt;&lt;wsp:rsid wsp:val=&quot;00673309&quot;/&gt;&lt;wsp:rsid wsp:val=&quot;006745F9&quot;/&gt;&lt;wsp:rsid wsp:val=&quot;00674D40&quot;/&gt;&lt;wsp:rsid wsp:val=&quot;00675943&quot;/&gt;&lt;wsp:rsid wsp:val=&quot;0067613C&quot;/&gt;&lt;wsp:rsid wsp:val=&quot;00677983&quot;/&gt;&lt;wsp:rsid wsp:val=&quot;00677BD1&quot;/&gt;&lt;wsp:rsid wsp:val=&quot;00684570&quot;/&gt;&lt;wsp:rsid wsp:val=&quot;00684C44&quot;/&gt;&lt;wsp:rsid wsp:val=&quot;006851EC&quot;/&gt;&lt;wsp:rsid wsp:val=&quot;00686847&quot;/&gt;&lt;wsp:rsid wsp:val=&quot;0069108C&quot;/&gt;&lt;wsp:rsid wsp:val=&quot;0069272A&quot;/&gt;&lt;wsp:rsid wsp:val=&quot;00692B5B&quot;/&gt;&lt;wsp:rsid wsp:val=&quot;00692D5C&quot;/&gt;&lt;wsp:rsid wsp:val=&quot;00692E7A&quot;/&gt;&lt;wsp:rsid wsp:val=&quot;00692FF9&quot;/&gt;&lt;wsp:rsid wsp:val=&quot;006934EA&quot;/&gt;&lt;wsp:rsid wsp:val=&quot;00693F0F&quot;/&gt;&lt;wsp:rsid wsp:val=&quot;00697385&quot;/&gt;&lt;wsp:rsid wsp:val=&quot;00697471&quot;/&gt;&lt;wsp:rsid wsp:val=&quot;00697521&quot;/&gt;&lt;wsp:rsid wsp:val=&quot;00697CDC&quot;/&gt;&lt;wsp:rsid wsp:val=&quot;006A02C4&quot;/&gt;&lt;wsp:rsid wsp:val=&quot;006A0EBE&quot;/&gt;&lt;wsp:rsid wsp:val=&quot;006A1922&quot;/&gt;&lt;wsp:rsid wsp:val=&quot;006A21A0&quot;/&gt;&lt;wsp:rsid wsp:val=&quot;006A32F9&quot;/&gt;&lt;wsp:rsid wsp:val=&quot;006A470B&quot;/&gt;&lt;wsp:rsid wsp:val=&quot;006A502C&quot;/&gt;&lt;wsp:rsid wsp:val=&quot;006A60CA&quot;/&gt;&lt;wsp:rsid wsp:val=&quot;006A71B5&quot;/&gt;&lt;wsp:rsid wsp:val=&quot;006A78E0&quot;/&gt;&lt;wsp:rsid wsp:val=&quot;006B0769&quot;/&gt;&lt;wsp:rsid wsp:val=&quot;006B2423&quot;/&gt;&lt;wsp:rsid wsp:val=&quot;006B2687&quot;/&gt;&lt;wsp:rsid wsp:val=&quot;006B26E7&quot;/&gt;&lt;wsp:rsid wsp:val=&quot;006B2BC9&quot;/&gt;&lt;wsp:rsid wsp:val=&quot;006B331F&quot;/&gt;&lt;wsp:rsid wsp:val=&quot;006B3EEC&quot;/&gt;&lt;wsp:rsid wsp:val=&quot;006B44F2&quot;/&gt;&lt;wsp:rsid wsp:val=&quot;006B5B97&quot;/&gt;&lt;wsp:rsid wsp:val=&quot;006B62A7&quot;/&gt;&lt;wsp:rsid wsp:val=&quot;006B6CCD&quot;/&gt;&lt;wsp:rsid wsp:val=&quot;006C0A3A&quot;/&gt;&lt;wsp:rsid wsp:val=&quot;006C148B&quot;/&gt;&lt;wsp:rsid wsp:val=&quot;006C16D5&quot;/&gt;&lt;wsp:rsid wsp:val=&quot;006C18DC&quot;/&gt;&lt;wsp:rsid wsp:val=&quot;006C2053&quot;/&gt;&lt;wsp:rsid wsp:val=&quot;006C4D6D&quot;/&gt;&lt;wsp:rsid wsp:val=&quot;006C57A7&quot;/&gt;&lt;wsp:rsid wsp:val=&quot;006C5812&quot;/&gt;&lt;wsp:rsid wsp:val=&quot;006D0FA3&quot;/&gt;&lt;wsp:rsid wsp:val=&quot;006D139E&quot;/&gt;&lt;wsp:rsid wsp:val=&quot;006D13CC&quot;/&gt;&lt;wsp:rsid wsp:val=&quot;006D1AEA&quot;/&gt;&lt;wsp:rsid wsp:val=&quot;006D1FE7&quot;/&gt;&lt;wsp:rsid wsp:val=&quot;006D38E8&quot;/&gt;&lt;wsp:rsid wsp:val=&quot;006D444A&quot;/&gt;&lt;wsp:rsid wsp:val=&quot;006D45D3&quot;/&gt;&lt;wsp:rsid wsp:val=&quot;006D5E16&quot;/&gt;&lt;wsp:rsid wsp:val=&quot;006D60FE&quot;/&gt;&lt;wsp:rsid wsp:val=&quot;006D7691&quot;/&gt;&lt;wsp:rsid wsp:val=&quot;006E03A1&quot;/&gt;&lt;wsp:rsid wsp:val=&quot;006E08D7&quot;/&gt;&lt;wsp:rsid wsp:val=&quot;006E097E&quot;/&gt;&lt;wsp:rsid wsp:val=&quot;006E172D&quot;/&gt;&lt;wsp:rsid wsp:val=&quot;006E2726&quot;/&gt;&lt;wsp:rsid wsp:val=&quot;006E30A6&quot;/&gt;&lt;wsp:rsid wsp:val=&quot;006E6254&quot;/&gt;&lt;wsp:rsid wsp:val=&quot;006E7E17&quot;/&gt;&lt;wsp:rsid wsp:val=&quot;006F0017&quot;/&gt;&lt;wsp:rsid wsp:val=&quot;006F048D&quot;/&gt;&lt;wsp:rsid wsp:val=&quot;006F0994&quot;/&gt;&lt;wsp:rsid wsp:val=&quot;006F101D&quot;/&gt;&lt;wsp:rsid wsp:val=&quot;006F1325&quot;/&gt;&lt;wsp:rsid wsp:val=&quot;006F2911&quot;/&gt;&lt;wsp:rsid wsp:val=&quot;006F2A0D&quot;/&gt;&lt;wsp:rsid wsp:val=&quot;006F3653&quot;/&gt;&lt;wsp:rsid wsp:val=&quot;006F3B17&quot;/&gt;&lt;wsp:rsid wsp:val=&quot;006F476C&quot;/&gt;&lt;wsp:rsid wsp:val=&quot;006F5494&quot;/&gt;&lt;wsp:rsid wsp:val=&quot;006F5A95&quot;/&gt;&lt;wsp:rsid wsp:val=&quot;006F6D65&quot;/&gt;&lt;wsp:rsid wsp:val=&quot;006F74A7&quot;/&gt;&lt;wsp:rsid wsp:val=&quot;0070090C&quot;/&gt;&lt;wsp:rsid wsp:val=&quot;00701171&quot;/&gt;&lt;wsp:rsid wsp:val=&quot;00701955&quot;/&gt;&lt;wsp:rsid wsp:val=&quot;007045A0&quot;/&gt;&lt;wsp:rsid wsp:val=&quot;00704910&quot;/&gt;&lt;wsp:rsid wsp:val=&quot;00704933&quot;/&gt;&lt;wsp:rsid wsp:val=&quot;007049F0&quot;/&gt;&lt;wsp:rsid wsp:val=&quot;007049FE&quot;/&gt;&lt;wsp:rsid wsp:val=&quot;00704C9C&quot;/&gt;&lt;wsp:rsid wsp:val=&quot;00705C88&quot;/&gt;&lt;wsp:rsid wsp:val=&quot;00707B3A&quot;/&gt;&lt;wsp:rsid wsp:val=&quot;00710C8C&quot;/&gt;&lt;wsp:rsid wsp:val=&quot;007119E2&quot;/&gt;&lt;wsp:rsid wsp:val=&quot;00711AFB&quot;/&gt;&lt;wsp:rsid wsp:val=&quot;0071293A&quot;/&gt;&lt;wsp:rsid wsp:val=&quot;00714886&quot;/&gt;&lt;wsp:rsid wsp:val=&quot;00715133&quot;/&gt;&lt;wsp:rsid wsp:val=&quot;007158F1&quot;/&gt;&lt;wsp:rsid wsp:val=&quot;00715CEF&quot;/&gt;&lt;wsp:rsid wsp:val=&quot;00715F99&quot;/&gt;&lt;wsp:rsid wsp:val=&quot;0071604B&quot;/&gt;&lt;wsp:rsid wsp:val=&quot;0071744D&quot;/&gt;&lt;wsp:rsid wsp:val=&quot;007176F3&quot;/&gt;&lt;wsp:rsid wsp:val=&quot;00717AD1&quot;/&gt;&lt;wsp:rsid wsp:val=&quot;00717EC9&quot;/&gt;&lt;wsp:rsid wsp:val=&quot;0072137A&quot;/&gt;&lt;wsp:rsid wsp:val=&quot;007216BA&quot;/&gt;&lt;wsp:rsid wsp:val=&quot;00722202&quot;/&gt;&lt;wsp:rsid wsp:val=&quot;00723314&quot;/&gt;&lt;wsp:rsid wsp:val=&quot;007242F6&quot;/&gt;&lt;wsp:rsid wsp:val=&quot;00724B00&quot;/&gt;&lt;wsp:rsid wsp:val=&quot;00724B19&quot;/&gt;&lt;wsp:rsid wsp:val=&quot;00725517&quot;/&gt;&lt;wsp:rsid wsp:val=&quot;00725604&quot;/&gt;&lt;wsp:rsid wsp:val=&quot;007257B2&quot;/&gt;&lt;wsp:rsid wsp:val=&quot;00725A97&quot;/&gt;&lt;wsp:rsid wsp:val=&quot;00725B60&quot;/&gt;&lt;wsp:rsid wsp:val=&quot;007261AB&quot;/&gt;&lt;wsp:rsid wsp:val=&quot;00730305&quot;/&gt;&lt;wsp:rsid wsp:val=&quot;00730A72&quot;/&gt;&lt;wsp:rsid wsp:val=&quot;007314A3&quot;/&gt;&lt;wsp:rsid wsp:val=&quot;00731DC0&quot;/&gt;&lt;wsp:rsid wsp:val=&quot;00732355&quot;/&gt;&lt;wsp:rsid wsp:val=&quot;0073297C&quot;/&gt;&lt;wsp:rsid wsp:val=&quot;00733886&quot;/&gt;&lt;wsp:rsid wsp:val=&quot;00734C98&quot;/&gt;&lt;wsp:rsid wsp:val=&quot;00734E83&quot;/&gt;&lt;wsp:rsid wsp:val=&quot;00735239&quot;/&gt;&lt;wsp:rsid wsp:val=&quot;00740ED5&quot;/&gt;&lt;wsp:rsid wsp:val=&quot;00743B56&quot;/&gt;&lt;wsp:rsid wsp:val=&quot;00746828&quot;/&gt;&lt;wsp:rsid wsp:val=&quot;00747D8C&quot;/&gt;&lt;wsp:rsid wsp:val=&quot;007503C0&quot;/&gt;&lt;wsp:rsid wsp:val=&quot;00750825&quot;/&gt;&lt;wsp:rsid wsp:val=&quot;007509DA&quot;/&gt;&lt;wsp:rsid wsp:val=&quot;00750DFF&quot;/&gt;&lt;wsp:rsid wsp:val=&quot;00751A6A&quot;/&gt;&lt;wsp:rsid wsp:val=&quot;00751EF8&quot;/&gt;&lt;wsp:rsid wsp:val=&quot;0075256E&quot;/&gt;&lt;wsp:rsid wsp:val=&quot;00753240&quot;/&gt;&lt;wsp:rsid wsp:val=&quot;007536CD&quot;/&gt;&lt;wsp:rsid wsp:val=&quot;00753914&quot;/&gt;&lt;wsp:rsid wsp:val=&quot;00753C64&quot;/&gt;&lt;wsp:rsid wsp:val=&quot;007549E9&quot;/&gt;&lt;wsp:rsid wsp:val=&quot;00754F25&quot;/&gt;&lt;wsp:rsid wsp:val=&quot;00756128&quot;/&gt;&lt;wsp:rsid wsp:val=&quot;00756840&quot;/&gt;&lt;wsp:rsid wsp:val=&quot;00756E84&quot;/&gt;&lt;wsp:rsid wsp:val=&quot;00757F28&quot;/&gt;&lt;wsp:rsid wsp:val=&quot;00760394&quot;/&gt;&lt;wsp:rsid wsp:val=&quot;0076243E&quot;/&gt;&lt;wsp:rsid wsp:val=&quot;00764CAF&quot;/&gt;&lt;wsp:rsid wsp:val=&quot;00765C52&quot;/&gt;&lt;wsp:rsid wsp:val=&quot;00766AFD&quot;/&gt;&lt;wsp:rsid wsp:val=&quot;0077022D&quot;/&gt;&lt;wsp:rsid wsp:val=&quot;0077088A&quot;/&gt;&lt;wsp:rsid wsp:val=&quot;00770D88&quot;/&gt;&lt;wsp:rsid wsp:val=&quot;007712EA&quot;/&gt;&lt;wsp:rsid wsp:val=&quot;00773B4C&quot;/&gt;&lt;wsp:rsid wsp:val=&quot;00773D05&quot;/&gt;&lt;wsp:rsid wsp:val=&quot;00773DF3&quot;/&gt;&lt;wsp:rsid wsp:val=&quot;00773FA7&quot;/&gt;&lt;wsp:rsid wsp:val=&quot;00774752&quot;/&gt;&lt;wsp:rsid wsp:val=&quot;0077496E&quot;/&gt;&lt;wsp:rsid wsp:val=&quot;00774A8B&quot;/&gt;&lt;wsp:rsid wsp:val=&quot;00774D4A&quot;/&gt;&lt;wsp:rsid wsp:val=&quot;00775433&quot;/&gt;&lt;wsp:rsid wsp:val=&quot;00775D0A&quot;/&gt;&lt;wsp:rsid wsp:val=&quot;00775FDD&quot;/&gt;&lt;wsp:rsid wsp:val=&quot;00776C11&quot;/&gt;&lt;wsp:rsid wsp:val=&quot;00777B19&quot;/&gt;&lt;wsp:rsid wsp:val=&quot;00777D82&quot;/&gt;&lt;wsp:rsid wsp:val=&quot;007805BC&quot;/&gt;&lt;wsp:rsid wsp:val=&quot;0078078E&quot;/&gt;&lt;wsp:rsid wsp:val=&quot;00781611&quot;/&gt;&lt;wsp:rsid wsp:val=&quot;007818E2&quot;/&gt;&lt;wsp:rsid wsp:val=&quot;00781943&quot;/&gt;&lt;wsp:rsid wsp:val=&quot;0078218A&quot;/&gt;&lt;wsp:rsid wsp:val=&quot;00784493&quot;/&gt;&lt;wsp:rsid wsp:val=&quot;00784E74&quot;/&gt;&lt;wsp:rsid wsp:val=&quot;0078533B&quot;/&gt;&lt;wsp:rsid wsp:val=&quot;00785F22&quot;/&gt;&lt;wsp:rsid wsp:val=&quot;00786B08&quot;/&gt;&lt;wsp:rsid wsp:val=&quot;00786E28&quot;/&gt;&lt;wsp:rsid wsp:val=&quot;007918C0&quot;/&gt;&lt;wsp:rsid wsp:val=&quot;00791CD2&quot;/&gt;&lt;wsp:rsid wsp:val=&quot;00791EAC&quot;/&gt;&lt;wsp:rsid wsp:val=&quot;00792953&quot;/&gt;&lt;wsp:rsid wsp:val=&quot;007929C5&quot;/&gt;&lt;wsp:rsid wsp:val=&quot;00793B39&quot;/&gt;&lt;wsp:rsid wsp:val=&quot;00793D47&quot;/&gt;&lt;wsp:rsid wsp:val=&quot;00795C41&quot;/&gt;&lt;wsp:rsid wsp:val=&quot;00795DFF&quot;/&gt;&lt;wsp:rsid wsp:val=&quot;0079617C&quot;/&gt;&lt;wsp:rsid wsp:val=&quot;007967F3&quot;/&gt;&lt;wsp:rsid wsp:val=&quot;00797C10&quot;/&gt;&lt;wsp:rsid wsp:val=&quot;007A0D8F&quot;/&gt;&lt;wsp:rsid wsp:val=&quot;007A0EC9&quot;/&gt;&lt;wsp:rsid wsp:val=&quot;007A1108&quot;/&gt;&lt;wsp:rsid wsp:val=&quot;007A18B9&quot;/&gt;&lt;wsp:rsid wsp:val=&quot;007A2B64&quot;/&gt;&lt;wsp:rsid wsp:val=&quot;007A2BFC&quot;/&gt;&lt;wsp:rsid wsp:val=&quot;007A2FC2&quot;/&gt;&lt;wsp:rsid wsp:val=&quot;007A405E&quot;/&gt;&lt;wsp:rsid wsp:val=&quot;007A4B7D&quot;/&gt;&lt;wsp:rsid wsp:val=&quot;007A4E8E&quot;/&gt;&lt;wsp:rsid wsp:val=&quot;007A52A6&quot;/&gt;&lt;wsp:rsid wsp:val=&quot;007A52A7&quot;/&gt;&lt;wsp:rsid wsp:val=&quot;007A6151&quot;/&gt;&lt;wsp:rsid wsp:val=&quot;007A62B7&quot;/&gt;&lt;wsp:rsid wsp:val=&quot;007A637F&quot;/&gt;&lt;wsp:rsid wsp:val=&quot;007A63C8&quot;/&gt;&lt;wsp:rsid wsp:val=&quot;007A794E&quot;/&gt;&lt;wsp:rsid wsp:val=&quot;007B114D&quot;/&gt;&lt;wsp:rsid wsp:val=&quot;007B1A83&quot;/&gt;&lt;wsp:rsid wsp:val=&quot;007B204B&quot;/&gt;&lt;wsp:rsid wsp:val=&quot;007B2C5A&quot;/&gt;&lt;wsp:rsid wsp:val=&quot;007B5508&quot;/&gt;&lt;wsp:rsid wsp:val=&quot;007B5A6F&quot;/&gt;&lt;wsp:rsid wsp:val=&quot;007B6510&quot;/&gt;&lt;wsp:rsid wsp:val=&quot;007B7409&quot;/&gt;&lt;wsp:rsid wsp:val=&quot;007B7ED5&quot;/&gt;&lt;wsp:rsid wsp:val=&quot;007C04ED&quot;/&gt;&lt;wsp:rsid wsp:val=&quot;007C12BA&quot;/&gt;&lt;wsp:rsid wsp:val=&quot;007C2AFB&quot;/&gt;&lt;wsp:rsid wsp:val=&quot;007C2CCD&quot;/&gt;&lt;wsp:rsid wsp:val=&quot;007C2E01&quot;/&gt;&lt;wsp:rsid wsp:val=&quot;007C2F24&quot;/&gt;&lt;wsp:rsid wsp:val=&quot;007C303C&quot;/&gt;&lt;wsp:rsid wsp:val=&quot;007C3D46&quot;/&gt;&lt;wsp:rsid wsp:val=&quot;007C3D6B&quot;/&gt;&lt;wsp:rsid wsp:val=&quot;007C48B8&quot;/&gt;&lt;wsp:rsid wsp:val=&quot;007C5398&quot;/&gt;&lt;wsp:rsid wsp:val=&quot;007C53B7&quot;/&gt;&lt;wsp:rsid wsp:val=&quot;007C61FC&quot;/&gt;&lt;wsp:rsid wsp:val=&quot;007C64C2&quot;/&gt;&lt;wsp:rsid wsp:val=&quot;007C6B86&quot;/&gt;&lt;wsp:rsid wsp:val=&quot;007C6CC8&quot;/&gt;&lt;wsp:rsid wsp:val=&quot;007C7350&quot;/&gt;&lt;wsp:rsid wsp:val=&quot;007C76EE&quot;/&gt;&lt;wsp:rsid wsp:val=&quot;007D0294&quot;/&gt;&lt;wsp:rsid wsp:val=&quot;007D0490&quot;/&gt;&lt;wsp:rsid wsp:val=&quot;007D0F55&quot;/&gt;&lt;wsp:rsid wsp:val=&quot;007D2ADD&quot;/&gt;&lt;wsp:rsid wsp:val=&quot;007D2CAC&quot;/&gt;&lt;wsp:rsid wsp:val=&quot;007D348B&quot;/&gt;&lt;wsp:rsid wsp:val=&quot;007D3914&quot;/&gt;&lt;wsp:rsid wsp:val=&quot;007D3EFF&quot;/&gt;&lt;wsp:rsid wsp:val=&quot;007D412B&quot;/&gt;&lt;wsp:rsid wsp:val=&quot;007D502C&quot;/&gt;&lt;wsp:rsid wsp:val=&quot;007D5527&quot;/&gt;&lt;wsp:rsid wsp:val=&quot;007D5F17&quot;/&gt;&lt;wsp:rsid wsp:val=&quot;007D6FAC&quot;/&gt;&lt;wsp:rsid wsp:val=&quot;007E0391&quot;/&gt;&lt;wsp:rsid wsp:val=&quot;007E087D&quot;/&gt;&lt;wsp:rsid wsp:val=&quot;007E097B&quot;/&gt;&lt;wsp:rsid wsp:val=&quot;007E1BAF&quot;/&gt;&lt;wsp:rsid wsp:val=&quot;007E2337&quot;/&gt;&lt;wsp:rsid wsp:val=&quot;007E30A8&quot;/&gt;&lt;wsp:rsid wsp:val=&quot;007E36F1&quot;/&gt;&lt;wsp:rsid wsp:val=&quot;007E3BE2&quot;/&gt;&lt;wsp:rsid wsp:val=&quot;007E4989&quot;/&gt;&lt;wsp:rsid wsp:val=&quot;007E4F9D&quot;/&gt;&lt;wsp:rsid wsp:val=&quot;007E5215&quot;/&gt;&lt;wsp:rsid wsp:val=&quot;007E55E7&quot;/&gt;&lt;wsp:rsid wsp:val=&quot;007E7AEC&quot;/&gt;&lt;wsp:rsid wsp:val=&quot;007F29AE&quot;/&gt;&lt;wsp:rsid wsp:val=&quot;007F3053&quot;/&gt;&lt;wsp:rsid wsp:val=&quot;007F33D8&quot;/&gt;&lt;wsp:rsid wsp:val=&quot;007F444D&quot;/&gt;&lt;wsp:rsid wsp:val=&quot;007F4519&quot;/&gt;&lt;wsp:rsid wsp:val=&quot;007F4636&quot;/&gt;&lt;wsp:rsid wsp:val=&quot;007F51FE&quot;/&gt;&lt;wsp:rsid wsp:val=&quot;007F65B3&quot;/&gt;&lt;wsp:rsid wsp:val=&quot;007F6CCE&quot;/&gt;&lt;wsp:rsid wsp:val=&quot;007F79C1&quot;/&gt;&lt;wsp:rsid wsp:val=&quot;008003B9&quot;/&gt;&lt;wsp:rsid wsp:val=&quot;008004D1&quot;/&gt;&lt;wsp:rsid wsp:val=&quot;0080069D&quot;/&gt;&lt;wsp:rsid wsp:val=&quot;00801487&quot;/&gt;&lt;wsp:rsid wsp:val=&quot;00801AF6&quot;/&gt;&lt;wsp:rsid wsp:val=&quot;00802A0B&quot;/&gt;&lt;wsp:rsid wsp:val=&quot;00803F39&quot;/&gt;&lt;wsp:rsid wsp:val=&quot;008049D0&quot;/&gt;&lt;wsp:rsid wsp:val=&quot;0080633A&quot;/&gt;&lt;wsp:rsid wsp:val=&quot;00806DD8&quot;/&gt;&lt;wsp:rsid wsp:val=&quot;008071AA&quot;/&gt;&lt;wsp:rsid wsp:val=&quot;00810177&quot;/&gt;&lt;wsp:rsid wsp:val=&quot;008109BB&quot;/&gt;&lt;wsp:rsid wsp:val=&quot;00810F24&quot;/&gt;&lt;wsp:rsid wsp:val=&quot;00811E54&quot;/&gt;&lt;wsp:rsid wsp:val=&quot;00812496&quot;/&gt;&lt;wsp:rsid wsp:val=&quot;008127DD&quot;/&gt;&lt;wsp:rsid wsp:val=&quot;00812A68&quot;/&gt;&lt;wsp:rsid wsp:val=&quot;00812A69&quot;/&gt;&lt;wsp:rsid wsp:val=&quot;00812A7E&quot;/&gt;&lt;wsp:rsid wsp:val=&quot;00813473&quot;/&gt;&lt;wsp:rsid wsp:val=&quot;0081408B&quot;/&gt;&lt;wsp:rsid wsp:val=&quot;00814093&quot;/&gt;&lt;wsp:rsid wsp:val=&quot;00815C11&quot;/&gt;&lt;wsp:rsid wsp:val=&quot;00815D3F&quot;/&gt;&lt;wsp:rsid wsp:val=&quot;00816551&quot;/&gt;&lt;wsp:rsid wsp:val=&quot;008167E2&quot;/&gt;&lt;wsp:rsid wsp:val=&quot;00817A6B&quot;/&gt;&lt;wsp:rsid wsp:val=&quot;00820AC3&quot;/&gt;&lt;wsp:rsid wsp:val=&quot;00821579&quot;/&gt;&lt;wsp:rsid wsp:val=&quot;00822113&quot;/&gt;&lt;wsp:rsid wsp:val=&quot;00822AA4&quot;/&gt;&lt;wsp:rsid wsp:val=&quot;00823281&quot;/&gt;&lt;wsp:rsid wsp:val=&quot;008240CD&quot;/&gt;&lt;wsp:rsid wsp:val=&quot;008256BF&quot;/&gt;&lt;wsp:rsid wsp:val=&quot;008257A8&quot;/&gt;&lt;wsp:rsid wsp:val=&quot;00825A1E&quot;/&gt;&lt;wsp:rsid wsp:val=&quot;0082743F&quot;/&gt;&lt;wsp:rsid wsp:val=&quot;008274D0&quot;/&gt;&lt;wsp:rsid wsp:val=&quot;00827EF7&quot;/&gt;&lt;wsp:rsid wsp:val=&quot;00830BCE&quot;/&gt;&lt;wsp:rsid wsp:val=&quot;00831AF5&quot;/&gt;&lt;wsp:rsid wsp:val=&quot;00832080&quot;/&gt;&lt;wsp:rsid wsp:val=&quot;00833009&quot;/&gt;&lt;wsp:rsid wsp:val=&quot;0083373D&quot;/&gt;&lt;wsp:rsid wsp:val=&quot;0083400F&quot;/&gt;&lt;wsp:rsid wsp:val=&quot;00834C21&quot;/&gt;&lt;wsp:rsid wsp:val=&quot;00834E9D&quot;/&gt;&lt;wsp:rsid wsp:val=&quot;00835FB8&quot;/&gt;&lt;wsp:rsid wsp:val=&quot;00836440&quot;/&gt;&lt;wsp:rsid wsp:val=&quot;00836994&quot;/&gt;&lt;wsp:rsid wsp:val=&quot;00836F5E&quot;/&gt;&lt;wsp:rsid wsp:val=&quot;008372D5&quot;/&gt;&lt;wsp:rsid wsp:val=&quot;008378FF&quot;/&gt;&lt;wsp:rsid wsp:val=&quot;00837A73&quot;/&gt;&lt;wsp:rsid wsp:val=&quot;00837B45&quot;/&gt;&lt;wsp:rsid wsp:val=&quot;00837BBB&quot;/&gt;&lt;wsp:rsid wsp:val=&quot;008411D0&quot;/&gt;&lt;wsp:rsid wsp:val=&quot;008441AB&quot;/&gt;&lt;wsp:rsid wsp:val=&quot;008441C9&quot;/&gt;&lt;wsp:rsid wsp:val=&quot;008446DC&quot;/&gt;&lt;wsp:rsid wsp:val=&quot;0084591A&quot;/&gt;&lt;wsp:rsid wsp:val=&quot;00845FD9&quot;/&gt;&lt;wsp:rsid wsp:val=&quot;00846486&quot;/&gt;&lt;wsp:rsid wsp:val=&quot;00846693&quot;/&gt;&lt;wsp:rsid wsp:val=&quot;00846CD7&quot;/&gt;&lt;wsp:rsid wsp:val=&quot;008478AB&quot;/&gt;&lt;wsp:rsid wsp:val=&quot;0085169C&quot;/&gt;&lt;wsp:rsid wsp:val=&quot;00851703&quot;/&gt;&lt;wsp:rsid wsp:val=&quot;008519D4&quot;/&gt;&lt;wsp:rsid wsp:val=&quot;008533A3&quot;/&gt;&lt;wsp:rsid wsp:val=&quot;00854DE3&quot;/&gt;&lt;wsp:rsid wsp:val=&quot;00854FBD&quot;/&gt;&lt;wsp:rsid wsp:val=&quot;00855B2E&quot;/&gt;&lt;wsp:rsid wsp:val=&quot;0085607E&quot;/&gt;&lt;wsp:rsid wsp:val=&quot;00856BEE&quot;/&gt;&lt;wsp:rsid wsp:val=&quot;00856D30&quot;/&gt;&lt;wsp:rsid wsp:val=&quot;00860B8B&quot;/&gt;&lt;wsp:rsid wsp:val=&quot;00863041&quot;/&gt;&lt;wsp:rsid wsp:val=&quot;0086326E&quot;/&gt;&lt;wsp:rsid wsp:val=&quot;008634A0&quot;/&gt;&lt;wsp:rsid wsp:val=&quot;00864AE9&quot;/&gt;&lt;wsp:rsid wsp:val=&quot;00864CBB&quot;/&gt;&lt;wsp:rsid wsp:val=&quot;00864D0C&quot;/&gt;&lt;wsp:rsid wsp:val=&quot;008660E2&quot;/&gt;&lt;wsp:rsid wsp:val=&quot;00866F1F&quot;/&gt;&lt;wsp:rsid wsp:val=&quot;0086787B&quot;/&gt;&lt;wsp:rsid wsp:val=&quot;008701BC&quot;/&gt;&lt;wsp:rsid wsp:val=&quot;0087057D&quot;/&gt;&lt;wsp:rsid wsp:val=&quot;008712B5&quot;/&gt;&lt;wsp:rsid wsp:val=&quot;00871897&quot;/&gt;&lt;wsp:rsid wsp:val=&quot;008744E5&quot;/&gt;&lt;wsp:rsid wsp:val=&quot;00874964&quot;/&gt;&lt;wsp:rsid wsp:val=&quot;008755DE&quot;/&gt;&lt;wsp:rsid wsp:val=&quot;008759BE&quot;/&gt;&lt;wsp:rsid wsp:val=&quot;00875FD7&quot;/&gt;&lt;wsp:rsid wsp:val=&quot;008775C4&quot;/&gt;&lt;wsp:rsid wsp:val=&quot;00877FEC&quot;/&gt;&lt;wsp:rsid wsp:val=&quot;0088074E&quot;/&gt;&lt;wsp:rsid wsp:val=&quot;00880AB0&quot;/&gt;&lt;wsp:rsid wsp:val=&quot;008821BF&quot;/&gt;&lt;wsp:rsid wsp:val=&quot;008823C3&quot;/&gt;&lt;wsp:rsid wsp:val=&quot;00882951&quot;/&gt;&lt;wsp:rsid wsp:val=&quot;00883DD7&quot;/&gt;&lt;wsp:rsid wsp:val=&quot;008847BD&quot;/&gt;&lt;wsp:rsid wsp:val=&quot;00885415&quot;/&gt;&lt;wsp:rsid wsp:val=&quot;00886CFA&quot;/&gt;&lt;wsp:rsid wsp:val=&quot;00886E85&quot;/&gt;&lt;wsp:rsid wsp:val=&quot;0088771A&quot;/&gt;&lt;wsp:rsid wsp:val=&quot;0088779D&quot;/&gt;&lt;wsp:rsid wsp:val=&quot;008904AE&quot;/&gt;&lt;wsp:rsid wsp:val=&quot;008938F3&quot;/&gt;&lt;wsp:rsid wsp:val=&quot;008941D0&quot;/&gt;&lt;wsp:rsid wsp:val=&quot;0089716F&quot;/&gt;&lt;wsp:rsid wsp:val=&quot;00897FC8&quot;/&gt;&lt;wsp:rsid wsp:val=&quot;008A05CE&quot;/&gt;&lt;wsp:rsid wsp:val=&quot;008A067E&quot;/&gt;&lt;wsp:rsid wsp:val=&quot;008A095C&quot;/&gt;&lt;wsp:rsid wsp:val=&quot;008A1230&quot;/&gt;&lt;wsp:rsid wsp:val=&quot;008A161C&quot;/&gt;&lt;wsp:rsid wsp:val=&quot;008A1AD4&quot;/&gt;&lt;wsp:rsid wsp:val=&quot;008A26BA&quot;/&gt;&lt;wsp:rsid wsp:val=&quot;008A39EF&quot;/&gt;&lt;wsp:rsid wsp:val=&quot;008A3A2E&quot;/&gt;&lt;wsp:rsid wsp:val=&quot;008A3EA8&quot;/&gt;&lt;wsp:rsid wsp:val=&quot;008A413C&quot;/&gt;&lt;wsp:rsid wsp:val=&quot;008A451C&quot;/&gt;&lt;wsp:rsid wsp:val=&quot;008A4802&quot;/&gt;&lt;wsp:rsid wsp:val=&quot;008A4A95&quot;/&gt;&lt;wsp:rsid wsp:val=&quot;008A4B16&quot;/&gt;&lt;wsp:rsid wsp:val=&quot;008A4B30&quot;/&gt;&lt;wsp:rsid wsp:val=&quot;008A598B&quot;/&gt;&lt;wsp:rsid wsp:val=&quot;008A65E1&quot;/&gt;&lt;wsp:rsid wsp:val=&quot;008A6BD6&quot;/&gt;&lt;wsp:rsid wsp:val=&quot;008A7C36&quot;/&gt;&lt;wsp:rsid wsp:val=&quot;008B0390&quot;/&gt;&lt;wsp:rsid wsp:val=&quot;008B04ED&quot;/&gt;&lt;wsp:rsid wsp:val=&quot;008B115A&quot;/&gt;&lt;wsp:rsid wsp:val=&quot;008B1CF1&quot;/&gt;&lt;wsp:rsid wsp:val=&quot;008B255F&quot;/&gt;&lt;wsp:rsid wsp:val=&quot;008B29B4&quot;/&gt;&lt;wsp:rsid wsp:val=&quot;008B3B19&quot;/&gt;&lt;wsp:rsid wsp:val=&quot;008B4073&quot;/&gt;&lt;wsp:rsid wsp:val=&quot;008B47C7&quot;/&gt;&lt;wsp:rsid wsp:val=&quot;008B49B3&quot;/&gt;&lt;wsp:rsid wsp:val=&quot;008B6C65&quot;/&gt;&lt;wsp:rsid wsp:val=&quot;008B6F44&quot;/&gt;&lt;wsp:rsid wsp:val=&quot;008C0051&quot;/&gt;&lt;wsp:rsid wsp:val=&quot;008C01A1&quot;/&gt;&lt;wsp:rsid wsp:val=&quot;008C0BC1&quot;/&gt;&lt;wsp:rsid wsp:val=&quot;008C169D&quot;/&gt;&lt;wsp:rsid wsp:val=&quot;008C2D2B&quot;/&gt;&lt;wsp:rsid wsp:val=&quot;008C2EBA&quot;/&gt;&lt;wsp:rsid wsp:val=&quot;008C3488&quot;/&gt;&lt;wsp:rsid wsp:val=&quot;008C370C&quot;/&gt;&lt;wsp:rsid wsp:val=&quot;008C46DA&quot;/&gt;&lt;wsp:rsid wsp:val=&quot;008C49B3&quot;/&gt;&lt;wsp:rsid wsp:val=&quot;008C4CEB&quot;/&gt;&lt;wsp:rsid wsp:val=&quot;008C5B7A&quot;/&gt;&lt;wsp:rsid wsp:val=&quot;008C5FEE&quot;/&gt;&lt;wsp:rsid wsp:val=&quot;008C7566&quot;/&gt;&lt;wsp:rsid wsp:val=&quot;008D150B&quot;/&gt;&lt;wsp:rsid wsp:val=&quot;008D172C&quot;/&gt;&lt;wsp:rsid wsp:val=&quot;008D2EC7&quot;/&gt;&lt;wsp:rsid wsp:val=&quot;008D2F23&quot;/&gt;&lt;wsp:rsid wsp:val=&quot;008D3106&quot;/&gt;&lt;wsp:rsid wsp:val=&quot;008D36B0&quot;/&gt;&lt;wsp:rsid wsp:val=&quot;008D3DD9&quot;/&gt;&lt;wsp:rsid wsp:val=&quot;008D3F23&quot;/&gt;&lt;wsp:rsid wsp:val=&quot;008D459E&quot;/&gt;&lt;wsp:rsid wsp:val=&quot;008D4654&quot;/&gt;&lt;wsp:rsid wsp:val=&quot;008D4851&quot;/&gt;&lt;wsp:rsid wsp:val=&quot;008D4F68&quot;/&gt;&lt;wsp:rsid wsp:val=&quot;008D686F&quot;/&gt;&lt;wsp:rsid wsp:val=&quot;008D6B6E&quot;/&gt;&lt;wsp:rsid wsp:val=&quot;008D6F20&quot;/&gt;&lt;wsp:rsid wsp:val=&quot;008D7727&quot;/&gt;&lt;wsp:rsid wsp:val=&quot;008E0385&quot;/&gt;&lt;wsp:rsid wsp:val=&quot;008E08EE&quot;/&gt;&lt;wsp:rsid wsp:val=&quot;008E23F0&quot;/&gt;&lt;wsp:rsid wsp:val=&quot;008E3651&quot;/&gt;&lt;wsp:rsid wsp:val=&quot;008E3BDA&quot;/&gt;&lt;wsp:rsid wsp:val=&quot;008E462C&quot;/&gt;&lt;wsp:rsid wsp:val=&quot;008E5FF7&quot;/&gt;&lt;wsp:rsid wsp:val=&quot;008E62B9&quot;/&gt;&lt;wsp:rsid wsp:val=&quot;008E6389&quot;/&gt;&lt;wsp:rsid wsp:val=&quot;008E78D2&quot;/&gt;&lt;wsp:rsid wsp:val=&quot;008E7949&quot;/&gt;&lt;wsp:rsid wsp:val=&quot;008F065F&quot;/&gt;&lt;wsp:rsid wsp:val=&quot;008F184F&quot;/&gt;&lt;wsp:rsid wsp:val=&quot;008F1EA1&quot;/&gt;&lt;wsp:rsid wsp:val=&quot;008F26B2&quot;/&gt;&lt;wsp:rsid wsp:val=&quot;008F28A2&quot;/&gt;&lt;wsp:rsid wsp:val=&quot;008F37E2&quot;/&gt;&lt;wsp:rsid wsp:val=&quot;008F3AC2&quot;/&gt;&lt;wsp:rsid wsp:val=&quot;008F435E&quot;/&gt;&lt;wsp:rsid wsp:val=&quot;008F4B29&quot;/&gt;&lt;wsp:rsid wsp:val=&quot;008F59C8&quot;/&gt;&lt;wsp:rsid wsp:val=&quot;008F73F8&quot;/&gt;&lt;wsp:rsid wsp:val=&quot;008F759A&quot;/&gt;&lt;wsp:rsid wsp:val=&quot;00900BDD&quot;/&gt;&lt;wsp:rsid wsp:val=&quot;00900F3A&quot;/&gt;&lt;wsp:rsid wsp:val=&quot;00901B4B&quot;/&gt;&lt;wsp:rsid wsp:val=&quot;00901BE6&quot;/&gt;&lt;wsp:rsid wsp:val=&quot;00901FDD&quot;/&gt;&lt;wsp:rsid wsp:val=&quot;00903168&quot;/&gt;&lt;wsp:rsid wsp:val=&quot;00903624&quot;/&gt;&lt;wsp:rsid wsp:val=&quot;0090480E&quot;/&gt;&lt;wsp:rsid wsp:val=&quot;00905234&quot;/&gt;&lt;wsp:rsid wsp:val=&quot;009056EA&quot;/&gt;&lt;wsp:rsid wsp:val=&quot;009059ED&quot;/&gt;&lt;wsp:rsid wsp:val=&quot;00905B68&quot;/&gt;&lt;wsp:rsid wsp:val=&quot;0090602D&quot;/&gt;&lt;wsp:rsid wsp:val=&quot;00906818&quot;/&gt;&lt;wsp:rsid wsp:val=&quot;009069EE&quot;/&gt;&lt;wsp:rsid wsp:val=&quot;00910F8F&quot;/&gt;&lt;wsp:rsid wsp:val=&quot;0091276A&quot;/&gt;&lt;wsp:rsid wsp:val=&quot;009132CC&quot;/&gt;&lt;wsp:rsid wsp:val=&quot;00913B48&quot;/&gt;&lt;wsp:rsid wsp:val=&quot;00914A2F&quot;/&gt;&lt;wsp:rsid wsp:val=&quot;009151A9&quot;/&gt;&lt;wsp:rsid wsp:val=&quot;00915AAB&quot;/&gt;&lt;wsp:rsid wsp:val=&quot;009166A4&quot;/&gt;&lt;wsp:rsid wsp:val=&quot;00916C37&quot;/&gt;&lt;wsp:rsid wsp:val=&quot;00916D41&quot;/&gt;&lt;wsp:rsid wsp:val=&quot;00917D32&quot;/&gt;&lt;wsp:rsid wsp:val=&quot;00921B68&quot;/&gt;&lt;wsp:rsid wsp:val=&quot;00922118&quot;/&gt;&lt;wsp:rsid wsp:val=&quot;00924415&quot;/&gt;&lt;wsp:rsid wsp:val=&quot;00924DFE&quot;/&gt;&lt;wsp:rsid wsp:val=&quot;009250D5&quot;/&gt;&lt;wsp:rsid wsp:val=&quot;00926A1B&quot;/&gt;&lt;wsp:rsid wsp:val=&quot;00926BC2&quot;/&gt;&lt;wsp:rsid wsp:val=&quot;00930541&quot;/&gt;&lt;wsp:rsid wsp:val=&quot;00930CF4&quot;/&gt;&lt;wsp:rsid wsp:val=&quot;00931168&quot;/&gt;&lt;wsp:rsid wsp:val=&quot;00931411&quot;/&gt;&lt;wsp:rsid wsp:val=&quot;00931998&quot;/&gt;&lt;wsp:rsid wsp:val=&quot;00934492&quot;/&gt;&lt;wsp:rsid wsp:val=&quot;009344F7&quot;/&gt;&lt;wsp:rsid wsp:val=&quot;00935FD0&quot;/&gt;&lt;wsp:rsid wsp:val=&quot;00936E8D&quot;/&gt;&lt;wsp:rsid wsp:val=&quot;00937F75&quot;/&gt;&lt;wsp:rsid wsp:val=&quot;009408EA&quot;/&gt;&lt;wsp:rsid wsp:val=&quot;00940A6C&quot;/&gt;&lt;wsp:rsid wsp:val=&quot;00940ADD&quot;/&gt;&lt;wsp:rsid wsp:val=&quot;00940AF8&quot;/&gt;&lt;wsp:rsid wsp:val=&quot;00944384&quot;/&gt;&lt;wsp:rsid wsp:val=&quot;0094560A&quot;/&gt;&lt;wsp:rsid wsp:val=&quot;00945EFB&quot;/&gt;&lt;wsp:rsid wsp:val=&quot;0094625C&quot;/&gt;&lt;wsp:rsid wsp:val=&quot;00946DBD&quot;/&gt;&lt;wsp:rsid wsp:val=&quot;00946FE4&quot;/&gt;&lt;wsp:rsid wsp:val=&quot;00946FF9&quot;/&gt;&lt;wsp:rsid wsp:val=&quot;00947BD9&quot;/&gt;&lt;wsp:rsid wsp:val=&quot;00950082&quot;/&gt;&lt;wsp:rsid wsp:val=&quot;00950473&quot;/&gt;&lt;wsp:rsid wsp:val=&quot;009504BF&quot;/&gt;&lt;wsp:rsid wsp:val=&quot;00952275&quot;/&gt;&lt;wsp:rsid wsp:val=&quot;00952ED5&quot;/&gt;&lt;wsp:rsid wsp:val=&quot;009534DE&quot;/&gt;&lt;wsp:rsid wsp:val=&quot;00953AED&quot;/&gt;&lt;wsp:rsid wsp:val=&quot;009549B0&quot;/&gt;&lt;wsp:rsid wsp:val=&quot;00955F5D&quot;/&gt;&lt;wsp:rsid wsp:val=&quot;00956609&quot;/&gt;&lt;wsp:rsid wsp:val=&quot;00956B82&quot;/&gt;&lt;wsp:rsid wsp:val=&quot;009606BE&quot;/&gt;&lt;wsp:rsid wsp:val=&quot;009609F2&quot;/&gt;&lt;wsp:rsid wsp:val=&quot;00960D2F&quot;/&gt;&lt;wsp:rsid wsp:val=&quot;00962874&quot;/&gt;&lt;wsp:rsid wsp:val=&quot;00963897&quot;/&gt;&lt;wsp:rsid wsp:val=&quot;00964334&quot;/&gt;&lt;wsp:rsid wsp:val=&quot;00964863&quot;/&gt;&lt;wsp:rsid wsp:val=&quot;009649A0&quot;/&gt;&lt;wsp:rsid wsp:val=&quot;0096582F&quot;/&gt;&lt;wsp:rsid wsp:val=&quot;00965A0E&quot;/&gt;&lt;wsp:rsid wsp:val=&quot;00965E5B&quot;/&gt;&lt;wsp:rsid wsp:val=&quot;00966EB6&quot;/&gt;&lt;wsp:rsid wsp:val=&quot;009711C3&quot;/&gt;&lt;wsp:rsid wsp:val=&quot;0097129D&quot;/&gt;&lt;wsp:rsid wsp:val=&quot;00971E42&quot;/&gt;&lt;wsp:rsid wsp:val=&quot;00972328&quot;/&gt;&lt;wsp:rsid wsp:val=&quot;0097299B&quot;/&gt;&lt;wsp:rsid wsp:val=&quot;00973701&quot;/&gt;&lt;wsp:rsid wsp:val=&quot;00973F74&quot;/&gt;&lt;wsp:rsid wsp:val=&quot;00974A67&quot;/&gt;&lt;wsp:rsid wsp:val=&quot;00974B40&quot;/&gt;&lt;wsp:rsid wsp:val=&quot;0097685E&quot;/&gt;&lt;wsp:rsid wsp:val=&quot;0097693F&quot;/&gt;&lt;wsp:rsid wsp:val=&quot;00980BAE&quot;/&gt;&lt;wsp:rsid wsp:val=&quot;00980EE1&quot;/&gt;&lt;wsp:rsid wsp:val=&quot;009819A6&quot;/&gt;&lt;wsp:rsid wsp:val=&quot;00983D60&quot;/&gt;&lt;wsp:rsid wsp:val=&quot;00984698&quot;/&gt;&lt;wsp:rsid wsp:val=&quot;009849C8&quot;/&gt;&lt;wsp:rsid wsp:val=&quot;00984D7F&quot;/&gt;&lt;wsp:rsid wsp:val=&quot;00985680&quot;/&gt;&lt;wsp:rsid wsp:val=&quot;009860A7&quot;/&gt;&lt;wsp:rsid wsp:val=&quot;0098645E&quot;/&gt;&lt;wsp:rsid wsp:val=&quot;00990FCD&quot;/&gt;&lt;wsp:rsid wsp:val=&quot;009918A9&quot;/&gt;&lt;wsp:rsid wsp:val=&quot;00991BDA&quot;/&gt;&lt;wsp:rsid wsp:val=&quot;00993545&quot;/&gt;&lt;wsp:rsid wsp:val=&quot;009950D9&quot;/&gt;&lt;wsp:rsid wsp:val=&quot;00996A49&quot;/&gt;&lt;wsp:rsid wsp:val=&quot;009A0F59&quot;/&gt;&lt;wsp:rsid wsp:val=&quot;009A166A&quot;/&gt;&lt;wsp:rsid wsp:val=&quot;009A17CE&quot;/&gt;&lt;wsp:rsid wsp:val=&quot;009A2C51&quot;/&gt;&lt;wsp:rsid wsp:val=&quot;009A409D&quot;/&gt;&lt;wsp:rsid wsp:val=&quot;009A427F&quot;/&gt;&lt;wsp:rsid wsp:val=&quot;009A459E&quot;/&gt;&lt;wsp:rsid wsp:val=&quot;009A4ECD&quot;/&gt;&lt;wsp:rsid wsp:val=&quot;009A56A7&quot;/&gt;&lt;wsp:rsid wsp:val=&quot;009A5874&quot;/&gt;&lt;wsp:rsid wsp:val=&quot;009A734C&quot;/&gt;&lt;wsp:rsid wsp:val=&quot;009A7964&quot;/&gt;&lt;wsp:rsid wsp:val=&quot;009A7F95&quot;/&gt;&lt;wsp:rsid wsp:val=&quot;009B03E4&quot;/&gt;&lt;wsp:rsid wsp:val=&quot;009B0820&quot;/&gt;&lt;wsp:rsid wsp:val=&quot;009B11D7&quot;/&gt;&lt;wsp:rsid wsp:val=&quot;009B1952&quot;/&gt;&lt;wsp:rsid wsp:val=&quot;009B1FA7&quot;/&gt;&lt;wsp:rsid wsp:val=&quot;009B2F4A&quot;/&gt;&lt;wsp:rsid wsp:val=&quot;009B35F4&quot;/&gt;&lt;wsp:rsid wsp:val=&quot;009B4D96&quot;/&gt;&lt;wsp:rsid wsp:val=&quot;009B6133&quot;/&gt;&lt;wsp:rsid wsp:val=&quot;009B643E&quot;/&gt;&lt;wsp:rsid wsp:val=&quot;009B724A&quot;/&gt;&lt;wsp:rsid wsp:val=&quot;009C02A7&quot;/&gt;&lt;wsp:rsid wsp:val=&quot;009C044D&quot;/&gt;&lt;wsp:rsid wsp:val=&quot;009C086A&quot;/&gt;&lt;wsp:rsid wsp:val=&quot;009C2016&quot;/&gt;&lt;wsp:rsid wsp:val=&quot;009C21EC&quot;/&gt;&lt;wsp:rsid wsp:val=&quot;009C3190&quot;/&gt;&lt;wsp:rsid wsp:val=&quot;009C328D&quot;/&gt;&lt;wsp:rsid wsp:val=&quot;009C3E22&quot;/&gt;&lt;wsp:rsid wsp:val=&quot;009C50CB&quot;/&gt;&lt;wsp:rsid wsp:val=&quot;009C5348&quot;/&gt;&lt;wsp:rsid wsp:val=&quot;009C6D39&quot;/&gt;&lt;wsp:rsid wsp:val=&quot;009C6F27&quot;/&gt;&lt;wsp:rsid wsp:val=&quot;009C7ACD&quot;/&gt;&lt;wsp:rsid wsp:val=&quot;009D1962&quot;/&gt;&lt;wsp:rsid wsp:val=&quot;009D20A1&quot;/&gt;&lt;wsp:rsid wsp:val=&quot;009D2297&quot;/&gt;&lt;wsp:rsid wsp:val=&quot;009D2B0E&quot;/&gt;&lt;wsp:rsid wsp:val=&quot;009D2F26&quot;/&gt;&lt;wsp:rsid wsp:val=&quot;009D31F3&quot;/&gt;&lt;wsp:rsid wsp:val=&quot;009D3B4F&quot;/&gt;&lt;wsp:rsid wsp:val=&quot;009D48A0&quot;/&gt;&lt;wsp:rsid wsp:val=&quot;009D4AC2&quot;/&gt;&lt;wsp:rsid wsp:val=&quot;009D6377&quot;/&gt;&lt;wsp:rsid wsp:val=&quot;009D69D0&quot;/&gt;&lt;wsp:rsid wsp:val=&quot;009D72C5&quot;/&gt;&lt;wsp:rsid wsp:val=&quot;009E1291&quot;/&gt;&lt;wsp:rsid wsp:val=&quot;009E1AC8&quot;/&gt;&lt;wsp:rsid wsp:val=&quot;009E1F2D&quot;/&gt;&lt;wsp:rsid wsp:val=&quot;009E2AD8&quot;/&gt;&lt;wsp:rsid wsp:val=&quot;009E3BAB&quot;/&gt;&lt;wsp:rsid wsp:val=&quot;009E40C4&quot;/&gt;&lt;wsp:rsid wsp:val=&quot;009E45FD&quot;/&gt;&lt;wsp:rsid wsp:val=&quot;009E486A&quot;/&gt;&lt;wsp:rsid wsp:val=&quot;009E6321&quot;/&gt;&lt;wsp:rsid wsp:val=&quot;009E6884&quot;/&gt;&lt;wsp:rsid wsp:val=&quot;009E689A&quot;/&gt;&lt;wsp:rsid wsp:val=&quot;009E68DA&quot;/&gt;&lt;wsp:rsid wsp:val=&quot;009E6EA8&quot;/&gt;&lt;wsp:rsid wsp:val=&quot;009E6EF9&quot;/&gt;&lt;wsp:rsid wsp:val=&quot;009E7921&quot;/&gt;&lt;wsp:rsid wsp:val=&quot;009F0676&quot;/&gt;&lt;wsp:rsid wsp:val=&quot;009F0B64&quot;/&gt;&lt;wsp:rsid wsp:val=&quot;009F0BB7&quot;/&gt;&lt;wsp:rsid wsp:val=&quot;009F112E&quot;/&gt;&lt;wsp:rsid wsp:val=&quot;009F1DC3&quot;/&gt;&lt;wsp:rsid wsp:val=&quot;009F2039&quot;/&gt;&lt;wsp:rsid wsp:val=&quot;009F4CFC&quot;/&gt;&lt;wsp:rsid wsp:val=&quot;009F4EF0&quot;/&gt;&lt;wsp:rsid wsp:val=&quot;009F55E0&quot;/&gt;&lt;wsp:rsid wsp:val=&quot;009F6E3C&quot;/&gt;&lt;wsp:rsid wsp:val=&quot;009F7008&quot;/&gt;&lt;wsp:rsid wsp:val=&quot;009F79C7&quot;/&gt;&lt;wsp:rsid wsp:val=&quot;009F7D47&quot;/&gt;&lt;wsp:rsid wsp:val=&quot;00A022FF&quot;/&gt;&lt;wsp:rsid wsp:val=&quot;00A023BC&quot;/&gt;&lt;wsp:rsid wsp:val=&quot;00A0258B&quot;/&gt;&lt;wsp:rsid wsp:val=&quot;00A054D6&quot;/&gt;&lt;wsp:rsid wsp:val=&quot;00A05D39&quot;/&gt;&lt;wsp:rsid wsp:val=&quot;00A0604B&quot;/&gt;&lt;wsp:rsid wsp:val=&quot;00A061C7&quot;/&gt;&lt;wsp:rsid wsp:val=&quot;00A06F5C&quot;/&gt;&lt;wsp:rsid wsp:val=&quot;00A077BB&quot;/&gt;&lt;wsp:rsid wsp:val=&quot;00A07917&quot;/&gt;&lt;wsp:rsid wsp:val=&quot;00A07CFC&quot;/&gt;&lt;wsp:rsid wsp:val=&quot;00A10533&quot;/&gt;&lt;wsp:rsid wsp:val=&quot;00A10DE8&quot;/&gt;&lt;wsp:rsid wsp:val=&quot;00A11573&quot;/&gt;&lt;wsp:rsid wsp:val=&quot;00A12F5C&quot;/&gt;&lt;wsp:rsid wsp:val=&quot;00A134EE&quot;/&gt;&lt;wsp:rsid wsp:val=&quot;00A13A68&quot;/&gt;&lt;wsp:rsid wsp:val=&quot;00A13B6E&quot;/&gt;&lt;wsp:rsid wsp:val=&quot;00A14381&quot;/&gt;&lt;wsp:rsid wsp:val=&quot;00A1446D&quot;/&gt;&lt;wsp:rsid wsp:val=&quot;00A161FA&quot;/&gt;&lt;wsp:rsid wsp:val=&quot;00A16476&quot;/&gt;&lt;wsp:rsid wsp:val=&quot;00A168A9&quot;/&gt;&lt;wsp:rsid wsp:val=&quot;00A16FA0&quot;/&gt;&lt;wsp:rsid wsp:val=&quot;00A17087&quot;/&gt;&lt;wsp:rsid wsp:val=&quot;00A17741&quot;/&gt;&lt;wsp:rsid wsp:val=&quot;00A1776B&quot;/&gt;&lt;wsp:rsid wsp:val=&quot;00A21843&quot;/&gt;&lt;wsp:rsid wsp:val=&quot;00A23858&quot;/&gt;&lt;wsp:rsid wsp:val=&quot;00A243EE&quot;/&gt;&lt;wsp:rsid wsp:val=&quot;00A24838&quot;/&gt;&lt;wsp:rsid wsp:val=&quot;00A24D17&quot;/&gt;&lt;wsp:rsid wsp:val=&quot;00A272BA&quot;/&gt;&lt;wsp:rsid wsp:val=&quot;00A27C16&quot;/&gt;&lt;wsp:rsid wsp:val=&quot;00A3060E&quot;/&gt;&lt;wsp:rsid wsp:val=&quot;00A30853&quot;/&gt;&lt;wsp:rsid wsp:val=&quot;00A31400&quot;/&gt;&lt;wsp:rsid wsp:val=&quot;00A31507&quot;/&gt;&lt;wsp:rsid wsp:val=&quot;00A3170F&quot;/&gt;&lt;wsp:rsid wsp:val=&quot;00A323C2&quot;/&gt;&lt;wsp:rsid wsp:val=&quot;00A33437&quot;/&gt;&lt;wsp:rsid wsp:val=&quot;00A33735&quot;/&gt;&lt;wsp:rsid wsp:val=&quot;00A36048&quot;/&gt;&lt;wsp:rsid wsp:val=&quot;00A36939&quot;/&gt;&lt;wsp:rsid wsp:val=&quot;00A36BF0&quot;/&gt;&lt;wsp:rsid wsp:val=&quot;00A37690&quot;/&gt;&lt;wsp:rsid wsp:val=&quot;00A37789&quot;/&gt;&lt;wsp:rsid wsp:val=&quot;00A37826&quot;/&gt;&lt;wsp:rsid wsp:val=&quot;00A401B4&quot;/&gt;&lt;wsp:rsid wsp:val=&quot;00A40665&quot;/&gt;&lt;wsp:rsid wsp:val=&quot;00A40686&quot;/&gt;&lt;wsp:rsid wsp:val=&quot;00A41241&quot;/&gt;&lt;wsp:rsid wsp:val=&quot;00A42BE9&quot;/&gt;&lt;wsp:rsid wsp:val=&quot;00A42C5E&quot;/&gt;&lt;wsp:rsid wsp:val=&quot;00A456D4&quot;/&gt;&lt;wsp:rsid wsp:val=&quot;00A457E7&quot;/&gt;&lt;wsp:rsid wsp:val=&quot;00A45AC9&quot;/&gt;&lt;wsp:rsid wsp:val=&quot;00A4768D&quot;/&gt;&lt;wsp:rsid wsp:val=&quot;00A47C2F&quot;/&gt;&lt;wsp:rsid wsp:val=&quot;00A47E0D&quot;/&gt;&lt;wsp:rsid wsp:val=&quot;00A51022&quot;/&gt;&lt;wsp:rsid wsp:val=&quot;00A5195F&quot;/&gt;&lt;wsp:rsid wsp:val=&quot;00A51C8C&quot;/&gt;&lt;wsp:rsid wsp:val=&quot;00A5274D&quot;/&gt;&lt;wsp:rsid wsp:val=&quot;00A52CE0&quot;/&gt;&lt;wsp:rsid wsp:val=&quot;00A52D24&quot;/&gt;&lt;wsp:rsid wsp:val=&quot;00A53A46&quot;/&gt;&lt;wsp:rsid wsp:val=&quot;00A54451&quot;/&gt;&lt;wsp:rsid wsp:val=&quot;00A605AB&quot;/&gt;&lt;wsp:rsid wsp:val=&quot;00A60703&quot;/&gt;&lt;wsp:rsid wsp:val=&quot;00A60C00&quot;/&gt;&lt;wsp:rsid wsp:val=&quot;00A618B6&quot;/&gt;&lt;wsp:rsid wsp:val=&quot;00A6280C&quot;/&gt;&lt;wsp:rsid wsp:val=&quot;00A62CFC&quot;/&gt;&lt;wsp:rsid wsp:val=&quot;00A62D1D&quot;/&gt;&lt;wsp:rsid wsp:val=&quot;00A62F21&quot;/&gt;&lt;wsp:rsid wsp:val=&quot;00A63060&quot;/&gt;&lt;wsp:rsid wsp:val=&quot;00A6342A&quot;/&gt;&lt;wsp:rsid wsp:val=&quot;00A63A15&quot;/&gt;&lt;wsp:rsid wsp:val=&quot;00A63D4C&quot;/&gt;&lt;wsp:rsid wsp:val=&quot;00A64825&quot;/&gt;&lt;wsp:rsid wsp:val=&quot;00A64DE2&quot;/&gt;&lt;wsp:rsid wsp:val=&quot;00A65CA3&quot;/&gt;&lt;wsp:rsid wsp:val=&quot;00A66499&quot;/&gt;&lt;wsp:rsid wsp:val=&quot;00A667C2&quot;/&gt;&lt;wsp:rsid wsp:val=&quot;00A72C67&quot;/&gt;&lt;wsp:rsid wsp:val=&quot;00A731EB&quot;/&gt;&lt;wsp:rsid wsp:val=&quot;00A73E9B&quot;/&gt;&lt;wsp:rsid wsp:val=&quot;00A73F05&quot;/&gt;&lt;wsp:rsid wsp:val=&quot;00A7465B&quot;/&gt;&lt;wsp:rsid wsp:val=&quot;00A74984&quot;/&gt;&lt;wsp:rsid wsp:val=&quot;00A74A17&quot;/&gt;&lt;wsp:rsid wsp:val=&quot;00A75CE7&quot;/&gt;&lt;wsp:rsid wsp:val=&quot;00A76718&quot;/&gt;&lt;wsp:rsid wsp:val=&quot;00A76D92&quot;/&gt;&lt;wsp:rsid wsp:val=&quot;00A77808&quot;/&gt;&lt;wsp:rsid wsp:val=&quot;00A80064&quot;/&gt;&lt;wsp:rsid wsp:val=&quot;00A8070F&quot;/&gt;&lt;wsp:rsid wsp:val=&quot;00A80D28&quot;/&gt;&lt;wsp:rsid wsp:val=&quot;00A80F15&quot;/&gt;&lt;wsp:rsid wsp:val=&quot;00A81398&quot;/&gt;&lt;wsp:rsid wsp:val=&quot;00A82BDB&quot;/&gt;&lt;wsp:rsid wsp:val=&quot;00A83363&quot;/&gt;&lt;wsp:rsid wsp:val=&quot;00A84976&quot;/&gt;&lt;wsp:rsid wsp:val=&quot;00A85057&quot;/&gt;&lt;wsp:rsid wsp:val=&quot;00A85792&quot;/&gt;&lt;wsp:rsid wsp:val=&quot;00A86C31&quot;/&gt;&lt;wsp:rsid wsp:val=&quot;00A86D8B&quot;/&gt;&lt;wsp:rsid wsp:val=&quot;00A87151&quot;/&gt;&lt;wsp:rsid wsp:val=&quot;00A90198&quot;/&gt;&lt;wsp:rsid wsp:val=&quot;00A90215&quot;/&gt;&lt;wsp:rsid wsp:val=&quot;00A90F4B&quot;/&gt;&lt;wsp:rsid wsp:val=&quot;00A918E4&quot;/&gt;&lt;wsp:rsid wsp:val=&quot;00A919C9&quot;/&gt;&lt;wsp:rsid wsp:val=&quot;00A91A2B&quot;/&gt;&lt;wsp:rsid wsp:val=&quot;00A91A84&quot;/&gt;&lt;wsp:rsid wsp:val=&quot;00A91BC0&quot;/&gt;&lt;wsp:rsid wsp:val=&quot;00A91CDF&quot;/&gt;&lt;wsp:rsid wsp:val=&quot;00A91E3C&quot;/&gt;&lt;wsp:rsid wsp:val=&quot;00A9206E&quot;/&gt;&lt;wsp:rsid wsp:val=&quot;00A94950&quot;/&gt;&lt;wsp:rsid wsp:val=&quot;00A94DEC&quot;/&gt;&lt;wsp:rsid wsp:val=&quot;00A95043&quot;/&gt;&lt;wsp:rsid wsp:val=&quot;00A954EE&quot;/&gt;&lt;wsp:rsid wsp:val=&quot;00A95778&quot;/&gt;&lt;wsp:rsid wsp:val=&quot;00A96831&quot;/&gt;&lt;wsp:rsid wsp:val=&quot;00A96E6B&quot;/&gt;&lt;wsp:rsid wsp:val=&quot;00A97073&quot;/&gt;&lt;wsp:rsid wsp:val=&quot;00A97831&quot;/&gt;&lt;wsp:rsid wsp:val=&quot;00AA01F7&quot;/&gt;&lt;wsp:rsid wsp:val=&quot;00AA2420&quot;/&gt;&lt;wsp:rsid wsp:val=&quot;00AA3222&quot;/&gt;&lt;wsp:rsid wsp:val=&quot;00AA34E5&quot;/&gt;&lt;wsp:rsid wsp:val=&quot;00AA3A38&quot;/&gt;&lt;wsp:rsid wsp:val=&quot;00AA3B4B&quot;/&gt;&lt;wsp:rsid wsp:val=&quot;00AA4734&quot;/&gt;&lt;wsp:rsid wsp:val=&quot;00AA4F01&quot;/&gt;&lt;wsp:rsid wsp:val=&quot;00AA50ED&quot;/&gt;&lt;wsp:rsid wsp:val=&quot;00AA5642&quot;/&gt;&lt;wsp:rsid wsp:val=&quot;00AA6341&quot;/&gt;&lt;wsp:rsid wsp:val=&quot;00AA6948&quot;/&gt;&lt;wsp:rsid wsp:val=&quot;00AA6CA9&quot;/&gt;&lt;wsp:rsid wsp:val=&quot;00AA6E3C&quot;/&gt;&lt;wsp:rsid wsp:val=&quot;00AB06DF&quot;/&gt;&lt;wsp:rsid wsp:val=&quot;00AB0F91&quot;/&gt;&lt;wsp:rsid wsp:val=&quot;00AB201A&quot;/&gt;&lt;wsp:rsid wsp:val=&quot;00AB2F43&quot;/&gt;&lt;wsp:rsid wsp:val=&quot;00AB315C&quot;/&gt;&lt;wsp:rsid wsp:val=&quot;00AB4907&quot;/&gt;&lt;wsp:rsid wsp:val=&quot;00AB499A&quot;/&gt;&lt;wsp:rsid wsp:val=&quot;00AB543D&quot;/&gt;&lt;wsp:rsid wsp:val=&quot;00AB7B6B&quot;/&gt;&lt;wsp:rsid wsp:val=&quot;00AC0180&quot;/&gt;&lt;wsp:rsid wsp:val=&quot;00AC13B9&quot;/&gt;&lt;wsp:rsid wsp:val=&quot;00AC15AC&quot;/&gt;&lt;wsp:rsid wsp:val=&quot;00AC2C4E&quot;/&gt;&lt;wsp:rsid wsp:val=&quot;00AC33C1&quot;/&gt;&lt;wsp:rsid wsp:val=&quot;00AC426E&quot;/&gt;&lt;wsp:rsid wsp:val=&quot;00AC4579&quot;/&gt;&lt;wsp:rsid wsp:val=&quot;00AC51B3&quot;/&gt;&lt;wsp:rsid wsp:val=&quot;00AC64CE&quot;/&gt;&lt;wsp:rsid wsp:val=&quot;00AC71BC&quot;/&gt;&lt;wsp:rsid wsp:val=&quot;00AC770C&quot;/&gt;&lt;wsp:rsid wsp:val=&quot;00AD0092&quot;/&gt;&lt;wsp:rsid wsp:val=&quot;00AD034D&quot;/&gt;&lt;wsp:rsid wsp:val=&quot;00AD059D&quot;/&gt;&lt;wsp:rsid wsp:val=&quot;00AD1323&quot;/&gt;&lt;wsp:rsid wsp:val=&quot;00AD1BA0&quot;/&gt;&lt;wsp:rsid wsp:val=&quot;00AD33DF&quot;/&gt;&lt;wsp:rsid wsp:val=&quot;00AD3E06&quot;/&gt;&lt;wsp:rsid wsp:val=&quot;00AD41D9&quot;/&gt;&lt;wsp:rsid wsp:val=&quot;00AD696F&quot;/&gt;&lt;wsp:rsid wsp:val=&quot;00AE01CE&quot;/&gt;&lt;wsp:rsid wsp:val=&quot;00AE1923&quot;/&gt;&lt;wsp:rsid wsp:val=&quot;00AE210E&quot;/&gt;&lt;wsp:rsid wsp:val=&quot;00AE317F&quot;/&gt;&lt;wsp:rsid wsp:val=&quot;00AE3F2D&quot;/&gt;&lt;wsp:rsid wsp:val=&quot;00AE41DD&quot;/&gt;&lt;wsp:rsid wsp:val=&quot;00AE53A3&quot;/&gt;&lt;wsp:rsid wsp:val=&quot;00AE53B5&quot;/&gt;&lt;wsp:rsid wsp:val=&quot;00AE569F&quot;/&gt;&lt;wsp:rsid wsp:val=&quot;00AE56F9&quot;/&gt;&lt;wsp:rsid wsp:val=&quot;00AE5DB1&quot;/&gt;&lt;wsp:rsid wsp:val=&quot;00AE6962&quot;/&gt;&lt;wsp:rsid wsp:val=&quot;00AF0899&quot;/&gt;&lt;wsp:rsid wsp:val=&quot;00AF0E35&quot;/&gt;&lt;wsp:rsid wsp:val=&quot;00AF1590&quot;/&gt;&lt;wsp:rsid wsp:val=&quot;00AF1E66&quot;/&gt;&lt;wsp:rsid wsp:val=&quot;00AF2490&quot;/&gt;&lt;wsp:rsid wsp:val=&quot;00AF3705&quot;/&gt;&lt;wsp:rsid wsp:val=&quot;00AF483C&quot;/&gt;&lt;wsp:rsid wsp:val=&quot;00AF4D24&quot;/&gt;&lt;wsp:rsid wsp:val=&quot;00AF5B50&quot;/&gt;&lt;wsp:rsid wsp:val=&quot;00AF5D7D&quot;/&gt;&lt;wsp:rsid wsp:val=&quot;00AF75B8&quot;/&gt;&lt;wsp:rsid wsp:val=&quot;00B00A7B&quot;/&gt;&lt;wsp:rsid wsp:val=&quot;00B01073&quot;/&gt;&lt;wsp:rsid wsp:val=&quot;00B018D8&quot;/&gt;&lt;wsp:rsid wsp:val=&quot;00B01D90&quot;/&gt;&lt;wsp:rsid wsp:val=&quot;00B02049&quot;/&gt;&lt;wsp:rsid wsp:val=&quot;00B0257A&quot;/&gt;&lt;wsp:rsid wsp:val=&quot;00B02F0E&quot;/&gt;&lt;wsp:rsid wsp:val=&quot;00B0355B&quot;/&gt;&lt;wsp:rsid wsp:val=&quot;00B03ADB&quot;/&gt;&lt;wsp:rsid wsp:val=&quot;00B04BD5&quot;/&gt;&lt;wsp:rsid wsp:val=&quot;00B059AA&quot;/&gt;&lt;wsp:rsid wsp:val=&quot;00B06963&quot;/&gt;&lt;wsp:rsid wsp:val=&quot;00B07596&quot;/&gt;&lt;wsp:rsid wsp:val=&quot;00B076CE&quot;/&gt;&lt;wsp:rsid wsp:val=&quot;00B101EF&quot;/&gt;&lt;wsp:rsid wsp:val=&quot;00B111A8&quot;/&gt;&lt;wsp:rsid wsp:val=&quot;00B11556&quot;/&gt;&lt;wsp:rsid wsp:val=&quot;00B1178D&quot;/&gt;&lt;wsp:rsid wsp:val=&quot;00B11F97&quot;/&gt;&lt;wsp:rsid wsp:val=&quot;00B120B1&quot;/&gt;&lt;wsp:rsid wsp:val=&quot;00B12861&quot;/&gt;&lt;wsp:rsid wsp:val=&quot;00B12D36&quot;/&gt;&lt;wsp:rsid wsp:val=&quot;00B13278&quot;/&gt;&lt;wsp:rsid wsp:val=&quot;00B13E93&quot;/&gt;&lt;wsp:rsid wsp:val=&quot;00B148CC&quot;/&gt;&lt;wsp:rsid wsp:val=&quot;00B15031&quot;/&gt;&lt;wsp:rsid wsp:val=&quot;00B153E2&quot;/&gt;&lt;wsp:rsid wsp:val=&quot;00B1561A&quot;/&gt;&lt;wsp:rsid wsp:val=&quot;00B15799&quot;/&gt;&lt;wsp:rsid wsp:val=&quot;00B17589&quot;/&gt;&lt;wsp:rsid wsp:val=&quot;00B20820&quot;/&gt;&lt;wsp:rsid wsp:val=&quot;00B20E7C&quot;/&gt;&lt;wsp:rsid wsp:val=&quot;00B214D9&quot;/&gt;&lt;wsp:rsid wsp:val=&quot;00B214EF&quot;/&gt;&lt;wsp:rsid wsp:val=&quot;00B21C98&quot;/&gt;&lt;wsp:rsid wsp:val=&quot;00B22240&quot;/&gt;&lt;wsp:rsid wsp:val=&quot;00B2354F&quot;/&gt;&lt;wsp:rsid wsp:val=&quot;00B2376E&quot;/&gt;&lt;wsp:rsid wsp:val=&quot;00B23787&quot;/&gt;&lt;wsp:rsid wsp:val=&quot;00B23792&quot;/&gt;&lt;wsp:rsid wsp:val=&quot;00B2396B&quot;/&gt;&lt;wsp:rsid wsp:val=&quot;00B23DAC&quot;/&gt;&lt;wsp:rsid wsp:val=&quot;00B2422A&quot;/&gt;&lt;wsp:rsid wsp:val=&quot;00B255D5&quot;/&gt;&lt;wsp:rsid wsp:val=&quot;00B2590F&quot;/&gt;&lt;wsp:rsid wsp:val=&quot;00B26080&quot;/&gt;&lt;wsp:rsid wsp:val=&quot;00B278F4&quot;/&gt;&lt;wsp:rsid wsp:val=&quot;00B3049F&quot;/&gt;&lt;wsp:rsid wsp:val=&quot;00B31149&quot;/&gt;&lt;wsp:rsid wsp:val=&quot;00B31D0D&quot;/&gt;&lt;wsp:rsid wsp:val=&quot;00B32526&quot;/&gt;&lt;wsp:rsid wsp:val=&quot;00B32AD4&quot;/&gt;&lt;wsp:rsid wsp:val=&quot;00B331D2&quot;/&gt;&lt;wsp:rsid wsp:val=&quot;00B33959&quot;/&gt;&lt;wsp:rsid wsp:val=&quot;00B3409D&quot;/&gt;&lt;wsp:rsid wsp:val=&quot;00B35328&quot;/&gt;&lt;wsp:rsid wsp:val=&quot;00B355DF&quot;/&gt;&lt;wsp:rsid wsp:val=&quot;00B36382&quot;/&gt;&lt;wsp:rsid wsp:val=&quot;00B3748B&quot;/&gt;&lt;wsp:rsid wsp:val=&quot;00B378CA&quot;/&gt;&lt;wsp:rsid wsp:val=&quot;00B37948&quot;/&gt;&lt;wsp:rsid wsp:val=&quot;00B4248D&quot;/&gt;&lt;wsp:rsid wsp:val=&quot;00B42957&quot;/&gt;&lt;wsp:rsid wsp:val=&quot;00B44E2C&quot;/&gt;&lt;wsp:rsid wsp:val=&quot;00B45D0D&quot;/&gt;&lt;wsp:rsid wsp:val=&quot;00B46680&quot;/&gt;&lt;wsp:rsid wsp:val=&quot;00B46A69&quot;/&gt;&lt;wsp:rsid wsp:val=&quot;00B507D4&quot;/&gt;&lt;wsp:rsid wsp:val=&quot;00B50973&quot;/&gt;&lt;wsp:rsid wsp:val=&quot;00B50EEB&quot;/&gt;&lt;wsp:rsid wsp:val=&quot;00B52253&quot;/&gt;&lt;wsp:rsid wsp:val=&quot;00B52334&quot;/&gt;&lt;wsp:rsid wsp:val=&quot;00B52603&quot;/&gt;&lt;wsp:rsid wsp:val=&quot;00B5273C&quot;/&gt;&lt;wsp:rsid wsp:val=&quot;00B5332D&quot;/&gt;&lt;wsp:rsid wsp:val=&quot;00B53624&quot;/&gt;&lt;wsp:rsid wsp:val=&quot;00B5379C&quot;/&gt;&lt;wsp:rsid wsp:val=&quot;00B54075&quot;/&gt;&lt;wsp:rsid wsp:val=&quot;00B54736&quot;/&gt;&lt;wsp:rsid wsp:val=&quot;00B548A0&quot;/&gt;&lt;wsp:rsid wsp:val=&quot;00B54E5A&quot;/&gt;&lt;wsp:rsid wsp:val=&quot;00B55417&quot;/&gt;&lt;wsp:rsid wsp:val=&quot;00B5581C&quot;/&gt;&lt;wsp:rsid wsp:val=&quot;00B571D1&quot;/&gt;&lt;wsp:rsid wsp:val=&quot;00B57537&quot;/&gt;&lt;wsp:rsid wsp:val=&quot;00B57BAA&quot;/&gt;&lt;wsp:rsid wsp:val=&quot;00B6016F&quot;/&gt;&lt;wsp:rsid wsp:val=&quot;00B602A2&quot;/&gt;&lt;wsp:rsid wsp:val=&quot;00B60B91&quot;/&gt;&lt;wsp:rsid wsp:val=&quot;00B61A50&quot;/&gt;&lt;wsp:rsid wsp:val=&quot;00B6211A&quot;/&gt;&lt;wsp:rsid wsp:val=&quot;00B62E4F&quot;/&gt;&lt;wsp:rsid wsp:val=&quot;00B639C8&quot;/&gt;&lt;wsp:rsid wsp:val=&quot;00B64A10&quot;/&gt;&lt;wsp:rsid wsp:val=&quot;00B6638F&quot;/&gt;&lt;wsp:rsid wsp:val=&quot;00B66D60&quot;/&gt;&lt;wsp:rsid wsp:val=&quot;00B67925&quot;/&gt;&lt;wsp:rsid wsp:val=&quot;00B7014D&quot;/&gt;&lt;wsp:rsid wsp:val=&quot;00B701CD&quot;/&gt;&lt;wsp:rsid wsp:val=&quot;00B70268&quot;/&gt;&lt;wsp:rsid wsp:val=&quot;00B70B21&quot;/&gt;&lt;wsp:rsid wsp:val=&quot;00B7184F&quot;/&gt;&lt;wsp:rsid wsp:val=&quot;00B72675&quot;/&gt;&lt;wsp:rsid wsp:val=&quot;00B72960&quot;/&gt;&lt;wsp:rsid wsp:val=&quot;00B72A23&quot;/&gt;&lt;wsp:rsid wsp:val=&quot;00B737A5&quot;/&gt;&lt;wsp:rsid wsp:val=&quot;00B73FDE&quot;/&gt;&lt;wsp:rsid wsp:val=&quot;00B7471F&quot;/&gt;&lt;wsp:rsid wsp:val=&quot;00B76E56&quot;/&gt;&lt;wsp:rsid wsp:val=&quot;00B770A2&quot;/&gt;&lt;wsp:rsid wsp:val=&quot;00B80538&quot;/&gt;&lt;wsp:rsid wsp:val=&quot;00B808F5&quot;/&gt;&lt;wsp:rsid wsp:val=&quot;00B813DB&quot;/&gt;&lt;wsp:rsid wsp:val=&quot;00B81A22&quot;/&gt;&lt;wsp:rsid wsp:val=&quot;00B825E2&quot;/&gt;&lt;wsp:rsid wsp:val=&quot;00B82892&quot;/&gt;&lt;wsp:rsid wsp:val=&quot;00B83662&quot;/&gt;&lt;wsp:rsid wsp:val=&quot;00B8406C&quot;/&gt;&lt;wsp:rsid wsp:val=&quot;00B8442A&quot;/&gt;&lt;wsp:rsid wsp:val=&quot;00B84BA6&quot;/&gt;&lt;wsp:rsid wsp:val=&quot;00B85343&quot;/&gt;&lt;wsp:rsid wsp:val=&quot;00B853E0&quot;/&gt;&lt;wsp:rsid wsp:val=&quot;00B85CEB&quot;/&gt;&lt;wsp:rsid wsp:val=&quot;00B860A8&quot;/&gt;&lt;wsp:rsid wsp:val=&quot;00B865D8&quot;/&gt;&lt;wsp:rsid wsp:val=&quot;00B867CC&quot;/&gt;&lt;wsp:rsid wsp:val=&quot;00B86A4F&quot;/&gt;&lt;wsp:rsid wsp:val=&quot;00B86B1D&quot;/&gt;&lt;wsp:rsid wsp:val=&quot;00B8708E&quot;/&gt;&lt;wsp:rsid wsp:val=&quot;00B901A9&quot;/&gt;&lt;wsp:rsid wsp:val=&quot;00B90F82&quot;/&gt;&lt;wsp:rsid wsp:val=&quot;00B91A06&quot;/&gt;&lt;wsp:rsid wsp:val=&quot;00B91ACF&quot;/&gt;&lt;wsp:rsid wsp:val=&quot;00B91ED5&quot;/&gt;&lt;wsp:rsid wsp:val=&quot;00B925AA&quot;/&gt;&lt;wsp:rsid wsp:val=&quot;00B92926&quot;/&gt;&lt;wsp:rsid wsp:val=&quot;00B929CE&quot;/&gt;&lt;wsp:rsid wsp:val=&quot;00B93168&quot;/&gt;&lt;wsp:rsid wsp:val=&quot;00B93D65&quot;/&gt;&lt;wsp:rsid wsp:val=&quot;00B93FD4&quot;/&gt;&lt;wsp:rsid wsp:val=&quot;00B94867&quot;/&gt;&lt;wsp:rsid wsp:val=&quot;00B949FB&quot;/&gt;&lt;wsp:rsid wsp:val=&quot;00B94EDE&quot;/&gt;&lt;wsp:rsid wsp:val=&quot;00B961D6&quot;/&gt;&lt;wsp:rsid wsp:val=&quot;00B96404&quot;/&gt;&lt;wsp:rsid wsp:val=&quot;00B97854&quot;/&gt;&lt;wsp:rsid wsp:val=&quot;00B97F95&quot;/&gt;&lt;wsp:rsid wsp:val=&quot;00BA0B19&quot;/&gt;&lt;wsp:rsid wsp:val=&quot;00BA1093&quot;/&gt;&lt;wsp:rsid wsp:val=&quot;00BA146B&quot;/&gt;&lt;wsp:rsid wsp:val=&quot;00BA1E7F&quot;/&gt;&lt;wsp:rsid wsp:val=&quot;00BA20AB&quot;/&gt;&lt;wsp:rsid wsp:val=&quot;00BA467F&quot;/&gt;&lt;wsp:rsid wsp:val=&quot;00BA48E4&quot;/&gt;&lt;wsp:rsid wsp:val=&quot;00BA4BB7&quot;/&gt;&lt;wsp:rsid wsp:val=&quot;00BA5523&quot;/&gt;&lt;wsp:rsid wsp:val=&quot;00BA59B7&quot;/&gt;&lt;wsp:rsid wsp:val=&quot;00BA5CF8&quot;/&gt;&lt;wsp:rsid wsp:val=&quot;00BA66E3&quot;/&gt;&lt;wsp:rsid wsp:val=&quot;00BA69E8&quot;/&gt;&lt;wsp:rsid wsp:val=&quot;00BB0403&quot;/&gt;&lt;wsp:rsid wsp:val=&quot;00BB2328&quot;/&gt;&lt;wsp:rsid wsp:val=&quot;00BB2DA1&quot;/&gt;&lt;wsp:rsid wsp:val=&quot;00BB3AAB&quot;/&gt;&lt;wsp:rsid wsp:val=&quot;00BB47A5&quot;/&gt;&lt;wsp:rsid wsp:val=&quot;00BB48AD&quot;/&gt;&lt;wsp:rsid wsp:val=&quot;00BB626B&quot;/&gt;&lt;wsp:rsid wsp:val=&quot;00BB6339&quot;/&gt;&lt;wsp:rsid wsp:val=&quot;00BB7258&quot;/&gt;&lt;wsp:rsid wsp:val=&quot;00BB7666&quot;/&gt;&lt;wsp:rsid wsp:val=&quot;00BC00AE&quot;/&gt;&lt;wsp:rsid wsp:val=&quot;00BC021D&quot;/&gt;&lt;wsp:rsid wsp:val=&quot;00BC0CA9&quot;/&gt;&lt;wsp:rsid wsp:val=&quot;00BC0E97&quot;/&gt;&lt;wsp:rsid wsp:val=&quot;00BC168A&quot;/&gt;&lt;wsp:rsid wsp:val=&quot;00BC25A8&quot;/&gt;&lt;wsp:rsid wsp:val=&quot;00BC3855&quot;/&gt;&lt;wsp:rsid wsp:val=&quot;00BC3D20&quot;/&gt;&lt;wsp:rsid wsp:val=&quot;00BC433E&quot;/&gt;&lt;wsp:rsid wsp:val=&quot;00BC5328&quot;/&gt;&lt;wsp:rsid wsp:val=&quot;00BC6728&quot;/&gt;&lt;wsp:rsid wsp:val=&quot;00BC67D3&quot;/&gt;&lt;wsp:rsid wsp:val=&quot;00BC7410&quot;/&gt;&lt;wsp:rsid wsp:val=&quot;00BC7CCE&quot;/&gt;&lt;wsp:rsid wsp:val=&quot;00BC7E5E&quot;/&gt;&lt;wsp:rsid wsp:val=&quot;00BD21A9&quot;/&gt;&lt;wsp:rsid wsp:val=&quot;00BD2EED&quot;/&gt;&lt;wsp:rsid wsp:val=&quot;00BD314D&quot;/&gt;&lt;wsp:rsid wsp:val=&quot;00BD4B52&quot;/&gt;&lt;wsp:rsid wsp:val=&quot;00BD59E3&quot;/&gt;&lt;wsp:rsid wsp:val=&quot;00BD5B28&quot;/&gt;&lt;wsp:rsid wsp:val=&quot;00BD61B9&quot;/&gt;&lt;wsp:rsid wsp:val=&quot;00BD647A&quot;/&gt;&lt;wsp:rsid wsp:val=&quot;00BE01EA&quot;/&gt;&lt;wsp:rsid wsp:val=&quot;00BE0714&quot;/&gt;&lt;wsp:rsid wsp:val=&quot;00BE0F34&quot;/&gt;&lt;wsp:rsid wsp:val=&quot;00BE153A&quot;/&gt;&lt;wsp:rsid wsp:val=&quot;00BE3C76&quot;/&gt;&lt;wsp:rsid wsp:val=&quot;00BE439F&quot;/&gt;&lt;wsp:rsid wsp:val=&quot;00BE4423&quot;/&gt;&lt;wsp:rsid wsp:val=&quot;00BE4BF7&quot;/&gt;&lt;wsp:rsid wsp:val=&quot;00BE4F27&quot;/&gt;&lt;wsp:rsid wsp:val=&quot;00BE732B&quot;/&gt;&lt;wsp:rsid wsp:val=&quot;00BF03A5&quot;/&gt;&lt;wsp:rsid wsp:val=&quot;00BF0CF8&quot;/&gt;&lt;wsp:rsid wsp:val=&quot;00BF16C8&quot;/&gt;&lt;wsp:rsid wsp:val=&quot;00BF1FED&quot;/&gt;&lt;wsp:rsid wsp:val=&quot;00BF2522&quot;/&gt;&lt;wsp:rsid wsp:val=&quot;00BF254C&quot;/&gt;&lt;wsp:rsid wsp:val=&quot;00BF37DD&quot;/&gt;&lt;wsp:rsid wsp:val=&quot;00BF3996&quot;/&gt;&lt;wsp:rsid wsp:val=&quot;00BF3E86&quot;/&gt;&lt;wsp:rsid wsp:val=&quot;00BF471D&quot;/&gt;&lt;wsp:rsid wsp:val=&quot;00BF64B7&quot;/&gt;&lt;wsp:rsid wsp:val=&quot;00BF680B&quot;/&gt;&lt;wsp:rsid wsp:val=&quot;00BF71C1&quot;/&gt;&lt;wsp:rsid wsp:val=&quot;00C01368&quot;/&gt;&lt;wsp:rsid wsp:val=&quot;00C0237F&quot;/&gt;&lt;wsp:rsid wsp:val=&quot;00C03EA2&quot;/&gt;&lt;wsp:rsid wsp:val=&quot;00C04020&quot;/&gt;&lt;wsp:rsid wsp:val=&quot;00C049D7&quot;/&gt;&lt;wsp:rsid wsp:val=&quot;00C04AB2&quot;/&gt;&lt;wsp:rsid wsp:val=&quot;00C04E35&quot;/&gt;&lt;wsp:rsid wsp:val=&quot;00C05678&quot;/&gt;&lt;wsp:rsid wsp:val=&quot;00C06B9D&quot;/&gt;&lt;wsp:rsid wsp:val=&quot;00C07994&quot;/&gt;&lt;wsp:rsid wsp:val=&quot;00C07B83&quot;/&gt;&lt;wsp:rsid wsp:val=&quot;00C10E9A&quot;/&gt;&lt;wsp:rsid wsp:val=&quot;00C114BA&quot;/&gt;&lt;wsp:rsid wsp:val=&quot;00C121DF&quot;/&gt;&lt;wsp:rsid wsp:val=&quot;00C129DC&quot;/&gt;&lt;wsp:rsid wsp:val=&quot;00C12A50&quot;/&gt;&lt;wsp:rsid wsp:val=&quot;00C1388A&quot;/&gt;&lt;wsp:rsid wsp:val=&quot;00C13E42&quot;/&gt;&lt;wsp:rsid wsp:val=&quot;00C14406&quot;/&gt;&lt;wsp:rsid wsp:val=&quot;00C14737&quot;/&gt;&lt;wsp:rsid wsp:val=&quot;00C14828&quot;/&gt;&lt;wsp:rsid wsp:val=&quot;00C14A6F&quot;/&gt;&lt;wsp:rsid wsp:val=&quot;00C158F6&quot;/&gt;&lt;wsp:rsid wsp:val=&quot;00C15D88&quot;/&gt;&lt;wsp:rsid wsp:val=&quot;00C161CC&quot;/&gt;&lt;wsp:rsid wsp:val=&quot;00C1671E&quot;/&gt;&lt;wsp:rsid wsp:val=&quot;00C167E6&quot;/&gt;&lt;wsp:rsid wsp:val=&quot;00C1680D&quot;/&gt;&lt;wsp:rsid wsp:val=&quot;00C16950&quot;/&gt;&lt;wsp:rsid wsp:val=&quot;00C16E2E&quot;/&gt;&lt;wsp:rsid wsp:val=&quot;00C1776B&quot;/&gt;&lt;wsp:rsid wsp:val=&quot;00C17D78&quot;/&gt;&lt;wsp:rsid wsp:val=&quot;00C17D7C&quot;/&gt;&lt;wsp:rsid wsp:val=&quot;00C20071&quot;/&gt;&lt;wsp:rsid wsp:val=&quot;00C201DA&quot;/&gt;&lt;wsp:rsid wsp:val=&quot;00C213F3&quot;/&gt;&lt;wsp:rsid wsp:val=&quot;00C21657&quot;/&gt;&lt;wsp:rsid wsp:val=&quot;00C21A78&quot;/&gt;&lt;wsp:rsid wsp:val=&quot;00C21D41&quot;/&gt;&lt;wsp:rsid wsp:val=&quot;00C22067&quot;/&gt;&lt;wsp:rsid wsp:val=&quot;00C2276F&quot;/&gt;&lt;wsp:rsid wsp:val=&quot;00C22991&quot;/&gt;&lt;wsp:rsid wsp:val=&quot;00C23F48&quot;/&gt;&lt;wsp:rsid wsp:val=&quot;00C24D8E&quot;/&gt;&lt;wsp:rsid wsp:val=&quot;00C25704&quot;/&gt;&lt;wsp:rsid wsp:val=&quot;00C2573C&quot;/&gt;&lt;wsp:rsid wsp:val=&quot;00C25B33&quot;/&gt;&lt;wsp:rsid wsp:val=&quot;00C25E18&quot;/&gt;&lt;wsp:rsid wsp:val=&quot;00C26579&quot;/&gt;&lt;wsp:rsid wsp:val=&quot;00C27127&quot;/&gt;&lt;wsp:rsid wsp:val=&quot;00C27F6B&quot;/&gt;&lt;wsp:rsid wsp:val=&quot;00C31C55&quot;/&gt;&lt;wsp:rsid wsp:val=&quot;00C3225C&quot;/&gt;&lt;wsp:rsid wsp:val=&quot;00C32FE5&quot;/&gt;&lt;wsp:rsid wsp:val=&quot;00C33B9A&quot;/&gt;&lt;wsp:rsid wsp:val=&quot;00C362E1&quot;/&gt;&lt;wsp:rsid wsp:val=&quot;00C3678D&quot;/&gt;&lt;wsp:rsid wsp:val=&quot;00C36D41&quot;/&gt;&lt;wsp:rsid wsp:val=&quot;00C374BC&quot;/&gt;&lt;wsp:rsid wsp:val=&quot;00C37D1A&quot;/&gt;&lt;wsp:rsid wsp:val=&quot;00C40988&quot;/&gt;&lt;wsp:rsid wsp:val=&quot;00C40BF6&quot;/&gt;&lt;wsp:rsid wsp:val=&quot;00C413E7&quot;/&gt;&lt;wsp:rsid wsp:val=&quot;00C41854&quot;/&gt;&lt;wsp:rsid wsp:val=&quot;00C43C77&quot;/&gt;&lt;wsp:rsid wsp:val=&quot;00C44165&quot;/&gt;&lt;wsp:rsid wsp:val=&quot;00C452BA&quot;/&gt;&lt;wsp:rsid wsp:val=&quot;00C454F0&quot;/&gt;&lt;wsp:rsid wsp:val=&quot;00C4570A&quot;/&gt;&lt;wsp:rsid wsp:val=&quot;00C50358&quot;/&gt;&lt;wsp:rsid wsp:val=&quot;00C50D55&quot;/&gt;&lt;wsp:rsid wsp:val=&quot;00C50FE9&quot;/&gt;&lt;wsp:rsid wsp:val=&quot;00C51B52&quot;/&gt;&lt;wsp:rsid wsp:val=&quot;00C52108&quot;/&gt;&lt;wsp:rsid wsp:val=&quot;00C52AD0&quot;/&gt;&lt;wsp:rsid wsp:val=&quot;00C5448E&quot;/&gt;&lt;wsp:rsid wsp:val=&quot;00C546A1&quot;/&gt;&lt;wsp:rsid wsp:val=&quot;00C54946&quot;/&gt;&lt;wsp:rsid wsp:val=&quot;00C567DE&quot;/&gt;&lt;wsp:rsid wsp:val=&quot;00C5764F&quot;/&gt;&lt;wsp:rsid wsp:val=&quot;00C57F81&quot;/&gt;&lt;wsp:rsid wsp:val=&quot;00C60915&quot;/&gt;&lt;wsp:rsid wsp:val=&quot;00C61E1C&quot;/&gt;&lt;wsp:rsid wsp:val=&quot;00C63AAC&quot;/&gt;&lt;wsp:rsid wsp:val=&quot;00C64ED4&quot;/&gt;&lt;wsp:rsid wsp:val=&quot;00C657FD&quot;/&gt;&lt;wsp:rsid wsp:val=&quot;00C6589A&quot;/&gt;&lt;wsp:rsid wsp:val=&quot;00C663B9&quot;/&gt;&lt;wsp:rsid wsp:val=&quot;00C678C0&quot;/&gt;&lt;wsp:rsid wsp:val=&quot;00C72E84&quot;/&gt;&lt;wsp:rsid wsp:val=&quot;00C732A8&quot;/&gt;&lt;wsp:rsid wsp:val=&quot;00C7344B&quot;/&gt;&lt;wsp:rsid wsp:val=&quot;00C743FD&quot;/&gt;&lt;wsp:rsid wsp:val=&quot;00C76243&quot;/&gt;&lt;wsp:rsid wsp:val=&quot;00C76886&quot;/&gt;&lt;wsp:rsid wsp:val=&quot;00C76E31&quot;/&gt;&lt;wsp:rsid wsp:val=&quot;00C77C8D&quot;/&gt;&lt;wsp:rsid wsp:val=&quot;00C77E17&quot;/&gt;&lt;wsp:rsid wsp:val=&quot;00C80BC5&quot;/&gt;&lt;wsp:rsid wsp:val=&quot;00C83027&quot;/&gt;&lt;wsp:rsid wsp:val=&quot;00C84F5F&quot;/&gt;&lt;wsp:rsid wsp:val=&quot;00C85468&quot;/&gt;&lt;wsp:rsid wsp:val=&quot;00C858E5&quot;/&gt;&lt;wsp:rsid wsp:val=&quot;00C85A8A&quot;/&gt;&lt;wsp:rsid wsp:val=&quot;00C869E6&quot;/&gt;&lt;wsp:rsid wsp:val=&quot;00C86ECD&quot;/&gt;&lt;wsp:rsid wsp:val=&quot;00C86F36&quot;/&gt;&lt;wsp:rsid wsp:val=&quot;00C874C4&quot;/&gt;&lt;wsp:rsid wsp:val=&quot;00C87535&quot;/&gt;&lt;wsp:rsid wsp:val=&quot;00C8791E&quot;/&gt;&lt;wsp:rsid wsp:val=&quot;00C87B21&quot;/&gt;&lt;wsp:rsid wsp:val=&quot;00C9046B&quot;/&gt;&lt;wsp:rsid wsp:val=&quot;00C905C4&quot;/&gt;&lt;wsp:rsid wsp:val=&quot;00C90C9C&quot;/&gt;&lt;wsp:rsid wsp:val=&quot;00C90E2F&quot;/&gt;&lt;wsp:rsid wsp:val=&quot;00C90F66&quot;/&gt;&lt;wsp:rsid wsp:val=&quot;00C90FB5&quot;/&gt;&lt;wsp:rsid wsp:val=&quot;00C91D87&quot;/&gt;&lt;wsp:rsid wsp:val=&quot;00C92257&quot;/&gt;&lt;wsp:rsid wsp:val=&quot;00C922B3&quot;/&gt;&lt;wsp:rsid wsp:val=&quot;00C926B1&quot;/&gt;&lt;wsp:rsid wsp:val=&quot;00C927A0&quot;/&gt;&lt;wsp:rsid wsp:val=&quot;00C92BE6&quot;/&gt;&lt;wsp:rsid wsp:val=&quot;00C94CD1&quot;/&gt;&lt;wsp:rsid wsp:val=&quot;00C95214&quot;/&gt;&lt;wsp:rsid wsp:val=&quot;00C95700&quot;/&gt;&lt;wsp:rsid wsp:val=&quot;00C95DF3&quot;/&gt;&lt;wsp:rsid wsp:val=&quot;00C966B2&quot;/&gt;&lt;wsp:rsid wsp:val=&quot;00C973A2&quot;/&gt;&lt;wsp:rsid wsp:val=&quot;00CA0450&quot;/&gt;&lt;wsp:rsid wsp:val=&quot;00CA06DD&quot;/&gt;&lt;wsp:rsid wsp:val=&quot;00CA0AE8&quot;/&gt;&lt;wsp:rsid wsp:val=&quot;00CA0EB1&quot;/&gt;&lt;wsp:rsid wsp:val=&quot;00CA189F&quot;/&gt;&lt;wsp:rsid wsp:val=&quot;00CA1EB1&quot;/&gt;&lt;wsp:rsid wsp:val=&quot;00CA3218&quot;/&gt;&lt;wsp:rsid wsp:val=&quot;00CA5D70&quot;/&gt;&lt;wsp:rsid wsp:val=&quot;00CA7447&quot;/&gt;&lt;wsp:rsid wsp:val=&quot;00CA7531&quot;/&gt;&lt;wsp:rsid wsp:val=&quot;00CB0003&quot;/&gt;&lt;wsp:rsid wsp:val=&quot;00CB02D0&quot;/&gt;&lt;wsp:rsid wsp:val=&quot;00CB04AB&quot;/&gt;&lt;wsp:rsid wsp:val=&quot;00CB0528&quot;/&gt;&lt;wsp:rsid wsp:val=&quot;00CB18B3&quot;/&gt;&lt;wsp:rsid wsp:val=&quot;00CB1AEC&quot;/&gt;&lt;wsp:rsid wsp:val=&quot;00CB2654&quot;/&gt;&lt;wsp:rsid wsp:val=&quot;00CB2DC3&quot;/&gt;&lt;wsp:rsid wsp:val=&quot;00CB3E50&quot;/&gt;&lt;wsp:rsid wsp:val=&quot;00CB4017&quot;/&gt;&lt;wsp:rsid wsp:val=&quot;00CB592F&quot;/&gt;&lt;wsp:rsid wsp:val=&quot;00CC02C1&quot;/&gt;&lt;wsp:rsid wsp:val=&quot;00CC1297&quot;/&gt;&lt;wsp:rsid wsp:val=&quot;00CC1736&quot;/&gt;&lt;wsp:rsid wsp:val=&quot;00CC1B3A&quot;/&gt;&lt;wsp:rsid wsp:val=&quot;00CC2227&quot;/&gt;&lt;wsp:rsid wsp:val=&quot;00CC2777&quot;/&gt;&lt;wsp:rsid wsp:val=&quot;00CC39CC&quot;/&gt;&lt;wsp:rsid wsp:val=&quot;00CC44D5&quot;/&gt;&lt;wsp:rsid wsp:val=&quot;00CC4BB3&quot;/&gt;&lt;wsp:rsid wsp:val=&quot;00CC520E&quot;/&gt;&lt;wsp:rsid wsp:val=&quot;00CC614D&quot;/&gt;&lt;wsp:rsid wsp:val=&quot;00CC6AD1&quot;/&gt;&lt;wsp:rsid wsp:val=&quot;00CC7AFC&quot;/&gt;&lt;wsp:rsid wsp:val=&quot;00CD05C8&quot;/&gt;&lt;wsp:rsid wsp:val=&quot;00CD0E33&quot;/&gt;&lt;wsp:rsid wsp:val=&quot;00CD0F35&quot;/&gt;&lt;wsp:rsid wsp:val=&quot;00CD1B46&quot;/&gt;&lt;wsp:rsid wsp:val=&quot;00CD1FBD&quot;/&gt;&lt;wsp:rsid wsp:val=&quot;00CD22A3&quot;/&gt;&lt;wsp:rsid wsp:val=&quot;00CD29B8&quot;/&gt;&lt;wsp:rsid wsp:val=&quot;00CD357A&quot;/&gt;&lt;wsp:rsid wsp:val=&quot;00CD475E&quot;/&gt;&lt;wsp:rsid wsp:val=&quot;00CD5089&quot;/&gt;&lt;wsp:rsid wsp:val=&quot;00CD51B5&quot;/&gt;&lt;wsp:rsid wsp:val=&quot;00CD614C&quot;/&gt;&lt;wsp:rsid wsp:val=&quot;00CD6D0F&quot;/&gt;&lt;wsp:rsid wsp:val=&quot;00CE18CC&quot;/&gt;&lt;wsp:rsid wsp:val=&quot;00CE1C42&quot;/&gt;&lt;wsp:rsid wsp:val=&quot;00CE3A03&quot;/&gt;&lt;wsp:rsid wsp:val=&quot;00CE3E4C&quot;/&gt;&lt;wsp:rsid wsp:val=&quot;00CE40B1&quot;/&gt;&lt;wsp:rsid wsp:val=&quot;00CE4E00&quot;/&gt;&lt;wsp:rsid wsp:val=&quot;00CE5B25&quot;/&gt;&lt;wsp:rsid wsp:val=&quot;00CE727E&quot;/&gt;&lt;wsp:rsid wsp:val=&quot;00CE7B23&quot;/&gt;&lt;wsp:rsid wsp:val=&quot;00CF0181&quot;/&gt;&lt;wsp:rsid wsp:val=&quot;00CF16AD&quot;/&gt;&lt;wsp:rsid wsp:val=&quot;00CF254B&quot;/&gt;&lt;wsp:rsid wsp:val=&quot;00CF2BAB&quot;/&gt;&lt;wsp:rsid wsp:val=&quot;00CF3231&quot;/&gt;&lt;wsp:rsid wsp:val=&quot;00CF478C&quot;/&gt;&lt;wsp:rsid wsp:val=&quot;00CF5198&quot;/&gt;&lt;wsp:rsid wsp:val=&quot;00CF5230&quot;/&gt;&lt;wsp:rsid wsp:val=&quot;00CF5EE1&quot;/&gt;&lt;wsp:rsid wsp:val=&quot;00CF6460&quot;/&gt;&lt;wsp:rsid wsp:val=&quot;00CF78AC&quot;/&gt;&lt;wsp:rsid wsp:val=&quot;00CF7A85&quot;/&gt;&lt;wsp:rsid wsp:val=&quot;00D000D2&quot;/&gt;&lt;wsp:rsid wsp:val=&quot;00D01104&quot;/&gt;&lt;wsp:rsid wsp:val=&quot;00D01E08&quot;/&gt;&lt;wsp:rsid wsp:val=&quot;00D026DD&quot;/&gt;&lt;wsp:rsid wsp:val=&quot;00D045DA&quot;/&gt;&lt;wsp:rsid wsp:val=&quot;00D0461E&quot;/&gt;&lt;wsp:rsid wsp:val=&quot;00D05C73&quot;/&gt;&lt;wsp:rsid wsp:val=&quot;00D06820&quot;/&gt;&lt;wsp:rsid wsp:val=&quot;00D06882&quot;/&gt;&lt;wsp:rsid wsp:val=&quot;00D07C92&quot;/&gt;&lt;wsp:rsid wsp:val=&quot;00D11295&quot;/&gt;&lt;wsp:rsid wsp:val=&quot;00D11334&quot;/&gt;&lt;wsp:rsid wsp:val=&quot;00D11553&quot;/&gt;&lt;wsp:rsid wsp:val=&quot;00D126E9&quot;/&gt;&lt;wsp:rsid wsp:val=&quot;00D1564E&quot;/&gt;&lt;wsp:rsid wsp:val=&quot;00D15908&quot;/&gt;&lt;wsp:rsid wsp:val=&quot;00D160B0&quot;/&gt;&lt;wsp:rsid wsp:val=&quot;00D16550&quot;/&gt;&lt;wsp:rsid wsp:val=&quot;00D168FD&quot;/&gt;&lt;wsp:rsid wsp:val=&quot;00D1771A&quot;/&gt;&lt;wsp:rsid wsp:val=&quot;00D178FD&quot;/&gt;&lt;wsp:rsid wsp:val=&quot;00D20466&quot;/&gt;&lt;wsp:rsid wsp:val=&quot;00D20697&quot;/&gt;&lt;wsp:rsid wsp:val=&quot;00D20EA8&quot;/&gt;&lt;wsp:rsid wsp:val=&quot;00D210CA&quot;/&gt;&lt;wsp:rsid wsp:val=&quot;00D21582&quot;/&gt;&lt;wsp:rsid wsp:val=&quot;00D21897&quot;/&gt;&lt;wsp:rsid wsp:val=&quot;00D21B00&quot;/&gt;&lt;wsp:rsid wsp:val=&quot;00D21BCE&quot;/&gt;&lt;wsp:rsid wsp:val=&quot;00D21DA8&quot;/&gt;&lt;wsp:rsid wsp:val=&quot;00D24A59&quot;/&gt;&lt;wsp:rsid wsp:val=&quot;00D24B99&quot;/&gt;&lt;wsp:rsid wsp:val=&quot;00D25538&quot;/&gt;&lt;wsp:rsid wsp:val=&quot;00D26371&quot;/&gt;&lt;wsp:rsid wsp:val=&quot;00D2735C&quot;/&gt;&lt;wsp:rsid wsp:val=&quot;00D27576&quot;/&gt;&lt;wsp:rsid wsp:val=&quot;00D27C94&quot;/&gt;&lt;wsp:rsid wsp:val=&quot;00D308CD&quot;/&gt;&lt;wsp:rsid wsp:val=&quot;00D3090F&quot;/&gt;&lt;wsp:rsid wsp:val=&quot;00D30D33&quot;/&gt;&lt;wsp:rsid wsp:val=&quot;00D318CF&quot;/&gt;&lt;wsp:rsid wsp:val=&quot;00D325CC&quot;/&gt;&lt;wsp:rsid wsp:val=&quot;00D3360C&quot;/&gt;&lt;wsp:rsid wsp:val=&quot;00D33B36&quot;/&gt;&lt;wsp:rsid wsp:val=&quot;00D34000&quot;/&gt;&lt;wsp:rsid wsp:val=&quot;00D352E9&quot;/&gt;&lt;wsp:rsid wsp:val=&quot;00D364ED&quot;/&gt;&lt;wsp:rsid wsp:val=&quot;00D36667&quot;/&gt;&lt;wsp:rsid wsp:val=&quot;00D369E9&quot;/&gt;&lt;wsp:rsid wsp:val=&quot;00D3765B&quot;/&gt;&lt;wsp:rsid wsp:val=&quot;00D413CF&quot;/&gt;&lt;wsp:rsid wsp:val=&quot;00D41E54&quot;/&gt;&lt;wsp:rsid wsp:val=&quot;00D42F14&quot;/&gt;&lt;wsp:rsid wsp:val=&quot;00D44D43&quot;/&gt;&lt;wsp:rsid wsp:val=&quot;00D44EAB&quot;/&gt;&lt;wsp:rsid wsp:val=&quot;00D45A0B&quot;/&gt;&lt;wsp:rsid wsp:val=&quot;00D45CC8&quot;/&gt;&lt;wsp:rsid wsp:val=&quot;00D45DE3&quot;/&gt;&lt;wsp:rsid wsp:val=&quot;00D4615A&quot;/&gt;&lt;wsp:rsid wsp:val=&quot;00D46595&quot;/&gt;&lt;wsp:rsid wsp:val=&quot;00D4674E&quot;/&gt;&lt;wsp:rsid wsp:val=&quot;00D47871&quot;/&gt;&lt;wsp:rsid wsp:val=&quot;00D507E2&quot;/&gt;&lt;wsp:rsid wsp:val=&quot;00D51FED&quot;/&gt;&lt;wsp:rsid wsp:val=&quot;00D53111&quot;/&gt;&lt;wsp:rsid wsp:val=&quot;00D53EC7&quot;/&gt;&lt;wsp:rsid wsp:val=&quot;00D5424C&quot;/&gt;&lt;wsp:rsid wsp:val=&quot;00D557DD&quot;/&gt;&lt;wsp:rsid wsp:val=&quot;00D558B9&quot;/&gt;&lt;wsp:rsid wsp:val=&quot;00D55A57&quot;/&gt;&lt;wsp:rsid wsp:val=&quot;00D5626A&quot;/&gt;&lt;wsp:rsid wsp:val=&quot;00D56C95&quot;/&gt;&lt;wsp:rsid wsp:val=&quot;00D573CC&quot;/&gt;&lt;wsp:rsid wsp:val=&quot;00D57C7C&quot;/&gt;&lt;wsp:rsid wsp:val=&quot;00D607AD&quot;/&gt;&lt;wsp:rsid wsp:val=&quot;00D608D6&quot;/&gt;&lt;wsp:rsid wsp:val=&quot;00D60FC8&quot;/&gt;&lt;wsp:rsid wsp:val=&quot;00D6150F&quot;/&gt;&lt;wsp:rsid wsp:val=&quot;00D6254F&quot;/&gt;&lt;wsp:rsid wsp:val=&quot;00D62804&quot;/&gt;&lt;wsp:rsid wsp:val=&quot;00D62D54&quot;/&gt;&lt;wsp:rsid wsp:val=&quot;00D63971&quot;/&gt;&lt;wsp:rsid wsp:val=&quot;00D64C0E&quot;/&gt;&lt;wsp:rsid wsp:val=&quot;00D6629D&quot;/&gt;&lt;wsp:rsid wsp:val=&quot;00D6677F&quot;/&gt;&lt;wsp:rsid wsp:val=&quot;00D669DE&quot;/&gt;&lt;wsp:rsid wsp:val=&quot;00D66E62&quot;/&gt;&lt;wsp:rsid wsp:val=&quot;00D67252&quot;/&gt;&lt;wsp:rsid wsp:val=&quot;00D7043B&quot;/&gt;&lt;wsp:rsid wsp:val=&quot;00D7141D&quot;/&gt;&lt;wsp:rsid wsp:val=&quot;00D73539&quot;/&gt;&lt;wsp:rsid wsp:val=&quot;00D748C3&quot;/&gt;&lt;wsp:rsid wsp:val=&quot;00D76E14&quot;/&gt;&lt;wsp:rsid wsp:val=&quot;00D773C1&quot;/&gt;&lt;wsp:rsid wsp:val=&quot;00D77CB2&quot;/&gt;&lt;wsp:rsid wsp:val=&quot;00D8215C&quot;/&gt;&lt;wsp:rsid wsp:val=&quot;00D84BD5&quot;/&gt;&lt;wsp:rsid wsp:val=&quot;00D869DC&quot;/&gt;&lt;wsp:rsid wsp:val=&quot;00D86C7D&quot;/&gt;&lt;wsp:rsid wsp:val=&quot;00D872FD&quot;/&gt;&lt;wsp:rsid wsp:val=&quot;00D878A0&quot;/&gt;&lt;wsp:rsid wsp:val=&quot;00D9077C&quot;/&gt;&lt;wsp:rsid wsp:val=&quot;00D9099C&quot;/&gt;&lt;wsp:rsid wsp:val=&quot;00D91545&quot;/&gt;&lt;wsp:rsid wsp:val=&quot;00D91685&quot;/&gt;&lt;wsp:rsid wsp:val=&quot;00D91B78&quot;/&gt;&lt;wsp:rsid wsp:val=&quot;00D945E8&quot;/&gt;&lt;wsp:rsid wsp:val=&quot;00D947FF&quot;/&gt;&lt;wsp:rsid wsp:val=&quot;00D94BD4&quot;/&gt;&lt;wsp:rsid wsp:val=&quot;00D95361&quot;/&gt;&lt;wsp:rsid wsp:val=&quot;00D9601C&quot;/&gt;&lt;wsp:rsid wsp:val=&quot;00D96B02&quot;/&gt;&lt;wsp:rsid wsp:val=&quot;00D96CAE&quot;/&gt;&lt;wsp:rsid wsp:val=&quot;00D97467&quot;/&gt;&lt;wsp:rsid wsp:val=&quot;00D97557&quot;/&gt;&lt;wsp:rsid wsp:val=&quot;00DA1036&quot;/&gt;&lt;wsp:rsid wsp:val=&quot;00DA10BF&quot;/&gt;&lt;wsp:rsid wsp:val=&quot;00DA1144&quot;/&gt;&lt;wsp:rsid wsp:val=&quot;00DA11BD&quot;/&gt;&lt;wsp:rsid wsp:val=&quot;00DA1816&quot;/&gt;&lt;wsp:rsid wsp:val=&quot;00DA32C1&quot;/&gt;&lt;wsp:rsid wsp:val=&quot;00DA3439&quot;/&gt;&lt;wsp:rsid wsp:val=&quot;00DA4AA2&quot;/&gt;&lt;wsp:rsid wsp:val=&quot;00DA5055&quot;/&gt;&lt;wsp:rsid wsp:val=&quot;00DA57AB&quot;/&gt;&lt;wsp:rsid wsp:val=&quot;00DA6190&quot;/&gt;&lt;wsp:rsid wsp:val=&quot;00DA6F61&quot;/&gt;&lt;wsp:rsid wsp:val=&quot;00DA7235&quot;/&gt;&lt;wsp:rsid wsp:val=&quot;00DA7676&quot;/&gt;&lt;wsp:rsid wsp:val=&quot;00DA7C34&quot;/&gt;&lt;wsp:rsid wsp:val=&quot;00DB0AAD&quot;/&gt;&lt;wsp:rsid wsp:val=&quot;00DB0C5D&quot;/&gt;&lt;wsp:rsid wsp:val=&quot;00DB1287&quot;/&gt;&lt;wsp:rsid wsp:val=&quot;00DB1797&quot;/&gt;&lt;wsp:rsid wsp:val=&quot;00DB320C&quot;/&gt;&lt;wsp:rsid wsp:val=&quot;00DB39BD&quot;/&gt;&lt;wsp:rsid wsp:val=&quot;00DB5DB8&quot;/&gt;&lt;wsp:rsid wsp:val=&quot;00DB5EAD&quot;/&gt;&lt;wsp:rsid wsp:val=&quot;00DB65AE&quot;/&gt;&lt;wsp:rsid wsp:val=&quot;00DB76CB&quot;/&gt;&lt;wsp:rsid wsp:val=&quot;00DB788C&quot;/&gt;&lt;wsp:rsid wsp:val=&quot;00DC0B2D&quot;/&gt;&lt;wsp:rsid wsp:val=&quot;00DC0FA7&quot;/&gt;&lt;wsp:rsid wsp:val=&quot;00DC19B6&quot;/&gt;&lt;wsp:rsid wsp:val=&quot;00DC1C2E&quot;/&gt;&lt;wsp:rsid wsp:val=&quot;00DC1ED9&quot;/&gt;&lt;wsp:rsid wsp:val=&quot;00DC22D3&quot;/&gt;&lt;wsp:rsid wsp:val=&quot;00DC2507&quot;/&gt;&lt;wsp:rsid wsp:val=&quot;00DC2DFB&quot;/&gt;&lt;wsp:rsid wsp:val=&quot;00DC3235&quot;/&gt;&lt;wsp:rsid wsp:val=&quot;00DC48A8&quot;/&gt;&lt;wsp:rsid wsp:val=&quot;00DC546E&quot;/&gt;&lt;wsp:rsid wsp:val=&quot;00DC58B4&quot;/&gt;&lt;wsp:rsid wsp:val=&quot;00DC5A3B&quot;/&gt;&lt;wsp:rsid wsp:val=&quot;00DC6869&quot;/&gt;&lt;wsp:rsid wsp:val=&quot;00DD09C7&quot;/&gt;&lt;wsp:rsid wsp:val=&quot;00DD1C09&quot;/&gt;&lt;wsp:rsid wsp:val=&quot;00DD2D5C&quot;/&gt;&lt;wsp:rsid wsp:val=&quot;00DD2E44&quot;/&gt;&lt;wsp:rsid wsp:val=&quot;00DD39A7&quot;/&gt;&lt;wsp:rsid wsp:val=&quot;00DD5529&quot;/&gt;&lt;wsp:rsid wsp:val=&quot;00DD56C7&quot;/&gt;&lt;wsp:rsid wsp:val=&quot;00DD679D&quot;/&gt;&lt;wsp:rsid wsp:val=&quot;00DE0365&quot;/&gt;&lt;wsp:rsid wsp:val=&quot;00DE1715&quot;/&gt;&lt;wsp:rsid wsp:val=&quot;00DE1F81&quot;/&gt;&lt;wsp:rsid wsp:val=&quot;00DE2B8D&quot;/&gt;&lt;wsp:rsid wsp:val=&quot;00DE3273&quot;/&gt;&lt;wsp:rsid wsp:val=&quot;00DE3715&quot;/&gt;&lt;wsp:rsid wsp:val=&quot;00DE58C7&quot;/&gt;&lt;wsp:rsid wsp:val=&quot;00DE5DC8&quot;/&gt;&lt;wsp:rsid wsp:val=&quot;00DE7D91&quot;/&gt;&lt;wsp:rsid wsp:val=&quot;00DF047E&quot;/&gt;&lt;wsp:rsid wsp:val=&quot;00DF051F&quot;/&gt;&lt;wsp:rsid wsp:val=&quot;00DF0586&quot;/&gt;&lt;wsp:rsid wsp:val=&quot;00DF07BF&quot;/&gt;&lt;wsp:rsid wsp:val=&quot;00DF192E&quot;/&gt;&lt;wsp:rsid wsp:val=&quot;00DF3803&quot;/&gt;&lt;wsp:rsid wsp:val=&quot;00DF3937&quot;/&gt;&lt;wsp:rsid wsp:val=&quot;00DF4168&quot;/&gt;&lt;wsp:rsid wsp:val=&quot;00DF5015&quot;/&gt;&lt;wsp:rsid wsp:val=&quot;00DF6084&quot;/&gt;&lt;wsp:rsid wsp:val=&quot;00DF6B96&quot;/&gt;&lt;wsp:rsid wsp:val=&quot;00DF705B&quot;/&gt;&lt;wsp:rsid wsp:val=&quot;00DF79B9&quot;/&gt;&lt;wsp:rsid wsp:val=&quot;00E005AF&quot;/&gt;&lt;wsp:rsid wsp:val=&quot;00E04232&quot;/&gt;&lt;wsp:rsid wsp:val=&quot;00E045C3&quot;/&gt;&lt;wsp:rsid wsp:val=&quot;00E0473E&quot;/&gt;&lt;wsp:rsid wsp:val=&quot;00E047B1&quot;/&gt;&lt;wsp:rsid wsp:val=&quot;00E051C2&quot;/&gt;&lt;wsp:rsid wsp:val=&quot;00E0532D&quot;/&gt;&lt;wsp:rsid wsp:val=&quot;00E05D14&quot;/&gt;&lt;wsp:rsid wsp:val=&quot;00E06348&quot;/&gt;&lt;wsp:rsid wsp:val=&quot;00E07142&quot;/&gt;&lt;wsp:rsid wsp:val=&quot;00E07603&quot;/&gt;&lt;wsp:rsid wsp:val=&quot;00E105C7&quot;/&gt;&lt;wsp:rsid wsp:val=&quot;00E11928&quot;/&gt;&lt;wsp:rsid wsp:val=&quot;00E1242F&quot;/&gt;&lt;wsp:rsid wsp:val=&quot;00E13BFF&quot;/&gt;&lt;wsp:rsid wsp:val=&quot;00E13C16&quot;/&gt;&lt;wsp:rsid wsp:val=&quot;00E147F3&quot;/&gt;&lt;wsp:rsid wsp:val=&quot;00E160F5&quot;/&gt;&lt;wsp:rsid wsp:val=&quot;00E165B7&quot;/&gt;&lt;wsp:rsid wsp:val=&quot;00E1761C&quot;/&gt;&lt;wsp:rsid wsp:val=&quot;00E17779&quot;/&gt;&lt;wsp:rsid wsp:val=&quot;00E209E7&quot;/&gt;&lt;wsp:rsid wsp:val=&quot;00E212A0&quot;/&gt;&lt;wsp:rsid wsp:val=&quot;00E217CC&quot;/&gt;&lt;wsp:rsid wsp:val=&quot;00E21FAD&quot;/&gt;&lt;wsp:rsid wsp:val=&quot;00E22F8F&quot;/&gt;&lt;wsp:rsid wsp:val=&quot;00E2325C&quot;/&gt;&lt;wsp:rsid wsp:val=&quot;00E23AA0&quot;/&gt;&lt;wsp:rsid wsp:val=&quot;00E23B89&quot;/&gt;&lt;wsp:rsid wsp:val=&quot;00E244B0&quot;/&gt;&lt;wsp:rsid wsp:val=&quot;00E25BB1&quot;/&gt;&lt;wsp:rsid wsp:val=&quot;00E2619B&quot;/&gt;&lt;wsp:rsid wsp:val=&quot;00E267AB&quot;/&gt;&lt;wsp:rsid wsp:val=&quot;00E27C08&quot;/&gt;&lt;wsp:rsid wsp:val=&quot;00E30613&quot;/&gt;&lt;wsp:rsid wsp:val=&quot;00E31A5A&quot;/&gt;&lt;wsp:rsid wsp:val=&quot;00E31C1A&quot;/&gt;&lt;wsp:rsid wsp:val=&quot;00E326C9&quot;/&gt;&lt;wsp:rsid wsp:val=&quot;00E32CEA&quot;/&gt;&lt;wsp:rsid wsp:val=&quot;00E3311D&quot;/&gt;&lt;wsp:rsid wsp:val=&quot;00E33A60&quot;/&gt;&lt;wsp:rsid wsp:val=&quot;00E33BAC&quot;/&gt;&lt;wsp:rsid wsp:val=&quot;00E33F65&quot;/&gt;&lt;wsp:rsid wsp:val=&quot;00E35104&quot;/&gt;&lt;wsp:rsid wsp:val=&quot;00E35884&quot;/&gt;&lt;wsp:rsid wsp:val=&quot;00E36B24&quot;/&gt;&lt;wsp:rsid wsp:val=&quot;00E3755E&quot;/&gt;&lt;wsp:rsid wsp:val=&quot;00E37B1F&quot;/&gt;&lt;wsp:rsid wsp:val=&quot;00E37D2D&quot;/&gt;&lt;wsp:rsid wsp:val=&quot;00E401B0&quot;/&gt;&lt;wsp:rsid wsp:val=&quot;00E40B4F&quot;/&gt;&lt;wsp:rsid wsp:val=&quot;00E40DE7&quot;/&gt;&lt;wsp:rsid wsp:val=&quot;00E41664&quot;/&gt;&lt;wsp:rsid wsp:val=&quot;00E41BCD&quot;/&gt;&lt;wsp:rsid wsp:val=&quot;00E43FFA&quot;/&gt;&lt;wsp:rsid wsp:val=&quot;00E4425B&quot;/&gt;&lt;wsp:rsid wsp:val=&quot;00E45DC1&quot;/&gt;&lt;wsp:rsid wsp:val=&quot;00E45F39&quot;/&gt;&lt;wsp:rsid wsp:val=&quot;00E46BFB&quot;/&gt;&lt;wsp:rsid wsp:val=&quot;00E477D5&quot;/&gt;&lt;wsp:rsid wsp:val=&quot;00E47CD9&quot;/&gt;&lt;wsp:rsid wsp:val=&quot;00E50269&quot;/&gt;&lt;wsp:rsid wsp:val=&quot;00E511D2&quot;/&gt;&lt;wsp:rsid wsp:val=&quot;00E51D0C&quot;/&gt;&lt;wsp:rsid wsp:val=&quot;00E52328&quot;/&gt;&lt;wsp:rsid wsp:val=&quot;00E524E6&quot;/&gt;&lt;wsp:rsid wsp:val=&quot;00E535B4&quot;/&gt;&lt;wsp:rsid wsp:val=&quot;00E53A35&quot;/&gt;&lt;wsp:rsid wsp:val=&quot;00E53EDA&quot;/&gt;&lt;wsp:rsid wsp:val=&quot;00E542C5&quot;/&gt;&lt;wsp:rsid wsp:val=&quot;00E54494&quot;/&gt;&lt;wsp:rsid wsp:val=&quot;00E54CB5&quot;/&gt;&lt;wsp:rsid wsp:val=&quot;00E55039&quot;/&gt;&lt;wsp:rsid wsp:val=&quot;00E55156&quot;/&gt;&lt;wsp:rsid wsp:val=&quot;00E55CC8&quot;/&gt;&lt;wsp:rsid wsp:val=&quot;00E577A9&quot;/&gt;&lt;wsp:rsid wsp:val=&quot;00E60352&quot;/&gt;&lt;wsp:rsid wsp:val=&quot;00E616AF&quot;/&gt;&lt;wsp:rsid wsp:val=&quot;00E6245F&quot;/&gt;&lt;wsp:rsid wsp:val=&quot;00E6309C&quot;/&gt;&lt;wsp:rsid wsp:val=&quot;00E633A3&quot;/&gt;&lt;wsp:rsid wsp:val=&quot;00E643E6&quot;/&gt;&lt;wsp:rsid wsp:val=&quot;00E64649&quot;/&gt;&lt;wsp:rsid wsp:val=&quot;00E6665B&quot;/&gt;&lt;wsp:rsid wsp:val=&quot;00E67C09&quot;/&gt;&lt;wsp:rsid wsp:val=&quot;00E67D7D&quot;/&gt;&lt;wsp:rsid wsp:val=&quot;00E7028F&quot;/&gt;&lt;wsp:rsid wsp:val=&quot;00E704BD&quot;/&gt;&lt;wsp:rsid wsp:val=&quot;00E73187&quot;/&gt;&lt;wsp:rsid wsp:val=&quot;00E74789&quot;/&gt;&lt;wsp:rsid wsp:val=&quot;00E749A8&quot;/&gt;&lt;wsp:rsid wsp:val=&quot;00E76924&quot;/&gt;&lt;wsp:rsid wsp:val=&quot;00E76BBE&quot;/&gt;&lt;wsp:rsid wsp:val=&quot;00E771AB&quot;/&gt;&lt;wsp:rsid wsp:val=&quot;00E779F0&quot;/&gt;&lt;wsp:rsid wsp:val=&quot;00E80DEE&quot;/&gt;&lt;wsp:rsid wsp:val=&quot;00E81636&quot;/&gt;&lt;wsp:rsid wsp:val=&quot;00E819D8&quot;/&gt;&lt;wsp:rsid wsp:val=&quot;00E829A6&quot;/&gt;&lt;wsp:rsid wsp:val=&quot;00E82EFF&quot;/&gt;&lt;wsp:rsid wsp:val=&quot;00E830CD&quot;/&gt;&lt;wsp:rsid wsp:val=&quot;00E83233&quot;/&gt;&lt;wsp:rsid wsp:val=&quot;00E833FE&quot;/&gt;&lt;wsp:rsid wsp:val=&quot;00E846B2&quot;/&gt;&lt;wsp:rsid wsp:val=&quot;00E84C10&quot;/&gt;&lt;wsp:rsid wsp:val=&quot;00E856FC&quot;/&gt;&lt;wsp:rsid wsp:val=&quot;00E85CC9&quot;/&gt;&lt;wsp:rsid wsp:val=&quot;00E85CF8&quot;/&gt;&lt;wsp:rsid wsp:val=&quot;00E86242&quot;/&gt;&lt;wsp:rsid wsp:val=&quot;00E90126&quot;/&gt;&lt;wsp:rsid wsp:val=&quot;00E90BAE&quot;/&gt;&lt;wsp:rsid wsp:val=&quot;00E91D57&quot;/&gt;&lt;wsp:rsid wsp:val=&quot;00E93045&quot;/&gt;&lt;wsp:rsid wsp:val=&quot;00E94641&quot;/&gt;&lt;wsp:rsid wsp:val=&quot;00E94993&quot;/&gt;&lt;wsp:rsid wsp:val=&quot;00E9555B&quot;/&gt;&lt;wsp:rsid wsp:val=&quot;00E958BF&quot;/&gt;&lt;wsp:rsid wsp:val=&quot;00E96B35&quot;/&gt;&lt;wsp:rsid wsp:val=&quot;00E9700A&quot;/&gt;&lt;wsp:rsid wsp:val=&quot;00E97199&quot;/&gt;&lt;wsp:rsid wsp:val=&quot;00EA0E3F&quot;/&gt;&lt;wsp:rsid wsp:val=&quot;00EA1857&quot;/&gt;&lt;wsp:rsid wsp:val=&quot;00EA193E&quot;/&gt;&lt;wsp:rsid wsp:val=&quot;00EA2923&quot;/&gt;&lt;wsp:rsid wsp:val=&quot;00EA2DA0&quot;/&gt;&lt;wsp:rsid wsp:val=&quot;00EA36D4&quot;/&gt;&lt;wsp:rsid wsp:val=&quot;00EA4209&quot;/&gt;&lt;wsp:rsid wsp:val=&quot;00EA517B&quot;/&gt;&lt;wsp:rsid wsp:val=&quot;00EA63C7&quot;/&gt;&lt;wsp:rsid wsp:val=&quot;00EA7D48&quot;/&gt;&lt;wsp:rsid wsp:val=&quot;00EA7D90&quot;/&gt;&lt;wsp:rsid wsp:val=&quot;00EB0272&quot;/&gt;&lt;wsp:rsid wsp:val=&quot;00EB0342&quot;/&gt;&lt;wsp:rsid wsp:val=&quot;00EB03C3&quot;/&gt;&lt;wsp:rsid wsp:val=&quot;00EB07A4&quot;/&gt;&lt;wsp:rsid wsp:val=&quot;00EB1130&quot;/&gt;&lt;wsp:rsid wsp:val=&quot;00EB1F12&quot;/&gt;&lt;wsp:rsid wsp:val=&quot;00EB220C&quot;/&gt;&lt;wsp:rsid wsp:val=&quot;00EB2525&quot;/&gt;&lt;wsp:rsid wsp:val=&quot;00EB3193&quot;/&gt;&lt;wsp:rsid wsp:val=&quot;00EB3369&quot;/&gt;&lt;wsp:rsid wsp:val=&quot;00EB41A6&quot;/&gt;&lt;wsp:rsid wsp:val=&quot;00EB4886&quot;/&gt;&lt;wsp:rsid wsp:val=&quot;00EB4F10&quot;/&gt;&lt;wsp:rsid wsp:val=&quot;00EB53AA&quot;/&gt;&lt;wsp:rsid wsp:val=&quot;00EB598A&quot;/&gt;&lt;wsp:rsid wsp:val=&quot;00EB6198&quot;/&gt;&lt;wsp:rsid wsp:val=&quot;00EC0396&quot;/&gt;&lt;wsp:rsid wsp:val=&quot;00EC0785&quot;/&gt;&lt;wsp:rsid wsp:val=&quot;00EC10FF&quot;/&gt;&lt;wsp:rsid wsp:val=&quot;00EC1407&quot;/&gt;&lt;wsp:rsid wsp:val=&quot;00EC15F6&quot;/&gt;&lt;wsp:rsid wsp:val=&quot;00EC2CEE&quot;/&gt;&lt;wsp:rsid wsp:val=&quot;00EC3838&quot;/&gt;&lt;wsp:rsid wsp:val=&quot;00EC3EC5&quot;/&gt;&lt;wsp:rsid wsp:val=&quot;00EC3F5C&quot;/&gt;&lt;wsp:rsid wsp:val=&quot;00EC4197&quot;/&gt;&lt;wsp:rsid wsp:val=&quot;00EC43D5&quot;/&gt;&lt;wsp:rsid wsp:val=&quot;00EC4563&quot;/&gt;&lt;wsp:rsid wsp:val=&quot;00EC64A2&quot;/&gt;&lt;wsp:rsid wsp:val=&quot;00EC6767&quot;/&gt;&lt;wsp:rsid wsp:val=&quot;00EC6B92&quot;/&gt;&lt;wsp:rsid wsp:val=&quot;00ED0536&quot;/&gt;&lt;wsp:rsid wsp:val=&quot;00ED142E&quot;/&gt;&lt;wsp:rsid wsp:val=&quot;00ED243E&quot;/&gt;&lt;wsp:rsid wsp:val=&quot;00ED3685&quot;/&gt;&lt;wsp:rsid wsp:val=&quot;00ED36A3&quot;/&gt;&lt;wsp:rsid wsp:val=&quot;00ED39C6&quot;/&gt;&lt;wsp:rsid wsp:val=&quot;00ED4A7A&quot;/&gt;&lt;wsp:rsid wsp:val=&quot;00ED4F85&quot;/&gt;&lt;wsp:rsid wsp:val=&quot;00ED5987&quot;/&gt;&lt;wsp:rsid wsp:val=&quot;00ED7F24&quot;/&gt;&lt;wsp:rsid wsp:val=&quot;00EE05C2&quot;/&gt;&lt;wsp:rsid wsp:val=&quot;00EE088C&quot;/&gt;&lt;wsp:rsid wsp:val=&quot;00EE0EB9&quot;/&gt;&lt;wsp:rsid wsp:val=&quot;00EE14CE&quot;/&gt;&lt;wsp:rsid wsp:val=&quot;00EE2443&quot;/&gt;&lt;wsp:rsid wsp:val=&quot;00EE29C0&quot;/&gt;&lt;wsp:rsid wsp:val=&quot;00EE2B52&quot;/&gt;&lt;wsp:rsid wsp:val=&quot;00EE4C36&quot;/&gt;&lt;wsp:rsid wsp:val=&quot;00EE4C3F&quot;/&gt;&lt;wsp:rsid wsp:val=&quot;00EE5823&quot;/&gt;&lt;wsp:rsid wsp:val=&quot;00EE63E0&quot;/&gt;&lt;wsp:rsid wsp:val=&quot;00EF08E1&quot;/&gt;&lt;wsp:rsid wsp:val=&quot;00EF181A&quot;/&gt;&lt;wsp:rsid wsp:val=&quot;00EF19F1&quot;/&gt;&lt;wsp:rsid wsp:val=&quot;00EF1C6F&quot;/&gt;&lt;wsp:rsid wsp:val=&quot;00EF26EF&quot;/&gt;&lt;wsp:rsid wsp:val=&quot;00EF402D&quot;/&gt;&lt;wsp:rsid wsp:val=&quot;00EF4B6D&quot;/&gt;&lt;wsp:rsid wsp:val=&quot;00EF500B&quot;/&gt;&lt;wsp:rsid wsp:val=&quot;00EF6913&quot;/&gt;&lt;wsp:rsid wsp:val=&quot;00EF696D&quot;/&gt;&lt;wsp:rsid wsp:val=&quot;00EF6AE6&quot;/&gt;&lt;wsp:rsid wsp:val=&quot;00EF6D58&quot;/&gt;&lt;wsp:rsid wsp:val=&quot;00EF7F6C&quot;/&gt;&lt;wsp:rsid wsp:val=&quot;00F01D2D&quot;/&gt;&lt;wsp:rsid wsp:val=&quot;00F020BA&quot;/&gt;&lt;wsp:rsid wsp:val=&quot;00F02203&quot;/&gt;&lt;wsp:rsid wsp:val=&quot;00F025CA&quot;/&gt;&lt;wsp:rsid wsp:val=&quot;00F05A56&quot;/&gt;&lt;wsp:rsid wsp:val=&quot;00F05B9C&quot;/&gt;&lt;wsp:rsid wsp:val=&quot;00F067A5&quot;/&gt;&lt;wsp:rsid wsp:val=&quot;00F069D0&quot;/&gt;&lt;wsp:rsid wsp:val=&quot;00F0712C&quot;/&gt;&lt;wsp:rsid wsp:val=&quot;00F079CE&quot;/&gt;&lt;wsp:rsid wsp:val=&quot;00F079FE&quot;/&gt;&lt;wsp:rsid wsp:val=&quot;00F104D6&quot;/&gt;&lt;wsp:rsid wsp:val=&quot;00F112BB&quot;/&gt;&lt;wsp:rsid wsp:val=&quot;00F1162A&quot;/&gt;&lt;wsp:rsid wsp:val=&quot;00F11F49&quot;/&gt;&lt;wsp:rsid wsp:val=&quot;00F12151&quot;/&gt;&lt;wsp:rsid wsp:val=&quot;00F13341&quot;/&gt;&lt;wsp:rsid wsp:val=&quot;00F13656&quot;/&gt;&lt;wsp:rsid wsp:val=&quot;00F137CC&quot;/&gt;&lt;wsp:rsid wsp:val=&quot;00F140F0&quot;/&gt;&lt;wsp:rsid wsp:val=&quot;00F14ADA&quot;/&gt;&lt;wsp:rsid wsp:val=&quot;00F14DE7&quot;/&gt;&lt;wsp:rsid wsp:val=&quot;00F15056&quot;/&gt;&lt;wsp:rsid wsp:val=&quot;00F1665E&quot;/&gt;&lt;wsp:rsid wsp:val=&quot;00F16696&quot;/&gt;&lt;wsp:rsid wsp:val=&quot;00F17D18&quot;/&gt;&lt;wsp:rsid wsp:val=&quot;00F20A5D&quot;/&gt;&lt;wsp:rsid wsp:val=&quot;00F20E3F&quot;/&gt;&lt;wsp:rsid wsp:val=&quot;00F21912&quot;/&gt;&lt;wsp:rsid wsp:val=&quot;00F21F21&quot;/&gt;&lt;wsp:rsid wsp:val=&quot;00F2212E&quot;/&gt;&lt;wsp:rsid wsp:val=&quot;00F22659&quot;/&gt;&lt;wsp:rsid wsp:val=&quot;00F22830&quot;/&gt;&lt;wsp:rsid wsp:val=&quot;00F2324D&quot;/&gt;&lt;wsp:rsid wsp:val=&quot;00F23CB9&quot;/&gt;&lt;wsp:rsid wsp:val=&quot;00F23DF5&quot;/&gt;&lt;wsp:rsid wsp:val=&quot;00F2430C&quot;/&gt;&lt;wsp:rsid wsp:val=&quot;00F246D0&quot;/&gt;&lt;wsp:rsid wsp:val=&quot;00F251BD&quot;/&gt;&lt;wsp:rsid wsp:val=&quot;00F26155&quot;/&gt;&lt;wsp:rsid wsp:val=&quot;00F263C6&quot;/&gt;&lt;wsp:rsid wsp:val=&quot;00F30197&quot;/&gt;&lt;wsp:rsid wsp:val=&quot;00F3313D&quot;/&gt;&lt;wsp:rsid wsp:val=&quot;00F3469A&quot;/&gt;&lt;wsp:rsid wsp:val=&quot;00F3473D&quot;/&gt;&lt;wsp:rsid wsp:val=&quot;00F34AA1&quot;/&gt;&lt;wsp:rsid wsp:val=&quot;00F35111&quot;/&gt;&lt;wsp:rsid wsp:val=&quot;00F35F7D&quot;/&gt;&lt;wsp:rsid wsp:val=&quot;00F36448&quot;/&gt;&lt;wsp:rsid wsp:val=&quot;00F36B5C&quot;/&gt;&lt;wsp:rsid wsp:val=&quot;00F3704E&quot;/&gt;&lt;wsp:rsid wsp:val=&quot;00F40113&quot;/&gt;&lt;wsp:rsid wsp:val=&quot;00F40477&quot;/&gt;&lt;wsp:rsid wsp:val=&quot;00F40BF7&quot;/&gt;&lt;wsp:rsid wsp:val=&quot;00F40CF2&quot;/&gt;&lt;wsp:rsid wsp:val=&quot;00F40FBA&quot;/&gt;&lt;wsp:rsid wsp:val=&quot;00F41D3E&quot;/&gt;&lt;wsp:rsid wsp:val=&quot;00F43088&quot;/&gt;&lt;wsp:rsid wsp:val=&quot;00F44620&quot;/&gt;&lt;wsp:rsid wsp:val=&quot;00F44850&quot;/&gt;&lt;wsp:rsid wsp:val=&quot;00F45037&quot;/&gt;&lt;wsp:rsid wsp:val=&quot;00F456EA&quot;/&gt;&lt;wsp:rsid wsp:val=&quot;00F45FB8&quot;/&gt;&lt;wsp:rsid wsp:val=&quot;00F46268&quot;/&gt;&lt;wsp:rsid wsp:val=&quot;00F4723B&quot;/&gt;&lt;wsp:rsid wsp:val=&quot;00F475D7&quot;/&gt;&lt;wsp:rsid wsp:val=&quot;00F504D5&quot;/&gt;&lt;wsp:rsid wsp:val=&quot;00F50726&quot;/&gt;&lt;wsp:rsid wsp:val=&quot;00F50C88&quot;/&gt;&lt;wsp:rsid wsp:val=&quot;00F51136&quot;/&gt;&lt;wsp:rsid wsp:val=&quot;00F517E7&quot;/&gt;&lt;wsp:rsid wsp:val=&quot;00F51B68&quot;/&gt;&lt;wsp:rsid wsp:val=&quot;00F51CD0&quot;/&gt;&lt;wsp:rsid wsp:val=&quot;00F5209B&quot;/&gt;&lt;wsp:rsid wsp:val=&quot;00F5234D&quot;/&gt;&lt;wsp:rsid wsp:val=&quot;00F52A4C&quot;/&gt;&lt;wsp:rsid wsp:val=&quot;00F53384&quot;/&gt;&lt;wsp:rsid wsp:val=&quot;00F53ADD&quot;/&gt;&lt;wsp:rsid wsp:val=&quot;00F54197&quot;/&gt;&lt;wsp:rsid wsp:val=&quot;00F541B9&quot;/&gt;&lt;wsp:rsid wsp:val=&quot;00F54A29&quot;/&gt;&lt;wsp:rsid wsp:val=&quot;00F554DE&quot;/&gt;&lt;wsp:rsid wsp:val=&quot;00F56C9C&quot;/&gt;&lt;wsp:rsid wsp:val=&quot;00F5753C&quot;/&gt;&lt;wsp:rsid wsp:val=&quot;00F57F6D&quot;/&gt;&lt;wsp:rsid wsp:val=&quot;00F60A9F&quot;/&gt;&lt;wsp:rsid wsp:val=&quot;00F60CFE&quot;/&gt;&lt;wsp:rsid wsp:val=&quot;00F613A1&quot;/&gt;&lt;wsp:rsid wsp:val=&quot;00F6210B&quot;/&gt;&lt;wsp:rsid wsp:val=&quot;00F627CC&quot;/&gt;&lt;wsp:rsid wsp:val=&quot;00F6281A&quot;/&gt;&lt;wsp:rsid wsp:val=&quot;00F62B74&quot;/&gt;&lt;wsp:rsid wsp:val=&quot;00F63BC1&quot;/&gt;&lt;wsp:rsid wsp:val=&quot;00F64143&quot;/&gt;&lt;wsp:rsid wsp:val=&quot;00F6479C&quot;/&gt;&lt;wsp:rsid wsp:val=&quot;00F65C21&quot;/&gt;&lt;wsp:rsid wsp:val=&quot;00F66664&quot;/&gt;&lt;wsp:rsid wsp:val=&quot;00F66761&quot;/&gt;&lt;wsp:rsid wsp:val=&quot;00F66D01&quot;/&gt;&lt;wsp:rsid wsp:val=&quot;00F671E2&quot;/&gt;&lt;wsp:rsid wsp:val=&quot;00F67E22&quot;/&gt;&lt;wsp:rsid wsp:val=&quot;00F70B71&quot;/&gt;&lt;wsp:rsid wsp:val=&quot;00F711F1&quot;/&gt;&lt;wsp:rsid wsp:val=&quot;00F71EA4&quot;/&gt;&lt;wsp:rsid wsp:val=&quot;00F72525&quot;/&gt;&lt;wsp:rsid wsp:val=&quot;00F72D06&quot;/&gt;&lt;wsp:rsid wsp:val=&quot;00F74C0D&quot;/&gt;&lt;wsp:rsid wsp:val=&quot;00F752D4&quot;/&gt;&lt;wsp:rsid wsp:val=&quot;00F75427&quot;/&gt;&lt;wsp:rsid wsp:val=&quot;00F76426&quot;/&gt;&lt;wsp:rsid wsp:val=&quot;00F7716D&quot;/&gt;&lt;wsp:rsid wsp:val=&quot;00F81164&quot;/&gt;&lt;wsp:rsid wsp:val=&quot;00F82E4E&quot;/&gt;&lt;wsp:rsid wsp:val=&quot;00F8356F&quot;/&gt;&lt;wsp:rsid wsp:val=&quot;00F8372B&quot;/&gt;&lt;wsp:rsid wsp:val=&quot;00F8421E&quot;/&gt;&lt;wsp:rsid wsp:val=&quot;00F84A7B&quot;/&gt;&lt;wsp:rsid wsp:val=&quot;00F84B6A&quot;/&gt;&lt;wsp:rsid wsp:val=&quot;00F8546E&quot;/&gt;&lt;wsp:rsid wsp:val=&quot;00F858E1&quot;/&gt;&lt;wsp:rsid wsp:val=&quot;00F85DCB&quot;/&gt;&lt;wsp:rsid wsp:val=&quot;00F86FF9&quot;/&gt;&lt;wsp:rsid wsp:val=&quot;00F87206&quot;/&gt;&lt;wsp:rsid wsp:val=&quot;00F906B7&quot;/&gt;&lt;wsp:rsid wsp:val=&quot;00F9116A&quot;/&gt;&lt;wsp:rsid wsp:val=&quot;00F91AC4&quot;/&gt;&lt;wsp:rsid wsp:val=&quot;00F923EB&quot;/&gt;&lt;wsp:rsid wsp:val=&quot;00F936C1&quot;/&gt;&lt;wsp:rsid wsp:val=&quot;00F93DC2&quot;/&gt;&lt;wsp:rsid wsp:val=&quot;00F93F81&quot;/&gt;&lt;wsp:rsid wsp:val=&quot;00F9592F&quot;/&gt;&lt;wsp:rsid wsp:val=&quot;00F96FAB&quot;/&gt;&lt;wsp:rsid wsp:val=&quot;00F9701A&quot;/&gt;&lt;wsp:rsid wsp:val=&quot;00F97A56&quot;/&gt;&lt;wsp:rsid wsp:val=&quot;00FA047D&quot;/&gt;&lt;wsp:rsid wsp:val=&quot;00FA1063&quot;/&gt;&lt;wsp:rsid wsp:val=&quot;00FA1461&quot;/&gt;&lt;wsp:rsid wsp:val=&quot;00FA1697&quot;/&gt;&lt;wsp:rsid wsp:val=&quot;00FA171D&quot;/&gt;&lt;wsp:rsid wsp:val=&quot;00FA17BE&quot;/&gt;&lt;wsp:rsid wsp:val=&quot;00FA1A2F&quot;/&gt;&lt;wsp:rsid wsp:val=&quot;00FA3379&quot;/&gt;&lt;wsp:rsid wsp:val=&quot;00FA3A94&quot;/&gt;&lt;wsp:rsid wsp:val=&quot;00FA3C3F&quot;/&gt;&lt;wsp:rsid wsp:val=&quot;00FA5AAE&quot;/&gt;&lt;wsp:rsid wsp:val=&quot;00FA5D8F&quot;/&gt;&lt;wsp:rsid wsp:val=&quot;00FA7D2E&quot;/&gt;&lt;wsp:rsid wsp:val=&quot;00FB09E1&quot;/&gt;&lt;wsp:rsid wsp:val=&quot;00FB158E&quot;/&gt;&lt;wsp:rsid wsp:val=&quot;00FB1CF9&quot;/&gt;&lt;wsp:rsid wsp:val=&quot;00FB20B1&quot;/&gt;&lt;wsp:rsid wsp:val=&quot;00FB23C1&quot;/&gt;&lt;wsp:rsid wsp:val=&quot;00FB4AFF&quot;/&gt;&lt;wsp:rsid wsp:val=&quot;00FB5576&quot;/&gt;&lt;wsp:rsid wsp:val=&quot;00FB56CF&quot;/&gt;&lt;wsp:rsid wsp:val=&quot;00FB636D&quot;/&gt;&lt;wsp:rsid wsp:val=&quot;00FB6629&quot;/&gt;&lt;wsp:rsid wsp:val=&quot;00FB6CFB&quot;/&gt;&lt;wsp:rsid wsp:val=&quot;00FB7945&quot;/&gt;&lt;wsp:rsid wsp:val=&quot;00FC0D58&quot;/&gt;&lt;wsp:rsid wsp:val=&quot;00FC12B0&quot;/&gt;&lt;wsp:rsid wsp:val=&quot;00FC27AA&quot;/&gt;&lt;wsp:rsid wsp:val=&quot;00FC2CE6&quot;/&gt;&lt;wsp:rsid wsp:val=&quot;00FC31B7&quot;/&gt;&lt;wsp:rsid wsp:val=&quot;00FC325F&quot;/&gt;&lt;wsp:rsid wsp:val=&quot;00FC3E54&quot;/&gt;&lt;wsp:rsid wsp:val=&quot;00FC4370&quot;/&gt;&lt;wsp:rsid wsp:val=&quot;00FC4E1E&quot;/&gt;&lt;wsp:rsid wsp:val=&quot;00FC5E51&quot;/&gt;&lt;wsp:rsid wsp:val=&quot;00FC70FB&quot;/&gt;&lt;wsp:rsid wsp:val=&quot;00FD0180&quot;/&gt;&lt;wsp:rsid wsp:val=&quot;00FD1482&quot;/&gt;&lt;wsp:rsid wsp:val=&quot;00FD171C&quot;/&gt;&lt;wsp:rsid wsp:val=&quot;00FD1B97&quot;/&gt;&lt;wsp:rsid wsp:val=&quot;00FD3507&quot;/&gt;&lt;wsp:rsid wsp:val=&quot;00FD3EBE&quot;/&gt;&lt;wsp:rsid wsp:val=&quot;00FD3F04&quot;/&gt;&lt;wsp:rsid wsp:val=&quot;00FD4604&quot;/&gt;&lt;wsp:rsid wsp:val=&quot;00FD6BD6&quot;/&gt;&lt;wsp:rsid wsp:val=&quot;00FD7C07&quot;/&gt;&lt;wsp:rsid wsp:val=&quot;00FE05F7&quot;/&gt;&lt;wsp:rsid wsp:val=&quot;00FE06AB&quot;/&gt;&lt;wsp:rsid wsp:val=&quot;00FE261C&quot;/&gt;&lt;wsp:rsid wsp:val=&quot;00FE3151&quot;/&gt;&lt;wsp:rsid wsp:val=&quot;00FE333D&quot;/&gt;&lt;wsp:rsid wsp:val=&quot;00FE36C3&quot;/&gt;&lt;wsp:rsid wsp:val=&quot;00FE44F0&quot;/&gt;&lt;wsp:rsid wsp:val=&quot;00FE5DAC&quot;/&gt;&lt;wsp:rsid wsp:val=&quot;00FE60B9&quot;/&gt;&lt;wsp:rsid wsp:val=&quot;00FE6FB2&quot;/&gt;&lt;wsp:rsid wsp:val=&quot;00FE76E0&quot;/&gt;&lt;wsp:rsid wsp:val=&quot;00FF046C&quot;/&gt;&lt;wsp:rsid wsp:val=&quot;00FF07B8&quot;/&gt;&lt;wsp:rsid wsp:val=&quot;00FF0B63&quot;/&gt;&lt;wsp:rsid wsp:val=&quot;00FF0DEB&quot;/&gt;&lt;wsp:rsid wsp:val=&quot;00FF21EB&quot;/&gt;&lt;wsp:rsid wsp:val=&quot;00FF2E08&quot;/&gt;&lt;wsp:rsid wsp:val=&quot;00FF37A1&quot;/&gt;&lt;wsp:rsid wsp:val=&quot;00FF4661&quot;/&gt;&lt;wsp:rsid wsp:val=&quot;00FF4C34&quot;/&gt;&lt;wsp:rsid wsp:val=&quot;00FF4F75&quot;/&gt;&lt;wsp:rsid wsp:val=&quot;00FF5E04&quot;/&gt;&lt;wsp:rsid wsp:val=&quot;00FF6515&quot;/&gt;&lt;wsp:rsid wsp:val=&quot;00FF669D&quot;/&gt;&lt;wsp:rsid wsp:val=&quot;00FF6979&quot;/&gt;&lt;wsp:rsid wsp:val=&quot;00FF7011&quot;/&gt;&lt;wsp:rsid wsp:val=&quot;00FF7723&quot;/&gt;&lt;wsp:rsid wsp:val=&quot;00FF79DE&quot;/&gt;&lt;wsp:rsid wsp:val=&quot;0471177E&quot;/&gt;&lt;wsp:rsid wsp:val=&quot;05E3020F&quot;/&gt;&lt;wsp:rsid wsp:val=&quot;08724604&quot;/&gt;&lt;wsp:rsid wsp:val=&quot;0C1803E3&quot;/&gt;&lt;wsp:rsid wsp:val=&quot;0C990E7C&quot;/&gt;&lt;wsp:rsid wsp:val=&quot;0CAD7F05&quot;/&gt;&lt;wsp:rsid wsp:val=&quot;11873A80&quot;/&gt;&lt;wsp:rsid wsp:val=&quot;17BC422F&quot;/&gt;&lt;wsp:rsid wsp:val=&quot;18E707A5&quot;/&gt;&lt;wsp:rsid wsp:val=&quot;1A433BB2&quot;/&gt;&lt;wsp:rsid wsp:val=&quot;23D3070A&quot;/&gt;&lt;wsp:rsid wsp:val=&quot;25350811&quot;/&gt;&lt;wsp:rsid wsp:val=&quot;289B1E8D&quot;/&gt;&lt;wsp:rsid wsp:val=&quot;2E6F0B8E&quot;/&gt;&lt;wsp:rsid wsp:val=&quot;304D5659&quot;/&gt;&lt;wsp:rsid wsp:val=&quot;317F025F&quot;/&gt;&lt;wsp:rsid wsp:val=&quot;368D0334&quot;/&gt;&lt;wsp:rsid wsp:val=&quot;40055E36&quot;/&gt;&lt;wsp:rsid wsp:val=&quot;40CE4415&quot;/&gt;&lt;wsp:rsid wsp:val=&quot;46A25A7F&quot;/&gt;&lt;wsp:rsid wsp:val=&quot;485A4EA6&quot;/&gt;&lt;wsp:rsid wsp:val=&quot;49CB60E5&quot;/&gt;&lt;wsp:rsid wsp:val=&quot;546859EB&quot;/&gt;&lt;wsp:rsid wsp:val=&quot;58D46D47&quot;/&gt;&lt;wsp:rsid wsp:val=&quot;5CD44510&quot;/&gt;&lt;wsp:rsid wsp:val=&quot;5D4516CB&quot;/&gt;&lt;wsp:rsid wsp:val=&quot;5D860F6B&quot;/&gt;&lt;wsp:rsid wsp:val=&quot;68B430FC&quot;/&gt;&lt;wsp:rsid wsp:val=&quot;6A2A4C91&quot;/&gt;&lt;wsp:rsid wsp:val=&quot;715012E2&quot;/&gt;&lt;wsp:rsid wsp:val=&quot;71DF487E&quot;/&gt;&lt;wsp:rsid wsp:val=&quot;735343C5&quot;/&gt;&lt;wsp:rsid wsp:val=&quot;78F91B53&quot;/&gt;&lt;wsp:rsid wsp:val=&quot;7C64631E&quot;/&gt;&lt;wsp:rsid wsp:val=&quot;7D423CE2&quot;/&gt;&lt;/wsp:rsids&gt;&lt;/w:docPr&gt;&lt;w:body&gt;&lt;wx:sect&gt;&lt;w:p wsp:rsidR=&quot;00000000&quot; wsp:rsidRDefault=&quot;004120CF&quot; wsp:rsidP=&quot;004120CF&quot;&gt;&lt;m:oMathPara&gt;&lt;m:oMath&gt;&lt;m:r&gt;&lt;w:rPr&gt;&lt;w:rFonts w:ascii=&quot;Cambria Math&quot; w:h-ansi=&quot;Cambria Math&quot;/&gt;&lt;wx:font wx:val=&quot;Cambria Math&quot;/&gt;&lt;w:i/&gt;&lt;/w:rPr&gt;&lt;m:t&gt;η&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21" chromakey="#FFFFFF" o:title=""/>
                  <o:lock v:ext="edit" aspectratio="t"/>
                  <w10:wrap type="none"/>
                  <w10:anchorlock/>
                </v:shape>
              </w:pict>
            </w:r>
            <w:r>
              <w:rPr>
                <w:rFonts w:hint="default" w:ascii="Times New Roman" w:hAnsi="Times New Roman" w:eastAsia="宋体" w:cs="Times New Roman"/>
                <w:color w:val="auto"/>
                <w:sz w:val="24"/>
                <w:szCs w:val="24"/>
                <w:highlight w:val="none"/>
              </w:rPr>
              <w:instrText xml:space="preserve">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olor w:val="auto"/>
                <w:sz w:val="24"/>
                <w:szCs w:val="24"/>
                <w:highlight w:val="none"/>
              </w:rPr>
              <w:t>η为污染控制技术对扬尘的去除效率，52%。</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QUOTE </w:instrText>
            </w:r>
            <w:r>
              <w:rPr>
                <w:rFonts w:hint="default" w:ascii="Times New Roman" w:hAnsi="Times New Roman" w:eastAsia="宋体" w:cs="Times New Roman"/>
                <w:color w:val="auto"/>
                <w:position w:val="-8"/>
                <w:sz w:val="24"/>
                <w:szCs w:val="24"/>
                <w:highlight w:val="none"/>
              </w:rPr>
              <w:pict>
                <v:shape id="_x0000_i1027" o:spt="75" type="#_x0000_t75" style="height:15.75pt;width:10.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94&quot;/&gt;&lt;w:displayBackgroundShape/&gt;&lt;w:doNotEmbedSystemFonts/&gt;&lt;w:bordersDontSurroundHeader/&gt;&lt;w:bordersDontSurroundFooter/&gt;&lt;w:hideSpellingErrors/&gt;&lt;w:defaultTabStop w:val=&quot;420&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82A5A&quot;/&gt;&lt;wsp:rsid wsp:val=&quot;00000D02&quot;/&gt;&lt;wsp:rsid wsp:val=&quot;00000F90&quot;/&gt;&lt;wsp:rsid wsp:val=&quot;00002DD6&quot;/&gt;&lt;wsp:rsid wsp:val=&quot;00003C3B&quot;/&gt;&lt;wsp:rsid wsp:val=&quot;00004137&quot;/&gt;&lt;wsp:rsid wsp:val=&quot;00004407&quot;/&gt;&lt;wsp:rsid wsp:val=&quot;000048CB&quot;/&gt;&lt;wsp:rsid wsp:val=&quot;00004FFF&quot;/&gt;&lt;wsp:rsid wsp:val=&quot;000052ED&quot;/&gt;&lt;wsp:rsid wsp:val=&quot;000068EA&quot;/&gt;&lt;wsp:rsid wsp:val=&quot;000079C0&quot;/&gt;&lt;wsp:rsid wsp:val=&quot;00010579&quot;/&gt;&lt;wsp:rsid wsp:val=&quot;000108D9&quot;/&gt;&lt;wsp:rsid wsp:val=&quot;00011409&quot;/&gt;&lt;wsp:rsid wsp:val=&quot;0001296A&quot;/&gt;&lt;wsp:rsid wsp:val=&quot;00014275&quot;/&gt;&lt;wsp:rsid wsp:val=&quot;00014351&quot;/&gt;&lt;wsp:rsid wsp:val=&quot;0001449A&quot;/&gt;&lt;wsp:rsid wsp:val=&quot;00015DD0&quot;/&gt;&lt;wsp:rsid wsp:val=&quot;0001650C&quot;/&gt;&lt;wsp:rsid wsp:val=&quot;00017297&quot;/&gt;&lt;wsp:rsid wsp:val=&quot;00017B9C&quot;/&gt;&lt;wsp:rsid wsp:val=&quot;000205C8&quot;/&gt;&lt;wsp:rsid wsp:val=&quot;000235A3&quot;/&gt;&lt;wsp:rsid wsp:val=&quot;00023D8F&quot;/&gt;&lt;wsp:rsid wsp:val=&quot;0002422E&quot;/&gt;&lt;wsp:rsid wsp:val=&quot;000243AF&quot;/&gt;&lt;wsp:rsid wsp:val=&quot;00024BAD&quot;/&gt;&lt;wsp:rsid wsp:val=&quot;00025526&quot;/&gt;&lt;wsp:rsid wsp:val=&quot;0002623A&quot;/&gt;&lt;wsp:rsid wsp:val=&quot;000262D7&quot;/&gt;&lt;wsp:rsid wsp:val=&quot;0002637C&quot;/&gt;&lt;wsp:rsid wsp:val=&quot;0002690B&quot;/&gt;&lt;wsp:rsid wsp:val=&quot;00026B3C&quot;/&gt;&lt;wsp:rsid wsp:val=&quot;0002708F&quot;/&gt;&lt;wsp:rsid wsp:val=&quot;0003165E&quot;/&gt;&lt;wsp:rsid wsp:val=&quot;0003172F&quot;/&gt;&lt;wsp:rsid wsp:val=&quot;0003188D&quot;/&gt;&lt;wsp:rsid wsp:val=&quot;00031D66&quot;/&gt;&lt;wsp:rsid wsp:val=&quot;00031F5A&quot;/&gt;&lt;wsp:rsid wsp:val=&quot;000333B7&quot;/&gt;&lt;wsp:rsid wsp:val=&quot;00034880&quot;/&gt;&lt;wsp:rsid wsp:val=&quot;00034881&quot;/&gt;&lt;wsp:rsid wsp:val=&quot;000355F3&quot;/&gt;&lt;wsp:rsid wsp:val=&quot;0003581E&quot;/&gt;&lt;wsp:rsid wsp:val=&quot;000363A7&quot;/&gt;&lt;wsp:rsid wsp:val=&quot;000368BC&quot;/&gt;&lt;wsp:rsid wsp:val=&quot;000370F0&quot;/&gt;&lt;wsp:rsid wsp:val=&quot;00037309&quot;/&gt;&lt;wsp:rsid wsp:val=&quot;00037E96&quot;/&gt;&lt;wsp:rsid wsp:val=&quot;000400F4&quot;/&gt;&lt;wsp:rsid wsp:val=&quot;000407EF&quot;/&gt;&lt;wsp:rsid wsp:val=&quot;000408A6&quot;/&gt;&lt;wsp:rsid wsp:val=&quot;000408AB&quot;/&gt;&lt;wsp:rsid wsp:val=&quot;0004180C&quot;/&gt;&lt;wsp:rsid wsp:val=&quot;00041E3C&quot;/&gt;&lt;wsp:rsid wsp:val=&quot;00042180&quot;/&gt;&lt;wsp:rsid wsp:val=&quot;00042E92&quot;/&gt;&lt;wsp:rsid wsp:val=&quot;0004360D&quot;/&gt;&lt;wsp:rsid wsp:val=&quot;0004371E&quot;/&gt;&lt;wsp:rsid wsp:val=&quot;00043952&quot;/&gt;&lt;wsp:rsid wsp:val=&quot;00044DE2&quot;/&gt;&lt;wsp:rsid wsp:val=&quot;00045662&quot;/&gt;&lt;wsp:rsid wsp:val=&quot;00046772&quot;/&gt;&lt;wsp:rsid wsp:val=&quot;0004683B&quot;/&gt;&lt;wsp:rsid wsp:val=&quot;0004701E&quot;/&gt;&lt;wsp:rsid wsp:val=&quot;00050BF0&quot;/&gt;&lt;wsp:rsid wsp:val=&quot;00051A43&quot;/&gt;&lt;wsp:rsid wsp:val=&quot;000533F2&quot;/&gt;&lt;wsp:rsid wsp:val=&quot;000535D6&quot;/&gt;&lt;wsp:rsid wsp:val=&quot;00054EE6&quot;/&gt;&lt;wsp:rsid wsp:val=&quot;0005634C&quot;/&gt;&lt;wsp:rsid wsp:val=&quot;00056B61&quot;/&gt;&lt;wsp:rsid wsp:val=&quot;00057E6E&quot;/&gt;&lt;wsp:rsid wsp:val=&quot;000607AD&quot;/&gt;&lt;wsp:rsid wsp:val=&quot;0006125E&quot;/&gt;&lt;wsp:rsid wsp:val=&quot;00061796&quot;/&gt;&lt;wsp:rsid wsp:val=&quot;00061812&quot;/&gt;&lt;wsp:rsid wsp:val=&quot;00064956&quot;/&gt;&lt;wsp:rsid wsp:val=&quot;00064F3B&quot;/&gt;&lt;wsp:rsid wsp:val=&quot;00065A8F&quot;/&gt;&lt;wsp:rsid wsp:val=&quot;00065F29&quot;/&gt;&lt;wsp:rsid wsp:val=&quot;00070A09&quot;/&gt;&lt;wsp:rsid wsp:val=&quot;00070C7F&quot;/&gt;&lt;wsp:rsid wsp:val=&quot;00073CB1&quot;/&gt;&lt;wsp:rsid wsp:val=&quot;00074058&quot;/&gt;&lt;wsp:rsid wsp:val=&quot;00074AFD&quot;/&gt;&lt;wsp:rsid wsp:val=&quot;00074E15&quot;/&gt;&lt;wsp:rsid wsp:val=&quot;00075C0B&quot;/&gt;&lt;wsp:rsid wsp:val=&quot;00075F90&quot;/&gt;&lt;wsp:rsid wsp:val=&quot;00075FF9&quot;/&gt;&lt;wsp:rsid wsp:val=&quot;000763A0&quot;/&gt;&lt;wsp:rsid wsp:val=&quot;00076760&quot;/&gt;&lt;wsp:rsid wsp:val=&quot;00077C6E&quot;/&gt;&lt;wsp:rsid wsp:val=&quot;00077EBB&quot;/&gt;&lt;wsp:rsid wsp:val=&quot;0008028D&quot;/&gt;&lt;wsp:rsid wsp:val=&quot;00080AA2&quot;/&gt;&lt;wsp:rsid wsp:val=&quot;00080BDD&quot;/&gt;&lt;wsp:rsid wsp:val=&quot;0008159D&quot;/&gt;&lt;wsp:rsid wsp:val=&quot;00082D36&quot;/&gt;&lt;wsp:rsid wsp:val=&quot;0008396F&quot;/&gt;&lt;wsp:rsid wsp:val=&quot;00083C18&quot;/&gt;&lt;wsp:rsid wsp:val=&quot;0008442F&quot;/&gt;&lt;wsp:rsid wsp:val=&quot;000864D5&quot;/&gt;&lt;wsp:rsid wsp:val=&quot;00086CF7&quot;/&gt;&lt;wsp:rsid wsp:val=&quot;00087257&quot;/&gt;&lt;wsp:rsid wsp:val=&quot;00087498&quot;/&gt;&lt;wsp:rsid wsp:val=&quot;000877C8&quot;/&gt;&lt;wsp:rsid wsp:val=&quot;00087FE8&quot;/&gt;&lt;wsp:rsid wsp:val=&quot;00090424&quot;/&gt;&lt;wsp:rsid wsp:val=&quot;000909D8&quot;/&gt;&lt;wsp:rsid wsp:val=&quot;00090C5E&quot;/&gt;&lt;wsp:rsid wsp:val=&quot;000917E6&quot;/&gt;&lt;wsp:rsid wsp:val=&quot;00091B7C&quot;/&gt;&lt;wsp:rsid wsp:val=&quot;00092B59&quot;/&gt;&lt;wsp:rsid wsp:val=&quot;000930C4&quot;/&gt;&lt;wsp:rsid wsp:val=&quot;00093812&quot;/&gt;&lt;wsp:rsid wsp:val=&quot;000964A7&quot;/&gt;&lt;wsp:rsid wsp:val=&quot;000978C5&quot;/&gt;&lt;wsp:rsid wsp:val=&quot;000A08F1&quot;/&gt;&lt;wsp:rsid wsp:val=&quot;000A1217&quot;/&gt;&lt;wsp:rsid wsp:val=&quot;000A20E0&quot;/&gt;&lt;wsp:rsid wsp:val=&quot;000A2264&quot;/&gt;&lt;wsp:rsid wsp:val=&quot;000A38FB&quot;/&gt;&lt;wsp:rsid wsp:val=&quot;000A457D&quot;/&gt;&lt;wsp:rsid wsp:val=&quot;000A4F2C&quot;/&gt;&lt;wsp:rsid wsp:val=&quot;000A589B&quot;/&gt;&lt;wsp:rsid wsp:val=&quot;000A5F49&quot;/&gt;&lt;wsp:rsid wsp:val=&quot;000A64EA&quot;/&gt;&lt;wsp:rsid wsp:val=&quot;000A7A05&quot;/&gt;&lt;wsp:rsid wsp:val=&quot;000B1DD7&quot;/&gt;&lt;wsp:rsid wsp:val=&quot;000B34F4&quot;/&gt;&lt;wsp:rsid wsp:val=&quot;000B487E&quot;/&gt;&lt;wsp:rsid wsp:val=&quot;000B4973&quot;/&gt;&lt;wsp:rsid wsp:val=&quot;000B49B2&quot;/&gt;&lt;wsp:rsid wsp:val=&quot;000B4C16&quot;/&gt;&lt;wsp:rsid wsp:val=&quot;000B4EE4&quot;/&gt;&lt;wsp:rsid wsp:val=&quot;000B56C3&quot;/&gt;&lt;wsp:rsid wsp:val=&quot;000B69BE&quot;/&gt;&lt;wsp:rsid wsp:val=&quot;000B6AF4&quot;/&gt;&lt;wsp:rsid wsp:val=&quot;000C2528&quot;/&gt;&lt;wsp:rsid wsp:val=&quot;000C2696&quot;/&gt;&lt;wsp:rsid wsp:val=&quot;000C2B0E&quot;/&gt;&lt;wsp:rsid wsp:val=&quot;000C3650&quot;/&gt;&lt;wsp:rsid wsp:val=&quot;000C366B&quot;/&gt;&lt;wsp:rsid wsp:val=&quot;000C4235&quot;/&gt;&lt;wsp:rsid wsp:val=&quot;000C54D5&quot;/&gt;&lt;wsp:rsid wsp:val=&quot;000C57FB&quot;/&gt;&lt;wsp:rsid wsp:val=&quot;000C5E64&quot;/&gt;&lt;wsp:rsid wsp:val=&quot;000C6333&quot;/&gt;&lt;wsp:rsid wsp:val=&quot;000C64F8&quot;/&gt;&lt;wsp:rsid wsp:val=&quot;000D0338&quot;/&gt;&lt;wsp:rsid wsp:val=&quot;000D07AD&quot;/&gt;&lt;wsp:rsid wsp:val=&quot;000D08DB&quot;/&gt;&lt;wsp:rsid wsp:val=&quot;000D1088&quot;/&gt;&lt;wsp:rsid wsp:val=&quot;000D168E&quot;/&gt;&lt;wsp:rsid wsp:val=&quot;000D2F3D&quot;/&gt;&lt;wsp:rsid wsp:val=&quot;000D37FA&quot;/&gt;&lt;wsp:rsid wsp:val=&quot;000D6076&quot;/&gt;&lt;wsp:rsid wsp:val=&quot;000D7188&quot;/&gt;&lt;wsp:rsid wsp:val=&quot;000D7605&quot;/&gt;&lt;wsp:rsid wsp:val=&quot;000E0759&quot;/&gt;&lt;wsp:rsid wsp:val=&quot;000E0FF9&quot;/&gt;&lt;wsp:rsid wsp:val=&quot;000E37D9&quot;/&gt;&lt;wsp:rsid wsp:val=&quot;000E401E&quot;/&gt;&lt;wsp:rsid wsp:val=&quot;000E4700&quot;/&gt;&lt;wsp:rsid wsp:val=&quot;000E4DA3&quot;/&gt;&lt;wsp:rsid wsp:val=&quot;000E55BB&quot;/&gt;&lt;wsp:rsid wsp:val=&quot;000E5840&quot;/&gt;&lt;wsp:rsid wsp:val=&quot;000E5FD7&quot;/&gt;&lt;wsp:rsid wsp:val=&quot;000E68B4&quot;/&gt;&lt;wsp:rsid wsp:val=&quot;000E72E8&quot;/&gt;&lt;wsp:rsid wsp:val=&quot;000F03AE&quot;/&gt;&lt;wsp:rsid wsp:val=&quot;000F089B&quot;/&gt;&lt;wsp:rsid wsp:val=&quot;000F106C&quot;/&gt;&lt;wsp:rsid wsp:val=&quot;000F2649&quot;/&gt;&lt;wsp:rsid wsp:val=&quot;000F28E7&quot;/&gt;&lt;wsp:rsid wsp:val=&quot;000F39C8&quot;/&gt;&lt;wsp:rsid wsp:val=&quot;000F3B35&quot;/&gt;&lt;wsp:rsid wsp:val=&quot;000F3DB3&quot;/&gt;&lt;wsp:rsid wsp:val=&quot;000F508C&quot;/&gt;&lt;wsp:rsid wsp:val=&quot;000F53E1&quot;/&gt;&lt;wsp:rsid wsp:val=&quot;000F6B60&quot;/&gt;&lt;wsp:rsid wsp:val=&quot;00100E94&quot;/&gt;&lt;wsp:rsid wsp:val=&quot;0010109B&quot;/&gt;&lt;wsp:rsid wsp:val=&quot;00101299&quot;/&gt;&lt;wsp:rsid wsp:val=&quot;00102D42&quot;/&gt;&lt;wsp:rsid wsp:val=&quot;00102DA9&quot;/&gt;&lt;wsp:rsid wsp:val=&quot;00102EE0&quot;/&gt;&lt;wsp:rsid wsp:val=&quot;00103127&quot;/&gt;&lt;wsp:rsid wsp:val=&quot;001034EA&quot;/&gt;&lt;wsp:rsid wsp:val=&quot;00103B53&quot;/&gt;&lt;wsp:rsid wsp:val=&quot;001047B2&quot;/&gt;&lt;wsp:rsid wsp:val=&quot;00104C51&quot;/&gt;&lt;wsp:rsid wsp:val=&quot;00105B91&quot;/&gt;&lt;wsp:rsid wsp:val=&quot;00105BEB&quot;/&gt;&lt;wsp:rsid wsp:val=&quot;00106601&quot;/&gt;&lt;wsp:rsid wsp:val=&quot;00107554&quot;/&gt;&lt;wsp:rsid wsp:val=&quot;00107A60&quot;/&gt;&lt;wsp:rsid wsp:val=&quot;0011031F&quot;/&gt;&lt;wsp:rsid wsp:val=&quot;001103D2&quot;/&gt;&lt;wsp:rsid wsp:val=&quot;00110EB9&quot;/&gt;&lt;wsp:rsid wsp:val=&quot;00111636&quot;/&gt;&lt;wsp:rsid wsp:val=&quot;00111AC0&quot;/&gt;&lt;wsp:rsid wsp:val=&quot;001121D8&quot;/&gt;&lt;wsp:rsid wsp:val=&quot;00112217&quot;/&gt;&lt;wsp:rsid wsp:val=&quot;00112483&quot;/&gt;&lt;wsp:rsid wsp:val=&quot;00112B6C&quot;/&gt;&lt;wsp:rsid wsp:val=&quot;00113651&quot;/&gt;&lt;wsp:rsid wsp:val=&quot;001142E5&quot;/&gt;&lt;wsp:rsid wsp:val=&quot;001146BB&quot;/&gt;&lt;wsp:rsid wsp:val=&quot;001147D9&quot;/&gt;&lt;wsp:rsid wsp:val=&quot;00115ED6&quot;/&gt;&lt;wsp:rsid wsp:val=&quot;00116BC7&quot;/&gt;&lt;wsp:rsid wsp:val=&quot;00116F50&quot;/&gt;&lt;wsp:rsid wsp:val=&quot;001173B8&quot;/&gt;&lt;wsp:rsid wsp:val=&quot;00117F73&quot;/&gt;&lt;wsp:rsid wsp:val=&quot;00120383&quot;/&gt;&lt;wsp:rsid wsp:val=&quot;00120D7C&quot;/&gt;&lt;wsp:rsid wsp:val=&quot;00121C68&quot;/&gt;&lt;wsp:rsid wsp:val=&quot;001235CF&quot;/&gt;&lt;wsp:rsid wsp:val=&quot;00123A6C&quot;/&gt;&lt;wsp:rsid wsp:val=&quot;001241CD&quot;/&gt;&lt;wsp:rsid wsp:val=&quot;00125EC7&quot;/&gt;&lt;wsp:rsid wsp:val=&quot;0012609F&quot;/&gt;&lt;wsp:rsid wsp:val=&quot;00127F2B&quot;/&gt;&lt;wsp:rsid wsp:val=&quot;00130114&quot;/&gt;&lt;wsp:rsid wsp:val=&quot;0013076E&quot;/&gt;&lt;wsp:rsid wsp:val=&quot;00130B64&quot;/&gt;&lt;wsp:rsid wsp:val=&quot;00130E8C&quot;/&gt;&lt;wsp:rsid wsp:val=&quot;00131F6C&quot;/&gt;&lt;wsp:rsid wsp:val=&quot;00132836&quot;/&gt;&lt;wsp:rsid wsp:val=&quot;00133048&quot;/&gt;&lt;wsp:rsid wsp:val=&quot;00133949&quot;/&gt;&lt;wsp:rsid wsp:val=&quot;00135197&quot;/&gt;&lt;wsp:rsid wsp:val=&quot;00135B64&quot;/&gt;&lt;wsp:rsid wsp:val=&quot;001367F1&quot;/&gt;&lt;wsp:rsid wsp:val=&quot;0013719C&quot;/&gt;&lt;wsp:rsid wsp:val=&quot;001373F3&quot;/&gt;&lt;wsp:rsid wsp:val=&quot;001374BB&quot;/&gt;&lt;wsp:rsid wsp:val=&quot;001405F0&quot;/&gt;&lt;wsp:rsid wsp:val=&quot;0014082D&quot;/&gt;&lt;wsp:rsid wsp:val=&quot;00141038&quot;/&gt;&lt;wsp:rsid wsp:val=&quot;0014154B&quot;/&gt;&lt;wsp:rsid wsp:val=&quot;00141984&quot;/&gt;&lt;wsp:rsid wsp:val=&quot;00141E17&quot;/&gt;&lt;wsp:rsid wsp:val=&quot;00141EEB&quot;/&gt;&lt;wsp:rsid wsp:val=&quot;001421EA&quot;/&gt;&lt;wsp:rsid wsp:val=&quot;00142292&quot;/&gt;&lt;wsp:rsid wsp:val=&quot;001440A1&quot;/&gt;&lt;wsp:rsid wsp:val=&quot;001466ED&quot;/&gt;&lt;wsp:rsid wsp:val=&quot;001469B7&quot;/&gt;&lt;wsp:rsid wsp:val=&quot;00147BE4&quot;/&gt;&lt;wsp:rsid wsp:val=&quot;0015061D&quot;/&gt;&lt;wsp:rsid wsp:val=&quot;001508C4&quot;/&gt;&lt;wsp:rsid wsp:val=&quot;0015197D&quot;/&gt;&lt;wsp:rsid wsp:val=&quot;001523E9&quot;/&gt;&lt;wsp:rsid wsp:val=&quot;00152768&quot;/&gt;&lt;wsp:rsid wsp:val=&quot;001528FA&quot;/&gt;&lt;wsp:rsid wsp:val=&quot;00152B6D&quot;/&gt;&lt;wsp:rsid wsp:val=&quot;001532E7&quot;/&gt;&lt;wsp:rsid wsp:val=&quot;00153366&quot;/&gt;&lt;wsp:rsid wsp:val=&quot;001554B1&quot;/&gt;&lt;wsp:rsid wsp:val=&quot;00156550&quot;/&gt;&lt;wsp:rsid wsp:val=&quot;00156AA1&quot;/&gt;&lt;wsp:rsid wsp:val=&quot;00157B3E&quot;/&gt;&lt;wsp:rsid wsp:val=&quot;001611D0&quot;/&gt;&lt;wsp:rsid wsp:val=&quot;00162183&quot;/&gt;&lt;wsp:rsid wsp:val=&quot;00162845&quot;/&gt;&lt;wsp:rsid wsp:val=&quot;00162BD5&quot;/&gt;&lt;wsp:rsid wsp:val=&quot;001635E7&quot;/&gt;&lt;wsp:rsid wsp:val=&quot;001653F7&quot;/&gt;&lt;wsp:rsid wsp:val=&quot;00165B46&quot;/&gt;&lt;wsp:rsid wsp:val=&quot;00165FD3&quot;/&gt;&lt;wsp:rsid wsp:val=&quot;0016649E&quot;/&gt;&lt;wsp:rsid wsp:val=&quot;00166847&quot;/&gt;&lt;wsp:rsid wsp:val=&quot;0016733A&quot;/&gt;&lt;wsp:rsid wsp:val=&quot;001679DC&quot;/&gt;&lt;wsp:rsid wsp:val=&quot;00167AD0&quot;/&gt;&lt;wsp:rsid wsp:val=&quot;00171430&quot;/&gt;&lt;wsp:rsid wsp:val=&quot;00172401&quot;/&gt;&lt;wsp:rsid wsp:val=&quot;00172572&quot;/&gt;&lt;wsp:rsid wsp:val=&quot;00172F0A&quot;/&gt;&lt;wsp:rsid wsp:val=&quot;00172F4C&quot;/&gt;&lt;wsp:rsid wsp:val=&quot;00175205&quot;/&gt;&lt;wsp:rsid wsp:val=&quot;001774B1&quot;/&gt;&lt;wsp:rsid wsp:val=&quot;00177B4A&quot;/&gt;&lt;wsp:rsid wsp:val=&quot;0018367F&quot;/&gt;&lt;wsp:rsid wsp:val=&quot;00183C0F&quot;/&gt;&lt;wsp:rsid wsp:val=&quot;00185D25&quot;/&gt;&lt;wsp:rsid wsp:val=&quot;001873D2&quot;/&gt;&lt;wsp:rsid wsp:val=&quot;0019016D&quot;/&gt;&lt;wsp:rsid wsp:val=&quot;0019108E&quot;/&gt;&lt;wsp:rsid wsp:val=&quot;001910EB&quot;/&gt;&lt;wsp:rsid wsp:val=&quot;001916C6&quot;/&gt;&lt;wsp:rsid wsp:val=&quot;00191B64&quot;/&gt;&lt;wsp:rsid wsp:val=&quot;0019214B&quot;/&gt;&lt;wsp:rsid wsp:val=&quot;00192A2D&quot;/&gt;&lt;wsp:rsid wsp:val=&quot;00193742&quot;/&gt;&lt;wsp:rsid wsp:val=&quot;00193A8B&quot;/&gt;&lt;wsp:rsid wsp:val=&quot;00196E2A&quot;/&gt;&lt;wsp:rsid wsp:val=&quot;00197FB3&quot;/&gt;&lt;wsp:rsid wsp:val=&quot;001A0095&quot;/&gt;&lt;wsp:rsid wsp:val=&quot;001A018C&quot;/&gt;&lt;wsp:rsid wsp:val=&quot;001A1972&quot;/&gt;&lt;wsp:rsid wsp:val=&quot;001A26F3&quot;/&gt;&lt;wsp:rsid wsp:val=&quot;001A3A52&quot;/&gt;&lt;wsp:rsid wsp:val=&quot;001A5596&quot;/&gt;&lt;wsp:rsid wsp:val=&quot;001A581B&quot;/&gt;&lt;wsp:rsid wsp:val=&quot;001A5C74&quot;/&gt;&lt;wsp:rsid wsp:val=&quot;001A5CA5&quot;/&gt;&lt;wsp:rsid wsp:val=&quot;001A6E5E&quot;/&gt;&lt;wsp:rsid wsp:val=&quot;001A717A&quot;/&gt;&lt;wsp:rsid wsp:val=&quot;001A7265&quot;/&gt;&lt;wsp:rsid wsp:val=&quot;001A7B8D&quot;/&gt;&lt;wsp:rsid wsp:val=&quot;001A7E63&quot;/&gt;&lt;wsp:rsid wsp:val=&quot;001B0085&quot;/&gt;&lt;wsp:rsid wsp:val=&quot;001B1B8D&quot;/&gt;&lt;wsp:rsid wsp:val=&quot;001B1F70&quot;/&gt;&lt;wsp:rsid wsp:val=&quot;001B25A5&quot;/&gt;&lt;wsp:rsid wsp:val=&quot;001B2BA8&quot;/&gt;&lt;wsp:rsid wsp:val=&quot;001B50BD&quot;/&gt;&lt;wsp:rsid wsp:val=&quot;001B52F8&quot;/&gt;&lt;wsp:rsid wsp:val=&quot;001B5DDC&quot;/&gt;&lt;wsp:rsid wsp:val=&quot;001B755C&quot;/&gt;&lt;wsp:rsid wsp:val=&quot;001C0920&quot;/&gt;&lt;wsp:rsid wsp:val=&quot;001C1480&quot;/&gt;&lt;wsp:rsid wsp:val=&quot;001C1736&quot;/&gt;&lt;wsp:rsid wsp:val=&quot;001C20A5&quot;/&gt;&lt;wsp:rsid wsp:val=&quot;001C290B&quot;/&gt;&lt;wsp:rsid wsp:val=&quot;001C3A0D&quot;/&gt;&lt;wsp:rsid wsp:val=&quot;001C45F0&quot;/&gt;&lt;wsp:rsid wsp:val=&quot;001C6350&quot;/&gt;&lt;wsp:rsid wsp:val=&quot;001C67E3&quot;/&gt;&lt;wsp:rsid wsp:val=&quot;001C6E45&quot;/&gt;&lt;wsp:rsid wsp:val=&quot;001C777A&quot;/&gt;&lt;wsp:rsid wsp:val=&quot;001D047E&quot;/&gt;&lt;wsp:rsid wsp:val=&quot;001D081E&quot;/&gt;&lt;wsp:rsid wsp:val=&quot;001D0838&quot;/&gt;&lt;wsp:rsid wsp:val=&quot;001D0A77&quot;/&gt;&lt;wsp:rsid wsp:val=&quot;001D0EC1&quot;/&gt;&lt;wsp:rsid wsp:val=&quot;001D3440&quot;/&gt;&lt;wsp:rsid wsp:val=&quot;001D5301&quot;/&gt;&lt;wsp:rsid wsp:val=&quot;001D6606&quot;/&gt;&lt;wsp:rsid wsp:val=&quot;001D6CD5&quot;/&gt;&lt;wsp:rsid wsp:val=&quot;001D6FB8&quot;/&gt;&lt;wsp:rsid wsp:val=&quot;001D7950&quot;/&gt;&lt;wsp:rsid wsp:val=&quot;001E08A4&quot;/&gt;&lt;wsp:rsid wsp:val=&quot;001E128E&quot;/&gt;&lt;wsp:rsid wsp:val=&quot;001E17A1&quot;/&gt;&lt;wsp:rsid wsp:val=&quot;001E2F44&quot;/&gt;&lt;wsp:rsid wsp:val=&quot;001E30B2&quot;/&gt;&lt;wsp:rsid wsp:val=&quot;001E3279&quot;/&gt;&lt;wsp:rsid wsp:val=&quot;001E3E89&quot;/&gt;&lt;wsp:rsid wsp:val=&quot;001E42C4&quot;/&gt;&lt;wsp:rsid wsp:val=&quot;001E461F&quot;/&gt;&lt;wsp:rsid wsp:val=&quot;001E5821&quot;/&gt;&lt;wsp:rsid wsp:val=&quot;001E5E98&quot;/&gt;&lt;wsp:rsid wsp:val=&quot;001E7467&quot;/&gt;&lt;wsp:rsid wsp:val=&quot;001F09DB&quot;/&gt;&lt;wsp:rsid wsp:val=&quot;001F0B3E&quot;/&gt;&lt;wsp:rsid wsp:val=&quot;001F1A1C&quot;/&gt;&lt;wsp:rsid wsp:val=&quot;001F1A81&quot;/&gt;&lt;wsp:rsid wsp:val=&quot;001F2A1B&quot;/&gt;&lt;wsp:rsid wsp:val=&quot;001F339A&quot;/&gt;&lt;wsp:rsid wsp:val=&quot;001F3AAF&quot;/&gt;&lt;wsp:rsid wsp:val=&quot;001F4401&quot;/&gt;&lt;wsp:rsid wsp:val=&quot;001F531D&quot;/&gt;&lt;wsp:rsid wsp:val=&quot;001F56AD&quot;/&gt;&lt;wsp:rsid wsp:val=&quot;001F5F9E&quot;/&gt;&lt;wsp:rsid wsp:val=&quot;001F62CD&quot;/&gt;&lt;wsp:rsid wsp:val=&quot;001F6E1D&quot;/&gt;&lt;wsp:rsid wsp:val=&quot;001F7A51&quot;/&gt;&lt;wsp:rsid wsp:val=&quot;00200114&quot;/&gt;&lt;wsp:rsid wsp:val=&quot;00202547&quot;/&gt;&lt;wsp:rsid wsp:val=&quot;0020284C&quot;/&gt;&lt;wsp:rsid wsp:val=&quot;002031A3&quot;/&gt;&lt;wsp:rsid wsp:val=&quot;002048C5&quot;/&gt;&lt;wsp:rsid wsp:val=&quot;002049B5&quot;/&gt;&lt;wsp:rsid wsp:val=&quot;00205126&quot;/&gt;&lt;wsp:rsid wsp:val=&quot;002054AF&quot;/&gt;&lt;wsp:rsid wsp:val=&quot;002069AB&quot;/&gt;&lt;wsp:rsid wsp:val=&quot;0021064F&quot;/&gt;&lt;wsp:rsid wsp:val=&quot;00210F97&quot;/&gt;&lt;wsp:rsid wsp:val=&quot;002143D5&quot;/&gt;&lt;wsp:rsid wsp:val=&quot;00214737&quot;/&gt;&lt;wsp:rsid wsp:val=&quot;00214AE9&quot;/&gt;&lt;wsp:rsid wsp:val=&quot;00214C21&quot;/&gt;&lt;wsp:rsid wsp:val=&quot;00214CBA&quot;/&gt;&lt;wsp:rsid wsp:val=&quot;00215913&quot;/&gt;&lt;wsp:rsid wsp:val=&quot;00216726&quot;/&gt;&lt;wsp:rsid wsp:val=&quot;002169F3&quot;/&gt;&lt;wsp:rsid wsp:val=&quot;0021704F&quot;/&gt;&lt;wsp:rsid wsp:val=&quot;002175FC&quot;/&gt;&lt;wsp:rsid wsp:val=&quot;002206F6&quot;/&gt;&lt;wsp:rsid wsp:val=&quot;00220B1A&quot;/&gt;&lt;wsp:rsid wsp:val=&quot;00221715&quot;/&gt;&lt;wsp:rsid wsp:val=&quot;00221927&quot;/&gt;&lt;wsp:rsid wsp:val=&quot;0022225B&quot;/&gt;&lt;wsp:rsid wsp:val=&quot;002225CE&quot;/&gt;&lt;wsp:rsid wsp:val=&quot;00222F51&quot;/&gt;&lt;wsp:rsid wsp:val=&quot;00223A7A&quot;/&gt;&lt;wsp:rsid wsp:val=&quot;00227340&quot;/&gt;&lt;wsp:rsid wsp:val=&quot;002275C6&quot;/&gt;&lt;wsp:rsid wsp:val=&quot;002313B6&quot;/&gt;&lt;wsp:rsid wsp:val=&quot;002322A3&quot;/&gt;&lt;wsp:rsid wsp:val=&quot;00232642&quot;/&gt;&lt;wsp:rsid wsp:val=&quot;00233736&quot;/&gt;&lt;wsp:rsid wsp:val=&quot;00234497&quot;/&gt;&lt;wsp:rsid wsp:val=&quot;002344D7&quot;/&gt;&lt;wsp:rsid wsp:val=&quot;00234587&quot;/&gt;&lt;wsp:rsid wsp:val=&quot;00235031&quot;/&gt;&lt;wsp:rsid wsp:val=&quot;00235121&quot;/&gt;&lt;wsp:rsid wsp:val=&quot;00235496&quot;/&gt;&lt;wsp:rsid wsp:val=&quot;0023591D&quot;/&gt;&lt;wsp:rsid wsp:val=&quot;00237D7A&quot;/&gt;&lt;wsp:rsid wsp:val=&quot;00240263&quot;/&gt;&lt;wsp:rsid wsp:val=&quot;00240582&quot;/&gt;&lt;wsp:rsid wsp:val=&quot;00240D6F&quot;/&gt;&lt;wsp:rsid wsp:val=&quot;002410A6&quot;/&gt;&lt;wsp:rsid wsp:val=&quot;00242005&quot;/&gt;&lt;wsp:rsid wsp:val=&quot;00242177&quot;/&gt;&lt;wsp:rsid wsp:val=&quot;002421F8&quot;/&gt;&lt;wsp:rsid wsp:val=&quot;002435F4&quot;/&gt;&lt;wsp:rsid wsp:val=&quot;00243A36&quot;/&gt;&lt;wsp:rsid wsp:val=&quot;00243BAF&quot;/&gt;&lt;wsp:rsid wsp:val=&quot;0024531A&quot;/&gt;&lt;wsp:rsid wsp:val=&quot;00245C9D&quot;/&gt;&lt;wsp:rsid wsp:val=&quot;00245D36&quot;/&gt;&lt;wsp:rsid wsp:val=&quot;00245E1F&quot;/&gt;&lt;wsp:rsid wsp:val=&quot;00245EF6&quot;/&gt;&lt;wsp:rsid wsp:val=&quot;002460D6&quot;/&gt;&lt;wsp:rsid wsp:val=&quot;00246770&quot;/&gt;&lt;wsp:rsid wsp:val=&quot;0024718C&quot;/&gt;&lt;wsp:rsid wsp:val=&quot;002476CB&quot;/&gt;&lt;wsp:rsid wsp:val=&quot;00251FFD&quot;/&gt;&lt;wsp:rsid wsp:val=&quot;00252503&quot;/&gt;&lt;wsp:rsid wsp:val=&quot;0025273D&quot;/&gt;&lt;wsp:rsid wsp:val=&quot;00253ED6&quot;/&gt;&lt;wsp:rsid wsp:val=&quot;00254796&quot;/&gt;&lt;wsp:rsid wsp:val=&quot;002549BE&quot;/&gt;&lt;wsp:rsid wsp:val=&quot;00254EE7&quot;/&gt;&lt;wsp:rsid wsp:val=&quot;002550F7&quot;/&gt;&lt;wsp:rsid wsp:val=&quot;002569CB&quot;/&gt;&lt;wsp:rsid wsp:val=&quot;00257338&quot;/&gt;&lt;wsp:rsid wsp:val=&quot;00257427&quot;/&gt;&lt;wsp:rsid wsp:val=&quot;0025744B&quot;/&gt;&lt;wsp:rsid wsp:val=&quot;00257C57&quot;/&gt;&lt;wsp:rsid wsp:val=&quot;00260279&quot;/&gt;&lt;wsp:rsid wsp:val=&quot;002604C1&quot;/&gt;&lt;wsp:rsid wsp:val=&quot;00260538&quot;/&gt;&lt;wsp:rsid wsp:val=&quot;00260D0A&quot;/&gt;&lt;wsp:rsid wsp:val=&quot;00262177&quot;/&gt;&lt;wsp:rsid wsp:val=&quot;00262BF8&quot;/&gt;&lt;wsp:rsid wsp:val=&quot;0026364A&quot;/&gt;&lt;wsp:rsid wsp:val=&quot;00264B7E&quot;/&gt;&lt;wsp:rsid wsp:val=&quot;00265568&quot;/&gt;&lt;wsp:rsid wsp:val=&quot;00266219&quot;/&gt;&lt;wsp:rsid wsp:val=&quot;0026645C&quot;/&gt;&lt;wsp:rsid wsp:val=&quot;002666B9&quot;/&gt;&lt;wsp:rsid wsp:val=&quot;002666CC&quot;/&gt;&lt;wsp:rsid wsp:val=&quot;002677D6&quot;/&gt;&lt;wsp:rsid wsp:val=&quot;00270172&quot;/&gt;&lt;wsp:rsid wsp:val=&quot;00270802&quot;/&gt;&lt;wsp:rsid wsp:val=&quot;00270FE3&quot;/&gt;&lt;wsp:rsid wsp:val=&quot;002715FB&quot;/&gt;&lt;wsp:rsid wsp:val=&quot;0027304F&quot;/&gt;&lt;wsp:rsid wsp:val=&quot;002732D6&quot;/&gt;&lt;wsp:rsid wsp:val=&quot;00273916&quot;/&gt;&lt;wsp:rsid wsp:val=&quot;00274080&quot;/&gt;&lt;wsp:rsid wsp:val=&quot;00275000&quot;/&gt;&lt;wsp:rsid wsp:val=&quot;0027520C&quot;/&gt;&lt;wsp:rsid wsp:val=&quot;002764BD&quot;/&gt;&lt;wsp:rsid wsp:val=&quot;00276B4E&quot;/&gt;&lt;wsp:rsid wsp:val=&quot;002772BC&quot;/&gt;&lt;wsp:rsid wsp:val=&quot;00277A25&quot;/&gt;&lt;wsp:rsid wsp:val=&quot;0028000E&quot;/&gt;&lt;wsp:rsid wsp:val=&quot;00280889&quot;/&gt;&lt;wsp:rsid wsp:val=&quot;00281B3A&quot;/&gt;&lt;wsp:rsid wsp:val=&quot;00282755&quot;/&gt;&lt;wsp:rsid wsp:val=&quot;00282A5A&quot;/&gt;&lt;wsp:rsid wsp:val=&quot;00282D41&quot;/&gt;&lt;wsp:rsid wsp:val=&quot;00282D61&quot;/&gt;&lt;wsp:rsid wsp:val=&quot;00283BAB&quot;/&gt;&lt;wsp:rsid wsp:val=&quot;00283FD5&quot;/&gt;&lt;wsp:rsid wsp:val=&quot;002857BA&quot;/&gt;&lt;wsp:rsid wsp:val=&quot;0028643E&quot;/&gt;&lt;wsp:rsid wsp:val=&quot;00286759&quot;/&gt;&lt;wsp:rsid wsp:val=&quot;002873DA&quot;/&gt;&lt;wsp:rsid wsp:val=&quot;00290F19&quot;/&gt;&lt;wsp:rsid wsp:val=&quot;00292312&quot;/&gt;&lt;wsp:rsid wsp:val=&quot;0029231B&quot;/&gt;&lt;wsp:rsid wsp:val=&quot;00293998&quot;/&gt;&lt;wsp:rsid wsp:val=&quot;00295FB0&quot;/&gt;&lt;wsp:rsid wsp:val=&quot;0029646D&quot;/&gt;&lt;wsp:rsid wsp:val=&quot;00296E97&quot;/&gt;&lt;wsp:rsid wsp:val=&quot;002978EC&quot;/&gt;&lt;wsp:rsid wsp:val=&quot;00297925&quot;/&gt;&lt;wsp:rsid wsp:val=&quot;002A0A7E&quot;/&gt;&lt;wsp:rsid wsp:val=&quot;002A0E07&quot;/&gt;&lt;wsp:rsid wsp:val=&quot;002A1D0E&quot;/&gt;&lt;wsp:rsid wsp:val=&quot;002A2CC2&quot;/&gt;&lt;wsp:rsid wsp:val=&quot;002A2D71&quot;/&gt;&lt;wsp:rsid wsp:val=&quot;002A3B7E&quot;/&gt;&lt;wsp:rsid wsp:val=&quot;002A4724&quot;/&gt;&lt;wsp:rsid wsp:val=&quot;002A4E8F&quot;/&gt;&lt;wsp:rsid wsp:val=&quot;002A56F9&quot;/&gt;&lt;wsp:rsid wsp:val=&quot;002A6069&quot;/&gt;&lt;wsp:rsid wsp:val=&quot;002A654A&quot;/&gt;&lt;wsp:rsid wsp:val=&quot;002A77B9&quot;/&gt;&lt;wsp:rsid wsp:val=&quot;002B0590&quot;/&gt;&lt;wsp:rsid wsp:val=&quot;002B3A99&quot;/&gt;&lt;wsp:rsid wsp:val=&quot;002B3F77&quot;/&gt;&lt;wsp:rsid wsp:val=&quot;002B4274&quot;/&gt;&lt;wsp:rsid wsp:val=&quot;002B428A&quot;/&gt;&lt;wsp:rsid wsp:val=&quot;002B4AE6&quot;/&gt;&lt;wsp:rsid wsp:val=&quot;002B5F10&quot;/&gt;&lt;wsp:rsid wsp:val=&quot;002B60E9&quot;/&gt;&lt;wsp:rsid wsp:val=&quot;002B64F5&quot;/&gt;&lt;wsp:rsid wsp:val=&quot;002B78C4&quot;/&gt;&lt;wsp:rsid wsp:val=&quot;002B7B67&quot;/&gt;&lt;wsp:rsid wsp:val=&quot;002C0A39&quot;/&gt;&lt;wsp:rsid wsp:val=&quot;002C2F1A&quot;/&gt;&lt;wsp:rsid wsp:val=&quot;002C37F1&quot;/&gt;&lt;wsp:rsid wsp:val=&quot;002C3A74&quot;/&gt;&lt;wsp:rsid wsp:val=&quot;002C4A0B&quot;/&gt;&lt;wsp:rsid wsp:val=&quot;002C4F40&quot;/&gt;&lt;wsp:rsid wsp:val=&quot;002C5281&quot;/&gt;&lt;wsp:rsid wsp:val=&quot;002C56F0&quot;/&gt;&lt;wsp:rsid wsp:val=&quot;002C582D&quot;/&gt;&lt;wsp:rsid wsp:val=&quot;002C5D48&quot;/&gt;&lt;wsp:rsid wsp:val=&quot;002D13D7&quot;/&gt;&lt;wsp:rsid wsp:val=&quot;002D1968&quot;/&gt;&lt;wsp:rsid wsp:val=&quot;002D27D5&quot;/&gt;&lt;wsp:rsid wsp:val=&quot;002D4110&quot;/&gt;&lt;wsp:rsid wsp:val=&quot;002D4431&quot;/&gt;&lt;wsp:rsid wsp:val=&quot;002D5946&quot;/&gt;&lt;wsp:rsid wsp:val=&quot;002D5F40&quot;/&gt;&lt;wsp:rsid wsp:val=&quot;002D5FBE&quot;/&gt;&lt;wsp:rsid wsp:val=&quot;002D7D84&quot;/&gt;&lt;wsp:rsid wsp:val=&quot;002E06A9&quot;/&gt;&lt;wsp:rsid wsp:val=&quot;002E073D&quot;/&gt;&lt;wsp:rsid wsp:val=&quot;002E1CFC&quot;/&gt;&lt;wsp:rsid wsp:val=&quot;002E3138&quot;/&gt;&lt;wsp:rsid wsp:val=&quot;002E585E&quot;/&gt;&lt;wsp:rsid wsp:val=&quot;002E5A26&quot;/&gt;&lt;wsp:rsid wsp:val=&quot;002E7317&quot;/&gt;&lt;wsp:rsid wsp:val=&quot;002E7EEE&quot;/&gt;&lt;wsp:rsid wsp:val=&quot;002F0B7D&quot;/&gt;&lt;wsp:rsid wsp:val=&quot;002F1652&quot;/&gt;&lt;wsp:rsid wsp:val=&quot;002F3446&quot;/&gt;&lt;wsp:rsid wsp:val=&quot;002F4007&quot;/&gt;&lt;wsp:rsid wsp:val=&quot;002F48BA&quot;/&gt;&lt;wsp:rsid wsp:val=&quot;002F57AA&quot;/&gt;&lt;wsp:rsid wsp:val=&quot;002F61E2&quot;/&gt;&lt;wsp:rsid wsp:val=&quot;002F6E06&quot;/&gt;&lt;wsp:rsid wsp:val=&quot;002F79B9&quot;/&gt;&lt;wsp:rsid wsp:val=&quot;002F7F8D&quot;/&gt;&lt;wsp:rsid wsp:val=&quot;0030184C&quot;/&gt;&lt;wsp:rsid wsp:val=&quot;00301BC2&quot;/&gt;&lt;wsp:rsid wsp:val=&quot;00302F7A&quot;/&gt;&lt;wsp:rsid wsp:val=&quot;00303332&quot;/&gt;&lt;wsp:rsid wsp:val=&quot;00303D87&quot;/&gt;&lt;wsp:rsid wsp:val=&quot;0030706C&quot;/&gt;&lt;wsp:rsid wsp:val=&quot;00310DF4&quot;/&gt;&lt;wsp:rsid wsp:val=&quot;0031101A&quot;/&gt;&lt;wsp:rsid wsp:val=&quot;0031283E&quot;/&gt;&lt;wsp:rsid wsp:val=&quot;0031310C&quot;/&gt;&lt;wsp:rsid wsp:val=&quot;00313A45&quot;/&gt;&lt;wsp:rsid wsp:val=&quot;00313E49&quot;/&gt;&lt;wsp:rsid wsp:val=&quot;00314123&quot;/&gt;&lt;wsp:rsid wsp:val=&quot;003142ED&quot;/&gt;&lt;wsp:rsid wsp:val=&quot;003170E0&quot;/&gt;&lt;wsp:rsid wsp:val=&quot;00317888&quot;/&gt;&lt;wsp:rsid wsp:val=&quot;00317D2E&quot;/&gt;&lt;wsp:rsid wsp:val=&quot;003207DB&quot;/&gt;&lt;wsp:rsid wsp:val=&quot;003219A7&quot;/&gt;&lt;wsp:rsid wsp:val=&quot;00321A63&quot;/&gt;&lt;wsp:rsid wsp:val=&quot;00322808&quot;/&gt;&lt;wsp:rsid wsp:val=&quot;00323791&quot;/&gt;&lt;wsp:rsid wsp:val=&quot;00323EDF&quot;/&gt;&lt;wsp:rsid wsp:val=&quot;0032417A&quot;/&gt;&lt;wsp:rsid wsp:val=&quot;003244B0&quot;/&gt;&lt;wsp:rsid wsp:val=&quot;00324B17&quot;/&gt;&lt;wsp:rsid wsp:val=&quot;003257DA&quot;/&gt;&lt;wsp:rsid wsp:val=&quot;003263BD&quot;/&gt;&lt;wsp:rsid wsp:val=&quot;003263CC&quot;/&gt;&lt;wsp:rsid wsp:val=&quot;00326638&quot;/&gt;&lt;wsp:rsid wsp:val=&quot;0032678E&quot;/&gt;&lt;wsp:rsid wsp:val=&quot;003277BE&quot;/&gt;&lt;wsp:rsid wsp:val=&quot;00327ACB&quot;/&gt;&lt;wsp:rsid wsp:val=&quot;00330E85&quot;/&gt;&lt;wsp:rsid wsp:val=&quot;00331054&quot;/&gt;&lt;wsp:rsid wsp:val=&quot;003314C1&quot;/&gt;&lt;wsp:rsid wsp:val=&quot;003317B3&quot;/&gt;&lt;wsp:rsid wsp:val=&quot;00331F83&quot;/&gt;&lt;wsp:rsid wsp:val=&quot;003332C5&quot;/&gt;&lt;wsp:rsid wsp:val=&quot;00334A0A&quot;/&gt;&lt;wsp:rsid wsp:val=&quot;00340397&quot;/&gt;&lt;wsp:rsid wsp:val=&quot;0034088C&quot;/&gt;&lt;wsp:rsid wsp:val=&quot;003420D3&quot;/&gt;&lt;wsp:rsid wsp:val=&quot;00342FDB&quot;/&gt;&lt;wsp:rsid wsp:val=&quot;00343022&quot;/&gt;&lt;wsp:rsid wsp:val=&quot;00343D1A&quot;/&gt;&lt;wsp:rsid wsp:val=&quot;00344FF9&quot;/&gt;&lt;wsp:rsid wsp:val=&quot;003465E9&quot;/&gt;&lt;wsp:rsid wsp:val=&quot;00346636&quot;/&gt;&lt;wsp:rsid wsp:val=&quot;00346BFC&quot;/&gt;&lt;wsp:rsid wsp:val=&quot;00347631&quot;/&gt;&lt;wsp:rsid wsp:val=&quot;00350446&quot;/&gt;&lt;wsp:rsid wsp:val=&quot;003506D2&quot;/&gt;&lt;wsp:rsid wsp:val=&quot;003507FE&quot;/&gt;&lt;wsp:rsid wsp:val=&quot;003509C3&quot;/&gt;&lt;wsp:rsid wsp:val=&quot;00351A52&quot;/&gt;&lt;wsp:rsid wsp:val=&quot;00351BF3&quot;/&gt;&lt;wsp:rsid wsp:val=&quot;003521CC&quot;/&gt;&lt;wsp:rsid wsp:val=&quot;00352E2D&quot;/&gt;&lt;wsp:rsid wsp:val=&quot;003537B3&quot;/&gt;&lt;wsp:rsid wsp:val=&quot;00353D32&quot;/&gt;&lt;wsp:rsid wsp:val=&quot;0035408F&quot;/&gt;&lt;wsp:rsid wsp:val=&quot;003540E8&quot;/&gt;&lt;wsp:rsid wsp:val=&quot;0035503F&quot;/&gt;&lt;wsp:rsid wsp:val=&quot;003550EF&quot;/&gt;&lt;wsp:rsid wsp:val=&quot;003571BA&quot;/&gt;&lt;wsp:rsid wsp:val=&quot;00357518&quot;/&gt;&lt;wsp:rsid wsp:val=&quot;003578D8&quot;/&gt;&lt;wsp:rsid wsp:val=&quot;00360142&quot;/&gt;&lt;wsp:rsid wsp:val=&quot;00363716&quot;/&gt;&lt;wsp:rsid wsp:val=&quot;003639E9&quot;/&gt;&lt;wsp:rsid wsp:val=&quot;003644C8&quot;/&gt;&lt;wsp:rsid wsp:val=&quot;00365D36&quot;/&gt;&lt;wsp:rsid wsp:val=&quot;00366A05&quot;/&gt;&lt;wsp:rsid wsp:val=&quot;0036750A&quot;/&gt;&lt;wsp:rsid wsp:val=&quot;00370770&quot;/&gt;&lt;wsp:rsid wsp:val=&quot;00370909&quot;/&gt;&lt;wsp:rsid wsp:val=&quot;00370FD1&quot;/&gt;&lt;wsp:rsid wsp:val=&quot;0037341F&quot;/&gt;&lt;wsp:rsid wsp:val=&quot;00374057&quot;/&gt;&lt;wsp:rsid wsp:val=&quot;0037434F&quot;/&gt;&lt;wsp:rsid wsp:val=&quot;003764B7&quot;/&gt;&lt;wsp:rsid wsp:val=&quot;00377AE0&quot;/&gt;&lt;wsp:rsid wsp:val=&quot;00377B22&quot;/&gt;&lt;wsp:rsid wsp:val=&quot;00380A43&quot;/&gt;&lt;wsp:rsid wsp:val=&quot;00380AD2&quot;/&gt;&lt;wsp:rsid wsp:val=&quot;00381804&quot;/&gt;&lt;wsp:rsid wsp:val=&quot;00381859&quot;/&gt;&lt;wsp:rsid wsp:val=&quot;00382B61&quot;/&gt;&lt;wsp:rsid wsp:val=&quot;00382F7E&quot;/&gt;&lt;wsp:rsid wsp:val=&quot;00383A42&quot;/&gt;&lt;wsp:rsid wsp:val=&quot;00384D13&quot;/&gt;&lt;wsp:rsid wsp:val=&quot;003851CC&quot;/&gt;&lt;wsp:rsid wsp:val=&quot;00385D65&quot;/&gt;&lt;wsp:rsid wsp:val=&quot;00385F07&quot;/&gt;&lt;wsp:rsid wsp:val=&quot;00386053&quot;/&gt;&lt;wsp:rsid wsp:val=&quot;00386E2B&quot;/&gt;&lt;wsp:rsid wsp:val=&quot;00387509&quot;/&gt;&lt;wsp:rsid wsp:val=&quot;0039121B&quot;/&gt;&lt;wsp:rsid wsp:val=&quot;00391507&quot;/&gt;&lt;wsp:rsid wsp:val=&quot;00391B1A&quot;/&gt;&lt;wsp:rsid wsp:val=&quot;0039272D&quot;/&gt;&lt;wsp:rsid wsp:val=&quot;003932E9&quot;/&gt;&lt;wsp:rsid wsp:val=&quot;0039336D&quot;/&gt;&lt;wsp:rsid wsp:val=&quot;00393FA9&quot;/&gt;&lt;wsp:rsid wsp:val=&quot;00394873&quot;/&gt;&lt;wsp:rsid wsp:val=&quot;00394AF3&quot;/&gt;&lt;wsp:rsid wsp:val=&quot;00394F1C&quot;/&gt;&lt;wsp:rsid wsp:val=&quot;003950C1&quot;/&gt;&lt;wsp:rsid wsp:val=&quot;00395C88&quot;/&gt;&lt;wsp:rsid wsp:val=&quot;003967DC&quot;/&gt;&lt;wsp:rsid wsp:val=&quot;003970EA&quot;/&gt;&lt;wsp:rsid wsp:val=&quot;0039743F&quot;/&gt;&lt;wsp:rsid wsp:val=&quot;00397738&quot;/&gt;&lt;wsp:rsid wsp:val=&quot;00397FA1&quot;/&gt;&lt;wsp:rsid wsp:val=&quot;003A0212&quot;/&gt;&lt;wsp:rsid wsp:val=&quot;003A09E0&quot;/&gt;&lt;wsp:rsid wsp:val=&quot;003A25E1&quot;/&gt;&lt;wsp:rsid wsp:val=&quot;003A360B&quot;/&gt;&lt;wsp:rsid wsp:val=&quot;003A4833&quot;/&gt;&lt;wsp:rsid wsp:val=&quot;003A4B29&quot;/&gt;&lt;wsp:rsid wsp:val=&quot;003A4D06&quot;/&gt;&lt;wsp:rsid wsp:val=&quot;003A572E&quot;/&gt;&lt;wsp:rsid wsp:val=&quot;003A5779&quot;/&gt;&lt;wsp:rsid wsp:val=&quot;003A6725&quot;/&gt;&lt;wsp:rsid wsp:val=&quot;003A6FFE&quot;/&gt;&lt;wsp:rsid wsp:val=&quot;003A79F4&quot;/&gt;&lt;wsp:rsid wsp:val=&quot;003B158C&quot;/&gt;&lt;wsp:rsid wsp:val=&quot;003B189D&quot;/&gt;&lt;wsp:rsid wsp:val=&quot;003B2833&quot;/&gt;&lt;wsp:rsid wsp:val=&quot;003B3B90&quot;/&gt;&lt;wsp:rsid wsp:val=&quot;003B51C5&quot;/&gt;&lt;wsp:rsid wsp:val=&quot;003B54F9&quot;/&gt;&lt;wsp:rsid wsp:val=&quot;003B609A&quot;/&gt;&lt;wsp:rsid wsp:val=&quot;003B60E9&quot;/&gt;&lt;wsp:rsid wsp:val=&quot;003B63DC&quot;/&gt;&lt;wsp:rsid wsp:val=&quot;003B693C&quot;/&gt;&lt;wsp:rsid wsp:val=&quot;003B7213&quot;/&gt;&lt;wsp:rsid wsp:val=&quot;003C0BE2&quot;/&gt;&lt;wsp:rsid wsp:val=&quot;003C1AF6&quot;/&gt;&lt;wsp:rsid wsp:val=&quot;003C1C40&quot;/&gt;&lt;wsp:rsid wsp:val=&quot;003C2147&quot;/&gt;&lt;wsp:rsid wsp:val=&quot;003C2EB8&quot;/&gt;&lt;wsp:rsid wsp:val=&quot;003C3B77&quot;/&gt;&lt;wsp:rsid wsp:val=&quot;003C40E6&quot;/&gt;&lt;wsp:rsid wsp:val=&quot;003C50BE&quot;/&gt;&lt;wsp:rsid wsp:val=&quot;003D0ACC&quot;/&gt;&lt;wsp:rsid wsp:val=&quot;003D0B08&quot;/&gt;&lt;wsp:rsid wsp:val=&quot;003D0B6D&quot;/&gt;&lt;wsp:rsid wsp:val=&quot;003D0F0E&quot;/&gt;&lt;wsp:rsid wsp:val=&quot;003D1354&quot;/&gt;&lt;wsp:rsid wsp:val=&quot;003D14C5&quot;/&gt;&lt;wsp:rsid wsp:val=&quot;003D1A4E&quot;/&gt;&lt;wsp:rsid wsp:val=&quot;003D1B55&quot;/&gt;&lt;wsp:rsid wsp:val=&quot;003D274E&quot;/&gt;&lt;wsp:rsid wsp:val=&quot;003D284F&quot;/&gt;&lt;wsp:rsid wsp:val=&quot;003D2D27&quot;/&gt;&lt;wsp:rsid wsp:val=&quot;003D3A93&quot;/&gt;&lt;wsp:rsid wsp:val=&quot;003D4752&quot;/&gt;&lt;wsp:rsid wsp:val=&quot;003D4D51&quot;/&gt;&lt;wsp:rsid wsp:val=&quot;003D5C3E&quot;/&gt;&lt;wsp:rsid wsp:val=&quot;003D623F&quot;/&gt;&lt;wsp:rsid wsp:val=&quot;003D6CDC&quot;/&gt;&lt;wsp:rsid wsp:val=&quot;003D7EFC&quot;/&gt;&lt;wsp:rsid wsp:val=&quot;003E060F&quot;/&gt;&lt;wsp:rsid wsp:val=&quot;003E1A69&quot;/&gt;&lt;wsp:rsid wsp:val=&quot;003E1A78&quot;/&gt;&lt;wsp:rsid wsp:val=&quot;003E1B2E&quot;/&gt;&lt;wsp:rsid wsp:val=&quot;003E24D3&quot;/&gt;&lt;wsp:rsid wsp:val=&quot;003E30C8&quot;/&gt;&lt;wsp:rsid wsp:val=&quot;003E3136&quot;/&gt;&lt;wsp:rsid wsp:val=&quot;003E3454&quot;/&gt;&lt;wsp:rsid wsp:val=&quot;003E38F9&quot;/&gt;&lt;wsp:rsid wsp:val=&quot;003E4288&quot;/&gt;&lt;wsp:rsid wsp:val=&quot;003E4E57&quot;/&gt;&lt;wsp:rsid wsp:val=&quot;003E4F2E&quot;/&gt;&lt;wsp:rsid wsp:val=&quot;003E533C&quot;/&gt;&lt;wsp:rsid wsp:val=&quot;003E56E7&quot;/&gt;&lt;wsp:rsid wsp:val=&quot;003E612A&quot;/&gt;&lt;wsp:rsid wsp:val=&quot;003E6CDE&quot;/&gt;&lt;wsp:rsid wsp:val=&quot;003E6D6E&quot;/&gt;&lt;wsp:rsid wsp:val=&quot;003E70A8&quot;/&gt;&lt;wsp:rsid wsp:val=&quot;003E7A02&quot;/&gt;&lt;wsp:rsid wsp:val=&quot;003E7C6D&quot;/&gt;&lt;wsp:rsid wsp:val=&quot;003F16EF&quot;/&gt;&lt;wsp:rsid wsp:val=&quot;003F2B68&quot;/&gt;&lt;wsp:rsid wsp:val=&quot;003F35A4&quot;/&gt;&lt;wsp:rsid wsp:val=&quot;003F386C&quot;/&gt;&lt;wsp:rsid wsp:val=&quot;003F3AD4&quot;/&gt;&lt;wsp:rsid wsp:val=&quot;003F434C&quot;/&gt;&lt;wsp:rsid wsp:val=&quot;003F4E8E&quot;/&gt;&lt;wsp:rsid wsp:val=&quot;003F5510&quot;/&gt;&lt;wsp:rsid wsp:val=&quot;003F5BE8&quot;/&gt;&lt;wsp:rsid wsp:val=&quot;003F74AC&quot;/&gt;&lt;wsp:rsid wsp:val=&quot;003F7869&quot;/&gt;&lt;wsp:rsid wsp:val=&quot;00400A7B&quot;/&gt;&lt;wsp:rsid wsp:val=&quot;00400B8A&quot;/&gt;&lt;wsp:rsid wsp:val=&quot;004012C2&quot;/&gt;&lt;wsp:rsid wsp:val=&quot;00402008&quot;/&gt;&lt;wsp:rsid wsp:val=&quot;00402585&quot;/&gt;&lt;wsp:rsid wsp:val=&quot;00402987&quot;/&gt;&lt;wsp:rsid wsp:val=&quot;004032B0&quot;/&gt;&lt;wsp:rsid wsp:val=&quot;00403F02&quot;/&gt;&lt;wsp:rsid wsp:val=&quot;00404569&quot;/&gt;&lt;wsp:rsid wsp:val=&quot;00404587&quot;/&gt;&lt;wsp:rsid wsp:val=&quot;00404726&quot;/&gt;&lt;wsp:rsid wsp:val=&quot;00405D43&quot;/&gt;&lt;wsp:rsid wsp:val=&quot;004061FB&quot;/&gt;&lt;wsp:rsid wsp:val=&quot;00406210&quot;/&gt;&lt;wsp:rsid wsp:val=&quot;00406481&quot;/&gt;&lt;wsp:rsid wsp:val=&quot;004120C0&quot;/&gt;&lt;wsp:rsid wsp:val=&quot;00413635&quot;/&gt;&lt;wsp:rsid wsp:val=&quot;004145CD&quot;/&gt;&lt;wsp:rsid wsp:val=&quot;00416121&quot;/&gt;&lt;wsp:rsid wsp:val=&quot;00417486&quot;/&gt;&lt;wsp:rsid wsp:val=&quot;00417AB5&quot;/&gt;&lt;wsp:rsid wsp:val=&quot;004206D0&quot;/&gt;&lt;wsp:rsid wsp:val=&quot;00420D39&quot;/&gt;&lt;wsp:rsid wsp:val=&quot;004212FF&quot;/&gt;&lt;wsp:rsid wsp:val=&quot;004216B8&quot;/&gt;&lt;wsp:rsid wsp:val=&quot;00422094&quot;/&gt;&lt;wsp:rsid wsp:val=&quot;004231CE&quot;/&gt;&lt;wsp:rsid wsp:val=&quot;00423947&quot;/&gt;&lt;wsp:rsid wsp:val=&quot;004249D3&quot;/&gt;&lt;wsp:rsid wsp:val=&quot;00424FCD&quot;/&gt;&lt;wsp:rsid wsp:val=&quot;0042514F&quot;/&gt;&lt;wsp:rsid wsp:val=&quot;0042605F&quot;/&gt;&lt;wsp:rsid wsp:val=&quot;00430C6D&quot;/&gt;&lt;wsp:rsid wsp:val=&quot;0043112E&quot;/&gt;&lt;wsp:rsid wsp:val=&quot;00431536&quot;/&gt;&lt;wsp:rsid wsp:val=&quot;00431F04&quot;/&gt;&lt;wsp:rsid wsp:val=&quot;00432862&quot;/&gt;&lt;wsp:rsid wsp:val=&quot;004334C2&quot;/&gt;&lt;wsp:rsid wsp:val=&quot;004335F4&quot;/&gt;&lt;wsp:rsid wsp:val=&quot;0043486D&quot;/&gt;&lt;wsp:rsid wsp:val=&quot;00435771&quot;/&gt;&lt;wsp:rsid wsp:val=&quot;00435DBA&quot;/&gt;&lt;wsp:rsid wsp:val=&quot;00435F22&quot;/&gt;&lt;wsp:rsid wsp:val=&quot;00436C04&quot;/&gt;&lt;wsp:rsid wsp:val=&quot;004373B5&quot;/&gt;&lt;wsp:rsid wsp:val=&quot;00440990&quot;/&gt;&lt;wsp:rsid wsp:val=&quot;00441070&quot;/&gt;&lt;wsp:rsid wsp:val=&quot;004417FD&quot;/&gt;&lt;wsp:rsid wsp:val=&quot;004419C4&quot;/&gt;&lt;wsp:rsid wsp:val=&quot;00444014&quot;/&gt;&lt;wsp:rsid wsp:val=&quot;00444A86&quot;/&gt;&lt;wsp:rsid wsp:val=&quot;00444AAD&quot;/&gt;&lt;wsp:rsid wsp:val=&quot;004452E3&quot;/&gt;&lt;wsp:rsid wsp:val=&quot;00446DC6&quot;/&gt;&lt;wsp:rsid wsp:val=&quot;0044764C&quot;/&gt;&lt;wsp:rsid wsp:val=&quot;00447689&quot;/&gt;&lt;wsp:rsid wsp:val=&quot;00447BF7&quot;/&gt;&lt;wsp:rsid wsp:val=&quot;00450023&quot;/&gt;&lt;wsp:rsid wsp:val=&quot;004517FD&quot;/&gt;&lt;wsp:rsid wsp:val=&quot;00452229&quot;/&gt;&lt;wsp:rsid wsp:val=&quot;00456146&quot;/&gt;&lt;wsp:rsid wsp:val=&quot;004574FA&quot;/&gt;&lt;wsp:rsid wsp:val=&quot;004611F5&quot;/&gt;&lt;wsp:rsid wsp:val=&quot;0046229E&quot;/&gt;&lt;wsp:rsid wsp:val=&quot;0046269A&quot;/&gt;&lt;wsp:rsid wsp:val=&quot;00463A88&quot;/&gt;&lt;wsp:rsid wsp:val=&quot;004678DA&quot;/&gt;&lt;wsp:rsid wsp:val=&quot;004679D2&quot;/&gt;&lt;wsp:rsid wsp:val=&quot;00470342&quot;/&gt;&lt;wsp:rsid wsp:val=&quot;00470D0A&quot;/&gt;&lt;wsp:rsid wsp:val=&quot;00471498&quot;/&gt;&lt;wsp:rsid wsp:val=&quot;00472CE4&quot;/&gt;&lt;wsp:rsid wsp:val=&quot;0047399E&quot;/&gt;&lt;wsp:rsid wsp:val=&quot;00474109&quot;/&gt;&lt;wsp:rsid wsp:val=&quot;004744B5&quot;/&gt;&lt;wsp:rsid wsp:val=&quot;00474FE4&quot;/&gt;&lt;wsp:rsid wsp:val=&quot;0047533E&quot;/&gt;&lt;wsp:rsid wsp:val=&quot;004757A2&quot;/&gt;&lt;wsp:rsid wsp:val=&quot;00475DC4&quot;/&gt;&lt;wsp:rsid wsp:val=&quot;00475EE5&quot;/&gt;&lt;wsp:rsid wsp:val=&quot;00477187&quot;/&gt;&lt;wsp:rsid wsp:val=&quot;004774DA&quot;/&gt;&lt;wsp:rsid wsp:val=&quot;00477983&quot;/&gt;&lt;wsp:rsid wsp:val=&quot;004800C4&quot;/&gt;&lt;wsp:rsid wsp:val=&quot;00482239&quot;/&gt;&lt;wsp:rsid wsp:val=&quot;00482B9E&quot;/&gt;&lt;wsp:rsid wsp:val=&quot;00483178&quot;/&gt;&lt;wsp:rsid wsp:val=&quot;00483187&quot;/&gt;&lt;wsp:rsid wsp:val=&quot;0048350E&quot;/&gt;&lt;wsp:rsid wsp:val=&quot;00484AB6&quot;/&gt;&lt;wsp:rsid wsp:val=&quot;004865D1&quot;/&gt;&lt;wsp:rsid wsp:val=&quot;0048662D&quot;/&gt;&lt;wsp:rsid wsp:val=&quot;00486AC3&quot;/&gt;&lt;wsp:rsid wsp:val=&quot;004908BA&quot;/&gt;&lt;wsp:rsid wsp:val=&quot;0049186D&quot;/&gt;&lt;wsp:rsid wsp:val=&quot;00491E25&quot;/&gt;&lt;wsp:rsid wsp:val=&quot;00492D2B&quot;/&gt;&lt;wsp:rsid wsp:val=&quot;00493451&quot;/&gt;&lt;wsp:rsid wsp:val=&quot;00495972&quot;/&gt;&lt;wsp:rsid wsp:val=&quot;0049675B&quot;/&gt;&lt;wsp:rsid wsp:val=&quot;00497EC8&quot;/&gt;&lt;wsp:rsid wsp:val=&quot;004A00C2&quot;/&gt;&lt;wsp:rsid wsp:val=&quot;004A0124&quot;/&gt;&lt;wsp:rsid wsp:val=&quot;004A0475&quot;/&gt;&lt;wsp:rsid wsp:val=&quot;004A08A6&quot;/&gt;&lt;wsp:rsid wsp:val=&quot;004A1158&quot;/&gt;&lt;wsp:rsid wsp:val=&quot;004A1486&quot;/&gt;&lt;wsp:rsid wsp:val=&quot;004A1836&quot;/&gt;&lt;wsp:rsid wsp:val=&quot;004A279F&quot;/&gt;&lt;wsp:rsid wsp:val=&quot;004A2C40&quot;/&gt;&lt;wsp:rsid wsp:val=&quot;004A55E7&quot;/&gt;&lt;wsp:rsid wsp:val=&quot;004A579C&quot;/&gt;&lt;wsp:rsid wsp:val=&quot;004A7FF1&quot;/&gt;&lt;wsp:rsid wsp:val=&quot;004B0B9D&quot;/&gt;&lt;wsp:rsid wsp:val=&quot;004B1B88&quot;/&gt;&lt;wsp:rsid wsp:val=&quot;004B2AEE&quot;/&gt;&lt;wsp:rsid wsp:val=&quot;004B2E1C&quot;/&gt;&lt;wsp:rsid wsp:val=&quot;004B3375&quot;/&gt;&lt;wsp:rsid wsp:val=&quot;004B3A2D&quot;/&gt;&lt;wsp:rsid wsp:val=&quot;004B3E46&quot;/&gt;&lt;wsp:rsid wsp:val=&quot;004B5DA6&quot;/&gt;&lt;wsp:rsid wsp:val=&quot;004B5E90&quot;/&gt;&lt;wsp:rsid wsp:val=&quot;004B70AC&quot;/&gt;&lt;wsp:rsid wsp:val=&quot;004B7701&quot;/&gt;&lt;wsp:rsid wsp:val=&quot;004B78B4&quot;/&gt;&lt;wsp:rsid wsp:val=&quot;004B7C8F&quot;/&gt;&lt;wsp:rsid wsp:val=&quot;004C03BF&quot;/&gt;&lt;wsp:rsid wsp:val=&quot;004C094F&quot;/&gt;&lt;wsp:rsid wsp:val=&quot;004C15AA&quot;/&gt;&lt;wsp:rsid wsp:val=&quot;004C20AE&quot;/&gt;&lt;wsp:rsid wsp:val=&quot;004C2251&quot;/&gt;&lt;wsp:rsid wsp:val=&quot;004C2459&quot;/&gt;&lt;wsp:rsid wsp:val=&quot;004C390C&quot;/&gt;&lt;wsp:rsid wsp:val=&quot;004C431E&quot;/&gt;&lt;wsp:rsid wsp:val=&quot;004C48B5&quot;/&gt;&lt;wsp:rsid wsp:val=&quot;004C5044&quot;/&gt;&lt;wsp:rsid wsp:val=&quot;004C5918&quot;/&gt;&lt;wsp:rsid wsp:val=&quot;004C6325&quot;/&gt;&lt;wsp:rsid wsp:val=&quot;004C68F6&quot;/&gt;&lt;wsp:rsid wsp:val=&quot;004C6B5B&quot;/&gt;&lt;wsp:rsid wsp:val=&quot;004C6C07&quot;/&gt;&lt;wsp:rsid wsp:val=&quot;004C6D17&quot;/&gt;&lt;wsp:rsid wsp:val=&quot;004C702A&quot;/&gt;&lt;wsp:rsid wsp:val=&quot;004C75C6&quot;/&gt;&lt;wsp:rsid wsp:val=&quot;004C7D37&quot;/&gt;&lt;wsp:rsid wsp:val=&quot;004D0846&quot;/&gt;&lt;wsp:rsid wsp:val=&quot;004D0D2D&quot;/&gt;&lt;wsp:rsid wsp:val=&quot;004D11F4&quot;/&gt;&lt;wsp:rsid wsp:val=&quot;004D3592&quot;/&gt;&lt;wsp:rsid wsp:val=&quot;004D4718&quot;/&gt;&lt;wsp:rsid wsp:val=&quot;004D7FA4&quot;/&gt;&lt;wsp:rsid wsp:val=&quot;004E08A2&quot;/&gt;&lt;wsp:rsid wsp:val=&quot;004E0C50&quot;/&gt;&lt;wsp:rsid wsp:val=&quot;004E17A4&quot;/&gt;&lt;wsp:rsid wsp:val=&quot;004E3086&quot;/&gt;&lt;wsp:rsid wsp:val=&quot;004E3712&quot;/&gt;&lt;wsp:rsid wsp:val=&quot;004E3C9A&quot;/&gt;&lt;wsp:rsid wsp:val=&quot;004F0ABC&quot;/&gt;&lt;wsp:rsid wsp:val=&quot;004F2E30&quot;/&gt;&lt;wsp:rsid wsp:val=&quot;004F3B8F&quot;/&gt;&lt;wsp:rsid wsp:val=&quot;004F4C91&quot;/&gt;&lt;wsp:rsid wsp:val=&quot;004F540D&quot;/&gt;&lt;wsp:rsid wsp:val=&quot;004F6266&quot;/&gt;&lt;wsp:rsid wsp:val=&quot;004F7F3D&quot;/&gt;&lt;wsp:rsid wsp:val=&quot;005001FF&quot;/&gt;&lt;wsp:rsid wsp:val=&quot;00500C00&quot;/&gt;&lt;wsp:rsid wsp:val=&quot;00501FB9&quot;/&gt;&lt;wsp:rsid wsp:val=&quot;0050217C&quot;/&gt;&lt;wsp:rsid wsp:val=&quot;00503A8F&quot;/&gt;&lt;wsp:rsid wsp:val=&quot;00503CDF&quot;/&gt;&lt;wsp:rsid wsp:val=&quot;00503DB0&quot;/&gt;&lt;wsp:rsid wsp:val=&quot;00504C7C&quot;/&gt;&lt;wsp:rsid wsp:val=&quot;00504CEE&quot;/&gt;&lt;wsp:rsid wsp:val=&quot;0050582C&quot;/&gt;&lt;wsp:rsid wsp:val=&quot;00506897&quot;/&gt;&lt;wsp:rsid wsp:val=&quot;005072B0&quot;/&gt;&lt;wsp:rsid wsp:val=&quot;00507B74&quot;/&gt;&lt;wsp:rsid wsp:val=&quot;00511725&quot;/&gt;&lt;wsp:rsid wsp:val=&quot;005124FF&quot;/&gt;&lt;wsp:rsid wsp:val=&quot;005127EF&quot;/&gt;&lt;wsp:rsid wsp:val=&quot;00512BF2&quot;/&gt;&lt;wsp:rsid wsp:val=&quot;005132EA&quot;/&gt;&lt;wsp:rsid wsp:val=&quot;005142DF&quot;/&gt;&lt;wsp:rsid wsp:val=&quot;00514698&quot;/&gt;&lt;wsp:rsid wsp:val=&quot;00514E77&quot;/&gt;&lt;wsp:rsid wsp:val=&quot;00514FF5&quot;/&gt;&lt;wsp:rsid wsp:val=&quot;00515035&quot;/&gt;&lt;wsp:rsid wsp:val=&quot;00520A12&quot;/&gt;&lt;wsp:rsid wsp:val=&quot;00521B73&quot;/&gt;&lt;wsp:rsid wsp:val=&quot;00522227&quot;/&gt;&lt;wsp:rsid wsp:val=&quot;00524C57&quot;/&gt;&lt;wsp:rsid wsp:val=&quot;005271A7&quot;/&gt;&lt;wsp:rsid wsp:val=&quot;00527287&quot;/&gt;&lt;wsp:rsid wsp:val=&quot;005274EF&quot;/&gt;&lt;wsp:rsid wsp:val=&quot;005274FA&quot;/&gt;&lt;wsp:rsid wsp:val=&quot;00527E29&quot;/&gt;&lt;wsp:rsid wsp:val=&quot;00527E81&quot;/&gt;&lt;wsp:rsid wsp:val=&quot;00531A0F&quot;/&gt;&lt;wsp:rsid wsp:val=&quot;00533564&quot;/&gt;&lt;wsp:rsid wsp:val=&quot;00534245&quot;/&gt;&lt;wsp:rsid wsp:val=&quot;005344B9&quot;/&gt;&lt;wsp:rsid wsp:val=&quot;00534700&quot;/&gt;&lt;wsp:rsid wsp:val=&quot;005360BF&quot;/&gt;&lt;wsp:rsid wsp:val=&quot;0053640C&quot;/&gt;&lt;wsp:rsid wsp:val=&quot;005379F1&quot;/&gt;&lt;wsp:rsid wsp:val=&quot;00540395&quot;/&gt;&lt;wsp:rsid wsp:val=&quot;00542758&quot;/&gt;&lt;wsp:rsid wsp:val=&quot;005427E0&quot;/&gt;&lt;wsp:rsid wsp:val=&quot;005431DE&quot;/&gt;&lt;wsp:rsid wsp:val=&quot;005432B8&quot;/&gt;&lt;wsp:rsid wsp:val=&quot;005433B5&quot;/&gt;&lt;wsp:rsid wsp:val=&quot;00543667&quot;/&gt;&lt;wsp:rsid wsp:val=&quot;00544431&quot;/&gt;&lt;wsp:rsid wsp:val=&quot;00546BFF&quot;/&gt;&lt;wsp:rsid wsp:val=&quot;00550B0E&quot;/&gt;&lt;wsp:rsid wsp:val=&quot;00551E57&quot;/&gt;&lt;wsp:rsid wsp:val=&quot;00553D19&quot;/&gt;&lt;wsp:rsid wsp:val=&quot;0055441F&quot;/&gt;&lt;wsp:rsid wsp:val=&quot;005556EE&quot;/&gt;&lt;wsp:rsid wsp:val=&quot;00555AF7&quot;/&gt;&lt;wsp:rsid wsp:val=&quot;00556299&quot;/&gt;&lt;wsp:rsid wsp:val=&quot;00556566&quot;/&gt;&lt;wsp:rsid wsp:val=&quot;00556A1E&quot;/&gt;&lt;wsp:rsid wsp:val=&quot;005572CB&quot;/&gt;&lt;wsp:rsid wsp:val=&quot;005600B4&quot;/&gt;&lt;wsp:rsid wsp:val=&quot;0056067C&quot;/&gt;&lt;wsp:rsid wsp:val=&quot;00562236&quot;/&gt;&lt;wsp:rsid wsp:val=&quot;00563F14&quot;/&gt;&lt;wsp:rsid wsp:val=&quot;00564667&quot;/&gt;&lt;wsp:rsid wsp:val=&quot;005649FA&quot;/&gt;&lt;wsp:rsid wsp:val=&quot;0056622F&quot;/&gt;&lt;wsp:rsid wsp:val=&quot;005676DA&quot;/&gt;&lt;wsp:rsid wsp:val=&quot;00571890&quot;/&gt;&lt;wsp:rsid wsp:val=&quot;00571E81&quot;/&gt;&lt;wsp:rsid wsp:val=&quot;005726AF&quot;/&gt;&lt;wsp:rsid wsp:val=&quot;005730D3&quot;/&gt;&lt;wsp:rsid wsp:val=&quot;00573B9B&quot;/&gt;&lt;wsp:rsid wsp:val=&quot;00573F24&quot;/&gt;&lt;wsp:rsid wsp:val=&quot;005741C6&quot;/&gt;&lt;wsp:rsid wsp:val=&quot;005744E3&quot;/&gt;&lt;wsp:rsid wsp:val=&quot;005749DD&quot;/&gt;&lt;wsp:rsid wsp:val=&quot;00576F20&quot;/&gt;&lt;wsp:rsid wsp:val=&quot;0058157A&quot;/&gt;&lt;wsp:rsid wsp:val=&quot;005815C3&quot;/&gt;&lt;wsp:rsid wsp:val=&quot;00581902&quot;/&gt;&lt;wsp:rsid wsp:val=&quot;005819AE&quot;/&gt;&lt;wsp:rsid wsp:val=&quot;00582411&quot;/&gt;&lt;wsp:rsid wsp:val=&quot;005829AE&quot;/&gt;&lt;wsp:rsid wsp:val=&quot;00582D1A&quot;/&gt;&lt;wsp:rsid wsp:val=&quot;00582D94&quot;/&gt;&lt;wsp:rsid wsp:val=&quot;0058368C&quot;/&gt;&lt;wsp:rsid wsp:val=&quot;00585DC9&quot;/&gt;&lt;wsp:rsid wsp:val=&quot;0058605B&quot;/&gt;&lt;wsp:rsid wsp:val=&quot;00586184&quot;/&gt;&lt;wsp:rsid wsp:val=&quot;00586894&quot;/&gt;&lt;wsp:rsid wsp:val=&quot;00586ACA&quot;/&gt;&lt;wsp:rsid wsp:val=&quot;00587188&quot;/&gt;&lt;wsp:rsid wsp:val=&quot;00587363&quot;/&gt;&lt;wsp:rsid wsp:val=&quot;005909F9&quot;/&gt;&lt;wsp:rsid wsp:val=&quot;00592CED&quot;/&gt;&lt;wsp:rsid wsp:val=&quot;00592E32&quot;/&gt;&lt;wsp:rsid wsp:val=&quot;00593405&quot;/&gt;&lt;wsp:rsid wsp:val=&quot;00596C4F&quot;/&gt;&lt;wsp:rsid wsp:val=&quot;00596DB3&quot;/&gt;&lt;wsp:rsid wsp:val=&quot;00596EDC&quot;/&gt;&lt;wsp:rsid wsp:val=&quot;00597770&quot;/&gt;&lt;wsp:rsid wsp:val=&quot;00597C88&quot;/&gt;&lt;wsp:rsid wsp:val=&quot;005A0093&quot;/&gt;&lt;wsp:rsid wsp:val=&quot;005A03B9&quot;/&gt;&lt;wsp:rsid wsp:val=&quot;005A0517&quot;/&gt;&lt;wsp:rsid wsp:val=&quot;005A0D23&quot;/&gt;&lt;wsp:rsid wsp:val=&quot;005A1706&quot;/&gt;&lt;wsp:rsid wsp:val=&quot;005A1B4A&quot;/&gt;&lt;wsp:rsid wsp:val=&quot;005A2345&quot;/&gt;&lt;wsp:rsid wsp:val=&quot;005A2976&quot;/&gt;&lt;wsp:rsid wsp:val=&quot;005A35D0&quot;/&gt;&lt;wsp:rsid wsp:val=&quot;005A3670&quot;/&gt;&lt;wsp:rsid wsp:val=&quot;005A37C5&quot;/&gt;&lt;wsp:rsid wsp:val=&quot;005A3C34&quot;/&gt;&lt;wsp:rsid wsp:val=&quot;005A3DAC&quot;/&gt;&lt;wsp:rsid wsp:val=&quot;005A6050&quot;/&gt;&lt;wsp:rsid wsp:val=&quot;005A6632&quot;/&gt;&lt;wsp:rsid wsp:val=&quot;005A722A&quot;/&gt;&lt;wsp:rsid wsp:val=&quot;005A7DDA&quot;/&gt;&lt;wsp:rsid wsp:val=&quot;005B0C5B&quot;/&gt;&lt;wsp:rsid wsp:val=&quot;005B0FCB&quot;/&gt;&lt;wsp:rsid wsp:val=&quot;005B1323&quot;/&gt;&lt;wsp:rsid wsp:val=&quot;005B16BA&quot;/&gt;&lt;wsp:rsid wsp:val=&quot;005B1A9F&quot;/&gt;&lt;wsp:rsid wsp:val=&quot;005B1D8A&quot;/&gt;&lt;wsp:rsid wsp:val=&quot;005B2584&quot;/&gt;&lt;wsp:rsid wsp:val=&quot;005B37D7&quot;/&gt;&lt;wsp:rsid wsp:val=&quot;005B634D&quot;/&gt;&lt;wsp:rsid wsp:val=&quot;005B73CA&quot;/&gt;&lt;wsp:rsid wsp:val=&quot;005B7EB9&quot;/&gt;&lt;wsp:rsid wsp:val=&quot;005C1448&quot;/&gt;&lt;wsp:rsid wsp:val=&quot;005C1DB3&quot;/&gt;&lt;wsp:rsid wsp:val=&quot;005C3143&quot;/&gt;&lt;wsp:rsid wsp:val=&quot;005C32AF&quot;/&gt;&lt;wsp:rsid wsp:val=&quot;005C4529&quot;/&gt;&lt;wsp:rsid wsp:val=&quot;005C4787&quot;/&gt;&lt;wsp:rsid wsp:val=&quot;005C6407&quot;/&gt;&lt;wsp:rsid wsp:val=&quot;005C7D4E&quot;/&gt;&lt;wsp:rsid wsp:val=&quot;005C7E1E&quot;/&gt;&lt;wsp:rsid wsp:val=&quot;005D11CC&quot;/&gt;&lt;wsp:rsid wsp:val=&quot;005D240E&quot;/&gt;&lt;wsp:rsid wsp:val=&quot;005D2869&quot;/&gt;&lt;wsp:rsid wsp:val=&quot;005D2F2F&quot;/&gt;&lt;wsp:rsid wsp:val=&quot;005D3327&quot;/&gt;&lt;wsp:rsid wsp:val=&quot;005D3476&quot;/&gt;&lt;wsp:rsid wsp:val=&quot;005D3F9B&quot;/&gt;&lt;wsp:rsid wsp:val=&quot;005D4BE8&quot;/&gt;&lt;wsp:rsid wsp:val=&quot;005D4E1D&quot;/&gt;&lt;wsp:rsid wsp:val=&quot;005D5BAF&quot;/&gt;&lt;wsp:rsid wsp:val=&quot;005E11D5&quot;/&gt;&lt;wsp:rsid wsp:val=&quot;005E1558&quot;/&gt;&lt;wsp:rsid wsp:val=&quot;005E1AAF&quot;/&gt;&lt;wsp:rsid wsp:val=&quot;005E286C&quot;/&gt;&lt;wsp:rsid wsp:val=&quot;005E2BAD&quot;/&gt;&lt;wsp:rsid wsp:val=&quot;005E34FA&quot;/&gt;&lt;wsp:rsid wsp:val=&quot;005E37B7&quot;/&gt;&lt;wsp:rsid wsp:val=&quot;005E388B&quot;/&gt;&lt;wsp:rsid wsp:val=&quot;005E45DB&quot;/&gt;&lt;wsp:rsid wsp:val=&quot;005E49C1&quot;/&gt;&lt;wsp:rsid wsp:val=&quot;005E4E5E&quot;/&gt;&lt;wsp:rsid wsp:val=&quot;005E56ED&quot;/&gt;&lt;wsp:rsid wsp:val=&quot;005E6608&quot;/&gt;&lt;wsp:rsid wsp:val=&quot;005E6D40&quot;/&gt;&lt;wsp:rsid wsp:val=&quot;005E7505&quot;/&gt;&lt;wsp:rsid wsp:val=&quot;005E7CE0&quot;/&gt;&lt;wsp:rsid wsp:val=&quot;005F08A7&quot;/&gt;&lt;wsp:rsid wsp:val=&quot;005F0E85&quot;/&gt;&lt;wsp:rsid wsp:val=&quot;005F130E&quot;/&gt;&lt;wsp:rsid wsp:val=&quot;005F1433&quot;/&gt;&lt;wsp:rsid wsp:val=&quot;005F1705&quot;/&gt;&lt;wsp:rsid wsp:val=&quot;005F1747&quot;/&gt;&lt;wsp:rsid wsp:val=&quot;005F2511&quot;/&gt;&lt;wsp:rsid wsp:val=&quot;005F423C&quot;/&gt;&lt;wsp:rsid wsp:val=&quot;005F4ABF&quot;/&gt;&lt;wsp:rsid wsp:val=&quot;005F5071&quot;/&gt;&lt;wsp:rsid wsp:val=&quot;005F5BD3&quot;/&gt;&lt;wsp:rsid wsp:val=&quot;005F5C9C&quot;/&gt;&lt;wsp:rsid wsp:val=&quot;005F5E07&quot;/&gt;&lt;wsp:rsid wsp:val=&quot;005F663D&quot;/&gt;&lt;wsp:rsid wsp:val=&quot;005F6B82&quot;/&gt;&lt;wsp:rsid wsp:val=&quot;005F7471&quot;/&gt;&lt;wsp:rsid wsp:val=&quot;005F7F65&quot;/&gt;&lt;wsp:rsid wsp:val=&quot;006011B9&quot;/&gt;&lt;wsp:rsid wsp:val=&quot;00602B30&quot;/&gt;&lt;wsp:rsid wsp:val=&quot;006038DB&quot;/&gt;&lt;wsp:rsid wsp:val=&quot;00603AC2&quot;/&gt;&lt;wsp:rsid wsp:val=&quot;00603DB5&quot;/&gt;&lt;wsp:rsid wsp:val=&quot;00604012&quot;/&gt;&lt;wsp:rsid wsp:val=&quot;006049C7&quot;/&gt;&lt;wsp:rsid wsp:val=&quot;00604E44&quot;/&gt;&lt;wsp:rsid wsp:val=&quot;00606312&quot;/&gt;&lt;wsp:rsid wsp:val=&quot;006066CE&quot;/&gt;&lt;wsp:rsid wsp:val=&quot;006066D6&quot;/&gt;&lt;wsp:rsid wsp:val=&quot;0060723D&quot;/&gt;&lt;wsp:rsid wsp:val=&quot;0060752E&quot;/&gt;&lt;wsp:rsid wsp:val=&quot;006077AC&quot;/&gt;&lt;wsp:rsid wsp:val=&quot;00607BD8&quot;/&gt;&lt;wsp:rsid wsp:val=&quot;006109E0&quot;/&gt;&lt;wsp:rsid wsp:val=&quot;00610A76&quot;/&gt;&lt;wsp:rsid wsp:val=&quot;00611E04&quot;/&gt;&lt;wsp:rsid wsp:val=&quot;00611F42&quot;/&gt;&lt;wsp:rsid wsp:val=&quot;00611F7A&quot;/&gt;&lt;wsp:rsid wsp:val=&quot;00612B6F&quot;/&gt;&lt;wsp:rsid wsp:val=&quot;00613B3D&quot;/&gt;&lt;wsp:rsid wsp:val=&quot;006151B1&quot;/&gt;&lt;wsp:rsid wsp:val=&quot;00616946&quot;/&gt;&lt;wsp:rsid wsp:val=&quot;00620469&quot;/&gt;&lt;wsp:rsid wsp:val=&quot;006204E1&quot;/&gt;&lt;wsp:rsid wsp:val=&quot;00620A22&quot;/&gt;&lt;wsp:rsid wsp:val=&quot;00621211&quot;/&gt;&lt;wsp:rsid wsp:val=&quot;00621BB7&quot;/&gt;&lt;wsp:rsid wsp:val=&quot;00622871&quot;/&gt;&lt;wsp:rsid wsp:val=&quot;00622FC6&quot;/&gt;&lt;wsp:rsid wsp:val=&quot;00623326&quot;/&gt;&lt;wsp:rsid wsp:val=&quot;00623A74&quot;/&gt;&lt;wsp:rsid wsp:val=&quot;00623BF5&quot;/&gt;&lt;wsp:rsid wsp:val=&quot;00623C4B&quot;/&gt;&lt;wsp:rsid wsp:val=&quot;00623EFC&quot;/&gt;&lt;wsp:rsid wsp:val=&quot;0062456B&quot;/&gt;&lt;wsp:rsid wsp:val=&quot;00624D6C&quot;/&gt;&lt;wsp:rsid wsp:val=&quot;006258AA&quot;/&gt;&lt;wsp:rsid wsp:val=&quot;00626825&quot;/&gt;&lt;wsp:rsid wsp:val=&quot;00626FA2&quot;/&gt;&lt;wsp:rsid wsp:val=&quot;006279DB&quot;/&gt;&lt;wsp:rsid wsp:val=&quot;00627B32&quot;/&gt;&lt;wsp:rsid wsp:val=&quot;00627C6C&quot;/&gt;&lt;wsp:rsid wsp:val=&quot;00627DAC&quot;/&gt;&lt;wsp:rsid wsp:val=&quot;00630C1C&quot;/&gt;&lt;wsp:rsid wsp:val=&quot;00630C75&quot;/&gt;&lt;wsp:rsid wsp:val=&quot;00630D4F&quot;/&gt;&lt;wsp:rsid wsp:val=&quot;006313D8&quot;/&gt;&lt;wsp:rsid wsp:val=&quot;0063141A&quot;/&gt;&lt;wsp:rsid wsp:val=&quot;006318F3&quot;/&gt;&lt;wsp:rsid wsp:val=&quot;00632207&quot;/&gt;&lt;wsp:rsid wsp:val=&quot;0063280A&quot;/&gt;&lt;wsp:rsid wsp:val=&quot;00634B4C&quot;/&gt;&lt;wsp:rsid wsp:val=&quot;00634C90&quot;/&gt;&lt;wsp:rsid wsp:val=&quot;00635F70&quot;/&gt;&lt;wsp:rsid wsp:val=&quot;00637122&quot;/&gt;&lt;wsp:rsid wsp:val=&quot;006400D3&quot;/&gt;&lt;wsp:rsid wsp:val=&quot;0064029A&quot;/&gt;&lt;wsp:rsid wsp:val=&quot;00640614&quot;/&gt;&lt;wsp:rsid wsp:val=&quot;006411BF&quot;/&gt;&lt;wsp:rsid wsp:val=&quot;006423CD&quot;/&gt;&lt;wsp:rsid wsp:val=&quot;00642482&quot;/&gt;&lt;wsp:rsid wsp:val=&quot;00642486&quot;/&gt;&lt;wsp:rsid wsp:val=&quot;00642975&quot;/&gt;&lt;wsp:rsid wsp:val=&quot;00642D0B&quot;/&gt;&lt;wsp:rsid wsp:val=&quot;006430B7&quot;/&gt;&lt;wsp:rsid wsp:val=&quot;00643117&quot;/&gt;&lt;wsp:rsid wsp:val=&quot;00643C86&quot;/&gt;&lt;wsp:rsid wsp:val=&quot;00644A78&quot;/&gt;&lt;wsp:rsid wsp:val=&quot;006464DC&quot;/&gt;&lt;wsp:rsid wsp:val=&quot;00646846&quot;/&gt;&lt;wsp:rsid wsp:val=&quot;00647E01&quot;/&gt;&lt;wsp:rsid wsp:val=&quot;00650B7F&quot;/&gt;&lt;wsp:rsid wsp:val=&quot;00651205&quot;/&gt;&lt;wsp:rsid wsp:val=&quot;00651210&quot;/&gt;&lt;wsp:rsid wsp:val=&quot;00651701&quot;/&gt;&lt;wsp:rsid wsp:val=&quot;0065284F&quot;/&gt;&lt;wsp:rsid wsp:val=&quot;00652DBF&quot;/&gt;&lt;wsp:rsid wsp:val=&quot;00653F91&quot;/&gt;&lt;wsp:rsid wsp:val=&quot;0065450E&quot;/&gt;&lt;wsp:rsid wsp:val=&quot;00660115&quot;/&gt;&lt;wsp:rsid wsp:val=&quot;00661DA7&quot;/&gt;&lt;wsp:rsid wsp:val=&quot;00662418&quot;/&gt;&lt;wsp:rsid wsp:val=&quot;00663DA0&quot;/&gt;&lt;wsp:rsid wsp:val=&quot;006650A2&quot;/&gt;&lt;wsp:rsid wsp:val=&quot;0066575C&quot;/&gt;&lt;wsp:rsid wsp:val=&quot;00665C8D&quot;/&gt;&lt;wsp:rsid wsp:val=&quot;00665DB7&quot;/&gt;&lt;wsp:rsid wsp:val=&quot;0066641F&quot;/&gt;&lt;wsp:rsid wsp:val=&quot;00667BF7&quot;/&gt;&lt;wsp:rsid wsp:val=&quot;00671E7A&quot;/&gt;&lt;wsp:rsid wsp:val=&quot;0067257E&quot;/&gt;&lt;wsp:rsid wsp:val=&quot;00673309&quot;/&gt;&lt;wsp:rsid wsp:val=&quot;006745F9&quot;/&gt;&lt;wsp:rsid wsp:val=&quot;00674D40&quot;/&gt;&lt;wsp:rsid wsp:val=&quot;00675943&quot;/&gt;&lt;wsp:rsid wsp:val=&quot;0067613C&quot;/&gt;&lt;wsp:rsid wsp:val=&quot;00677983&quot;/&gt;&lt;wsp:rsid wsp:val=&quot;00677BD1&quot;/&gt;&lt;wsp:rsid wsp:val=&quot;00684570&quot;/&gt;&lt;wsp:rsid wsp:val=&quot;00684C44&quot;/&gt;&lt;wsp:rsid wsp:val=&quot;006851EC&quot;/&gt;&lt;wsp:rsid wsp:val=&quot;00686847&quot;/&gt;&lt;wsp:rsid wsp:val=&quot;0069108C&quot;/&gt;&lt;wsp:rsid wsp:val=&quot;0069272A&quot;/&gt;&lt;wsp:rsid wsp:val=&quot;00692B5B&quot;/&gt;&lt;wsp:rsid wsp:val=&quot;00692D5C&quot;/&gt;&lt;wsp:rsid wsp:val=&quot;00692E7A&quot;/&gt;&lt;wsp:rsid wsp:val=&quot;00692FF9&quot;/&gt;&lt;wsp:rsid wsp:val=&quot;006934EA&quot;/&gt;&lt;wsp:rsid wsp:val=&quot;00693F0F&quot;/&gt;&lt;wsp:rsid wsp:val=&quot;00697385&quot;/&gt;&lt;wsp:rsid wsp:val=&quot;00697471&quot;/&gt;&lt;wsp:rsid wsp:val=&quot;00697521&quot;/&gt;&lt;wsp:rsid wsp:val=&quot;00697CDC&quot;/&gt;&lt;wsp:rsid wsp:val=&quot;006A02C4&quot;/&gt;&lt;wsp:rsid wsp:val=&quot;006A0EBE&quot;/&gt;&lt;wsp:rsid wsp:val=&quot;006A1922&quot;/&gt;&lt;wsp:rsid wsp:val=&quot;006A21A0&quot;/&gt;&lt;wsp:rsid wsp:val=&quot;006A32F9&quot;/&gt;&lt;wsp:rsid wsp:val=&quot;006A470B&quot;/&gt;&lt;wsp:rsid wsp:val=&quot;006A502C&quot;/&gt;&lt;wsp:rsid wsp:val=&quot;006A60CA&quot;/&gt;&lt;wsp:rsid wsp:val=&quot;006A71B5&quot;/&gt;&lt;wsp:rsid wsp:val=&quot;006A78E0&quot;/&gt;&lt;wsp:rsid wsp:val=&quot;006B0769&quot;/&gt;&lt;wsp:rsid wsp:val=&quot;006B2423&quot;/&gt;&lt;wsp:rsid wsp:val=&quot;006B2687&quot;/&gt;&lt;wsp:rsid wsp:val=&quot;006B26E7&quot;/&gt;&lt;wsp:rsid wsp:val=&quot;006B2BC9&quot;/&gt;&lt;wsp:rsid wsp:val=&quot;006B331F&quot;/&gt;&lt;wsp:rsid wsp:val=&quot;006B3EEC&quot;/&gt;&lt;wsp:rsid wsp:val=&quot;006B44F2&quot;/&gt;&lt;wsp:rsid wsp:val=&quot;006B5B97&quot;/&gt;&lt;wsp:rsid wsp:val=&quot;006B62A7&quot;/&gt;&lt;wsp:rsid wsp:val=&quot;006B6CCD&quot;/&gt;&lt;wsp:rsid wsp:val=&quot;006C0A3A&quot;/&gt;&lt;wsp:rsid wsp:val=&quot;006C148B&quot;/&gt;&lt;wsp:rsid wsp:val=&quot;006C16D5&quot;/&gt;&lt;wsp:rsid wsp:val=&quot;006C18DC&quot;/&gt;&lt;wsp:rsid wsp:val=&quot;006C2053&quot;/&gt;&lt;wsp:rsid wsp:val=&quot;006C4D6D&quot;/&gt;&lt;wsp:rsid wsp:val=&quot;006C57A7&quot;/&gt;&lt;wsp:rsid wsp:val=&quot;006C5812&quot;/&gt;&lt;wsp:rsid wsp:val=&quot;006D0FA3&quot;/&gt;&lt;wsp:rsid wsp:val=&quot;006D139E&quot;/&gt;&lt;wsp:rsid wsp:val=&quot;006D13CC&quot;/&gt;&lt;wsp:rsid wsp:val=&quot;006D1AEA&quot;/&gt;&lt;wsp:rsid wsp:val=&quot;006D1FE7&quot;/&gt;&lt;wsp:rsid wsp:val=&quot;006D38E8&quot;/&gt;&lt;wsp:rsid wsp:val=&quot;006D444A&quot;/&gt;&lt;wsp:rsid wsp:val=&quot;006D45D3&quot;/&gt;&lt;wsp:rsid wsp:val=&quot;006D5E16&quot;/&gt;&lt;wsp:rsid wsp:val=&quot;006D60FE&quot;/&gt;&lt;wsp:rsid wsp:val=&quot;006D7691&quot;/&gt;&lt;wsp:rsid wsp:val=&quot;006E03A1&quot;/&gt;&lt;wsp:rsid wsp:val=&quot;006E08D7&quot;/&gt;&lt;wsp:rsid wsp:val=&quot;006E097E&quot;/&gt;&lt;wsp:rsid wsp:val=&quot;006E172D&quot;/&gt;&lt;wsp:rsid wsp:val=&quot;006E2726&quot;/&gt;&lt;wsp:rsid wsp:val=&quot;006E30A6&quot;/&gt;&lt;wsp:rsid wsp:val=&quot;006E6254&quot;/&gt;&lt;wsp:rsid wsp:val=&quot;006E7E17&quot;/&gt;&lt;wsp:rsid wsp:val=&quot;006F0017&quot;/&gt;&lt;wsp:rsid wsp:val=&quot;006F048D&quot;/&gt;&lt;wsp:rsid wsp:val=&quot;006F0994&quot;/&gt;&lt;wsp:rsid wsp:val=&quot;006F101D&quot;/&gt;&lt;wsp:rsid wsp:val=&quot;006F1325&quot;/&gt;&lt;wsp:rsid wsp:val=&quot;006F2911&quot;/&gt;&lt;wsp:rsid wsp:val=&quot;006F2A0D&quot;/&gt;&lt;wsp:rsid wsp:val=&quot;006F3653&quot;/&gt;&lt;wsp:rsid wsp:val=&quot;006F3B17&quot;/&gt;&lt;wsp:rsid wsp:val=&quot;006F476C&quot;/&gt;&lt;wsp:rsid wsp:val=&quot;006F5494&quot;/&gt;&lt;wsp:rsid wsp:val=&quot;006F5A95&quot;/&gt;&lt;wsp:rsid wsp:val=&quot;006F6D65&quot;/&gt;&lt;wsp:rsid wsp:val=&quot;006F74A7&quot;/&gt;&lt;wsp:rsid wsp:val=&quot;0070090C&quot;/&gt;&lt;wsp:rsid wsp:val=&quot;00701171&quot;/&gt;&lt;wsp:rsid wsp:val=&quot;00701955&quot;/&gt;&lt;wsp:rsid wsp:val=&quot;007045A0&quot;/&gt;&lt;wsp:rsid wsp:val=&quot;00704910&quot;/&gt;&lt;wsp:rsid wsp:val=&quot;00704933&quot;/&gt;&lt;wsp:rsid wsp:val=&quot;007049F0&quot;/&gt;&lt;wsp:rsid wsp:val=&quot;007049FE&quot;/&gt;&lt;wsp:rsid wsp:val=&quot;00704C9C&quot;/&gt;&lt;wsp:rsid wsp:val=&quot;00705C88&quot;/&gt;&lt;wsp:rsid wsp:val=&quot;00707B3A&quot;/&gt;&lt;wsp:rsid wsp:val=&quot;00710C8C&quot;/&gt;&lt;wsp:rsid wsp:val=&quot;007119E2&quot;/&gt;&lt;wsp:rsid wsp:val=&quot;00711AFB&quot;/&gt;&lt;wsp:rsid wsp:val=&quot;0071293A&quot;/&gt;&lt;wsp:rsid wsp:val=&quot;00714886&quot;/&gt;&lt;wsp:rsid wsp:val=&quot;00715133&quot;/&gt;&lt;wsp:rsid wsp:val=&quot;007158F1&quot;/&gt;&lt;wsp:rsid wsp:val=&quot;00715CEF&quot;/&gt;&lt;wsp:rsid wsp:val=&quot;00715F99&quot;/&gt;&lt;wsp:rsid wsp:val=&quot;0071604B&quot;/&gt;&lt;wsp:rsid wsp:val=&quot;0071744D&quot;/&gt;&lt;wsp:rsid wsp:val=&quot;007176F3&quot;/&gt;&lt;wsp:rsid wsp:val=&quot;00717AD1&quot;/&gt;&lt;wsp:rsid wsp:val=&quot;00717EC9&quot;/&gt;&lt;wsp:rsid wsp:val=&quot;0072137A&quot;/&gt;&lt;wsp:rsid wsp:val=&quot;007216BA&quot;/&gt;&lt;wsp:rsid wsp:val=&quot;00722202&quot;/&gt;&lt;wsp:rsid wsp:val=&quot;00723314&quot;/&gt;&lt;wsp:rsid wsp:val=&quot;007242F6&quot;/&gt;&lt;wsp:rsid wsp:val=&quot;00724B00&quot;/&gt;&lt;wsp:rsid wsp:val=&quot;00724B19&quot;/&gt;&lt;wsp:rsid wsp:val=&quot;00725517&quot;/&gt;&lt;wsp:rsid wsp:val=&quot;00725604&quot;/&gt;&lt;wsp:rsid wsp:val=&quot;007257B2&quot;/&gt;&lt;wsp:rsid wsp:val=&quot;00725A97&quot;/&gt;&lt;wsp:rsid wsp:val=&quot;00725B60&quot;/&gt;&lt;wsp:rsid wsp:val=&quot;007261AB&quot;/&gt;&lt;wsp:rsid wsp:val=&quot;00730305&quot;/&gt;&lt;wsp:rsid wsp:val=&quot;00730A72&quot;/&gt;&lt;wsp:rsid wsp:val=&quot;007314A3&quot;/&gt;&lt;wsp:rsid wsp:val=&quot;00731DC0&quot;/&gt;&lt;wsp:rsid wsp:val=&quot;00732355&quot;/&gt;&lt;wsp:rsid wsp:val=&quot;0073297C&quot;/&gt;&lt;wsp:rsid wsp:val=&quot;00733886&quot;/&gt;&lt;wsp:rsid wsp:val=&quot;00734C98&quot;/&gt;&lt;wsp:rsid wsp:val=&quot;00734E83&quot;/&gt;&lt;wsp:rsid wsp:val=&quot;00735239&quot;/&gt;&lt;wsp:rsid wsp:val=&quot;00740ED5&quot;/&gt;&lt;wsp:rsid wsp:val=&quot;00743B56&quot;/&gt;&lt;wsp:rsid wsp:val=&quot;00746828&quot;/&gt;&lt;wsp:rsid wsp:val=&quot;00747D8C&quot;/&gt;&lt;wsp:rsid wsp:val=&quot;007503C0&quot;/&gt;&lt;wsp:rsid wsp:val=&quot;00750825&quot;/&gt;&lt;wsp:rsid wsp:val=&quot;007509DA&quot;/&gt;&lt;wsp:rsid wsp:val=&quot;00750DFF&quot;/&gt;&lt;wsp:rsid wsp:val=&quot;00751A6A&quot;/&gt;&lt;wsp:rsid wsp:val=&quot;00751EF8&quot;/&gt;&lt;wsp:rsid wsp:val=&quot;0075256E&quot;/&gt;&lt;wsp:rsid wsp:val=&quot;00753240&quot;/&gt;&lt;wsp:rsid wsp:val=&quot;007536CD&quot;/&gt;&lt;wsp:rsid wsp:val=&quot;00753914&quot;/&gt;&lt;wsp:rsid wsp:val=&quot;00753C64&quot;/&gt;&lt;wsp:rsid wsp:val=&quot;007549E9&quot;/&gt;&lt;wsp:rsid wsp:val=&quot;00754F25&quot;/&gt;&lt;wsp:rsid wsp:val=&quot;00756128&quot;/&gt;&lt;wsp:rsid wsp:val=&quot;00756840&quot;/&gt;&lt;wsp:rsid wsp:val=&quot;00756E84&quot;/&gt;&lt;wsp:rsid wsp:val=&quot;00757F28&quot;/&gt;&lt;wsp:rsid wsp:val=&quot;00760394&quot;/&gt;&lt;wsp:rsid wsp:val=&quot;0076243E&quot;/&gt;&lt;wsp:rsid wsp:val=&quot;00764CAF&quot;/&gt;&lt;wsp:rsid wsp:val=&quot;00765C52&quot;/&gt;&lt;wsp:rsid wsp:val=&quot;00766AFD&quot;/&gt;&lt;wsp:rsid wsp:val=&quot;0077022D&quot;/&gt;&lt;wsp:rsid wsp:val=&quot;0077088A&quot;/&gt;&lt;wsp:rsid wsp:val=&quot;00770D88&quot;/&gt;&lt;wsp:rsid wsp:val=&quot;007712EA&quot;/&gt;&lt;wsp:rsid wsp:val=&quot;00773B4C&quot;/&gt;&lt;wsp:rsid wsp:val=&quot;00773D05&quot;/&gt;&lt;wsp:rsid wsp:val=&quot;00773DF3&quot;/&gt;&lt;wsp:rsid wsp:val=&quot;00773FA7&quot;/&gt;&lt;wsp:rsid wsp:val=&quot;00774752&quot;/&gt;&lt;wsp:rsid wsp:val=&quot;0077496E&quot;/&gt;&lt;wsp:rsid wsp:val=&quot;00774A8B&quot;/&gt;&lt;wsp:rsid wsp:val=&quot;00774D4A&quot;/&gt;&lt;wsp:rsid wsp:val=&quot;00775433&quot;/&gt;&lt;wsp:rsid wsp:val=&quot;00775D0A&quot;/&gt;&lt;wsp:rsid wsp:val=&quot;00775FDD&quot;/&gt;&lt;wsp:rsid wsp:val=&quot;00776C11&quot;/&gt;&lt;wsp:rsid wsp:val=&quot;00777B19&quot;/&gt;&lt;wsp:rsid wsp:val=&quot;00777D82&quot;/&gt;&lt;wsp:rsid wsp:val=&quot;007805BC&quot;/&gt;&lt;wsp:rsid wsp:val=&quot;0078078E&quot;/&gt;&lt;wsp:rsid wsp:val=&quot;00781611&quot;/&gt;&lt;wsp:rsid wsp:val=&quot;007818E2&quot;/&gt;&lt;wsp:rsid wsp:val=&quot;00781943&quot;/&gt;&lt;wsp:rsid wsp:val=&quot;0078218A&quot;/&gt;&lt;wsp:rsid wsp:val=&quot;00784493&quot;/&gt;&lt;wsp:rsid wsp:val=&quot;00784E74&quot;/&gt;&lt;wsp:rsid wsp:val=&quot;0078533B&quot;/&gt;&lt;wsp:rsid wsp:val=&quot;00785F22&quot;/&gt;&lt;wsp:rsid wsp:val=&quot;00786B08&quot;/&gt;&lt;wsp:rsid wsp:val=&quot;00786E28&quot;/&gt;&lt;wsp:rsid wsp:val=&quot;007918C0&quot;/&gt;&lt;wsp:rsid wsp:val=&quot;00791CD2&quot;/&gt;&lt;wsp:rsid wsp:val=&quot;00791EAC&quot;/&gt;&lt;wsp:rsid wsp:val=&quot;00792953&quot;/&gt;&lt;wsp:rsid wsp:val=&quot;007929C5&quot;/&gt;&lt;wsp:rsid wsp:val=&quot;00793B39&quot;/&gt;&lt;wsp:rsid wsp:val=&quot;00793D47&quot;/&gt;&lt;wsp:rsid wsp:val=&quot;00795C41&quot;/&gt;&lt;wsp:rsid wsp:val=&quot;00795DFF&quot;/&gt;&lt;wsp:rsid wsp:val=&quot;0079617C&quot;/&gt;&lt;wsp:rsid wsp:val=&quot;007967F3&quot;/&gt;&lt;wsp:rsid wsp:val=&quot;00797C10&quot;/&gt;&lt;wsp:rsid wsp:val=&quot;007A0D8F&quot;/&gt;&lt;wsp:rsid wsp:val=&quot;007A0EC9&quot;/&gt;&lt;wsp:rsid wsp:val=&quot;007A1108&quot;/&gt;&lt;wsp:rsid wsp:val=&quot;007A18B9&quot;/&gt;&lt;wsp:rsid wsp:val=&quot;007A2B64&quot;/&gt;&lt;wsp:rsid wsp:val=&quot;007A2BFC&quot;/&gt;&lt;wsp:rsid wsp:val=&quot;007A2FC2&quot;/&gt;&lt;wsp:rsid wsp:val=&quot;007A405E&quot;/&gt;&lt;wsp:rsid wsp:val=&quot;007A4B7D&quot;/&gt;&lt;wsp:rsid wsp:val=&quot;007A4E8E&quot;/&gt;&lt;wsp:rsid wsp:val=&quot;007A52A6&quot;/&gt;&lt;wsp:rsid wsp:val=&quot;007A52A7&quot;/&gt;&lt;wsp:rsid wsp:val=&quot;007A6151&quot;/&gt;&lt;wsp:rsid wsp:val=&quot;007A62B7&quot;/&gt;&lt;wsp:rsid wsp:val=&quot;007A637F&quot;/&gt;&lt;wsp:rsid wsp:val=&quot;007A63C8&quot;/&gt;&lt;wsp:rsid wsp:val=&quot;007A794E&quot;/&gt;&lt;wsp:rsid wsp:val=&quot;007B114D&quot;/&gt;&lt;wsp:rsid wsp:val=&quot;007B1A83&quot;/&gt;&lt;wsp:rsid wsp:val=&quot;007B204B&quot;/&gt;&lt;wsp:rsid wsp:val=&quot;007B2C5A&quot;/&gt;&lt;wsp:rsid wsp:val=&quot;007B5508&quot;/&gt;&lt;wsp:rsid wsp:val=&quot;007B5A6F&quot;/&gt;&lt;wsp:rsid wsp:val=&quot;007B6510&quot;/&gt;&lt;wsp:rsid wsp:val=&quot;007B7409&quot;/&gt;&lt;wsp:rsid wsp:val=&quot;007B7ED5&quot;/&gt;&lt;wsp:rsid wsp:val=&quot;007C04ED&quot;/&gt;&lt;wsp:rsid wsp:val=&quot;007C12BA&quot;/&gt;&lt;wsp:rsid wsp:val=&quot;007C2AFB&quot;/&gt;&lt;wsp:rsid wsp:val=&quot;007C2CCD&quot;/&gt;&lt;wsp:rsid wsp:val=&quot;007C2E01&quot;/&gt;&lt;wsp:rsid wsp:val=&quot;007C2F24&quot;/&gt;&lt;wsp:rsid wsp:val=&quot;007C303C&quot;/&gt;&lt;wsp:rsid wsp:val=&quot;007C3D46&quot;/&gt;&lt;wsp:rsid wsp:val=&quot;007C3D6B&quot;/&gt;&lt;wsp:rsid wsp:val=&quot;007C48B8&quot;/&gt;&lt;wsp:rsid wsp:val=&quot;007C5398&quot;/&gt;&lt;wsp:rsid wsp:val=&quot;007C53B7&quot;/&gt;&lt;wsp:rsid wsp:val=&quot;007C61FC&quot;/&gt;&lt;wsp:rsid wsp:val=&quot;007C64C2&quot;/&gt;&lt;wsp:rsid wsp:val=&quot;007C6B86&quot;/&gt;&lt;wsp:rsid wsp:val=&quot;007C6CC8&quot;/&gt;&lt;wsp:rsid wsp:val=&quot;007C7350&quot;/&gt;&lt;wsp:rsid wsp:val=&quot;007C76EE&quot;/&gt;&lt;wsp:rsid wsp:val=&quot;007D0294&quot;/&gt;&lt;wsp:rsid wsp:val=&quot;007D0490&quot;/&gt;&lt;wsp:rsid wsp:val=&quot;007D0F55&quot;/&gt;&lt;wsp:rsid wsp:val=&quot;007D2ADD&quot;/&gt;&lt;wsp:rsid wsp:val=&quot;007D2CAC&quot;/&gt;&lt;wsp:rsid wsp:val=&quot;007D348B&quot;/&gt;&lt;wsp:rsid wsp:val=&quot;007D3914&quot;/&gt;&lt;wsp:rsid wsp:val=&quot;007D3EFF&quot;/&gt;&lt;wsp:rsid wsp:val=&quot;007D412B&quot;/&gt;&lt;wsp:rsid wsp:val=&quot;007D502C&quot;/&gt;&lt;wsp:rsid wsp:val=&quot;007D5527&quot;/&gt;&lt;wsp:rsid wsp:val=&quot;007D5F17&quot;/&gt;&lt;wsp:rsid wsp:val=&quot;007D6FAC&quot;/&gt;&lt;wsp:rsid wsp:val=&quot;007E0391&quot;/&gt;&lt;wsp:rsid wsp:val=&quot;007E087D&quot;/&gt;&lt;wsp:rsid wsp:val=&quot;007E097B&quot;/&gt;&lt;wsp:rsid wsp:val=&quot;007E1BAF&quot;/&gt;&lt;wsp:rsid wsp:val=&quot;007E2337&quot;/&gt;&lt;wsp:rsid wsp:val=&quot;007E30A8&quot;/&gt;&lt;wsp:rsid wsp:val=&quot;007E36F1&quot;/&gt;&lt;wsp:rsid wsp:val=&quot;007E3BE2&quot;/&gt;&lt;wsp:rsid wsp:val=&quot;007E4989&quot;/&gt;&lt;wsp:rsid wsp:val=&quot;007E4F9D&quot;/&gt;&lt;wsp:rsid wsp:val=&quot;007E5215&quot;/&gt;&lt;wsp:rsid wsp:val=&quot;007E55E7&quot;/&gt;&lt;wsp:rsid wsp:val=&quot;007E7AEC&quot;/&gt;&lt;wsp:rsid wsp:val=&quot;007F29AE&quot;/&gt;&lt;wsp:rsid wsp:val=&quot;007F3053&quot;/&gt;&lt;wsp:rsid wsp:val=&quot;007F33D8&quot;/&gt;&lt;wsp:rsid wsp:val=&quot;007F444D&quot;/&gt;&lt;wsp:rsid wsp:val=&quot;007F4519&quot;/&gt;&lt;wsp:rsid wsp:val=&quot;007F4636&quot;/&gt;&lt;wsp:rsid wsp:val=&quot;007F51FE&quot;/&gt;&lt;wsp:rsid wsp:val=&quot;007F65B3&quot;/&gt;&lt;wsp:rsid wsp:val=&quot;007F6CCE&quot;/&gt;&lt;wsp:rsid wsp:val=&quot;007F79C1&quot;/&gt;&lt;wsp:rsid wsp:val=&quot;008003B9&quot;/&gt;&lt;wsp:rsid wsp:val=&quot;008004D1&quot;/&gt;&lt;wsp:rsid wsp:val=&quot;0080069D&quot;/&gt;&lt;wsp:rsid wsp:val=&quot;00801487&quot;/&gt;&lt;wsp:rsid wsp:val=&quot;00801AF6&quot;/&gt;&lt;wsp:rsid wsp:val=&quot;00802A0B&quot;/&gt;&lt;wsp:rsid wsp:val=&quot;00803F39&quot;/&gt;&lt;wsp:rsid wsp:val=&quot;008049D0&quot;/&gt;&lt;wsp:rsid wsp:val=&quot;0080633A&quot;/&gt;&lt;wsp:rsid wsp:val=&quot;00806DD8&quot;/&gt;&lt;wsp:rsid wsp:val=&quot;008071AA&quot;/&gt;&lt;wsp:rsid wsp:val=&quot;00810177&quot;/&gt;&lt;wsp:rsid wsp:val=&quot;008109BB&quot;/&gt;&lt;wsp:rsid wsp:val=&quot;00810F24&quot;/&gt;&lt;wsp:rsid wsp:val=&quot;00811E54&quot;/&gt;&lt;wsp:rsid wsp:val=&quot;00812496&quot;/&gt;&lt;wsp:rsid wsp:val=&quot;008127DD&quot;/&gt;&lt;wsp:rsid wsp:val=&quot;00812A68&quot;/&gt;&lt;wsp:rsid wsp:val=&quot;00812A69&quot;/&gt;&lt;wsp:rsid wsp:val=&quot;00812A7E&quot;/&gt;&lt;wsp:rsid wsp:val=&quot;00813473&quot;/&gt;&lt;wsp:rsid wsp:val=&quot;0081408B&quot;/&gt;&lt;wsp:rsid wsp:val=&quot;00814093&quot;/&gt;&lt;wsp:rsid wsp:val=&quot;00815C11&quot;/&gt;&lt;wsp:rsid wsp:val=&quot;00815D3F&quot;/&gt;&lt;wsp:rsid wsp:val=&quot;00816551&quot;/&gt;&lt;wsp:rsid wsp:val=&quot;008167E2&quot;/&gt;&lt;wsp:rsid wsp:val=&quot;00817A6B&quot;/&gt;&lt;wsp:rsid wsp:val=&quot;00820AC3&quot;/&gt;&lt;wsp:rsid wsp:val=&quot;00821579&quot;/&gt;&lt;wsp:rsid wsp:val=&quot;00822113&quot;/&gt;&lt;wsp:rsid wsp:val=&quot;00822AA4&quot;/&gt;&lt;wsp:rsid wsp:val=&quot;00823281&quot;/&gt;&lt;wsp:rsid wsp:val=&quot;008240CD&quot;/&gt;&lt;wsp:rsid wsp:val=&quot;008256BF&quot;/&gt;&lt;wsp:rsid wsp:val=&quot;008257A8&quot;/&gt;&lt;wsp:rsid wsp:val=&quot;00825A1E&quot;/&gt;&lt;wsp:rsid wsp:val=&quot;0082743F&quot;/&gt;&lt;wsp:rsid wsp:val=&quot;008274D0&quot;/&gt;&lt;wsp:rsid wsp:val=&quot;00827EF7&quot;/&gt;&lt;wsp:rsid wsp:val=&quot;00830BCE&quot;/&gt;&lt;wsp:rsid wsp:val=&quot;00831AF5&quot;/&gt;&lt;wsp:rsid wsp:val=&quot;00832080&quot;/&gt;&lt;wsp:rsid wsp:val=&quot;00833009&quot;/&gt;&lt;wsp:rsid wsp:val=&quot;0083373D&quot;/&gt;&lt;wsp:rsid wsp:val=&quot;0083400F&quot;/&gt;&lt;wsp:rsid wsp:val=&quot;00834C21&quot;/&gt;&lt;wsp:rsid wsp:val=&quot;00834E9D&quot;/&gt;&lt;wsp:rsid wsp:val=&quot;00835FB8&quot;/&gt;&lt;wsp:rsid wsp:val=&quot;00836440&quot;/&gt;&lt;wsp:rsid wsp:val=&quot;00836994&quot;/&gt;&lt;wsp:rsid wsp:val=&quot;00836F5E&quot;/&gt;&lt;wsp:rsid wsp:val=&quot;008372D5&quot;/&gt;&lt;wsp:rsid wsp:val=&quot;008378FF&quot;/&gt;&lt;wsp:rsid wsp:val=&quot;00837A73&quot;/&gt;&lt;wsp:rsid wsp:val=&quot;00837B45&quot;/&gt;&lt;wsp:rsid wsp:val=&quot;00837BBB&quot;/&gt;&lt;wsp:rsid wsp:val=&quot;008411D0&quot;/&gt;&lt;wsp:rsid wsp:val=&quot;008441AB&quot;/&gt;&lt;wsp:rsid wsp:val=&quot;008441C9&quot;/&gt;&lt;wsp:rsid wsp:val=&quot;008446DC&quot;/&gt;&lt;wsp:rsid wsp:val=&quot;0084591A&quot;/&gt;&lt;wsp:rsid wsp:val=&quot;00845FD9&quot;/&gt;&lt;wsp:rsid wsp:val=&quot;00846486&quot;/&gt;&lt;wsp:rsid wsp:val=&quot;00846693&quot;/&gt;&lt;wsp:rsid wsp:val=&quot;00846CD7&quot;/&gt;&lt;wsp:rsid wsp:val=&quot;008478AB&quot;/&gt;&lt;wsp:rsid wsp:val=&quot;0085169C&quot;/&gt;&lt;wsp:rsid wsp:val=&quot;00851703&quot;/&gt;&lt;wsp:rsid wsp:val=&quot;008519D4&quot;/&gt;&lt;wsp:rsid wsp:val=&quot;008533A3&quot;/&gt;&lt;wsp:rsid wsp:val=&quot;00854DE3&quot;/&gt;&lt;wsp:rsid wsp:val=&quot;00854FBD&quot;/&gt;&lt;wsp:rsid wsp:val=&quot;00855B2E&quot;/&gt;&lt;wsp:rsid wsp:val=&quot;0085607E&quot;/&gt;&lt;wsp:rsid wsp:val=&quot;00856BEE&quot;/&gt;&lt;wsp:rsid wsp:val=&quot;00856D30&quot;/&gt;&lt;wsp:rsid wsp:val=&quot;00860B8B&quot;/&gt;&lt;wsp:rsid wsp:val=&quot;00863041&quot;/&gt;&lt;wsp:rsid wsp:val=&quot;0086326E&quot;/&gt;&lt;wsp:rsid wsp:val=&quot;008634A0&quot;/&gt;&lt;wsp:rsid wsp:val=&quot;00864AE9&quot;/&gt;&lt;wsp:rsid wsp:val=&quot;00864CBB&quot;/&gt;&lt;wsp:rsid wsp:val=&quot;00864D0C&quot;/&gt;&lt;wsp:rsid wsp:val=&quot;008660E2&quot;/&gt;&lt;wsp:rsid wsp:val=&quot;00866F1F&quot;/&gt;&lt;wsp:rsid wsp:val=&quot;0086787B&quot;/&gt;&lt;wsp:rsid wsp:val=&quot;008701BC&quot;/&gt;&lt;wsp:rsid wsp:val=&quot;0087057D&quot;/&gt;&lt;wsp:rsid wsp:val=&quot;008712B5&quot;/&gt;&lt;wsp:rsid wsp:val=&quot;00871897&quot;/&gt;&lt;wsp:rsid wsp:val=&quot;008744E5&quot;/&gt;&lt;wsp:rsid wsp:val=&quot;00874964&quot;/&gt;&lt;wsp:rsid wsp:val=&quot;008755DE&quot;/&gt;&lt;wsp:rsid wsp:val=&quot;008759BE&quot;/&gt;&lt;wsp:rsid wsp:val=&quot;00875FD7&quot;/&gt;&lt;wsp:rsid wsp:val=&quot;008775C4&quot;/&gt;&lt;wsp:rsid wsp:val=&quot;00877FEC&quot;/&gt;&lt;wsp:rsid wsp:val=&quot;0088074E&quot;/&gt;&lt;wsp:rsid wsp:val=&quot;00880AB0&quot;/&gt;&lt;wsp:rsid wsp:val=&quot;008821BF&quot;/&gt;&lt;wsp:rsid wsp:val=&quot;008823C3&quot;/&gt;&lt;wsp:rsid wsp:val=&quot;00882951&quot;/&gt;&lt;wsp:rsid wsp:val=&quot;00883DD7&quot;/&gt;&lt;wsp:rsid wsp:val=&quot;008847BD&quot;/&gt;&lt;wsp:rsid wsp:val=&quot;00885415&quot;/&gt;&lt;wsp:rsid wsp:val=&quot;00886CFA&quot;/&gt;&lt;wsp:rsid wsp:val=&quot;00886E85&quot;/&gt;&lt;wsp:rsid wsp:val=&quot;0088771A&quot;/&gt;&lt;wsp:rsid wsp:val=&quot;0088779D&quot;/&gt;&lt;wsp:rsid wsp:val=&quot;008904AE&quot;/&gt;&lt;wsp:rsid wsp:val=&quot;008938F3&quot;/&gt;&lt;wsp:rsid wsp:val=&quot;008941D0&quot;/&gt;&lt;wsp:rsid wsp:val=&quot;0089716F&quot;/&gt;&lt;wsp:rsid wsp:val=&quot;00897FC8&quot;/&gt;&lt;wsp:rsid wsp:val=&quot;008A05CE&quot;/&gt;&lt;wsp:rsid wsp:val=&quot;008A067E&quot;/&gt;&lt;wsp:rsid wsp:val=&quot;008A095C&quot;/&gt;&lt;wsp:rsid wsp:val=&quot;008A1230&quot;/&gt;&lt;wsp:rsid wsp:val=&quot;008A161C&quot;/&gt;&lt;wsp:rsid wsp:val=&quot;008A1AD4&quot;/&gt;&lt;wsp:rsid wsp:val=&quot;008A26BA&quot;/&gt;&lt;wsp:rsid wsp:val=&quot;008A39EF&quot;/&gt;&lt;wsp:rsid wsp:val=&quot;008A3A2E&quot;/&gt;&lt;wsp:rsid wsp:val=&quot;008A3EA8&quot;/&gt;&lt;wsp:rsid wsp:val=&quot;008A413C&quot;/&gt;&lt;wsp:rsid wsp:val=&quot;008A451C&quot;/&gt;&lt;wsp:rsid wsp:val=&quot;008A4802&quot;/&gt;&lt;wsp:rsid wsp:val=&quot;008A4A95&quot;/&gt;&lt;wsp:rsid wsp:val=&quot;008A4B16&quot;/&gt;&lt;wsp:rsid wsp:val=&quot;008A4B30&quot;/&gt;&lt;wsp:rsid wsp:val=&quot;008A598B&quot;/&gt;&lt;wsp:rsid wsp:val=&quot;008A65E1&quot;/&gt;&lt;wsp:rsid wsp:val=&quot;008A6BD6&quot;/&gt;&lt;wsp:rsid wsp:val=&quot;008A7C36&quot;/&gt;&lt;wsp:rsid wsp:val=&quot;008B0390&quot;/&gt;&lt;wsp:rsid wsp:val=&quot;008B04ED&quot;/&gt;&lt;wsp:rsid wsp:val=&quot;008B115A&quot;/&gt;&lt;wsp:rsid wsp:val=&quot;008B1CF1&quot;/&gt;&lt;wsp:rsid wsp:val=&quot;008B255F&quot;/&gt;&lt;wsp:rsid wsp:val=&quot;008B29B4&quot;/&gt;&lt;wsp:rsid wsp:val=&quot;008B3B19&quot;/&gt;&lt;wsp:rsid wsp:val=&quot;008B4073&quot;/&gt;&lt;wsp:rsid wsp:val=&quot;008B47C7&quot;/&gt;&lt;wsp:rsid wsp:val=&quot;008B49B3&quot;/&gt;&lt;wsp:rsid wsp:val=&quot;008B6C65&quot;/&gt;&lt;wsp:rsid wsp:val=&quot;008B6F44&quot;/&gt;&lt;wsp:rsid wsp:val=&quot;008C0051&quot;/&gt;&lt;wsp:rsid wsp:val=&quot;008C01A1&quot;/&gt;&lt;wsp:rsid wsp:val=&quot;008C0BC1&quot;/&gt;&lt;wsp:rsid wsp:val=&quot;008C169D&quot;/&gt;&lt;wsp:rsid wsp:val=&quot;008C2D2B&quot;/&gt;&lt;wsp:rsid wsp:val=&quot;008C2EBA&quot;/&gt;&lt;wsp:rsid wsp:val=&quot;008C3488&quot;/&gt;&lt;wsp:rsid wsp:val=&quot;008C370C&quot;/&gt;&lt;wsp:rsid wsp:val=&quot;008C46DA&quot;/&gt;&lt;wsp:rsid wsp:val=&quot;008C49B3&quot;/&gt;&lt;wsp:rsid wsp:val=&quot;008C4CEB&quot;/&gt;&lt;wsp:rsid wsp:val=&quot;008C5B7A&quot;/&gt;&lt;wsp:rsid wsp:val=&quot;008C5FEE&quot;/&gt;&lt;wsp:rsid wsp:val=&quot;008C7566&quot;/&gt;&lt;wsp:rsid wsp:val=&quot;008D150B&quot;/&gt;&lt;wsp:rsid wsp:val=&quot;008D172C&quot;/&gt;&lt;wsp:rsid wsp:val=&quot;008D2EC7&quot;/&gt;&lt;wsp:rsid wsp:val=&quot;008D2F23&quot;/&gt;&lt;wsp:rsid wsp:val=&quot;008D3106&quot;/&gt;&lt;wsp:rsid wsp:val=&quot;008D36B0&quot;/&gt;&lt;wsp:rsid wsp:val=&quot;008D3DD9&quot;/&gt;&lt;wsp:rsid wsp:val=&quot;008D3F23&quot;/&gt;&lt;wsp:rsid wsp:val=&quot;008D459E&quot;/&gt;&lt;wsp:rsid wsp:val=&quot;008D4654&quot;/&gt;&lt;wsp:rsid wsp:val=&quot;008D4851&quot;/&gt;&lt;wsp:rsid wsp:val=&quot;008D4F68&quot;/&gt;&lt;wsp:rsid wsp:val=&quot;008D686F&quot;/&gt;&lt;wsp:rsid wsp:val=&quot;008D6B6E&quot;/&gt;&lt;wsp:rsid wsp:val=&quot;008D6F20&quot;/&gt;&lt;wsp:rsid wsp:val=&quot;008D7727&quot;/&gt;&lt;wsp:rsid wsp:val=&quot;008E0385&quot;/&gt;&lt;wsp:rsid wsp:val=&quot;008E08EE&quot;/&gt;&lt;wsp:rsid wsp:val=&quot;008E23F0&quot;/&gt;&lt;wsp:rsid wsp:val=&quot;008E3651&quot;/&gt;&lt;wsp:rsid wsp:val=&quot;008E3BDA&quot;/&gt;&lt;wsp:rsid wsp:val=&quot;008E462C&quot;/&gt;&lt;wsp:rsid wsp:val=&quot;008E5FF7&quot;/&gt;&lt;wsp:rsid wsp:val=&quot;008E62B9&quot;/&gt;&lt;wsp:rsid wsp:val=&quot;008E6389&quot;/&gt;&lt;wsp:rsid wsp:val=&quot;008E78D2&quot;/&gt;&lt;wsp:rsid wsp:val=&quot;008E7949&quot;/&gt;&lt;wsp:rsid wsp:val=&quot;008F065F&quot;/&gt;&lt;wsp:rsid wsp:val=&quot;008F184F&quot;/&gt;&lt;wsp:rsid wsp:val=&quot;008F1EA1&quot;/&gt;&lt;wsp:rsid wsp:val=&quot;008F26B2&quot;/&gt;&lt;wsp:rsid wsp:val=&quot;008F28A2&quot;/&gt;&lt;wsp:rsid wsp:val=&quot;008F37E2&quot;/&gt;&lt;wsp:rsid wsp:val=&quot;008F3AC2&quot;/&gt;&lt;wsp:rsid wsp:val=&quot;008F435E&quot;/&gt;&lt;wsp:rsid wsp:val=&quot;008F4B29&quot;/&gt;&lt;wsp:rsid wsp:val=&quot;008F59C8&quot;/&gt;&lt;wsp:rsid wsp:val=&quot;008F73F8&quot;/&gt;&lt;wsp:rsid wsp:val=&quot;008F759A&quot;/&gt;&lt;wsp:rsid wsp:val=&quot;00900BDD&quot;/&gt;&lt;wsp:rsid wsp:val=&quot;00900F3A&quot;/&gt;&lt;wsp:rsid wsp:val=&quot;00901B4B&quot;/&gt;&lt;wsp:rsid wsp:val=&quot;00901BE6&quot;/&gt;&lt;wsp:rsid wsp:val=&quot;00901FDD&quot;/&gt;&lt;wsp:rsid wsp:val=&quot;00903168&quot;/&gt;&lt;wsp:rsid wsp:val=&quot;00903624&quot;/&gt;&lt;wsp:rsid wsp:val=&quot;0090480E&quot;/&gt;&lt;wsp:rsid wsp:val=&quot;00905234&quot;/&gt;&lt;wsp:rsid wsp:val=&quot;009056EA&quot;/&gt;&lt;wsp:rsid wsp:val=&quot;009059ED&quot;/&gt;&lt;wsp:rsid wsp:val=&quot;00905B68&quot;/&gt;&lt;wsp:rsid wsp:val=&quot;0090602D&quot;/&gt;&lt;wsp:rsid wsp:val=&quot;00906818&quot;/&gt;&lt;wsp:rsid wsp:val=&quot;009069EE&quot;/&gt;&lt;wsp:rsid wsp:val=&quot;00910F8F&quot;/&gt;&lt;wsp:rsid wsp:val=&quot;0091276A&quot;/&gt;&lt;wsp:rsid wsp:val=&quot;009132CC&quot;/&gt;&lt;wsp:rsid wsp:val=&quot;00913B48&quot;/&gt;&lt;wsp:rsid wsp:val=&quot;00914A2F&quot;/&gt;&lt;wsp:rsid wsp:val=&quot;009151A9&quot;/&gt;&lt;wsp:rsid wsp:val=&quot;00915AAB&quot;/&gt;&lt;wsp:rsid wsp:val=&quot;009166A4&quot;/&gt;&lt;wsp:rsid wsp:val=&quot;00916C37&quot;/&gt;&lt;wsp:rsid wsp:val=&quot;00916D41&quot;/&gt;&lt;wsp:rsid wsp:val=&quot;00917D32&quot;/&gt;&lt;wsp:rsid wsp:val=&quot;00921B68&quot;/&gt;&lt;wsp:rsid wsp:val=&quot;00922118&quot;/&gt;&lt;wsp:rsid wsp:val=&quot;00924415&quot;/&gt;&lt;wsp:rsid wsp:val=&quot;00924DFE&quot;/&gt;&lt;wsp:rsid wsp:val=&quot;009250D5&quot;/&gt;&lt;wsp:rsid wsp:val=&quot;00926A1B&quot;/&gt;&lt;wsp:rsid wsp:val=&quot;00926BC2&quot;/&gt;&lt;wsp:rsid wsp:val=&quot;00930541&quot;/&gt;&lt;wsp:rsid wsp:val=&quot;00930CF4&quot;/&gt;&lt;wsp:rsid wsp:val=&quot;00931168&quot;/&gt;&lt;wsp:rsid wsp:val=&quot;00931411&quot;/&gt;&lt;wsp:rsid wsp:val=&quot;00931998&quot;/&gt;&lt;wsp:rsid wsp:val=&quot;00934492&quot;/&gt;&lt;wsp:rsid wsp:val=&quot;009344F7&quot;/&gt;&lt;wsp:rsid wsp:val=&quot;00935FD0&quot;/&gt;&lt;wsp:rsid wsp:val=&quot;00936E8D&quot;/&gt;&lt;wsp:rsid wsp:val=&quot;00937F75&quot;/&gt;&lt;wsp:rsid wsp:val=&quot;009408EA&quot;/&gt;&lt;wsp:rsid wsp:val=&quot;00940A6C&quot;/&gt;&lt;wsp:rsid wsp:val=&quot;00940ADD&quot;/&gt;&lt;wsp:rsid wsp:val=&quot;00940AF8&quot;/&gt;&lt;wsp:rsid wsp:val=&quot;00944384&quot;/&gt;&lt;wsp:rsid wsp:val=&quot;0094560A&quot;/&gt;&lt;wsp:rsid wsp:val=&quot;00945EFB&quot;/&gt;&lt;wsp:rsid wsp:val=&quot;0094625C&quot;/&gt;&lt;wsp:rsid wsp:val=&quot;00946DBD&quot;/&gt;&lt;wsp:rsid wsp:val=&quot;00946FE4&quot;/&gt;&lt;wsp:rsid wsp:val=&quot;00946FF9&quot;/&gt;&lt;wsp:rsid wsp:val=&quot;00947BD9&quot;/&gt;&lt;wsp:rsid wsp:val=&quot;00950082&quot;/&gt;&lt;wsp:rsid wsp:val=&quot;00950473&quot;/&gt;&lt;wsp:rsid wsp:val=&quot;009504BF&quot;/&gt;&lt;wsp:rsid wsp:val=&quot;00952275&quot;/&gt;&lt;wsp:rsid wsp:val=&quot;00952ED5&quot;/&gt;&lt;wsp:rsid wsp:val=&quot;009534DE&quot;/&gt;&lt;wsp:rsid wsp:val=&quot;00953AED&quot;/&gt;&lt;wsp:rsid wsp:val=&quot;009549B0&quot;/&gt;&lt;wsp:rsid wsp:val=&quot;00955F5D&quot;/&gt;&lt;wsp:rsid wsp:val=&quot;00956609&quot;/&gt;&lt;wsp:rsid wsp:val=&quot;00956B82&quot;/&gt;&lt;wsp:rsid wsp:val=&quot;009606BE&quot;/&gt;&lt;wsp:rsid wsp:val=&quot;009609F2&quot;/&gt;&lt;wsp:rsid wsp:val=&quot;00960D2F&quot;/&gt;&lt;wsp:rsid wsp:val=&quot;00962874&quot;/&gt;&lt;wsp:rsid wsp:val=&quot;00963897&quot;/&gt;&lt;wsp:rsid wsp:val=&quot;00964334&quot;/&gt;&lt;wsp:rsid wsp:val=&quot;00964863&quot;/&gt;&lt;wsp:rsid wsp:val=&quot;009649A0&quot;/&gt;&lt;wsp:rsid wsp:val=&quot;0096582F&quot;/&gt;&lt;wsp:rsid wsp:val=&quot;00965A0E&quot;/&gt;&lt;wsp:rsid wsp:val=&quot;00965E5B&quot;/&gt;&lt;wsp:rsid wsp:val=&quot;00966EB6&quot;/&gt;&lt;wsp:rsid wsp:val=&quot;009711C3&quot;/&gt;&lt;wsp:rsid wsp:val=&quot;0097129D&quot;/&gt;&lt;wsp:rsid wsp:val=&quot;00971E42&quot;/&gt;&lt;wsp:rsid wsp:val=&quot;00972328&quot;/&gt;&lt;wsp:rsid wsp:val=&quot;0097299B&quot;/&gt;&lt;wsp:rsid wsp:val=&quot;00973701&quot;/&gt;&lt;wsp:rsid wsp:val=&quot;00973F74&quot;/&gt;&lt;wsp:rsid wsp:val=&quot;00974A67&quot;/&gt;&lt;wsp:rsid wsp:val=&quot;00974B40&quot;/&gt;&lt;wsp:rsid wsp:val=&quot;0097685E&quot;/&gt;&lt;wsp:rsid wsp:val=&quot;0097693F&quot;/&gt;&lt;wsp:rsid wsp:val=&quot;00980BAE&quot;/&gt;&lt;wsp:rsid wsp:val=&quot;00980EE1&quot;/&gt;&lt;wsp:rsid wsp:val=&quot;009819A6&quot;/&gt;&lt;wsp:rsid wsp:val=&quot;00983D60&quot;/&gt;&lt;wsp:rsid wsp:val=&quot;00984698&quot;/&gt;&lt;wsp:rsid wsp:val=&quot;009849C8&quot;/&gt;&lt;wsp:rsid wsp:val=&quot;00984D7F&quot;/&gt;&lt;wsp:rsid wsp:val=&quot;00985680&quot;/&gt;&lt;wsp:rsid wsp:val=&quot;009860A7&quot;/&gt;&lt;wsp:rsid wsp:val=&quot;0098645E&quot;/&gt;&lt;wsp:rsid wsp:val=&quot;00990FCD&quot;/&gt;&lt;wsp:rsid wsp:val=&quot;009918A9&quot;/&gt;&lt;wsp:rsid wsp:val=&quot;00991BDA&quot;/&gt;&lt;wsp:rsid wsp:val=&quot;00993545&quot;/&gt;&lt;wsp:rsid wsp:val=&quot;009950D9&quot;/&gt;&lt;wsp:rsid wsp:val=&quot;00996A49&quot;/&gt;&lt;wsp:rsid wsp:val=&quot;009A0F59&quot;/&gt;&lt;wsp:rsid wsp:val=&quot;009A166A&quot;/&gt;&lt;wsp:rsid wsp:val=&quot;009A17CE&quot;/&gt;&lt;wsp:rsid wsp:val=&quot;009A2C51&quot;/&gt;&lt;wsp:rsid wsp:val=&quot;009A409D&quot;/&gt;&lt;wsp:rsid wsp:val=&quot;009A427F&quot;/&gt;&lt;wsp:rsid wsp:val=&quot;009A459E&quot;/&gt;&lt;wsp:rsid wsp:val=&quot;009A4ECD&quot;/&gt;&lt;wsp:rsid wsp:val=&quot;009A56A7&quot;/&gt;&lt;wsp:rsid wsp:val=&quot;009A5874&quot;/&gt;&lt;wsp:rsid wsp:val=&quot;009A734C&quot;/&gt;&lt;wsp:rsid wsp:val=&quot;009A7964&quot;/&gt;&lt;wsp:rsid wsp:val=&quot;009A7F95&quot;/&gt;&lt;wsp:rsid wsp:val=&quot;009B03E4&quot;/&gt;&lt;wsp:rsid wsp:val=&quot;009B0820&quot;/&gt;&lt;wsp:rsid wsp:val=&quot;009B11D7&quot;/&gt;&lt;wsp:rsid wsp:val=&quot;009B1952&quot;/&gt;&lt;wsp:rsid wsp:val=&quot;009B1FA7&quot;/&gt;&lt;wsp:rsid wsp:val=&quot;009B2F4A&quot;/&gt;&lt;wsp:rsid wsp:val=&quot;009B35F4&quot;/&gt;&lt;wsp:rsid wsp:val=&quot;009B4D96&quot;/&gt;&lt;wsp:rsid wsp:val=&quot;009B6133&quot;/&gt;&lt;wsp:rsid wsp:val=&quot;009B643E&quot;/&gt;&lt;wsp:rsid wsp:val=&quot;009B724A&quot;/&gt;&lt;wsp:rsid wsp:val=&quot;009C02A7&quot;/&gt;&lt;wsp:rsid wsp:val=&quot;009C044D&quot;/&gt;&lt;wsp:rsid wsp:val=&quot;009C086A&quot;/&gt;&lt;wsp:rsid wsp:val=&quot;009C2016&quot;/&gt;&lt;wsp:rsid wsp:val=&quot;009C21EC&quot;/&gt;&lt;wsp:rsid wsp:val=&quot;009C3190&quot;/&gt;&lt;wsp:rsid wsp:val=&quot;009C328D&quot;/&gt;&lt;wsp:rsid wsp:val=&quot;009C3E22&quot;/&gt;&lt;wsp:rsid wsp:val=&quot;009C50CB&quot;/&gt;&lt;wsp:rsid wsp:val=&quot;009C5348&quot;/&gt;&lt;wsp:rsid wsp:val=&quot;009C6D39&quot;/&gt;&lt;wsp:rsid wsp:val=&quot;009C6F27&quot;/&gt;&lt;wsp:rsid wsp:val=&quot;009C7ACD&quot;/&gt;&lt;wsp:rsid wsp:val=&quot;009D1962&quot;/&gt;&lt;wsp:rsid wsp:val=&quot;009D20A1&quot;/&gt;&lt;wsp:rsid wsp:val=&quot;009D2297&quot;/&gt;&lt;wsp:rsid wsp:val=&quot;009D2B0E&quot;/&gt;&lt;wsp:rsid wsp:val=&quot;009D2F26&quot;/&gt;&lt;wsp:rsid wsp:val=&quot;009D31F3&quot;/&gt;&lt;wsp:rsid wsp:val=&quot;009D3B4F&quot;/&gt;&lt;wsp:rsid wsp:val=&quot;009D48A0&quot;/&gt;&lt;wsp:rsid wsp:val=&quot;009D4AC2&quot;/&gt;&lt;wsp:rsid wsp:val=&quot;009D6377&quot;/&gt;&lt;wsp:rsid wsp:val=&quot;009D69D0&quot;/&gt;&lt;wsp:rsid wsp:val=&quot;009D72C5&quot;/&gt;&lt;wsp:rsid wsp:val=&quot;009E1291&quot;/&gt;&lt;wsp:rsid wsp:val=&quot;009E1AC8&quot;/&gt;&lt;wsp:rsid wsp:val=&quot;009E1F2D&quot;/&gt;&lt;wsp:rsid wsp:val=&quot;009E2AD8&quot;/&gt;&lt;wsp:rsid wsp:val=&quot;009E3BAB&quot;/&gt;&lt;wsp:rsid wsp:val=&quot;009E40C4&quot;/&gt;&lt;wsp:rsid wsp:val=&quot;009E45FD&quot;/&gt;&lt;wsp:rsid wsp:val=&quot;009E486A&quot;/&gt;&lt;wsp:rsid wsp:val=&quot;009E6321&quot;/&gt;&lt;wsp:rsid wsp:val=&quot;009E6884&quot;/&gt;&lt;wsp:rsid wsp:val=&quot;009E689A&quot;/&gt;&lt;wsp:rsid wsp:val=&quot;009E68DA&quot;/&gt;&lt;wsp:rsid wsp:val=&quot;009E6EA8&quot;/&gt;&lt;wsp:rsid wsp:val=&quot;009E6EF9&quot;/&gt;&lt;wsp:rsid wsp:val=&quot;009E7921&quot;/&gt;&lt;wsp:rsid wsp:val=&quot;009F0676&quot;/&gt;&lt;wsp:rsid wsp:val=&quot;009F0B64&quot;/&gt;&lt;wsp:rsid wsp:val=&quot;009F0BB7&quot;/&gt;&lt;wsp:rsid wsp:val=&quot;009F112E&quot;/&gt;&lt;wsp:rsid wsp:val=&quot;009F1DC3&quot;/&gt;&lt;wsp:rsid wsp:val=&quot;009F2039&quot;/&gt;&lt;wsp:rsid wsp:val=&quot;009F4CFC&quot;/&gt;&lt;wsp:rsid wsp:val=&quot;009F4EF0&quot;/&gt;&lt;wsp:rsid wsp:val=&quot;009F55E0&quot;/&gt;&lt;wsp:rsid wsp:val=&quot;009F6E3C&quot;/&gt;&lt;wsp:rsid wsp:val=&quot;009F7008&quot;/&gt;&lt;wsp:rsid wsp:val=&quot;009F79C7&quot;/&gt;&lt;wsp:rsid wsp:val=&quot;009F7D47&quot;/&gt;&lt;wsp:rsid wsp:val=&quot;00A022FF&quot;/&gt;&lt;wsp:rsid wsp:val=&quot;00A023BC&quot;/&gt;&lt;wsp:rsid wsp:val=&quot;00A0258B&quot;/&gt;&lt;wsp:rsid wsp:val=&quot;00A054D6&quot;/&gt;&lt;wsp:rsid wsp:val=&quot;00A05D39&quot;/&gt;&lt;wsp:rsid wsp:val=&quot;00A0604B&quot;/&gt;&lt;wsp:rsid wsp:val=&quot;00A061C7&quot;/&gt;&lt;wsp:rsid wsp:val=&quot;00A06F5C&quot;/&gt;&lt;wsp:rsid wsp:val=&quot;00A077BB&quot;/&gt;&lt;wsp:rsid wsp:val=&quot;00A07917&quot;/&gt;&lt;wsp:rsid wsp:val=&quot;00A07CFC&quot;/&gt;&lt;wsp:rsid wsp:val=&quot;00A10533&quot;/&gt;&lt;wsp:rsid wsp:val=&quot;00A10DE8&quot;/&gt;&lt;wsp:rsid wsp:val=&quot;00A11573&quot;/&gt;&lt;wsp:rsid wsp:val=&quot;00A12F5C&quot;/&gt;&lt;wsp:rsid wsp:val=&quot;00A134EE&quot;/&gt;&lt;wsp:rsid wsp:val=&quot;00A13A68&quot;/&gt;&lt;wsp:rsid wsp:val=&quot;00A13B6E&quot;/&gt;&lt;wsp:rsid wsp:val=&quot;00A14381&quot;/&gt;&lt;wsp:rsid wsp:val=&quot;00A1446D&quot;/&gt;&lt;wsp:rsid wsp:val=&quot;00A161FA&quot;/&gt;&lt;wsp:rsid wsp:val=&quot;00A16476&quot;/&gt;&lt;wsp:rsid wsp:val=&quot;00A168A9&quot;/&gt;&lt;wsp:rsid wsp:val=&quot;00A16FA0&quot;/&gt;&lt;wsp:rsid wsp:val=&quot;00A17087&quot;/&gt;&lt;wsp:rsid wsp:val=&quot;00A17741&quot;/&gt;&lt;wsp:rsid wsp:val=&quot;00A1776B&quot;/&gt;&lt;wsp:rsid wsp:val=&quot;00A21843&quot;/&gt;&lt;wsp:rsid wsp:val=&quot;00A23858&quot;/&gt;&lt;wsp:rsid wsp:val=&quot;00A243EE&quot;/&gt;&lt;wsp:rsid wsp:val=&quot;00A24838&quot;/&gt;&lt;wsp:rsid wsp:val=&quot;00A24D17&quot;/&gt;&lt;wsp:rsid wsp:val=&quot;00A272BA&quot;/&gt;&lt;wsp:rsid wsp:val=&quot;00A27C16&quot;/&gt;&lt;wsp:rsid wsp:val=&quot;00A3060E&quot;/&gt;&lt;wsp:rsid wsp:val=&quot;00A30853&quot;/&gt;&lt;wsp:rsid wsp:val=&quot;00A31400&quot;/&gt;&lt;wsp:rsid wsp:val=&quot;00A31507&quot;/&gt;&lt;wsp:rsid wsp:val=&quot;00A3170F&quot;/&gt;&lt;wsp:rsid wsp:val=&quot;00A323C2&quot;/&gt;&lt;wsp:rsid wsp:val=&quot;00A33437&quot;/&gt;&lt;wsp:rsid wsp:val=&quot;00A33735&quot;/&gt;&lt;wsp:rsid wsp:val=&quot;00A36048&quot;/&gt;&lt;wsp:rsid wsp:val=&quot;00A36939&quot;/&gt;&lt;wsp:rsid wsp:val=&quot;00A36BF0&quot;/&gt;&lt;wsp:rsid wsp:val=&quot;00A37690&quot;/&gt;&lt;wsp:rsid wsp:val=&quot;00A37789&quot;/&gt;&lt;wsp:rsid wsp:val=&quot;00A37826&quot;/&gt;&lt;wsp:rsid wsp:val=&quot;00A401B4&quot;/&gt;&lt;wsp:rsid wsp:val=&quot;00A40665&quot;/&gt;&lt;wsp:rsid wsp:val=&quot;00A40686&quot;/&gt;&lt;wsp:rsid wsp:val=&quot;00A41241&quot;/&gt;&lt;wsp:rsid wsp:val=&quot;00A42BE9&quot;/&gt;&lt;wsp:rsid wsp:val=&quot;00A42C5E&quot;/&gt;&lt;wsp:rsid wsp:val=&quot;00A456D4&quot;/&gt;&lt;wsp:rsid wsp:val=&quot;00A457E7&quot;/&gt;&lt;wsp:rsid wsp:val=&quot;00A45AC9&quot;/&gt;&lt;wsp:rsid wsp:val=&quot;00A4768D&quot;/&gt;&lt;wsp:rsid wsp:val=&quot;00A47C2F&quot;/&gt;&lt;wsp:rsid wsp:val=&quot;00A47E0D&quot;/&gt;&lt;wsp:rsid wsp:val=&quot;00A51022&quot;/&gt;&lt;wsp:rsid wsp:val=&quot;00A5195F&quot;/&gt;&lt;wsp:rsid wsp:val=&quot;00A51C8C&quot;/&gt;&lt;wsp:rsid wsp:val=&quot;00A5274D&quot;/&gt;&lt;wsp:rsid wsp:val=&quot;00A52CE0&quot;/&gt;&lt;wsp:rsid wsp:val=&quot;00A52D24&quot;/&gt;&lt;wsp:rsid wsp:val=&quot;00A53A46&quot;/&gt;&lt;wsp:rsid wsp:val=&quot;00A54451&quot;/&gt;&lt;wsp:rsid wsp:val=&quot;00A605AB&quot;/&gt;&lt;wsp:rsid wsp:val=&quot;00A60703&quot;/&gt;&lt;wsp:rsid wsp:val=&quot;00A60C00&quot;/&gt;&lt;wsp:rsid wsp:val=&quot;00A618B6&quot;/&gt;&lt;wsp:rsid wsp:val=&quot;00A6280C&quot;/&gt;&lt;wsp:rsid wsp:val=&quot;00A62CFC&quot;/&gt;&lt;wsp:rsid wsp:val=&quot;00A62D1D&quot;/&gt;&lt;wsp:rsid wsp:val=&quot;00A62F21&quot;/&gt;&lt;wsp:rsid wsp:val=&quot;00A63060&quot;/&gt;&lt;wsp:rsid wsp:val=&quot;00A6342A&quot;/&gt;&lt;wsp:rsid wsp:val=&quot;00A63A15&quot;/&gt;&lt;wsp:rsid wsp:val=&quot;00A63D4C&quot;/&gt;&lt;wsp:rsid wsp:val=&quot;00A64825&quot;/&gt;&lt;wsp:rsid wsp:val=&quot;00A64DE2&quot;/&gt;&lt;wsp:rsid wsp:val=&quot;00A65CA3&quot;/&gt;&lt;wsp:rsid wsp:val=&quot;00A66499&quot;/&gt;&lt;wsp:rsid wsp:val=&quot;00A667C2&quot;/&gt;&lt;wsp:rsid wsp:val=&quot;00A72C67&quot;/&gt;&lt;wsp:rsid wsp:val=&quot;00A731EB&quot;/&gt;&lt;wsp:rsid wsp:val=&quot;00A73E9B&quot;/&gt;&lt;wsp:rsid wsp:val=&quot;00A73F05&quot;/&gt;&lt;wsp:rsid wsp:val=&quot;00A7465B&quot;/&gt;&lt;wsp:rsid wsp:val=&quot;00A74984&quot;/&gt;&lt;wsp:rsid wsp:val=&quot;00A74A17&quot;/&gt;&lt;wsp:rsid wsp:val=&quot;00A75CE7&quot;/&gt;&lt;wsp:rsid wsp:val=&quot;00A76718&quot;/&gt;&lt;wsp:rsid wsp:val=&quot;00A76D92&quot;/&gt;&lt;wsp:rsid wsp:val=&quot;00A77808&quot;/&gt;&lt;wsp:rsid wsp:val=&quot;00A80064&quot;/&gt;&lt;wsp:rsid wsp:val=&quot;00A8070F&quot;/&gt;&lt;wsp:rsid wsp:val=&quot;00A80D28&quot;/&gt;&lt;wsp:rsid wsp:val=&quot;00A80F15&quot;/&gt;&lt;wsp:rsid wsp:val=&quot;00A81398&quot;/&gt;&lt;wsp:rsid wsp:val=&quot;00A82BDB&quot;/&gt;&lt;wsp:rsid wsp:val=&quot;00A83363&quot;/&gt;&lt;wsp:rsid wsp:val=&quot;00A84976&quot;/&gt;&lt;wsp:rsid wsp:val=&quot;00A85057&quot;/&gt;&lt;wsp:rsid wsp:val=&quot;00A85792&quot;/&gt;&lt;wsp:rsid wsp:val=&quot;00A86C31&quot;/&gt;&lt;wsp:rsid wsp:val=&quot;00A86D8B&quot;/&gt;&lt;wsp:rsid wsp:val=&quot;00A87151&quot;/&gt;&lt;wsp:rsid wsp:val=&quot;00A90198&quot;/&gt;&lt;wsp:rsid wsp:val=&quot;00A90215&quot;/&gt;&lt;wsp:rsid wsp:val=&quot;00A90F4B&quot;/&gt;&lt;wsp:rsid wsp:val=&quot;00A918E4&quot;/&gt;&lt;wsp:rsid wsp:val=&quot;00A919C9&quot;/&gt;&lt;wsp:rsid wsp:val=&quot;00A91A2B&quot;/&gt;&lt;wsp:rsid wsp:val=&quot;00A91A84&quot;/&gt;&lt;wsp:rsid wsp:val=&quot;00A91BC0&quot;/&gt;&lt;wsp:rsid wsp:val=&quot;00A91CDF&quot;/&gt;&lt;wsp:rsid wsp:val=&quot;00A91E3C&quot;/&gt;&lt;wsp:rsid wsp:val=&quot;00A9206E&quot;/&gt;&lt;wsp:rsid wsp:val=&quot;00A94950&quot;/&gt;&lt;wsp:rsid wsp:val=&quot;00A94DEC&quot;/&gt;&lt;wsp:rsid wsp:val=&quot;00A95043&quot;/&gt;&lt;wsp:rsid wsp:val=&quot;00A954EE&quot;/&gt;&lt;wsp:rsid wsp:val=&quot;00A95778&quot;/&gt;&lt;wsp:rsid wsp:val=&quot;00A96831&quot;/&gt;&lt;wsp:rsid wsp:val=&quot;00A96E6B&quot;/&gt;&lt;wsp:rsid wsp:val=&quot;00A97073&quot;/&gt;&lt;wsp:rsid wsp:val=&quot;00A97831&quot;/&gt;&lt;wsp:rsid wsp:val=&quot;00AA01F7&quot;/&gt;&lt;wsp:rsid wsp:val=&quot;00AA2420&quot;/&gt;&lt;wsp:rsid wsp:val=&quot;00AA3222&quot;/&gt;&lt;wsp:rsid wsp:val=&quot;00AA34E5&quot;/&gt;&lt;wsp:rsid wsp:val=&quot;00AA3A38&quot;/&gt;&lt;wsp:rsid wsp:val=&quot;00AA3B4B&quot;/&gt;&lt;wsp:rsid wsp:val=&quot;00AA4734&quot;/&gt;&lt;wsp:rsid wsp:val=&quot;00AA4F01&quot;/&gt;&lt;wsp:rsid wsp:val=&quot;00AA50ED&quot;/&gt;&lt;wsp:rsid wsp:val=&quot;00AA5642&quot;/&gt;&lt;wsp:rsid wsp:val=&quot;00AA6341&quot;/&gt;&lt;wsp:rsid wsp:val=&quot;00AA6948&quot;/&gt;&lt;wsp:rsid wsp:val=&quot;00AA6CA9&quot;/&gt;&lt;wsp:rsid wsp:val=&quot;00AA6E3C&quot;/&gt;&lt;wsp:rsid wsp:val=&quot;00AB06DF&quot;/&gt;&lt;wsp:rsid wsp:val=&quot;00AB0F91&quot;/&gt;&lt;wsp:rsid wsp:val=&quot;00AB201A&quot;/&gt;&lt;wsp:rsid wsp:val=&quot;00AB2F43&quot;/&gt;&lt;wsp:rsid wsp:val=&quot;00AB315C&quot;/&gt;&lt;wsp:rsid wsp:val=&quot;00AB4907&quot;/&gt;&lt;wsp:rsid wsp:val=&quot;00AB499A&quot;/&gt;&lt;wsp:rsid wsp:val=&quot;00AB543D&quot;/&gt;&lt;wsp:rsid wsp:val=&quot;00AB7B6B&quot;/&gt;&lt;wsp:rsid wsp:val=&quot;00AC0180&quot;/&gt;&lt;wsp:rsid wsp:val=&quot;00AC13B9&quot;/&gt;&lt;wsp:rsid wsp:val=&quot;00AC15AC&quot;/&gt;&lt;wsp:rsid wsp:val=&quot;00AC2C4E&quot;/&gt;&lt;wsp:rsid wsp:val=&quot;00AC33C1&quot;/&gt;&lt;wsp:rsid wsp:val=&quot;00AC426E&quot;/&gt;&lt;wsp:rsid wsp:val=&quot;00AC4579&quot;/&gt;&lt;wsp:rsid wsp:val=&quot;00AC51B3&quot;/&gt;&lt;wsp:rsid wsp:val=&quot;00AC64CE&quot;/&gt;&lt;wsp:rsid wsp:val=&quot;00AC71BC&quot;/&gt;&lt;wsp:rsid wsp:val=&quot;00AC770C&quot;/&gt;&lt;wsp:rsid wsp:val=&quot;00AD0092&quot;/&gt;&lt;wsp:rsid wsp:val=&quot;00AD034D&quot;/&gt;&lt;wsp:rsid wsp:val=&quot;00AD059D&quot;/&gt;&lt;wsp:rsid wsp:val=&quot;00AD1323&quot;/&gt;&lt;wsp:rsid wsp:val=&quot;00AD1BA0&quot;/&gt;&lt;wsp:rsid wsp:val=&quot;00AD33DF&quot;/&gt;&lt;wsp:rsid wsp:val=&quot;00AD3E06&quot;/&gt;&lt;wsp:rsid wsp:val=&quot;00AD41D9&quot;/&gt;&lt;wsp:rsid wsp:val=&quot;00AD696F&quot;/&gt;&lt;wsp:rsid wsp:val=&quot;00AE01CE&quot;/&gt;&lt;wsp:rsid wsp:val=&quot;00AE1923&quot;/&gt;&lt;wsp:rsid wsp:val=&quot;00AE210E&quot;/&gt;&lt;wsp:rsid wsp:val=&quot;00AE317F&quot;/&gt;&lt;wsp:rsid wsp:val=&quot;00AE3F2D&quot;/&gt;&lt;wsp:rsid wsp:val=&quot;00AE41DD&quot;/&gt;&lt;wsp:rsid wsp:val=&quot;00AE53A3&quot;/&gt;&lt;wsp:rsid wsp:val=&quot;00AE53B5&quot;/&gt;&lt;wsp:rsid wsp:val=&quot;00AE569F&quot;/&gt;&lt;wsp:rsid wsp:val=&quot;00AE56F9&quot;/&gt;&lt;wsp:rsid wsp:val=&quot;00AE5DB1&quot;/&gt;&lt;wsp:rsid wsp:val=&quot;00AE6962&quot;/&gt;&lt;wsp:rsid wsp:val=&quot;00AF0899&quot;/&gt;&lt;wsp:rsid wsp:val=&quot;00AF0E35&quot;/&gt;&lt;wsp:rsid wsp:val=&quot;00AF1590&quot;/&gt;&lt;wsp:rsid wsp:val=&quot;00AF1E66&quot;/&gt;&lt;wsp:rsid wsp:val=&quot;00AF2490&quot;/&gt;&lt;wsp:rsid wsp:val=&quot;00AF3705&quot;/&gt;&lt;wsp:rsid wsp:val=&quot;00AF483C&quot;/&gt;&lt;wsp:rsid wsp:val=&quot;00AF4D24&quot;/&gt;&lt;wsp:rsid wsp:val=&quot;00AF5B50&quot;/&gt;&lt;wsp:rsid wsp:val=&quot;00AF5D7D&quot;/&gt;&lt;wsp:rsid wsp:val=&quot;00AF75B8&quot;/&gt;&lt;wsp:rsid wsp:val=&quot;00B00A7B&quot;/&gt;&lt;wsp:rsid wsp:val=&quot;00B01073&quot;/&gt;&lt;wsp:rsid wsp:val=&quot;00B018D8&quot;/&gt;&lt;wsp:rsid wsp:val=&quot;00B01D90&quot;/&gt;&lt;wsp:rsid wsp:val=&quot;00B02049&quot;/&gt;&lt;wsp:rsid wsp:val=&quot;00B0257A&quot;/&gt;&lt;wsp:rsid wsp:val=&quot;00B02F0E&quot;/&gt;&lt;wsp:rsid wsp:val=&quot;00B0355B&quot;/&gt;&lt;wsp:rsid wsp:val=&quot;00B03ADB&quot;/&gt;&lt;wsp:rsid wsp:val=&quot;00B04BD5&quot;/&gt;&lt;wsp:rsid wsp:val=&quot;00B059AA&quot;/&gt;&lt;wsp:rsid wsp:val=&quot;00B06963&quot;/&gt;&lt;wsp:rsid wsp:val=&quot;00B07596&quot;/&gt;&lt;wsp:rsid wsp:val=&quot;00B076CE&quot;/&gt;&lt;wsp:rsid wsp:val=&quot;00B101EF&quot;/&gt;&lt;wsp:rsid wsp:val=&quot;00B111A8&quot;/&gt;&lt;wsp:rsid wsp:val=&quot;00B11556&quot;/&gt;&lt;wsp:rsid wsp:val=&quot;00B1178D&quot;/&gt;&lt;wsp:rsid wsp:val=&quot;00B11F97&quot;/&gt;&lt;wsp:rsid wsp:val=&quot;00B120B1&quot;/&gt;&lt;wsp:rsid wsp:val=&quot;00B12861&quot;/&gt;&lt;wsp:rsid wsp:val=&quot;00B12D36&quot;/&gt;&lt;wsp:rsid wsp:val=&quot;00B13278&quot;/&gt;&lt;wsp:rsid wsp:val=&quot;00B13E93&quot;/&gt;&lt;wsp:rsid wsp:val=&quot;00B148CC&quot;/&gt;&lt;wsp:rsid wsp:val=&quot;00B15031&quot;/&gt;&lt;wsp:rsid wsp:val=&quot;00B153E2&quot;/&gt;&lt;wsp:rsid wsp:val=&quot;00B1561A&quot;/&gt;&lt;wsp:rsid wsp:val=&quot;00B15799&quot;/&gt;&lt;wsp:rsid wsp:val=&quot;00B17589&quot;/&gt;&lt;wsp:rsid wsp:val=&quot;00B20820&quot;/&gt;&lt;wsp:rsid wsp:val=&quot;00B20E7C&quot;/&gt;&lt;wsp:rsid wsp:val=&quot;00B214D9&quot;/&gt;&lt;wsp:rsid wsp:val=&quot;00B214EF&quot;/&gt;&lt;wsp:rsid wsp:val=&quot;00B21C98&quot;/&gt;&lt;wsp:rsid wsp:val=&quot;00B22240&quot;/&gt;&lt;wsp:rsid wsp:val=&quot;00B2354F&quot;/&gt;&lt;wsp:rsid wsp:val=&quot;00B2376E&quot;/&gt;&lt;wsp:rsid wsp:val=&quot;00B23787&quot;/&gt;&lt;wsp:rsid wsp:val=&quot;00B23792&quot;/&gt;&lt;wsp:rsid wsp:val=&quot;00B2396B&quot;/&gt;&lt;wsp:rsid wsp:val=&quot;00B23DAC&quot;/&gt;&lt;wsp:rsid wsp:val=&quot;00B2422A&quot;/&gt;&lt;wsp:rsid wsp:val=&quot;00B255D5&quot;/&gt;&lt;wsp:rsid wsp:val=&quot;00B2590F&quot;/&gt;&lt;wsp:rsid wsp:val=&quot;00B26080&quot;/&gt;&lt;wsp:rsid wsp:val=&quot;00B278F4&quot;/&gt;&lt;wsp:rsid wsp:val=&quot;00B3049F&quot;/&gt;&lt;wsp:rsid wsp:val=&quot;00B31149&quot;/&gt;&lt;wsp:rsid wsp:val=&quot;00B31D0D&quot;/&gt;&lt;wsp:rsid wsp:val=&quot;00B32526&quot;/&gt;&lt;wsp:rsid wsp:val=&quot;00B32AD4&quot;/&gt;&lt;wsp:rsid wsp:val=&quot;00B331D2&quot;/&gt;&lt;wsp:rsid wsp:val=&quot;00B33959&quot;/&gt;&lt;wsp:rsid wsp:val=&quot;00B3409D&quot;/&gt;&lt;wsp:rsid wsp:val=&quot;00B35328&quot;/&gt;&lt;wsp:rsid wsp:val=&quot;00B355DF&quot;/&gt;&lt;wsp:rsid wsp:val=&quot;00B36382&quot;/&gt;&lt;wsp:rsid wsp:val=&quot;00B3748B&quot;/&gt;&lt;wsp:rsid wsp:val=&quot;00B378CA&quot;/&gt;&lt;wsp:rsid wsp:val=&quot;00B37948&quot;/&gt;&lt;wsp:rsid wsp:val=&quot;00B4248D&quot;/&gt;&lt;wsp:rsid wsp:val=&quot;00B42957&quot;/&gt;&lt;wsp:rsid wsp:val=&quot;00B44E2C&quot;/&gt;&lt;wsp:rsid wsp:val=&quot;00B45D0D&quot;/&gt;&lt;wsp:rsid wsp:val=&quot;00B46680&quot;/&gt;&lt;wsp:rsid wsp:val=&quot;00B46A69&quot;/&gt;&lt;wsp:rsid wsp:val=&quot;00B507D4&quot;/&gt;&lt;wsp:rsid wsp:val=&quot;00B50973&quot;/&gt;&lt;wsp:rsid wsp:val=&quot;00B50EEB&quot;/&gt;&lt;wsp:rsid wsp:val=&quot;00B52253&quot;/&gt;&lt;wsp:rsid wsp:val=&quot;00B52334&quot;/&gt;&lt;wsp:rsid wsp:val=&quot;00B52603&quot;/&gt;&lt;wsp:rsid wsp:val=&quot;00B5273C&quot;/&gt;&lt;wsp:rsid wsp:val=&quot;00B5332D&quot;/&gt;&lt;wsp:rsid wsp:val=&quot;00B53624&quot;/&gt;&lt;wsp:rsid wsp:val=&quot;00B5379C&quot;/&gt;&lt;wsp:rsid wsp:val=&quot;00B54075&quot;/&gt;&lt;wsp:rsid wsp:val=&quot;00B54736&quot;/&gt;&lt;wsp:rsid wsp:val=&quot;00B548A0&quot;/&gt;&lt;wsp:rsid wsp:val=&quot;00B54E5A&quot;/&gt;&lt;wsp:rsid wsp:val=&quot;00B55417&quot;/&gt;&lt;wsp:rsid wsp:val=&quot;00B5581C&quot;/&gt;&lt;wsp:rsid wsp:val=&quot;00B571D1&quot;/&gt;&lt;wsp:rsid wsp:val=&quot;00B57537&quot;/&gt;&lt;wsp:rsid wsp:val=&quot;00B57BAA&quot;/&gt;&lt;wsp:rsid wsp:val=&quot;00B6016F&quot;/&gt;&lt;wsp:rsid wsp:val=&quot;00B602A2&quot;/&gt;&lt;wsp:rsid wsp:val=&quot;00B60B91&quot;/&gt;&lt;wsp:rsid wsp:val=&quot;00B61A50&quot;/&gt;&lt;wsp:rsid wsp:val=&quot;00B6211A&quot;/&gt;&lt;wsp:rsid wsp:val=&quot;00B62E4F&quot;/&gt;&lt;wsp:rsid wsp:val=&quot;00B639C8&quot;/&gt;&lt;wsp:rsid wsp:val=&quot;00B64A10&quot;/&gt;&lt;wsp:rsid wsp:val=&quot;00B6638F&quot;/&gt;&lt;wsp:rsid wsp:val=&quot;00B66D60&quot;/&gt;&lt;wsp:rsid wsp:val=&quot;00B67925&quot;/&gt;&lt;wsp:rsid wsp:val=&quot;00B7014D&quot;/&gt;&lt;wsp:rsid wsp:val=&quot;00B701CD&quot;/&gt;&lt;wsp:rsid wsp:val=&quot;00B70268&quot;/&gt;&lt;wsp:rsid wsp:val=&quot;00B70B21&quot;/&gt;&lt;wsp:rsid wsp:val=&quot;00B7184F&quot;/&gt;&lt;wsp:rsid wsp:val=&quot;00B72675&quot;/&gt;&lt;wsp:rsid wsp:val=&quot;00B72960&quot;/&gt;&lt;wsp:rsid wsp:val=&quot;00B72A23&quot;/&gt;&lt;wsp:rsid wsp:val=&quot;00B737A5&quot;/&gt;&lt;wsp:rsid wsp:val=&quot;00B73FDE&quot;/&gt;&lt;wsp:rsid wsp:val=&quot;00B7471F&quot;/&gt;&lt;wsp:rsid wsp:val=&quot;00B76E56&quot;/&gt;&lt;wsp:rsid wsp:val=&quot;00B770A2&quot;/&gt;&lt;wsp:rsid wsp:val=&quot;00B80538&quot;/&gt;&lt;wsp:rsid wsp:val=&quot;00B808F5&quot;/&gt;&lt;wsp:rsid wsp:val=&quot;00B813DB&quot;/&gt;&lt;wsp:rsid wsp:val=&quot;00B81A22&quot;/&gt;&lt;wsp:rsid wsp:val=&quot;00B825E2&quot;/&gt;&lt;wsp:rsid wsp:val=&quot;00B82892&quot;/&gt;&lt;wsp:rsid wsp:val=&quot;00B83662&quot;/&gt;&lt;wsp:rsid wsp:val=&quot;00B8406C&quot;/&gt;&lt;wsp:rsid wsp:val=&quot;00B8442A&quot;/&gt;&lt;wsp:rsid wsp:val=&quot;00B84BA6&quot;/&gt;&lt;wsp:rsid wsp:val=&quot;00B85343&quot;/&gt;&lt;wsp:rsid wsp:val=&quot;00B853E0&quot;/&gt;&lt;wsp:rsid wsp:val=&quot;00B85CEB&quot;/&gt;&lt;wsp:rsid wsp:val=&quot;00B860A8&quot;/&gt;&lt;wsp:rsid wsp:val=&quot;00B865D8&quot;/&gt;&lt;wsp:rsid wsp:val=&quot;00B867CC&quot;/&gt;&lt;wsp:rsid wsp:val=&quot;00B86A4F&quot;/&gt;&lt;wsp:rsid wsp:val=&quot;00B86B1D&quot;/&gt;&lt;wsp:rsid wsp:val=&quot;00B8708E&quot;/&gt;&lt;wsp:rsid wsp:val=&quot;00B901A9&quot;/&gt;&lt;wsp:rsid wsp:val=&quot;00B90F82&quot;/&gt;&lt;wsp:rsid wsp:val=&quot;00B91A06&quot;/&gt;&lt;wsp:rsid wsp:val=&quot;00B91ACF&quot;/&gt;&lt;wsp:rsid wsp:val=&quot;00B91ED5&quot;/&gt;&lt;wsp:rsid wsp:val=&quot;00B925AA&quot;/&gt;&lt;wsp:rsid wsp:val=&quot;00B92926&quot;/&gt;&lt;wsp:rsid wsp:val=&quot;00B929CE&quot;/&gt;&lt;wsp:rsid wsp:val=&quot;00B93168&quot;/&gt;&lt;wsp:rsid wsp:val=&quot;00B93D65&quot;/&gt;&lt;wsp:rsid wsp:val=&quot;00B93FD4&quot;/&gt;&lt;wsp:rsid wsp:val=&quot;00B94867&quot;/&gt;&lt;wsp:rsid wsp:val=&quot;00B949FB&quot;/&gt;&lt;wsp:rsid wsp:val=&quot;00B94EDE&quot;/&gt;&lt;wsp:rsid wsp:val=&quot;00B961D6&quot;/&gt;&lt;wsp:rsid wsp:val=&quot;00B96404&quot;/&gt;&lt;wsp:rsid wsp:val=&quot;00B97854&quot;/&gt;&lt;wsp:rsid wsp:val=&quot;00B97F95&quot;/&gt;&lt;wsp:rsid wsp:val=&quot;00BA0B19&quot;/&gt;&lt;wsp:rsid wsp:val=&quot;00BA1093&quot;/&gt;&lt;wsp:rsid wsp:val=&quot;00BA146B&quot;/&gt;&lt;wsp:rsid wsp:val=&quot;00BA1E7F&quot;/&gt;&lt;wsp:rsid wsp:val=&quot;00BA20AB&quot;/&gt;&lt;wsp:rsid wsp:val=&quot;00BA467F&quot;/&gt;&lt;wsp:rsid wsp:val=&quot;00BA48E4&quot;/&gt;&lt;wsp:rsid wsp:val=&quot;00BA4BB7&quot;/&gt;&lt;wsp:rsid wsp:val=&quot;00BA5523&quot;/&gt;&lt;wsp:rsid wsp:val=&quot;00BA59B7&quot;/&gt;&lt;wsp:rsid wsp:val=&quot;00BA5CF8&quot;/&gt;&lt;wsp:rsid wsp:val=&quot;00BA66E3&quot;/&gt;&lt;wsp:rsid wsp:val=&quot;00BA69E8&quot;/&gt;&lt;wsp:rsid wsp:val=&quot;00BB0403&quot;/&gt;&lt;wsp:rsid wsp:val=&quot;00BB2328&quot;/&gt;&lt;wsp:rsid wsp:val=&quot;00BB2DA1&quot;/&gt;&lt;wsp:rsid wsp:val=&quot;00BB3AAB&quot;/&gt;&lt;wsp:rsid wsp:val=&quot;00BB47A5&quot;/&gt;&lt;wsp:rsid wsp:val=&quot;00BB48AD&quot;/&gt;&lt;wsp:rsid wsp:val=&quot;00BB626B&quot;/&gt;&lt;wsp:rsid wsp:val=&quot;00BB6339&quot;/&gt;&lt;wsp:rsid wsp:val=&quot;00BB7258&quot;/&gt;&lt;wsp:rsid wsp:val=&quot;00BB7666&quot;/&gt;&lt;wsp:rsid wsp:val=&quot;00BC00AE&quot;/&gt;&lt;wsp:rsid wsp:val=&quot;00BC021D&quot;/&gt;&lt;wsp:rsid wsp:val=&quot;00BC0CA9&quot;/&gt;&lt;wsp:rsid wsp:val=&quot;00BC0E97&quot;/&gt;&lt;wsp:rsid wsp:val=&quot;00BC168A&quot;/&gt;&lt;wsp:rsid wsp:val=&quot;00BC25A8&quot;/&gt;&lt;wsp:rsid wsp:val=&quot;00BC3855&quot;/&gt;&lt;wsp:rsid wsp:val=&quot;00BC3D20&quot;/&gt;&lt;wsp:rsid wsp:val=&quot;00BC433E&quot;/&gt;&lt;wsp:rsid wsp:val=&quot;00BC5328&quot;/&gt;&lt;wsp:rsid wsp:val=&quot;00BC6728&quot;/&gt;&lt;wsp:rsid wsp:val=&quot;00BC67D3&quot;/&gt;&lt;wsp:rsid wsp:val=&quot;00BC7410&quot;/&gt;&lt;wsp:rsid wsp:val=&quot;00BC7CCE&quot;/&gt;&lt;wsp:rsid wsp:val=&quot;00BC7E5E&quot;/&gt;&lt;wsp:rsid wsp:val=&quot;00BD21A9&quot;/&gt;&lt;wsp:rsid wsp:val=&quot;00BD2EED&quot;/&gt;&lt;wsp:rsid wsp:val=&quot;00BD314D&quot;/&gt;&lt;wsp:rsid wsp:val=&quot;00BD4B52&quot;/&gt;&lt;wsp:rsid wsp:val=&quot;00BD59E3&quot;/&gt;&lt;wsp:rsid wsp:val=&quot;00BD5B28&quot;/&gt;&lt;wsp:rsid wsp:val=&quot;00BD61B9&quot;/&gt;&lt;wsp:rsid wsp:val=&quot;00BD647A&quot;/&gt;&lt;wsp:rsid wsp:val=&quot;00BE01EA&quot;/&gt;&lt;wsp:rsid wsp:val=&quot;00BE0714&quot;/&gt;&lt;wsp:rsid wsp:val=&quot;00BE0F34&quot;/&gt;&lt;wsp:rsid wsp:val=&quot;00BE153A&quot;/&gt;&lt;wsp:rsid wsp:val=&quot;00BE3C76&quot;/&gt;&lt;wsp:rsid wsp:val=&quot;00BE439F&quot;/&gt;&lt;wsp:rsid wsp:val=&quot;00BE4423&quot;/&gt;&lt;wsp:rsid wsp:val=&quot;00BE4BF7&quot;/&gt;&lt;wsp:rsid wsp:val=&quot;00BE4F27&quot;/&gt;&lt;wsp:rsid wsp:val=&quot;00BE732B&quot;/&gt;&lt;wsp:rsid wsp:val=&quot;00BF03A5&quot;/&gt;&lt;wsp:rsid wsp:val=&quot;00BF0CF8&quot;/&gt;&lt;wsp:rsid wsp:val=&quot;00BF16C8&quot;/&gt;&lt;wsp:rsid wsp:val=&quot;00BF1FED&quot;/&gt;&lt;wsp:rsid wsp:val=&quot;00BF2522&quot;/&gt;&lt;wsp:rsid wsp:val=&quot;00BF254C&quot;/&gt;&lt;wsp:rsid wsp:val=&quot;00BF37DD&quot;/&gt;&lt;wsp:rsid wsp:val=&quot;00BF3996&quot;/&gt;&lt;wsp:rsid wsp:val=&quot;00BF3E86&quot;/&gt;&lt;wsp:rsid wsp:val=&quot;00BF471D&quot;/&gt;&lt;wsp:rsid wsp:val=&quot;00BF64B7&quot;/&gt;&lt;wsp:rsid wsp:val=&quot;00BF680B&quot;/&gt;&lt;wsp:rsid wsp:val=&quot;00BF71C1&quot;/&gt;&lt;wsp:rsid wsp:val=&quot;00C01368&quot;/&gt;&lt;wsp:rsid wsp:val=&quot;00C0237F&quot;/&gt;&lt;wsp:rsid wsp:val=&quot;00C03EA2&quot;/&gt;&lt;wsp:rsid wsp:val=&quot;00C04020&quot;/&gt;&lt;wsp:rsid wsp:val=&quot;00C049D7&quot;/&gt;&lt;wsp:rsid wsp:val=&quot;00C04AB2&quot;/&gt;&lt;wsp:rsid wsp:val=&quot;00C04E35&quot;/&gt;&lt;wsp:rsid wsp:val=&quot;00C05678&quot;/&gt;&lt;wsp:rsid wsp:val=&quot;00C06B9D&quot;/&gt;&lt;wsp:rsid wsp:val=&quot;00C07994&quot;/&gt;&lt;wsp:rsid wsp:val=&quot;00C07B83&quot;/&gt;&lt;wsp:rsid wsp:val=&quot;00C10E9A&quot;/&gt;&lt;wsp:rsid wsp:val=&quot;00C114BA&quot;/&gt;&lt;wsp:rsid wsp:val=&quot;00C121DF&quot;/&gt;&lt;wsp:rsid wsp:val=&quot;00C129DC&quot;/&gt;&lt;wsp:rsid wsp:val=&quot;00C12A50&quot;/&gt;&lt;wsp:rsid wsp:val=&quot;00C1388A&quot;/&gt;&lt;wsp:rsid wsp:val=&quot;00C13E42&quot;/&gt;&lt;wsp:rsid wsp:val=&quot;00C14406&quot;/&gt;&lt;wsp:rsid wsp:val=&quot;00C14737&quot;/&gt;&lt;wsp:rsid wsp:val=&quot;00C14828&quot;/&gt;&lt;wsp:rsid wsp:val=&quot;00C14A6F&quot;/&gt;&lt;wsp:rsid wsp:val=&quot;00C158F6&quot;/&gt;&lt;wsp:rsid wsp:val=&quot;00C15D88&quot;/&gt;&lt;wsp:rsid wsp:val=&quot;00C161CC&quot;/&gt;&lt;wsp:rsid wsp:val=&quot;00C1671E&quot;/&gt;&lt;wsp:rsid wsp:val=&quot;00C167E6&quot;/&gt;&lt;wsp:rsid wsp:val=&quot;00C1680D&quot;/&gt;&lt;wsp:rsid wsp:val=&quot;00C16950&quot;/&gt;&lt;wsp:rsid wsp:val=&quot;00C16E2E&quot;/&gt;&lt;wsp:rsid wsp:val=&quot;00C1776B&quot;/&gt;&lt;wsp:rsid wsp:val=&quot;00C17D78&quot;/&gt;&lt;wsp:rsid wsp:val=&quot;00C17D7C&quot;/&gt;&lt;wsp:rsid wsp:val=&quot;00C20071&quot;/&gt;&lt;wsp:rsid wsp:val=&quot;00C201DA&quot;/&gt;&lt;wsp:rsid wsp:val=&quot;00C213F3&quot;/&gt;&lt;wsp:rsid wsp:val=&quot;00C21657&quot;/&gt;&lt;wsp:rsid wsp:val=&quot;00C21A78&quot;/&gt;&lt;wsp:rsid wsp:val=&quot;00C21D41&quot;/&gt;&lt;wsp:rsid wsp:val=&quot;00C22067&quot;/&gt;&lt;wsp:rsid wsp:val=&quot;00C2276F&quot;/&gt;&lt;wsp:rsid wsp:val=&quot;00C22991&quot;/&gt;&lt;wsp:rsid wsp:val=&quot;00C23F48&quot;/&gt;&lt;wsp:rsid wsp:val=&quot;00C24D8E&quot;/&gt;&lt;wsp:rsid wsp:val=&quot;00C25704&quot;/&gt;&lt;wsp:rsid wsp:val=&quot;00C2573C&quot;/&gt;&lt;wsp:rsid wsp:val=&quot;00C25B33&quot;/&gt;&lt;wsp:rsid wsp:val=&quot;00C25E18&quot;/&gt;&lt;wsp:rsid wsp:val=&quot;00C26579&quot;/&gt;&lt;wsp:rsid wsp:val=&quot;00C27127&quot;/&gt;&lt;wsp:rsid wsp:val=&quot;00C27F6B&quot;/&gt;&lt;wsp:rsid wsp:val=&quot;00C31C55&quot;/&gt;&lt;wsp:rsid wsp:val=&quot;00C3225C&quot;/&gt;&lt;wsp:rsid wsp:val=&quot;00C32FE5&quot;/&gt;&lt;wsp:rsid wsp:val=&quot;00C33B9A&quot;/&gt;&lt;wsp:rsid wsp:val=&quot;00C362E1&quot;/&gt;&lt;wsp:rsid wsp:val=&quot;00C3678D&quot;/&gt;&lt;wsp:rsid wsp:val=&quot;00C36D41&quot;/&gt;&lt;wsp:rsid wsp:val=&quot;00C374BC&quot;/&gt;&lt;wsp:rsid wsp:val=&quot;00C37D1A&quot;/&gt;&lt;wsp:rsid wsp:val=&quot;00C40988&quot;/&gt;&lt;wsp:rsid wsp:val=&quot;00C40BF6&quot;/&gt;&lt;wsp:rsid wsp:val=&quot;00C413E7&quot;/&gt;&lt;wsp:rsid wsp:val=&quot;00C41854&quot;/&gt;&lt;wsp:rsid wsp:val=&quot;00C43C77&quot;/&gt;&lt;wsp:rsid wsp:val=&quot;00C44165&quot;/&gt;&lt;wsp:rsid wsp:val=&quot;00C452BA&quot;/&gt;&lt;wsp:rsid wsp:val=&quot;00C454F0&quot;/&gt;&lt;wsp:rsid wsp:val=&quot;00C4570A&quot;/&gt;&lt;wsp:rsid wsp:val=&quot;00C50358&quot;/&gt;&lt;wsp:rsid wsp:val=&quot;00C50D55&quot;/&gt;&lt;wsp:rsid wsp:val=&quot;00C50FE9&quot;/&gt;&lt;wsp:rsid wsp:val=&quot;00C51B52&quot;/&gt;&lt;wsp:rsid wsp:val=&quot;00C52108&quot;/&gt;&lt;wsp:rsid wsp:val=&quot;00C52AD0&quot;/&gt;&lt;wsp:rsid wsp:val=&quot;00C5448E&quot;/&gt;&lt;wsp:rsid wsp:val=&quot;00C546A1&quot;/&gt;&lt;wsp:rsid wsp:val=&quot;00C54946&quot;/&gt;&lt;wsp:rsid wsp:val=&quot;00C567DE&quot;/&gt;&lt;wsp:rsid wsp:val=&quot;00C5764F&quot;/&gt;&lt;wsp:rsid wsp:val=&quot;00C57F81&quot;/&gt;&lt;wsp:rsid wsp:val=&quot;00C60915&quot;/&gt;&lt;wsp:rsid wsp:val=&quot;00C61E1C&quot;/&gt;&lt;wsp:rsid wsp:val=&quot;00C63AAC&quot;/&gt;&lt;wsp:rsid wsp:val=&quot;00C64ED4&quot;/&gt;&lt;wsp:rsid wsp:val=&quot;00C657FD&quot;/&gt;&lt;wsp:rsid wsp:val=&quot;00C6589A&quot;/&gt;&lt;wsp:rsid wsp:val=&quot;00C663B9&quot;/&gt;&lt;wsp:rsid wsp:val=&quot;00C678C0&quot;/&gt;&lt;wsp:rsid wsp:val=&quot;00C72E84&quot;/&gt;&lt;wsp:rsid wsp:val=&quot;00C732A8&quot;/&gt;&lt;wsp:rsid wsp:val=&quot;00C7344B&quot;/&gt;&lt;wsp:rsid wsp:val=&quot;00C743FD&quot;/&gt;&lt;wsp:rsid wsp:val=&quot;00C76243&quot;/&gt;&lt;wsp:rsid wsp:val=&quot;00C76886&quot;/&gt;&lt;wsp:rsid wsp:val=&quot;00C76E31&quot;/&gt;&lt;wsp:rsid wsp:val=&quot;00C77C8D&quot;/&gt;&lt;wsp:rsid wsp:val=&quot;00C77E17&quot;/&gt;&lt;wsp:rsid wsp:val=&quot;00C80BC5&quot;/&gt;&lt;wsp:rsid wsp:val=&quot;00C83027&quot;/&gt;&lt;wsp:rsid wsp:val=&quot;00C84F5F&quot;/&gt;&lt;wsp:rsid wsp:val=&quot;00C85468&quot;/&gt;&lt;wsp:rsid wsp:val=&quot;00C858E5&quot;/&gt;&lt;wsp:rsid wsp:val=&quot;00C85A8A&quot;/&gt;&lt;wsp:rsid wsp:val=&quot;00C869E6&quot;/&gt;&lt;wsp:rsid wsp:val=&quot;00C86ECD&quot;/&gt;&lt;wsp:rsid wsp:val=&quot;00C86F36&quot;/&gt;&lt;wsp:rsid wsp:val=&quot;00C874C4&quot;/&gt;&lt;wsp:rsid wsp:val=&quot;00C87535&quot;/&gt;&lt;wsp:rsid wsp:val=&quot;00C8791E&quot;/&gt;&lt;wsp:rsid wsp:val=&quot;00C87B21&quot;/&gt;&lt;wsp:rsid wsp:val=&quot;00C9046B&quot;/&gt;&lt;wsp:rsid wsp:val=&quot;00C905C4&quot;/&gt;&lt;wsp:rsid wsp:val=&quot;00C90C9C&quot;/&gt;&lt;wsp:rsid wsp:val=&quot;00C90E2F&quot;/&gt;&lt;wsp:rsid wsp:val=&quot;00C90F66&quot;/&gt;&lt;wsp:rsid wsp:val=&quot;00C90FB5&quot;/&gt;&lt;wsp:rsid wsp:val=&quot;00C91D87&quot;/&gt;&lt;wsp:rsid wsp:val=&quot;00C92257&quot;/&gt;&lt;wsp:rsid wsp:val=&quot;00C922B3&quot;/&gt;&lt;wsp:rsid wsp:val=&quot;00C926B1&quot;/&gt;&lt;wsp:rsid wsp:val=&quot;00C927A0&quot;/&gt;&lt;wsp:rsid wsp:val=&quot;00C92BE6&quot;/&gt;&lt;wsp:rsid wsp:val=&quot;00C94CD1&quot;/&gt;&lt;wsp:rsid wsp:val=&quot;00C95214&quot;/&gt;&lt;wsp:rsid wsp:val=&quot;00C95700&quot;/&gt;&lt;wsp:rsid wsp:val=&quot;00C95DF3&quot;/&gt;&lt;wsp:rsid wsp:val=&quot;00C966B2&quot;/&gt;&lt;wsp:rsid wsp:val=&quot;00C973A2&quot;/&gt;&lt;wsp:rsid wsp:val=&quot;00CA0450&quot;/&gt;&lt;wsp:rsid wsp:val=&quot;00CA06DD&quot;/&gt;&lt;wsp:rsid wsp:val=&quot;00CA0AE8&quot;/&gt;&lt;wsp:rsid wsp:val=&quot;00CA0EB1&quot;/&gt;&lt;wsp:rsid wsp:val=&quot;00CA189F&quot;/&gt;&lt;wsp:rsid wsp:val=&quot;00CA1EB1&quot;/&gt;&lt;wsp:rsid wsp:val=&quot;00CA3218&quot;/&gt;&lt;wsp:rsid wsp:val=&quot;00CA5D70&quot;/&gt;&lt;wsp:rsid wsp:val=&quot;00CA7447&quot;/&gt;&lt;wsp:rsid wsp:val=&quot;00CA7531&quot;/&gt;&lt;wsp:rsid wsp:val=&quot;00CB0003&quot;/&gt;&lt;wsp:rsid wsp:val=&quot;00CB02D0&quot;/&gt;&lt;wsp:rsid wsp:val=&quot;00CB04AB&quot;/&gt;&lt;wsp:rsid wsp:val=&quot;00CB0528&quot;/&gt;&lt;wsp:rsid wsp:val=&quot;00CB18B3&quot;/&gt;&lt;wsp:rsid wsp:val=&quot;00CB1AEC&quot;/&gt;&lt;wsp:rsid wsp:val=&quot;00CB2654&quot;/&gt;&lt;wsp:rsid wsp:val=&quot;00CB2DC3&quot;/&gt;&lt;wsp:rsid wsp:val=&quot;00CB3E50&quot;/&gt;&lt;wsp:rsid wsp:val=&quot;00CB4017&quot;/&gt;&lt;wsp:rsid wsp:val=&quot;00CB592F&quot;/&gt;&lt;wsp:rsid wsp:val=&quot;00CC02C1&quot;/&gt;&lt;wsp:rsid wsp:val=&quot;00CC1297&quot;/&gt;&lt;wsp:rsid wsp:val=&quot;00CC1736&quot;/&gt;&lt;wsp:rsid wsp:val=&quot;00CC1B3A&quot;/&gt;&lt;wsp:rsid wsp:val=&quot;00CC2227&quot;/&gt;&lt;wsp:rsid wsp:val=&quot;00CC2777&quot;/&gt;&lt;wsp:rsid wsp:val=&quot;00CC39CC&quot;/&gt;&lt;wsp:rsid wsp:val=&quot;00CC44D5&quot;/&gt;&lt;wsp:rsid wsp:val=&quot;00CC4BB3&quot;/&gt;&lt;wsp:rsid wsp:val=&quot;00CC520E&quot;/&gt;&lt;wsp:rsid wsp:val=&quot;00CC614D&quot;/&gt;&lt;wsp:rsid wsp:val=&quot;00CC6AD1&quot;/&gt;&lt;wsp:rsid wsp:val=&quot;00CC7AFC&quot;/&gt;&lt;wsp:rsid wsp:val=&quot;00CD05C8&quot;/&gt;&lt;wsp:rsid wsp:val=&quot;00CD0E33&quot;/&gt;&lt;wsp:rsid wsp:val=&quot;00CD0F35&quot;/&gt;&lt;wsp:rsid wsp:val=&quot;00CD1B46&quot;/&gt;&lt;wsp:rsid wsp:val=&quot;00CD1FBD&quot;/&gt;&lt;wsp:rsid wsp:val=&quot;00CD22A3&quot;/&gt;&lt;wsp:rsid wsp:val=&quot;00CD29B8&quot;/&gt;&lt;wsp:rsid wsp:val=&quot;00CD357A&quot;/&gt;&lt;wsp:rsid wsp:val=&quot;00CD475E&quot;/&gt;&lt;wsp:rsid wsp:val=&quot;00CD5089&quot;/&gt;&lt;wsp:rsid wsp:val=&quot;00CD51B5&quot;/&gt;&lt;wsp:rsid wsp:val=&quot;00CD614C&quot;/&gt;&lt;wsp:rsid wsp:val=&quot;00CD6D0F&quot;/&gt;&lt;wsp:rsid wsp:val=&quot;00CE18CC&quot;/&gt;&lt;wsp:rsid wsp:val=&quot;00CE1C42&quot;/&gt;&lt;wsp:rsid wsp:val=&quot;00CE3A03&quot;/&gt;&lt;wsp:rsid wsp:val=&quot;00CE3E4C&quot;/&gt;&lt;wsp:rsid wsp:val=&quot;00CE40B1&quot;/&gt;&lt;wsp:rsid wsp:val=&quot;00CE4E00&quot;/&gt;&lt;wsp:rsid wsp:val=&quot;00CE5B25&quot;/&gt;&lt;wsp:rsid wsp:val=&quot;00CE727E&quot;/&gt;&lt;wsp:rsid wsp:val=&quot;00CE7B23&quot;/&gt;&lt;wsp:rsid wsp:val=&quot;00CF0181&quot;/&gt;&lt;wsp:rsid wsp:val=&quot;00CF16AD&quot;/&gt;&lt;wsp:rsid wsp:val=&quot;00CF254B&quot;/&gt;&lt;wsp:rsid wsp:val=&quot;00CF2BAB&quot;/&gt;&lt;wsp:rsid wsp:val=&quot;00CF3231&quot;/&gt;&lt;wsp:rsid wsp:val=&quot;00CF478C&quot;/&gt;&lt;wsp:rsid wsp:val=&quot;00CF5198&quot;/&gt;&lt;wsp:rsid wsp:val=&quot;00CF5230&quot;/&gt;&lt;wsp:rsid wsp:val=&quot;00CF5EE1&quot;/&gt;&lt;wsp:rsid wsp:val=&quot;00CF6460&quot;/&gt;&lt;wsp:rsid wsp:val=&quot;00CF78AC&quot;/&gt;&lt;wsp:rsid wsp:val=&quot;00CF7A85&quot;/&gt;&lt;wsp:rsid wsp:val=&quot;00D000D2&quot;/&gt;&lt;wsp:rsid wsp:val=&quot;00D01104&quot;/&gt;&lt;wsp:rsid wsp:val=&quot;00D01E08&quot;/&gt;&lt;wsp:rsid wsp:val=&quot;00D026DD&quot;/&gt;&lt;wsp:rsid wsp:val=&quot;00D045DA&quot;/&gt;&lt;wsp:rsid wsp:val=&quot;00D0461E&quot;/&gt;&lt;wsp:rsid wsp:val=&quot;00D05C73&quot;/&gt;&lt;wsp:rsid wsp:val=&quot;00D06820&quot;/&gt;&lt;wsp:rsid wsp:val=&quot;00D06882&quot;/&gt;&lt;wsp:rsid wsp:val=&quot;00D07C92&quot;/&gt;&lt;wsp:rsid wsp:val=&quot;00D11295&quot;/&gt;&lt;wsp:rsid wsp:val=&quot;00D11334&quot;/&gt;&lt;wsp:rsid wsp:val=&quot;00D11553&quot;/&gt;&lt;wsp:rsid wsp:val=&quot;00D126E9&quot;/&gt;&lt;wsp:rsid wsp:val=&quot;00D1564E&quot;/&gt;&lt;wsp:rsid wsp:val=&quot;00D15908&quot;/&gt;&lt;wsp:rsid wsp:val=&quot;00D160B0&quot;/&gt;&lt;wsp:rsid wsp:val=&quot;00D16550&quot;/&gt;&lt;wsp:rsid wsp:val=&quot;00D168FD&quot;/&gt;&lt;wsp:rsid wsp:val=&quot;00D1771A&quot;/&gt;&lt;wsp:rsid wsp:val=&quot;00D178FD&quot;/&gt;&lt;wsp:rsid wsp:val=&quot;00D20466&quot;/&gt;&lt;wsp:rsid wsp:val=&quot;00D20697&quot;/&gt;&lt;wsp:rsid wsp:val=&quot;00D20EA8&quot;/&gt;&lt;wsp:rsid wsp:val=&quot;00D210CA&quot;/&gt;&lt;wsp:rsid wsp:val=&quot;00D21582&quot;/&gt;&lt;wsp:rsid wsp:val=&quot;00D21897&quot;/&gt;&lt;wsp:rsid wsp:val=&quot;00D21B00&quot;/&gt;&lt;wsp:rsid wsp:val=&quot;00D21BCE&quot;/&gt;&lt;wsp:rsid wsp:val=&quot;00D21DA8&quot;/&gt;&lt;wsp:rsid wsp:val=&quot;00D24A59&quot;/&gt;&lt;wsp:rsid wsp:val=&quot;00D24B99&quot;/&gt;&lt;wsp:rsid wsp:val=&quot;00D25538&quot;/&gt;&lt;wsp:rsid wsp:val=&quot;00D26371&quot;/&gt;&lt;wsp:rsid wsp:val=&quot;00D2735C&quot;/&gt;&lt;wsp:rsid wsp:val=&quot;00D27576&quot;/&gt;&lt;wsp:rsid wsp:val=&quot;00D27C94&quot;/&gt;&lt;wsp:rsid wsp:val=&quot;00D308CD&quot;/&gt;&lt;wsp:rsid wsp:val=&quot;00D3090F&quot;/&gt;&lt;wsp:rsid wsp:val=&quot;00D30D33&quot;/&gt;&lt;wsp:rsid wsp:val=&quot;00D318CF&quot;/&gt;&lt;wsp:rsid wsp:val=&quot;00D325CC&quot;/&gt;&lt;wsp:rsid wsp:val=&quot;00D3360C&quot;/&gt;&lt;wsp:rsid wsp:val=&quot;00D33B36&quot;/&gt;&lt;wsp:rsid wsp:val=&quot;00D34000&quot;/&gt;&lt;wsp:rsid wsp:val=&quot;00D352E9&quot;/&gt;&lt;wsp:rsid wsp:val=&quot;00D364ED&quot;/&gt;&lt;wsp:rsid wsp:val=&quot;00D36667&quot;/&gt;&lt;wsp:rsid wsp:val=&quot;00D369E9&quot;/&gt;&lt;wsp:rsid wsp:val=&quot;00D3765B&quot;/&gt;&lt;wsp:rsid wsp:val=&quot;00D413CF&quot;/&gt;&lt;wsp:rsid wsp:val=&quot;00D41E54&quot;/&gt;&lt;wsp:rsid wsp:val=&quot;00D42F14&quot;/&gt;&lt;wsp:rsid wsp:val=&quot;00D44D43&quot;/&gt;&lt;wsp:rsid wsp:val=&quot;00D44EAB&quot;/&gt;&lt;wsp:rsid wsp:val=&quot;00D45A0B&quot;/&gt;&lt;wsp:rsid wsp:val=&quot;00D45CC8&quot;/&gt;&lt;wsp:rsid wsp:val=&quot;00D45DE3&quot;/&gt;&lt;wsp:rsid wsp:val=&quot;00D4615A&quot;/&gt;&lt;wsp:rsid wsp:val=&quot;00D46595&quot;/&gt;&lt;wsp:rsid wsp:val=&quot;00D4674E&quot;/&gt;&lt;wsp:rsid wsp:val=&quot;00D47871&quot;/&gt;&lt;wsp:rsid wsp:val=&quot;00D507E2&quot;/&gt;&lt;wsp:rsid wsp:val=&quot;00D51FED&quot;/&gt;&lt;wsp:rsid wsp:val=&quot;00D53111&quot;/&gt;&lt;wsp:rsid wsp:val=&quot;00D53EC7&quot;/&gt;&lt;wsp:rsid wsp:val=&quot;00D5424C&quot;/&gt;&lt;wsp:rsid wsp:val=&quot;00D557DD&quot;/&gt;&lt;wsp:rsid wsp:val=&quot;00D558B9&quot;/&gt;&lt;wsp:rsid wsp:val=&quot;00D55A57&quot;/&gt;&lt;wsp:rsid wsp:val=&quot;00D5626A&quot;/&gt;&lt;wsp:rsid wsp:val=&quot;00D56C95&quot;/&gt;&lt;wsp:rsid wsp:val=&quot;00D573CC&quot;/&gt;&lt;wsp:rsid wsp:val=&quot;00D57C7C&quot;/&gt;&lt;wsp:rsid wsp:val=&quot;00D607AD&quot;/&gt;&lt;wsp:rsid wsp:val=&quot;00D608D6&quot;/&gt;&lt;wsp:rsid wsp:val=&quot;00D60FC8&quot;/&gt;&lt;wsp:rsid wsp:val=&quot;00D6150F&quot;/&gt;&lt;wsp:rsid wsp:val=&quot;00D6254F&quot;/&gt;&lt;wsp:rsid wsp:val=&quot;00D62804&quot;/&gt;&lt;wsp:rsid wsp:val=&quot;00D62D54&quot;/&gt;&lt;wsp:rsid wsp:val=&quot;00D63971&quot;/&gt;&lt;wsp:rsid wsp:val=&quot;00D64C0E&quot;/&gt;&lt;wsp:rsid wsp:val=&quot;00D6629D&quot;/&gt;&lt;wsp:rsid wsp:val=&quot;00D6677F&quot;/&gt;&lt;wsp:rsid wsp:val=&quot;00D669DE&quot;/&gt;&lt;wsp:rsid wsp:val=&quot;00D66E62&quot;/&gt;&lt;wsp:rsid wsp:val=&quot;00D67252&quot;/&gt;&lt;wsp:rsid wsp:val=&quot;00D7043B&quot;/&gt;&lt;wsp:rsid wsp:val=&quot;00D7141D&quot;/&gt;&lt;wsp:rsid wsp:val=&quot;00D73539&quot;/&gt;&lt;wsp:rsid wsp:val=&quot;00D748C3&quot;/&gt;&lt;wsp:rsid wsp:val=&quot;00D76E14&quot;/&gt;&lt;wsp:rsid wsp:val=&quot;00D773C1&quot;/&gt;&lt;wsp:rsid wsp:val=&quot;00D77CB2&quot;/&gt;&lt;wsp:rsid wsp:val=&quot;00D8215C&quot;/&gt;&lt;wsp:rsid wsp:val=&quot;00D84BD5&quot;/&gt;&lt;wsp:rsid wsp:val=&quot;00D869DC&quot;/&gt;&lt;wsp:rsid wsp:val=&quot;00D86C7D&quot;/&gt;&lt;wsp:rsid wsp:val=&quot;00D872FD&quot;/&gt;&lt;wsp:rsid wsp:val=&quot;00D878A0&quot;/&gt;&lt;wsp:rsid wsp:val=&quot;00D9077C&quot;/&gt;&lt;wsp:rsid wsp:val=&quot;00D9099C&quot;/&gt;&lt;wsp:rsid wsp:val=&quot;00D91545&quot;/&gt;&lt;wsp:rsid wsp:val=&quot;00D91685&quot;/&gt;&lt;wsp:rsid wsp:val=&quot;00D91B78&quot;/&gt;&lt;wsp:rsid wsp:val=&quot;00D945E8&quot;/&gt;&lt;wsp:rsid wsp:val=&quot;00D947FF&quot;/&gt;&lt;wsp:rsid wsp:val=&quot;00D94BD4&quot;/&gt;&lt;wsp:rsid wsp:val=&quot;00D95361&quot;/&gt;&lt;wsp:rsid wsp:val=&quot;00D9601C&quot;/&gt;&lt;wsp:rsid wsp:val=&quot;00D96B02&quot;/&gt;&lt;wsp:rsid wsp:val=&quot;00D96CAE&quot;/&gt;&lt;wsp:rsid wsp:val=&quot;00D97467&quot;/&gt;&lt;wsp:rsid wsp:val=&quot;00D97557&quot;/&gt;&lt;wsp:rsid wsp:val=&quot;00DA1036&quot;/&gt;&lt;wsp:rsid wsp:val=&quot;00DA10BF&quot;/&gt;&lt;wsp:rsid wsp:val=&quot;00DA1144&quot;/&gt;&lt;wsp:rsid wsp:val=&quot;00DA11BD&quot;/&gt;&lt;wsp:rsid wsp:val=&quot;00DA1816&quot;/&gt;&lt;wsp:rsid wsp:val=&quot;00DA32C1&quot;/&gt;&lt;wsp:rsid wsp:val=&quot;00DA3439&quot;/&gt;&lt;wsp:rsid wsp:val=&quot;00DA4AA2&quot;/&gt;&lt;wsp:rsid wsp:val=&quot;00DA5055&quot;/&gt;&lt;wsp:rsid wsp:val=&quot;00DA57AB&quot;/&gt;&lt;wsp:rsid wsp:val=&quot;00DA6190&quot;/&gt;&lt;wsp:rsid wsp:val=&quot;00DA6F61&quot;/&gt;&lt;wsp:rsid wsp:val=&quot;00DA7235&quot;/&gt;&lt;wsp:rsid wsp:val=&quot;00DA7676&quot;/&gt;&lt;wsp:rsid wsp:val=&quot;00DA7C34&quot;/&gt;&lt;wsp:rsid wsp:val=&quot;00DB0AAD&quot;/&gt;&lt;wsp:rsid wsp:val=&quot;00DB0C5D&quot;/&gt;&lt;wsp:rsid wsp:val=&quot;00DB1287&quot;/&gt;&lt;wsp:rsid wsp:val=&quot;00DB1797&quot;/&gt;&lt;wsp:rsid wsp:val=&quot;00DB320C&quot;/&gt;&lt;wsp:rsid wsp:val=&quot;00DB39BD&quot;/&gt;&lt;wsp:rsid wsp:val=&quot;00DB5DB8&quot;/&gt;&lt;wsp:rsid wsp:val=&quot;00DB5EAD&quot;/&gt;&lt;wsp:rsid wsp:val=&quot;00DB65AE&quot;/&gt;&lt;wsp:rsid wsp:val=&quot;00DB76CB&quot;/&gt;&lt;wsp:rsid wsp:val=&quot;00DB788C&quot;/&gt;&lt;wsp:rsid wsp:val=&quot;00DC0B2D&quot;/&gt;&lt;wsp:rsid wsp:val=&quot;00DC0FA7&quot;/&gt;&lt;wsp:rsid wsp:val=&quot;00DC19B6&quot;/&gt;&lt;wsp:rsid wsp:val=&quot;00DC1C2E&quot;/&gt;&lt;wsp:rsid wsp:val=&quot;00DC1ED9&quot;/&gt;&lt;wsp:rsid wsp:val=&quot;00DC22D3&quot;/&gt;&lt;wsp:rsid wsp:val=&quot;00DC2507&quot;/&gt;&lt;wsp:rsid wsp:val=&quot;00DC2DFB&quot;/&gt;&lt;wsp:rsid wsp:val=&quot;00DC3235&quot;/&gt;&lt;wsp:rsid wsp:val=&quot;00DC48A8&quot;/&gt;&lt;wsp:rsid wsp:val=&quot;00DC546E&quot;/&gt;&lt;wsp:rsid wsp:val=&quot;00DC58B4&quot;/&gt;&lt;wsp:rsid wsp:val=&quot;00DC5A3B&quot;/&gt;&lt;wsp:rsid wsp:val=&quot;00DC6869&quot;/&gt;&lt;wsp:rsid wsp:val=&quot;00DD09C7&quot;/&gt;&lt;wsp:rsid wsp:val=&quot;00DD1C09&quot;/&gt;&lt;wsp:rsid wsp:val=&quot;00DD2D5C&quot;/&gt;&lt;wsp:rsid wsp:val=&quot;00DD2E44&quot;/&gt;&lt;wsp:rsid wsp:val=&quot;00DD39A7&quot;/&gt;&lt;wsp:rsid wsp:val=&quot;00DD5529&quot;/&gt;&lt;wsp:rsid wsp:val=&quot;00DD56C7&quot;/&gt;&lt;wsp:rsid wsp:val=&quot;00DD679D&quot;/&gt;&lt;wsp:rsid wsp:val=&quot;00DE0365&quot;/&gt;&lt;wsp:rsid wsp:val=&quot;00DE1715&quot;/&gt;&lt;wsp:rsid wsp:val=&quot;00DE1F81&quot;/&gt;&lt;wsp:rsid wsp:val=&quot;00DE2B8D&quot;/&gt;&lt;wsp:rsid wsp:val=&quot;00DE3273&quot;/&gt;&lt;wsp:rsid wsp:val=&quot;00DE3715&quot;/&gt;&lt;wsp:rsid wsp:val=&quot;00DE58C7&quot;/&gt;&lt;wsp:rsid wsp:val=&quot;00DE5DC8&quot;/&gt;&lt;wsp:rsid wsp:val=&quot;00DE7D91&quot;/&gt;&lt;wsp:rsid wsp:val=&quot;00DF047E&quot;/&gt;&lt;wsp:rsid wsp:val=&quot;00DF051F&quot;/&gt;&lt;wsp:rsid wsp:val=&quot;00DF0586&quot;/&gt;&lt;wsp:rsid wsp:val=&quot;00DF07BF&quot;/&gt;&lt;wsp:rsid wsp:val=&quot;00DF192E&quot;/&gt;&lt;wsp:rsid wsp:val=&quot;00DF3803&quot;/&gt;&lt;wsp:rsid wsp:val=&quot;00DF3937&quot;/&gt;&lt;wsp:rsid wsp:val=&quot;00DF4168&quot;/&gt;&lt;wsp:rsid wsp:val=&quot;00DF5015&quot;/&gt;&lt;wsp:rsid wsp:val=&quot;00DF6084&quot;/&gt;&lt;wsp:rsid wsp:val=&quot;00DF6B96&quot;/&gt;&lt;wsp:rsid wsp:val=&quot;00DF705B&quot;/&gt;&lt;wsp:rsid wsp:val=&quot;00DF79B9&quot;/&gt;&lt;wsp:rsid wsp:val=&quot;00E005AF&quot;/&gt;&lt;wsp:rsid wsp:val=&quot;00E04232&quot;/&gt;&lt;wsp:rsid wsp:val=&quot;00E045C3&quot;/&gt;&lt;wsp:rsid wsp:val=&quot;00E0473E&quot;/&gt;&lt;wsp:rsid wsp:val=&quot;00E047B1&quot;/&gt;&lt;wsp:rsid wsp:val=&quot;00E051C2&quot;/&gt;&lt;wsp:rsid wsp:val=&quot;00E0532D&quot;/&gt;&lt;wsp:rsid wsp:val=&quot;00E05D14&quot;/&gt;&lt;wsp:rsid wsp:val=&quot;00E06348&quot;/&gt;&lt;wsp:rsid wsp:val=&quot;00E07142&quot;/&gt;&lt;wsp:rsid wsp:val=&quot;00E07603&quot;/&gt;&lt;wsp:rsid wsp:val=&quot;00E105C7&quot;/&gt;&lt;wsp:rsid wsp:val=&quot;00E11928&quot;/&gt;&lt;wsp:rsid wsp:val=&quot;00E1242F&quot;/&gt;&lt;wsp:rsid wsp:val=&quot;00E13BFF&quot;/&gt;&lt;wsp:rsid wsp:val=&quot;00E13C16&quot;/&gt;&lt;wsp:rsid wsp:val=&quot;00E147F3&quot;/&gt;&lt;wsp:rsid wsp:val=&quot;00E160F5&quot;/&gt;&lt;wsp:rsid wsp:val=&quot;00E165B7&quot;/&gt;&lt;wsp:rsid wsp:val=&quot;00E1761C&quot;/&gt;&lt;wsp:rsid wsp:val=&quot;00E17779&quot;/&gt;&lt;wsp:rsid wsp:val=&quot;00E209E7&quot;/&gt;&lt;wsp:rsid wsp:val=&quot;00E212A0&quot;/&gt;&lt;wsp:rsid wsp:val=&quot;00E217CC&quot;/&gt;&lt;wsp:rsid wsp:val=&quot;00E21FAD&quot;/&gt;&lt;wsp:rsid wsp:val=&quot;00E22F8F&quot;/&gt;&lt;wsp:rsid wsp:val=&quot;00E2325C&quot;/&gt;&lt;wsp:rsid wsp:val=&quot;00E23AA0&quot;/&gt;&lt;wsp:rsid wsp:val=&quot;00E23B89&quot;/&gt;&lt;wsp:rsid wsp:val=&quot;00E244B0&quot;/&gt;&lt;wsp:rsid wsp:val=&quot;00E25BB1&quot;/&gt;&lt;wsp:rsid wsp:val=&quot;00E2619B&quot;/&gt;&lt;wsp:rsid wsp:val=&quot;00E267AB&quot;/&gt;&lt;wsp:rsid wsp:val=&quot;00E27C08&quot;/&gt;&lt;wsp:rsid wsp:val=&quot;00E30613&quot;/&gt;&lt;wsp:rsid wsp:val=&quot;00E31A5A&quot;/&gt;&lt;wsp:rsid wsp:val=&quot;00E31C1A&quot;/&gt;&lt;wsp:rsid wsp:val=&quot;00E326C9&quot;/&gt;&lt;wsp:rsid wsp:val=&quot;00E32CEA&quot;/&gt;&lt;wsp:rsid wsp:val=&quot;00E3311D&quot;/&gt;&lt;wsp:rsid wsp:val=&quot;00E33A60&quot;/&gt;&lt;wsp:rsid wsp:val=&quot;00E33BAC&quot;/&gt;&lt;wsp:rsid wsp:val=&quot;00E33F65&quot;/&gt;&lt;wsp:rsid wsp:val=&quot;00E35104&quot;/&gt;&lt;wsp:rsid wsp:val=&quot;00E35884&quot;/&gt;&lt;wsp:rsid wsp:val=&quot;00E36B24&quot;/&gt;&lt;wsp:rsid wsp:val=&quot;00E3755E&quot;/&gt;&lt;wsp:rsid wsp:val=&quot;00E37B1F&quot;/&gt;&lt;wsp:rsid wsp:val=&quot;00E37D2D&quot;/&gt;&lt;wsp:rsid wsp:val=&quot;00E401B0&quot;/&gt;&lt;wsp:rsid wsp:val=&quot;00E40B4F&quot;/&gt;&lt;wsp:rsid wsp:val=&quot;00E40DE7&quot;/&gt;&lt;wsp:rsid wsp:val=&quot;00E41664&quot;/&gt;&lt;wsp:rsid wsp:val=&quot;00E41BCD&quot;/&gt;&lt;wsp:rsid wsp:val=&quot;00E43FFA&quot;/&gt;&lt;wsp:rsid wsp:val=&quot;00E4425B&quot;/&gt;&lt;wsp:rsid wsp:val=&quot;00E45DC1&quot;/&gt;&lt;wsp:rsid wsp:val=&quot;00E45F39&quot;/&gt;&lt;wsp:rsid wsp:val=&quot;00E46BFB&quot;/&gt;&lt;wsp:rsid wsp:val=&quot;00E477D5&quot;/&gt;&lt;wsp:rsid wsp:val=&quot;00E47CD9&quot;/&gt;&lt;wsp:rsid wsp:val=&quot;00E50269&quot;/&gt;&lt;wsp:rsid wsp:val=&quot;00E511D2&quot;/&gt;&lt;wsp:rsid wsp:val=&quot;00E51D0C&quot;/&gt;&lt;wsp:rsid wsp:val=&quot;00E52328&quot;/&gt;&lt;wsp:rsid wsp:val=&quot;00E524E6&quot;/&gt;&lt;wsp:rsid wsp:val=&quot;00E535B4&quot;/&gt;&lt;wsp:rsid wsp:val=&quot;00E53A35&quot;/&gt;&lt;wsp:rsid wsp:val=&quot;00E53EDA&quot;/&gt;&lt;wsp:rsid wsp:val=&quot;00E542C5&quot;/&gt;&lt;wsp:rsid wsp:val=&quot;00E54494&quot;/&gt;&lt;wsp:rsid wsp:val=&quot;00E54CB5&quot;/&gt;&lt;wsp:rsid wsp:val=&quot;00E55039&quot;/&gt;&lt;wsp:rsid wsp:val=&quot;00E55156&quot;/&gt;&lt;wsp:rsid wsp:val=&quot;00E55CC8&quot;/&gt;&lt;wsp:rsid wsp:val=&quot;00E577A9&quot;/&gt;&lt;wsp:rsid wsp:val=&quot;00E60352&quot;/&gt;&lt;wsp:rsid wsp:val=&quot;00E616AF&quot;/&gt;&lt;wsp:rsid wsp:val=&quot;00E6245F&quot;/&gt;&lt;wsp:rsid wsp:val=&quot;00E6309C&quot;/&gt;&lt;wsp:rsid wsp:val=&quot;00E633A3&quot;/&gt;&lt;wsp:rsid wsp:val=&quot;00E643E6&quot;/&gt;&lt;wsp:rsid wsp:val=&quot;00E64649&quot;/&gt;&lt;wsp:rsid wsp:val=&quot;00E6665B&quot;/&gt;&lt;wsp:rsid wsp:val=&quot;00E67C09&quot;/&gt;&lt;wsp:rsid wsp:val=&quot;00E67D7D&quot;/&gt;&lt;wsp:rsid wsp:val=&quot;00E7028F&quot;/&gt;&lt;wsp:rsid wsp:val=&quot;00E704BD&quot;/&gt;&lt;wsp:rsid wsp:val=&quot;00E73187&quot;/&gt;&lt;wsp:rsid wsp:val=&quot;00E74789&quot;/&gt;&lt;wsp:rsid wsp:val=&quot;00E749A8&quot;/&gt;&lt;wsp:rsid wsp:val=&quot;00E76924&quot;/&gt;&lt;wsp:rsid wsp:val=&quot;00E76BBE&quot;/&gt;&lt;wsp:rsid wsp:val=&quot;00E771AB&quot;/&gt;&lt;wsp:rsid wsp:val=&quot;00E779F0&quot;/&gt;&lt;wsp:rsid wsp:val=&quot;00E80DEE&quot;/&gt;&lt;wsp:rsid wsp:val=&quot;00E81636&quot;/&gt;&lt;wsp:rsid wsp:val=&quot;00E819D8&quot;/&gt;&lt;wsp:rsid wsp:val=&quot;00E829A6&quot;/&gt;&lt;wsp:rsid wsp:val=&quot;00E82EFF&quot;/&gt;&lt;wsp:rsid wsp:val=&quot;00E830CD&quot;/&gt;&lt;wsp:rsid wsp:val=&quot;00E83233&quot;/&gt;&lt;wsp:rsid wsp:val=&quot;00E833FE&quot;/&gt;&lt;wsp:rsid wsp:val=&quot;00E846B2&quot;/&gt;&lt;wsp:rsid wsp:val=&quot;00E84C10&quot;/&gt;&lt;wsp:rsid wsp:val=&quot;00E856FC&quot;/&gt;&lt;wsp:rsid wsp:val=&quot;00E85CC9&quot;/&gt;&lt;wsp:rsid wsp:val=&quot;00E85CF8&quot;/&gt;&lt;wsp:rsid wsp:val=&quot;00E86242&quot;/&gt;&lt;wsp:rsid wsp:val=&quot;00E90126&quot;/&gt;&lt;wsp:rsid wsp:val=&quot;00E90BAE&quot;/&gt;&lt;wsp:rsid wsp:val=&quot;00E91D57&quot;/&gt;&lt;wsp:rsid wsp:val=&quot;00E93045&quot;/&gt;&lt;wsp:rsid wsp:val=&quot;00E94641&quot;/&gt;&lt;wsp:rsid wsp:val=&quot;00E94993&quot;/&gt;&lt;wsp:rsid wsp:val=&quot;00E9555B&quot;/&gt;&lt;wsp:rsid wsp:val=&quot;00E958BF&quot;/&gt;&lt;wsp:rsid wsp:val=&quot;00E96B35&quot;/&gt;&lt;wsp:rsid wsp:val=&quot;00E9700A&quot;/&gt;&lt;wsp:rsid wsp:val=&quot;00E97199&quot;/&gt;&lt;wsp:rsid wsp:val=&quot;00EA0E3F&quot;/&gt;&lt;wsp:rsid wsp:val=&quot;00EA1857&quot;/&gt;&lt;wsp:rsid wsp:val=&quot;00EA193E&quot;/&gt;&lt;wsp:rsid wsp:val=&quot;00EA2923&quot;/&gt;&lt;wsp:rsid wsp:val=&quot;00EA2DA0&quot;/&gt;&lt;wsp:rsid wsp:val=&quot;00EA36D4&quot;/&gt;&lt;wsp:rsid wsp:val=&quot;00EA4209&quot;/&gt;&lt;wsp:rsid wsp:val=&quot;00EA517B&quot;/&gt;&lt;wsp:rsid wsp:val=&quot;00EA63C7&quot;/&gt;&lt;wsp:rsid wsp:val=&quot;00EA7D48&quot;/&gt;&lt;wsp:rsid wsp:val=&quot;00EA7D90&quot;/&gt;&lt;wsp:rsid wsp:val=&quot;00EB0272&quot;/&gt;&lt;wsp:rsid wsp:val=&quot;00EB0342&quot;/&gt;&lt;wsp:rsid wsp:val=&quot;00EB03C3&quot;/&gt;&lt;wsp:rsid wsp:val=&quot;00EB07A4&quot;/&gt;&lt;wsp:rsid wsp:val=&quot;00EB1130&quot;/&gt;&lt;wsp:rsid wsp:val=&quot;00EB1F12&quot;/&gt;&lt;wsp:rsid wsp:val=&quot;00EB220C&quot;/&gt;&lt;wsp:rsid wsp:val=&quot;00EB2525&quot;/&gt;&lt;wsp:rsid wsp:val=&quot;00EB3193&quot;/&gt;&lt;wsp:rsid wsp:val=&quot;00EB3369&quot;/&gt;&lt;wsp:rsid wsp:val=&quot;00EB41A6&quot;/&gt;&lt;wsp:rsid wsp:val=&quot;00EB4886&quot;/&gt;&lt;wsp:rsid wsp:val=&quot;00EB4F10&quot;/&gt;&lt;wsp:rsid wsp:val=&quot;00EB53AA&quot;/&gt;&lt;wsp:rsid wsp:val=&quot;00EB598A&quot;/&gt;&lt;wsp:rsid wsp:val=&quot;00EB6198&quot;/&gt;&lt;wsp:rsid wsp:val=&quot;00EC0396&quot;/&gt;&lt;wsp:rsid wsp:val=&quot;00EC0785&quot;/&gt;&lt;wsp:rsid wsp:val=&quot;00EC10FF&quot;/&gt;&lt;wsp:rsid wsp:val=&quot;00EC1407&quot;/&gt;&lt;wsp:rsid wsp:val=&quot;00EC15F6&quot;/&gt;&lt;wsp:rsid wsp:val=&quot;00EC2CEE&quot;/&gt;&lt;wsp:rsid wsp:val=&quot;00EC3838&quot;/&gt;&lt;wsp:rsid wsp:val=&quot;00EC3EC5&quot;/&gt;&lt;wsp:rsid wsp:val=&quot;00EC3F5C&quot;/&gt;&lt;wsp:rsid wsp:val=&quot;00EC4197&quot;/&gt;&lt;wsp:rsid wsp:val=&quot;00EC43D5&quot;/&gt;&lt;wsp:rsid wsp:val=&quot;00EC4563&quot;/&gt;&lt;wsp:rsid wsp:val=&quot;00EC64A2&quot;/&gt;&lt;wsp:rsid wsp:val=&quot;00EC6767&quot;/&gt;&lt;wsp:rsid wsp:val=&quot;00EC6B92&quot;/&gt;&lt;wsp:rsid wsp:val=&quot;00ED0536&quot;/&gt;&lt;wsp:rsid wsp:val=&quot;00ED142E&quot;/&gt;&lt;wsp:rsid wsp:val=&quot;00ED243E&quot;/&gt;&lt;wsp:rsid wsp:val=&quot;00ED3685&quot;/&gt;&lt;wsp:rsid wsp:val=&quot;00ED36A3&quot;/&gt;&lt;wsp:rsid wsp:val=&quot;00ED39C6&quot;/&gt;&lt;wsp:rsid wsp:val=&quot;00ED4A7A&quot;/&gt;&lt;wsp:rsid wsp:val=&quot;00ED4F85&quot;/&gt;&lt;wsp:rsid wsp:val=&quot;00ED5987&quot;/&gt;&lt;wsp:rsid wsp:val=&quot;00ED7F24&quot;/&gt;&lt;wsp:rsid wsp:val=&quot;00EE05C2&quot;/&gt;&lt;wsp:rsid wsp:val=&quot;00EE088C&quot;/&gt;&lt;wsp:rsid wsp:val=&quot;00EE0EB9&quot;/&gt;&lt;wsp:rsid wsp:val=&quot;00EE14CE&quot;/&gt;&lt;wsp:rsid wsp:val=&quot;00EE2443&quot;/&gt;&lt;wsp:rsid wsp:val=&quot;00EE29C0&quot;/&gt;&lt;wsp:rsid wsp:val=&quot;00EE2B52&quot;/&gt;&lt;wsp:rsid wsp:val=&quot;00EE4C36&quot;/&gt;&lt;wsp:rsid wsp:val=&quot;00EE4C3F&quot;/&gt;&lt;wsp:rsid wsp:val=&quot;00EE5823&quot;/&gt;&lt;wsp:rsid wsp:val=&quot;00EE63E0&quot;/&gt;&lt;wsp:rsid wsp:val=&quot;00EF08E1&quot;/&gt;&lt;wsp:rsid wsp:val=&quot;00EF181A&quot;/&gt;&lt;wsp:rsid wsp:val=&quot;00EF19F1&quot;/&gt;&lt;wsp:rsid wsp:val=&quot;00EF1C6F&quot;/&gt;&lt;wsp:rsid wsp:val=&quot;00EF26EF&quot;/&gt;&lt;wsp:rsid wsp:val=&quot;00EF402D&quot;/&gt;&lt;wsp:rsid wsp:val=&quot;00EF4B6D&quot;/&gt;&lt;wsp:rsid wsp:val=&quot;00EF500B&quot;/&gt;&lt;wsp:rsid wsp:val=&quot;00EF6913&quot;/&gt;&lt;wsp:rsid wsp:val=&quot;00EF696D&quot;/&gt;&lt;wsp:rsid wsp:val=&quot;00EF6AE6&quot;/&gt;&lt;wsp:rsid wsp:val=&quot;00EF6D58&quot;/&gt;&lt;wsp:rsid wsp:val=&quot;00EF7F6C&quot;/&gt;&lt;wsp:rsid wsp:val=&quot;00F01D2D&quot;/&gt;&lt;wsp:rsid wsp:val=&quot;00F020BA&quot;/&gt;&lt;wsp:rsid wsp:val=&quot;00F02203&quot;/&gt;&lt;wsp:rsid wsp:val=&quot;00F025CA&quot;/&gt;&lt;wsp:rsid wsp:val=&quot;00F05A56&quot;/&gt;&lt;wsp:rsid wsp:val=&quot;00F05B9C&quot;/&gt;&lt;wsp:rsid wsp:val=&quot;00F067A5&quot;/&gt;&lt;wsp:rsid wsp:val=&quot;00F069D0&quot;/&gt;&lt;wsp:rsid wsp:val=&quot;00F0712C&quot;/&gt;&lt;wsp:rsid wsp:val=&quot;00F079CE&quot;/&gt;&lt;wsp:rsid wsp:val=&quot;00F079FE&quot;/&gt;&lt;wsp:rsid wsp:val=&quot;00F104D6&quot;/&gt;&lt;wsp:rsid wsp:val=&quot;00F112BB&quot;/&gt;&lt;wsp:rsid wsp:val=&quot;00F1162A&quot;/&gt;&lt;wsp:rsid wsp:val=&quot;00F11F49&quot;/&gt;&lt;wsp:rsid wsp:val=&quot;00F12151&quot;/&gt;&lt;wsp:rsid wsp:val=&quot;00F13341&quot;/&gt;&lt;wsp:rsid wsp:val=&quot;00F13656&quot;/&gt;&lt;wsp:rsid wsp:val=&quot;00F137CC&quot;/&gt;&lt;wsp:rsid wsp:val=&quot;00F140F0&quot;/&gt;&lt;wsp:rsid wsp:val=&quot;00F14ADA&quot;/&gt;&lt;wsp:rsid wsp:val=&quot;00F14DE7&quot;/&gt;&lt;wsp:rsid wsp:val=&quot;00F15056&quot;/&gt;&lt;wsp:rsid wsp:val=&quot;00F1665E&quot;/&gt;&lt;wsp:rsid wsp:val=&quot;00F16696&quot;/&gt;&lt;wsp:rsid wsp:val=&quot;00F17D18&quot;/&gt;&lt;wsp:rsid wsp:val=&quot;00F20A5D&quot;/&gt;&lt;wsp:rsid wsp:val=&quot;00F20E3F&quot;/&gt;&lt;wsp:rsid wsp:val=&quot;00F21912&quot;/&gt;&lt;wsp:rsid wsp:val=&quot;00F21F21&quot;/&gt;&lt;wsp:rsid wsp:val=&quot;00F2212E&quot;/&gt;&lt;wsp:rsid wsp:val=&quot;00F22659&quot;/&gt;&lt;wsp:rsid wsp:val=&quot;00F22830&quot;/&gt;&lt;wsp:rsid wsp:val=&quot;00F2324D&quot;/&gt;&lt;wsp:rsid wsp:val=&quot;00F23CB9&quot;/&gt;&lt;wsp:rsid wsp:val=&quot;00F23DF5&quot;/&gt;&lt;wsp:rsid wsp:val=&quot;00F2430C&quot;/&gt;&lt;wsp:rsid wsp:val=&quot;00F246D0&quot;/&gt;&lt;wsp:rsid wsp:val=&quot;00F251BD&quot;/&gt;&lt;wsp:rsid wsp:val=&quot;00F26155&quot;/&gt;&lt;wsp:rsid wsp:val=&quot;00F263C6&quot;/&gt;&lt;wsp:rsid wsp:val=&quot;00F30197&quot;/&gt;&lt;wsp:rsid wsp:val=&quot;00F3313D&quot;/&gt;&lt;wsp:rsid wsp:val=&quot;00F3469A&quot;/&gt;&lt;wsp:rsid wsp:val=&quot;00F3473D&quot;/&gt;&lt;wsp:rsid wsp:val=&quot;00F34AA1&quot;/&gt;&lt;wsp:rsid wsp:val=&quot;00F35111&quot;/&gt;&lt;wsp:rsid wsp:val=&quot;00F35F7D&quot;/&gt;&lt;wsp:rsid wsp:val=&quot;00F36448&quot;/&gt;&lt;wsp:rsid wsp:val=&quot;00F36B5C&quot;/&gt;&lt;wsp:rsid wsp:val=&quot;00F3704E&quot;/&gt;&lt;wsp:rsid wsp:val=&quot;00F40113&quot;/&gt;&lt;wsp:rsid wsp:val=&quot;00F40477&quot;/&gt;&lt;wsp:rsid wsp:val=&quot;00F40BF7&quot;/&gt;&lt;wsp:rsid wsp:val=&quot;00F40CF2&quot;/&gt;&lt;wsp:rsid wsp:val=&quot;00F40FBA&quot;/&gt;&lt;wsp:rsid wsp:val=&quot;00F41D3E&quot;/&gt;&lt;wsp:rsid wsp:val=&quot;00F43088&quot;/&gt;&lt;wsp:rsid wsp:val=&quot;00F44620&quot;/&gt;&lt;wsp:rsid wsp:val=&quot;00F44850&quot;/&gt;&lt;wsp:rsid wsp:val=&quot;00F45037&quot;/&gt;&lt;wsp:rsid wsp:val=&quot;00F456EA&quot;/&gt;&lt;wsp:rsid wsp:val=&quot;00F45FB8&quot;/&gt;&lt;wsp:rsid wsp:val=&quot;00F46268&quot;/&gt;&lt;wsp:rsid wsp:val=&quot;00F4723B&quot;/&gt;&lt;wsp:rsid wsp:val=&quot;00F475D7&quot;/&gt;&lt;wsp:rsid wsp:val=&quot;00F504D5&quot;/&gt;&lt;wsp:rsid wsp:val=&quot;00F50726&quot;/&gt;&lt;wsp:rsid wsp:val=&quot;00F50C88&quot;/&gt;&lt;wsp:rsid wsp:val=&quot;00F51136&quot;/&gt;&lt;wsp:rsid wsp:val=&quot;00F517E7&quot;/&gt;&lt;wsp:rsid wsp:val=&quot;00F51B68&quot;/&gt;&lt;wsp:rsid wsp:val=&quot;00F51CD0&quot;/&gt;&lt;wsp:rsid wsp:val=&quot;00F5209B&quot;/&gt;&lt;wsp:rsid wsp:val=&quot;00F5234D&quot;/&gt;&lt;wsp:rsid wsp:val=&quot;00F52A4C&quot;/&gt;&lt;wsp:rsid wsp:val=&quot;00F53384&quot;/&gt;&lt;wsp:rsid wsp:val=&quot;00F53ADD&quot;/&gt;&lt;wsp:rsid wsp:val=&quot;00F54197&quot;/&gt;&lt;wsp:rsid wsp:val=&quot;00F541B9&quot;/&gt;&lt;wsp:rsid wsp:val=&quot;00F54A29&quot;/&gt;&lt;wsp:rsid wsp:val=&quot;00F554DE&quot;/&gt;&lt;wsp:rsid wsp:val=&quot;00F56C9C&quot;/&gt;&lt;wsp:rsid wsp:val=&quot;00F5753C&quot;/&gt;&lt;wsp:rsid wsp:val=&quot;00F57F6D&quot;/&gt;&lt;wsp:rsid wsp:val=&quot;00F60A9F&quot;/&gt;&lt;wsp:rsid wsp:val=&quot;00F60CFE&quot;/&gt;&lt;wsp:rsid wsp:val=&quot;00F613A1&quot;/&gt;&lt;wsp:rsid wsp:val=&quot;00F6210B&quot;/&gt;&lt;wsp:rsid wsp:val=&quot;00F627CC&quot;/&gt;&lt;wsp:rsid wsp:val=&quot;00F6281A&quot;/&gt;&lt;wsp:rsid wsp:val=&quot;00F62B74&quot;/&gt;&lt;wsp:rsid wsp:val=&quot;00F63BC1&quot;/&gt;&lt;wsp:rsid wsp:val=&quot;00F64143&quot;/&gt;&lt;wsp:rsid wsp:val=&quot;00F6479C&quot;/&gt;&lt;wsp:rsid wsp:val=&quot;00F65C21&quot;/&gt;&lt;wsp:rsid wsp:val=&quot;00F66664&quot;/&gt;&lt;wsp:rsid wsp:val=&quot;00F66761&quot;/&gt;&lt;wsp:rsid wsp:val=&quot;00F66D01&quot;/&gt;&lt;wsp:rsid wsp:val=&quot;00F671E2&quot;/&gt;&lt;wsp:rsid wsp:val=&quot;00F67C09&quot;/&gt;&lt;wsp:rsid wsp:val=&quot;00F67E22&quot;/&gt;&lt;wsp:rsid wsp:val=&quot;00F70B71&quot;/&gt;&lt;wsp:rsid wsp:val=&quot;00F711F1&quot;/&gt;&lt;wsp:rsid wsp:val=&quot;00F71EA4&quot;/&gt;&lt;wsp:rsid wsp:val=&quot;00F72525&quot;/&gt;&lt;wsp:rsid wsp:val=&quot;00F72D06&quot;/&gt;&lt;wsp:rsid wsp:val=&quot;00F74C0D&quot;/&gt;&lt;wsp:rsid wsp:val=&quot;00F752D4&quot;/&gt;&lt;wsp:rsid wsp:val=&quot;00F75427&quot;/&gt;&lt;wsp:rsid wsp:val=&quot;00F76426&quot;/&gt;&lt;wsp:rsid wsp:val=&quot;00F7716D&quot;/&gt;&lt;wsp:rsid wsp:val=&quot;00F81164&quot;/&gt;&lt;wsp:rsid wsp:val=&quot;00F82E4E&quot;/&gt;&lt;wsp:rsid wsp:val=&quot;00F8356F&quot;/&gt;&lt;wsp:rsid wsp:val=&quot;00F8372B&quot;/&gt;&lt;wsp:rsid wsp:val=&quot;00F8421E&quot;/&gt;&lt;wsp:rsid wsp:val=&quot;00F84A7B&quot;/&gt;&lt;wsp:rsid wsp:val=&quot;00F84B6A&quot;/&gt;&lt;wsp:rsid wsp:val=&quot;00F8546E&quot;/&gt;&lt;wsp:rsid wsp:val=&quot;00F858E1&quot;/&gt;&lt;wsp:rsid wsp:val=&quot;00F85DCB&quot;/&gt;&lt;wsp:rsid wsp:val=&quot;00F86FF9&quot;/&gt;&lt;wsp:rsid wsp:val=&quot;00F87206&quot;/&gt;&lt;wsp:rsid wsp:val=&quot;00F906B7&quot;/&gt;&lt;wsp:rsid wsp:val=&quot;00F9116A&quot;/&gt;&lt;wsp:rsid wsp:val=&quot;00F91AC4&quot;/&gt;&lt;wsp:rsid wsp:val=&quot;00F923EB&quot;/&gt;&lt;wsp:rsid wsp:val=&quot;00F936C1&quot;/&gt;&lt;wsp:rsid wsp:val=&quot;00F93DC2&quot;/&gt;&lt;wsp:rsid wsp:val=&quot;00F93F81&quot;/&gt;&lt;wsp:rsid wsp:val=&quot;00F9592F&quot;/&gt;&lt;wsp:rsid wsp:val=&quot;00F96FAB&quot;/&gt;&lt;wsp:rsid wsp:val=&quot;00F9701A&quot;/&gt;&lt;wsp:rsid wsp:val=&quot;00F97A56&quot;/&gt;&lt;wsp:rsid wsp:val=&quot;00FA047D&quot;/&gt;&lt;wsp:rsid wsp:val=&quot;00FA1063&quot;/&gt;&lt;wsp:rsid wsp:val=&quot;00FA1461&quot;/&gt;&lt;wsp:rsid wsp:val=&quot;00FA1697&quot;/&gt;&lt;wsp:rsid wsp:val=&quot;00FA171D&quot;/&gt;&lt;wsp:rsid wsp:val=&quot;00FA17BE&quot;/&gt;&lt;wsp:rsid wsp:val=&quot;00FA1A2F&quot;/&gt;&lt;wsp:rsid wsp:val=&quot;00FA3379&quot;/&gt;&lt;wsp:rsid wsp:val=&quot;00FA3A94&quot;/&gt;&lt;wsp:rsid wsp:val=&quot;00FA3C3F&quot;/&gt;&lt;wsp:rsid wsp:val=&quot;00FA5AAE&quot;/&gt;&lt;wsp:rsid wsp:val=&quot;00FA5D8F&quot;/&gt;&lt;wsp:rsid wsp:val=&quot;00FA7D2E&quot;/&gt;&lt;wsp:rsid wsp:val=&quot;00FB09E1&quot;/&gt;&lt;wsp:rsid wsp:val=&quot;00FB158E&quot;/&gt;&lt;wsp:rsid wsp:val=&quot;00FB1CF9&quot;/&gt;&lt;wsp:rsid wsp:val=&quot;00FB20B1&quot;/&gt;&lt;wsp:rsid wsp:val=&quot;00FB23C1&quot;/&gt;&lt;wsp:rsid wsp:val=&quot;00FB4AFF&quot;/&gt;&lt;wsp:rsid wsp:val=&quot;00FB5576&quot;/&gt;&lt;wsp:rsid wsp:val=&quot;00FB56CF&quot;/&gt;&lt;wsp:rsid wsp:val=&quot;00FB636D&quot;/&gt;&lt;wsp:rsid wsp:val=&quot;00FB6629&quot;/&gt;&lt;wsp:rsid wsp:val=&quot;00FB6CFB&quot;/&gt;&lt;wsp:rsid wsp:val=&quot;00FB7945&quot;/&gt;&lt;wsp:rsid wsp:val=&quot;00FC0D58&quot;/&gt;&lt;wsp:rsid wsp:val=&quot;00FC12B0&quot;/&gt;&lt;wsp:rsid wsp:val=&quot;00FC27AA&quot;/&gt;&lt;wsp:rsid wsp:val=&quot;00FC2CE6&quot;/&gt;&lt;wsp:rsid wsp:val=&quot;00FC31B7&quot;/&gt;&lt;wsp:rsid wsp:val=&quot;00FC325F&quot;/&gt;&lt;wsp:rsid wsp:val=&quot;00FC3E54&quot;/&gt;&lt;wsp:rsid wsp:val=&quot;00FC4370&quot;/&gt;&lt;wsp:rsid wsp:val=&quot;00FC4E1E&quot;/&gt;&lt;wsp:rsid wsp:val=&quot;00FC5E51&quot;/&gt;&lt;wsp:rsid wsp:val=&quot;00FC70FB&quot;/&gt;&lt;wsp:rsid wsp:val=&quot;00FD0180&quot;/&gt;&lt;wsp:rsid wsp:val=&quot;00FD1482&quot;/&gt;&lt;wsp:rsid wsp:val=&quot;00FD171C&quot;/&gt;&lt;wsp:rsid wsp:val=&quot;00FD1B97&quot;/&gt;&lt;wsp:rsid wsp:val=&quot;00FD3507&quot;/&gt;&lt;wsp:rsid wsp:val=&quot;00FD3EBE&quot;/&gt;&lt;wsp:rsid wsp:val=&quot;00FD3F04&quot;/&gt;&lt;wsp:rsid wsp:val=&quot;00FD4604&quot;/&gt;&lt;wsp:rsid wsp:val=&quot;00FD6BD6&quot;/&gt;&lt;wsp:rsid wsp:val=&quot;00FD7C07&quot;/&gt;&lt;wsp:rsid wsp:val=&quot;00FE05F7&quot;/&gt;&lt;wsp:rsid wsp:val=&quot;00FE06AB&quot;/&gt;&lt;wsp:rsid wsp:val=&quot;00FE261C&quot;/&gt;&lt;wsp:rsid wsp:val=&quot;00FE3151&quot;/&gt;&lt;wsp:rsid wsp:val=&quot;00FE333D&quot;/&gt;&lt;wsp:rsid wsp:val=&quot;00FE36C3&quot;/&gt;&lt;wsp:rsid wsp:val=&quot;00FE44F0&quot;/&gt;&lt;wsp:rsid wsp:val=&quot;00FE5DAC&quot;/&gt;&lt;wsp:rsid wsp:val=&quot;00FE60B9&quot;/&gt;&lt;wsp:rsid wsp:val=&quot;00FE6FB2&quot;/&gt;&lt;wsp:rsid wsp:val=&quot;00FE76E0&quot;/&gt;&lt;wsp:rsid wsp:val=&quot;00FF046C&quot;/&gt;&lt;wsp:rsid wsp:val=&quot;00FF07B8&quot;/&gt;&lt;wsp:rsid wsp:val=&quot;00FF0B63&quot;/&gt;&lt;wsp:rsid wsp:val=&quot;00FF0DEB&quot;/&gt;&lt;wsp:rsid wsp:val=&quot;00FF21EB&quot;/&gt;&lt;wsp:rsid wsp:val=&quot;00FF2E08&quot;/&gt;&lt;wsp:rsid wsp:val=&quot;00FF37A1&quot;/&gt;&lt;wsp:rsid wsp:val=&quot;00FF4661&quot;/&gt;&lt;wsp:rsid wsp:val=&quot;00FF4C34&quot;/&gt;&lt;wsp:rsid wsp:val=&quot;00FF4F75&quot;/&gt;&lt;wsp:rsid wsp:val=&quot;00FF5E04&quot;/&gt;&lt;wsp:rsid wsp:val=&quot;00FF6515&quot;/&gt;&lt;wsp:rsid wsp:val=&quot;00FF669D&quot;/&gt;&lt;wsp:rsid wsp:val=&quot;00FF6979&quot;/&gt;&lt;wsp:rsid wsp:val=&quot;00FF7011&quot;/&gt;&lt;wsp:rsid wsp:val=&quot;00FF7723&quot;/&gt;&lt;wsp:rsid wsp:val=&quot;00FF79DE&quot;/&gt;&lt;wsp:rsid wsp:val=&quot;0471177E&quot;/&gt;&lt;wsp:rsid wsp:val=&quot;05E3020F&quot;/&gt;&lt;wsp:rsid wsp:val=&quot;08724604&quot;/&gt;&lt;wsp:rsid wsp:val=&quot;0C1803E3&quot;/&gt;&lt;wsp:rsid wsp:val=&quot;0C990E7C&quot;/&gt;&lt;wsp:rsid wsp:val=&quot;0CAD7F05&quot;/&gt;&lt;wsp:rsid wsp:val=&quot;11873A80&quot;/&gt;&lt;wsp:rsid wsp:val=&quot;17BC422F&quot;/&gt;&lt;wsp:rsid wsp:val=&quot;18E707A5&quot;/&gt;&lt;wsp:rsid wsp:val=&quot;1A433BB2&quot;/&gt;&lt;wsp:rsid wsp:val=&quot;23D3070A&quot;/&gt;&lt;wsp:rsid wsp:val=&quot;25350811&quot;/&gt;&lt;wsp:rsid wsp:val=&quot;289B1E8D&quot;/&gt;&lt;wsp:rsid wsp:val=&quot;2E6F0B8E&quot;/&gt;&lt;wsp:rsid wsp:val=&quot;304D5659&quot;/&gt;&lt;wsp:rsid wsp:val=&quot;317F025F&quot;/&gt;&lt;wsp:rsid wsp:val=&quot;368D0334&quot;/&gt;&lt;wsp:rsid wsp:val=&quot;40055E36&quot;/&gt;&lt;wsp:rsid wsp:val=&quot;40CE4415&quot;/&gt;&lt;wsp:rsid wsp:val=&quot;46A25A7F&quot;/&gt;&lt;wsp:rsid wsp:val=&quot;485A4EA6&quot;/&gt;&lt;wsp:rsid wsp:val=&quot;49CB60E5&quot;/&gt;&lt;wsp:rsid wsp:val=&quot;546859EB&quot;/&gt;&lt;wsp:rsid wsp:val=&quot;58D46D47&quot;/&gt;&lt;wsp:rsid wsp:val=&quot;5CD44510&quot;/&gt;&lt;wsp:rsid wsp:val=&quot;5D4516CB&quot;/&gt;&lt;wsp:rsid wsp:val=&quot;5D860F6B&quot;/&gt;&lt;wsp:rsid wsp:val=&quot;68B430FC&quot;/&gt;&lt;wsp:rsid wsp:val=&quot;6A2A4C91&quot;/&gt;&lt;wsp:rsid wsp:val=&quot;715012E2&quot;/&gt;&lt;wsp:rsid wsp:val=&quot;71DF487E&quot;/&gt;&lt;wsp:rsid wsp:val=&quot;735343C5&quot;/&gt;&lt;wsp:rsid wsp:val=&quot;78F91B53&quot;/&gt;&lt;wsp:rsid wsp:val=&quot;7C64631E&quot;/&gt;&lt;wsp:rsid wsp:val=&quot;7D423CE2&quot;/&gt;&lt;/wsp:rsids&gt;&lt;/w:docPr&gt;&lt;w:body&gt;&lt;wx:sect&gt;&lt;w:p wsp:rsidR=&quot;00000000&quot; wsp:rsidRDefault=&quot;00F67C09&quot; wsp:rsidP=&quot;00F67C09&quot;&gt;&lt;m:oMathPara&gt;&lt;m:oMath&gt;&lt;m:sSup&gt;&lt;m:sSupPr&gt;&lt;m:ctrlPr&gt;&lt;w:rPr&gt;&lt;w:rFonts w:ascii=&quot;Cambria Math&quot; w:h-ansi=&quot;Cambria Math&quot;/&gt;&lt;wx:font wx:val=&quot;Cambria Math&quot;/&gt;&lt;/w:rPr&gt;&lt;/m:ctrlPr&gt;&lt;/m:sSupPr&gt;&lt;m:e&gt;&lt;m:r&gt;&lt;w:rPr&gt;&lt;w:rFonts w:ascii=&quot;Cambria Math&quot; w:h-ansi=&quot;Cambria Math&quot;/&gt;&lt;wx:font wx:val=&quot;Cambria Math&quot;/&gt;&lt;w:i/&gt;&lt;/w:rPr&gt;&lt;m:t&gt;u&lt;/m:t&gt;&lt;/m:r&gt;&lt;/m:e&gt;&lt;m:sup&gt;&lt;m:r&gt;&lt;w:rPr&gt;&lt;w:rFonts w:ascii=&quot;Cambria Math&quot; w:h-ansi=&quot;Cambria Math&quot;/&gt;&lt;wx:font wx:val=&quot;Cambria Math&quot;/&gt;&lt;w:i/&gt;&lt;/w:rPr&gt;&lt;m:t&gt;*&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22" chromakey="#FFFFFF" o:title=""/>
                  <o:lock v:ext="edit" aspectratio="t"/>
                  <w10:wrap type="none"/>
                  <w10:anchorlock/>
                </v:shape>
              </w:pict>
            </w:r>
            <w:r>
              <w:rPr>
                <w:rFonts w:hint="default" w:ascii="Times New Roman" w:hAnsi="Times New Roman" w:eastAsia="宋体" w:cs="Times New Roman"/>
                <w:color w:val="auto"/>
                <w:sz w:val="24"/>
                <w:szCs w:val="24"/>
                <w:highlight w:val="none"/>
              </w:rPr>
              <w:instrText xml:space="preserve">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position w:val="-8"/>
                <w:sz w:val="24"/>
                <w:szCs w:val="24"/>
                <w:highlight w:val="none"/>
              </w:rPr>
              <w:pict>
                <v:shape id="_x0000_i1028" o:spt="75" type="#_x0000_t75" style="height:15.75pt;width:10.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94&quot;/&gt;&lt;w:displayBackgroundShape/&gt;&lt;w:doNotEmbedSystemFonts/&gt;&lt;w:bordersDontSurroundHeader/&gt;&lt;w:bordersDontSurroundFooter/&gt;&lt;w:hideSpellingErrors/&gt;&lt;w:defaultTabStop w:val=&quot;420&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82A5A&quot;/&gt;&lt;wsp:rsid wsp:val=&quot;00000D02&quot;/&gt;&lt;wsp:rsid wsp:val=&quot;00000F90&quot;/&gt;&lt;wsp:rsid wsp:val=&quot;00002DD6&quot;/&gt;&lt;wsp:rsid wsp:val=&quot;00003C3B&quot;/&gt;&lt;wsp:rsid wsp:val=&quot;00004137&quot;/&gt;&lt;wsp:rsid wsp:val=&quot;00004407&quot;/&gt;&lt;wsp:rsid wsp:val=&quot;000048CB&quot;/&gt;&lt;wsp:rsid wsp:val=&quot;00004FFF&quot;/&gt;&lt;wsp:rsid wsp:val=&quot;000052ED&quot;/&gt;&lt;wsp:rsid wsp:val=&quot;000068EA&quot;/&gt;&lt;wsp:rsid wsp:val=&quot;000079C0&quot;/&gt;&lt;wsp:rsid wsp:val=&quot;00010579&quot;/&gt;&lt;wsp:rsid wsp:val=&quot;000108D9&quot;/&gt;&lt;wsp:rsid wsp:val=&quot;00011409&quot;/&gt;&lt;wsp:rsid wsp:val=&quot;0001296A&quot;/&gt;&lt;wsp:rsid wsp:val=&quot;00014275&quot;/&gt;&lt;wsp:rsid wsp:val=&quot;00014351&quot;/&gt;&lt;wsp:rsid wsp:val=&quot;0001449A&quot;/&gt;&lt;wsp:rsid wsp:val=&quot;00015DD0&quot;/&gt;&lt;wsp:rsid wsp:val=&quot;0001650C&quot;/&gt;&lt;wsp:rsid wsp:val=&quot;00017297&quot;/&gt;&lt;wsp:rsid wsp:val=&quot;00017B9C&quot;/&gt;&lt;wsp:rsid wsp:val=&quot;000205C8&quot;/&gt;&lt;wsp:rsid wsp:val=&quot;000235A3&quot;/&gt;&lt;wsp:rsid wsp:val=&quot;00023D8F&quot;/&gt;&lt;wsp:rsid wsp:val=&quot;0002422E&quot;/&gt;&lt;wsp:rsid wsp:val=&quot;000243AF&quot;/&gt;&lt;wsp:rsid wsp:val=&quot;00024BAD&quot;/&gt;&lt;wsp:rsid wsp:val=&quot;00025526&quot;/&gt;&lt;wsp:rsid wsp:val=&quot;0002623A&quot;/&gt;&lt;wsp:rsid wsp:val=&quot;000262D7&quot;/&gt;&lt;wsp:rsid wsp:val=&quot;0002637C&quot;/&gt;&lt;wsp:rsid wsp:val=&quot;0002690B&quot;/&gt;&lt;wsp:rsid wsp:val=&quot;00026B3C&quot;/&gt;&lt;wsp:rsid wsp:val=&quot;0002708F&quot;/&gt;&lt;wsp:rsid wsp:val=&quot;0003165E&quot;/&gt;&lt;wsp:rsid wsp:val=&quot;0003172F&quot;/&gt;&lt;wsp:rsid wsp:val=&quot;0003188D&quot;/&gt;&lt;wsp:rsid wsp:val=&quot;00031D66&quot;/&gt;&lt;wsp:rsid wsp:val=&quot;00031F5A&quot;/&gt;&lt;wsp:rsid wsp:val=&quot;000333B7&quot;/&gt;&lt;wsp:rsid wsp:val=&quot;00034880&quot;/&gt;&lt;wsp:rsid wsp:val=&quot;00034881&quot;/&gt;&lt;wsp:rsid wsp:val=&quot;000355F3&quot;/&gt;&lt;wsp:rsid wsp:val=&quot;0003581E&quot;/&gt;&lt;wsp:rsid wsp:val=&quot;000363A7&quot;/&gt;&lt;wsp:rsid wsp:val=&quot;000368BC&quot;/&gt;&lt;wsp:rsid wsp:val=&quot;000370F0&quot;/&gt;&lt;wsp:rsid wsp:val=&quot;00037309&quot;/&gt;&lt;wsp:rsid wsp:val=&quot;00037E96&quot;/&gt;&lt;wsp:rsid wsp:val=&quot;000400F4&quot;/&gt;&lt;wsp:rsid wsp:val=&quot;000407EF&quot;/&gt;&lt;wsp:rsid wsp:val=&quot;000408A6&quot;/&gt;&lt;wsp:rsid wsp:val=&quot;000408AB&quot;/&gt;&lt;wsp:rsid wsp:val=&quot;0004180C&quot;/&gt;&lt;wsp:rsid wsp:val=&quot;00041E3C&quot;/&gt;&lt;wsp:rsid wsp:val=&quot;00042180&quot;/&gt;&lt;wsp:rsid wsp:val=&quot;00042E92&quot;/&gt;&lt;wsp:rsid wsp:val=&quot;0004360D&quot;/&gt;&lt;wsp:rsid wsp:val=&quot;0004371E&quot;/&gt;&lt;wsp:rsid wsp:val=&quot;00043952&quot;/&gt;&lt;wsp:rsid wsp:val=&quot;00044DE2&quot;/&gt;&lt;wsp:rsid wsp:val=&quot;00045662&quot;/&gt;&lt;wsp:rsid wsp:val=&quot;00046772&quot;/&gt;&lt;wsp:rsid wsp:val=&quot;0004683B&quot;/&gt;&lt;wsp:rsid wsp:val=&quot;0004701E&quot;/&gt;&lt;wsp:rsid wsp:val=&quot;00050BF0&quot;/&gt;&lt;wsp:rsid wsp:val=&quot;00051A43&quot;/&gt;&lt;wsp:rsid wsp:val=&quot;000533F2&quot;/&gt;&lt;wsp:rsid wsp:val=&quot;000535D6&quot;/&gt;&lt;wsp:rsid wsp:val=&quot;00054EE6&quot;/&gt;&lt;wsp:rsid wsp:val=&quot;0005634C&quot;/&gt;&lt;wsp:rsid wsp:val=&quot;00056B61&quot;/&gt;&lt;wsp:rsid wsp:val=&quot;00057E6E&quot;/&gt;&lt;wsp:rsid wsp:val=&quot;000607AD&quot;/&gt;&lt;wsp:rsid wsp:val=&quot;0006125E&quot;/&gt;&lt;wsp:rsid wsp:val=&quot;00061796&quot;/&gt;&lt;wsp:rsid wsp:val=&quot;00061812&quot;/&gt;&lt;wsp:rsid wsp:val=&quot;00064956&quot;/&gt;&lt;wsp:rsid wsp:val=&quot;00064F3B&quot;/&gt;&lt;wsp:rsid wsp:val=&quot;00065A8F&quot;/&gt;&lt;wsp:rsid wsp:val=&quot;00065F29&quot;/&gt;&lt;wsp:rsid wsp:val=&quot;00070A09&quot;/&gt;&lt;wsp:rsid wsp:val=&quot;00070C7F&quot;/&gt;&lt;wsp:rsid wsp:val=&quot;00073CB1&quot;/&gt;&lt;wsp:rsid wsp:val=&quot;00074058&quot;/&gt;&lt;wsp:rsid wsp:val=&quot;00074AFD&quot;/&gt;&lt;wsp:rsid wsp:val=&quot;00074E15&quot;/&gt;&lt;wsp:rsid wsp:val=&quot;00075C0B&quot;/&gt;&lt;wsp:rsid wsp:val=&quot;00075F90&quot;/&gt;&lt;wsp:rsid wsp:val=&quot;00075FF9&quot;/&gt;&lt;wsp:rsid wsp:val=&quot;000763A0&quot;/&gt;&lt;wsp:rsid wsp:val=&quot;00076760&quot;/&gt;&lt;wsp:rsid wsp:val=&quot;00077C6E&quot;/&gt;&lt;wsp:rsid wsp:val=&quot;00077EBB&quot;/&gt;&lt;wsp:rsid wsp:val=&quot;0008028D&quot;/&gt;&lt;wsp:rsid wsp:val=&quot;00080AA2&quot;/&gt;&lt;wsp:rsid wsp:val=&quot;00080BDD&quot;/&gt;&lt;wsp:rsid wsp:val=&quot;0008159D&quot;/&gt;&lt;wsp:rsid wsp:val=&quot;00082D36&quot;/&gt;&lt;wsp:rsid wsp:val=&quot;0008396F&quot;/&gt;&lt;wsp:rsid wsp:val=&quot;00083C18&quot;/&gt;&lt;wsp:rsid wsp:val=&quot;0008442F&quot;/&gt;&lt;wsp:rsid wsp:val=&quot;000864D5&quot;/&gt;&lt;wsp:rsid wsp:val=&quot;00086CF7&quot;/&gt;&lt;wsp:rsid wsp:val=&quot;00087257&quot;/&gt;&lt;wsp:rsid wsp:val=&quot;00087498&quot;/&gt;&lt;wsp:rsid wsp:val=&quot;000877C8&quot;/&gt;&lt;wsp:rsid wsp:val=&quot;00087FE8&quot;/&gt;&lt;wsp:rsid wsp:val=&quot;00090424&quot;/&gt;&lt;wsp:rsid wsp:val=&quot;000909D8&quot;/&gt;&lt;wsp:rsid wsp:val=&quot;00090C5E&quot;/&gt;&lt;wsp:rsid wsp:val=&quot;000917E6&quot;/&gt;&lt;wsp:rsid wsp:val=&quot;00091B7C&quot;/&gt;&lt;wsp:rsid wsp:val=&quot;00092B59&quot;/&gt;&lt;wsp:rsid wsp:val=&quot;000930C4&quot;/&gt;&lt;wsp:rsid wsp:val=&quot;00093812&quot;/&gt;&lt;wsp:rsid wsp:val=&quot;000964A7&quot;/&gt;&lt;wsp:rsid wsp:val=&quot;000978C5&quot;/&gt;&lt;wsp:rsid wsp:val=&quot;000A08F1&quot;/&gt;&lt;wsp:rsid wsp:val=&quot;000A1217&quot;/&gt;&lt;wsp:rsid wsp:val=&quot;000A20E0&quot;/&gt;&lt;wsp:rsid wsp:val=&quot;000A2264&quot;/&gt;&lt;wsp:rsid wsp:val=&quot;000A38FB&quot;/&gt;&lt;wsp:rsid wsp:val=&quot;000A457D&quot;/&gt;&lt;wsp:rsid wsp:val=&quot;000A4F2C&quot;/&gt;&lt;wsp:rsid wsp:val=&quot;000A589B&quot;/&gt;&lt;wsp:rsid wsp:val=&quot;000A5F49&quot;/&gt;&lt;wsp:rsid wsp:val=&quot;000A64EA&quot;/&gt;&lt;wsp:rsid wsp:val=&quot;000A7A05&quot;/&gt;&lt;wsp:rsid wsp:val=&quot;000B1DD7&quot;/&gt;&lt;wsp:rsid wsp:val=&quot;000B34F4&quot;/&gt;&lt;wsp:rsid wsp:val=&quot;000B487E&quot;/&gt;&lt;wsp:rsid wsp:val=&quot;000B4973&quot;/&gt;&lt;wsp:rsid wsp:val=&quot;000B49B2&quot;/&gt;&lt;wsp:rsid wsp:val=&quot;000B4C16&quot;/&gt;&lt;wsp:rsid wsp:val=&quot;000B4EE4&quot;/&gt;&lt;wsp:rsid wsp:val=&quot;000B56C3&quot;/&gt;&lt;wsp:rsid wsp:val=&quot;000B69BE&quot;/&gt;&lt;wsp:rsid wsp:val=&quot;000B6AF4&quot;/&gt;&lt;wsp:rsid wsp:val=&quot;000C2528&quot;/&gt;&lt;wsp:rsid wsp:val=&quot;000C2696&quot;/&gt;&lt;wsp:rsid wsp:val=&quot;000C2B0E&quot;/&gt;&lt;wsp:rsid wsp:val=&quot;000C3650&quot;/&gt;&lt;wsp:rsid wsp:val=&quot;000C366B&quot;/&gt;&lt;wsp:rsid wsp:val=&quot;000C4235&quot;/&gt;&lt;wsp:rsid wsp:val=&quot;000C54D5&quot;/&gt;&lt;wsp:rsid wsp:val=&quot;000C57FB&quot;/&gt;&lt;wsp:rsid wsp:val=&quot;000C5E64&quot;/&gt;&lt;wsp:rsid wsp:val=&quot;000C6333&quot;/&gt;&lt;wsp:rsid wsp:val=&quot;000C64F8&quot;/&gt;&lt;wsp:rsid wsp:val=&quot;000D0338&quot;/&gt;&lt;wsp:rsid wsp:val=&quot;000D07AD&quot;/&gt;&lt;wsp:rsid wsp:val=&quot;000D08DB&quot;/&gt;&lt;wsp:rsid wsp:val=&quot;000D1088&quot;/&gt;&lt;wsp:rsid wsp:val=&quot;000D168E&quot;/&gt;&lt;wsp:rsid wsp:val=&quot;000D2F3D&quot;/&gt;&lt;wsp:rsid wsp:val=&quot;000D37FA&quot;/&gt;&lt;wsp:rsid wsp:val=&quot;000D6076&quot;/&gt;&lt;wsp:rsid wsp:val=&quot;000D7188&quot;/&gt;&lt;wsp:rsid wsp:val=&quot;000D7605&quot;/&gt;&lt;wsp:rsid wsp:val=&quot;000E0759&quot;/&gt;&lt;wsp:rsid wsp:val=&quot;000E0FF9&quot;/&gt;&lt;wsp:rsid wsp:val=&quot;000E37D9&quot;/&gt;&lt;wsp:rsid wsp:val=&quot;000E401E&quot;/&gt;&lt;wsp:rsid wsp:val=&quot;000E4700&quot;/&gt;&lt;wsp:rsid wsp:val=&quot;000E4DA3&quot;/&gt;&lt;wsp:rsid wsp:val=&quot;000E55BB&quot;/&gt;&lt;wsp:rsid wsp:val=&quot;000E5840&quot;/&gt;&lt;wsp:rsid wsp:val=&quot;000E5FD7&quot;/&gt;&lt;wsp:rsid wsp:val=&quot;000E68B4&quot;/&gt;&lt;wsp:rsid wsp:val=&quot;000E72E8&quot;/&gt;&lt;wsp:rsid wsp:val=&quot;000F03AE&quot;/&gt;&lt;wsp:rsid wsp:val=&quot;000F089B&quot;/&gt;&lt;wsp:rsid wsp:val=&quot;000F106C&quot;/&gt;&lt;wsp:rsid wsp:val=&quot;000F2649&quot;/&gt;&lt;wsp:rsid wsp:val=&quot;000F28E7&quot;/&gt;&lt;wsp:rsid wsp:val=&quot;000F39C8&quot;/&gt;&lt;wsp:rsid wsp:val=&quot;000F3B35&quot;/&gt;&lt;wsp:rsid wsp:val=&quot;000F3DB3&quot;/&gt;&lt;wsp:rsid wsp:val=&quot;000F508C&quot;/&gt;&lt;wsp:rsid wsp:val=&quot;000F53E1&quot;/&gt;&lt;wsp:rsid wsp:val=&quot;000F6B60&quot;/&gt;&lt;wsp:rsid wsp:val=&quot;00100E94&quot;/&gt;&lt;wsp:rsid wsp:val=&quot;0010109B&quot;/&gt;&lt;wsp:rsid wsp:val=&quot;00101299&quot;/&gt;&lt;wsp:rsid wsp:val=&quot;00102D42&quot;/&gt;&lt;wsp:rsid wsp:val=&quot;00102DA9&quot;/&gt;&lt;wsp:rsid wsp:val=&quot;00102EE0&quot;/&gt;&lt;wsp:rsid wsp:val=&quot;00103127&quot;/&gt;&lt;wsp:rsid wsp:val=&quot;001034EA&quot;/&gt;&lt;wsp:rsid wsp:val=&quot;00103B53&quot;/&gt;&lt;wsp:rsid wsp:val=&quot;001047B2&quot;/&gt;&lt;wsp:rsid wsp:val=&quot;00104C51&quot;/&gt;&lt;wsp:rsid wsp:val=&quot;00105B91&quot;/&gt;&lt;wsp:rsid wsp:val=&quot;00105BEB&quot;/&gt;&lt;wsp:rsid wsp:val=&quot;00106601&quot;/&gt;&lt;wsp:rsid wsp:val=&quot;00107554&quot;/&gt;&lt;wsp:rsid wsp:val=&quot;00107A60&quot;/&gt;&lt;wsp:rsid wsp:val=&quot;0011031F&quot;/&gt;&lt;wsp:rsid wsp:val=&quot;001103D2&quot;/&gt;&lt;wsp:rsid wsp:val=&quot;00110EB9&quot;/&gt;&lt;wsp:rsid wsp:val=&quot;00111636&quot;/&gt;&lt;wsp:rsid wsp:val=&quot;00111AC0&quot;/&gt;&lt;wsp:rsid wsp:val=&quot;001121D8&quot;/&gt;&lt;wsp:rsid wsp:val=&quot;00112217&quot;/&gt;&lt;wsp:rsid wsp:val=&quot;00112483&quot;/&gt;&lt;wsp:rsid wsp:val=&quot;00112B6C&quot;/&gt;&lt;wsp:rsid wsp:val=&quot;00113651&quot;/&gt;&lt;wsp:rsid wsp:val=&quot;001142E5&quot;/&gt;&lt;wsp:rsid wsp:val=&quot;001146BB&quot;/&gt;&lt;wsp:rsid wsp:val=&quot;001147D9&quot;/&gt;&lt;wsp:rsid wsp:val=&quot;00115ED6&quot;/&gt;&lt;wsp:rsid wsp:val=&quot;00116BC7&quot;/&gt;&lt;wsp:rsid wsp:val=&quot;00116F50&quot;/&gt;&lt;wsp:rsid wsp:val=&quot;001173B8&quot;/&gt;&lt;wsp:rsid wsp:val=&quot;00117F73&quot;/&gt;&lt;wsp:rsid wsp:val=&quot;00120383&quot;/&gt;&lt;wsp:rsid wsp:val=&quot;00120D7C&quot;/&gt;&lt;wsp:rsid wsp:val=&quot;00121C68&quot;/&gt;&lt;wsp:rsid wsp:val=&quot;001235CF&quot;/&gt;&lt;wsp:rsid wsp:val=&quot;00123A6C&quot;/&gt;&lt;wsp:rsid wsp:val=&quot;001241CD&quot;/&gt;&lt;wsp:rsid wsp:val=&quot;00125EC7&quot;/&gt;&lt;wsp:rsid wsp:val=&quot;0012609F&quot;/&gt;&lt;wsp:rsid wsp:val=&quot;00127F2B&quot;/&gt;&lt;wsp:rsid wsp:val=&quot;00130114&quot;/&gt;&lt;wsp:rsid wsp:val=&quot;0013076E&quot;/&gt;&lt;wsp:rsid wsp:val=&quot;00130B64&quot;/&gt;&lt;wsp:rsid wsp:val=&quot;00130E8C&quot;/&gt;&lt;wsp:rsid wsp:val=&quot;00131F6C&quot;/&gt;&lt;wsp:rsid wsp:val=&quot;00132836&quot;/&gt;&lt;wsp:rsid wsp:val=&quot;00133048&quot;/&gt;&lt;wsp:rsid wsp:val=&quot;00133949&quot;/&gt;&lt;wsp:rsid wsp:val=&quot;00135197&quot;/&gt;&lt;wsp:rsid wsp:val=&quot;00135B64&quot;/&gt;&lt;wsp:rsid wsp:val=&quot;001367F1&quot;/&gt;&lt;wsp:rsid wsp:val=&quot;0013719C&quot;/&gt;&lt;wsp:rsid wsp:val=&quot;001373F3&quot;/&gt;&lt;wsp:rsid wsp:val=&quot;001374BB&quot;/&gt;&lt;wsp:rsid wsp:val=&quot;001405F0&quot;/&gt;&lt;wsp:rsid wsp:val=&quot;0014082D&quot;/&gt;&lt;wsp:rsid wsp:val=&quot;00141038&quot;/&gt;&lt;wsp:rsid wsp:val=&quot;0014154B&quot;/&gt;&lt;wsp:rsid wsp:val=&quot;00141984&quot;/&gt;&lt;wsp:rsid wsp:val=&quot;00141E17&quot;/&gt;&lt;wsp:rsid wsp:val=&quot;00141EEB&quot;/&gt;&lt;wsp:rsid wsp:val=&quot;001421EA&quot;/&gt;&lt;wsp:rsid wsp:val=&quot;00142292&quot;/&gt;&lt;wsp:rsid wsp:val=&quot;001440A1&quot;/&gt;&lt;wsp:rsid wsp:val=&quot;001466ED&quot;/&gt;&lt;wsp:rsid wsp:val=&quot;001469B7&quot;/&gt;&lt;wsp:rsid wsp:val=&quot;00147BE4&quot;/&gt;&lt;wsp:rsid wsp:val=&quot;0015061D&quot;/&gt;&lt;wsp:rsid wsp:val=&quot;001508C4&quot;/&gt;&lt;wsp:rsid wsp:val=&quot;0015197D&quot;/&gt;&lt;wsp:rsid wsp:val=&quot;001523E9&quot;/&gt;&lt;wsp:rsid wsp:val=&quot;00152768&quot;/&gt;&lt;wsp:rsid wsp:val=&quot;001528FA&quot;/&gt;&lt;wsp:rsid wsp:val=&quot;00152B6D&quot;/&gt;&lt;wsp:rsid wsp:val=&quot;001532E7&quot;/&gt;&lt;wsp:rsid wsp:val=&quot;00153366&quot;/&gt;&lt;wsp:rsid wsp:val=&quot;001554B1&quot;/&gt;&lt;wsp:rsid wsp:val=&quot;00156550&quot;/&gt;&lt;wsp:rsid wsp:val=&quot;00156AA1&quot;/&gt;&lt;wsp:rsid wsp:val=&quot;00157B3E&quot;/&gt;&lt;wsp:rsid wsp:val=&quot;001611D0&quot;/&gt;&lt;wsp:rsid wsp:val=&quot;00162183&quot;/&gt;&lt;wsp:rsid wsp:val=&quot;00162845&quot;/&gt;&lt;wsp:rsid wsp:val=&quot;00162BD5&quot;/&gt;&lt;wsp:rsid wsp:val=&quot;001635E7&quot;/&gt;&lt;wsp:rsid wsp:val=&quot;001653F7&quot;/&gt;&lt;wsp:rsid wsp:val=&quot;00165B46&quot;/&gt;&lt;wsp:rsid wsp:val=&quot;00165FD3&quot;/&gt;&lt;wsp:rsid wsp:val=&quot;0016649E&quot;/&gt;&lt;wsp:rsid wsp:val=&quot;00166847&quot;/&gt;&lt;wsp:rsid wsp:val=&quot;0016733A&quot;/&gt;&lt;wsp:rsid wsp:val=&quot;001679DC&quot;/&gt;&lt;wsp:rsid wsp:val=&quot;00167AD0&quot;/&gt;&lt;wsp:rsid wsp:val=&quot;00171430&quot;/&gt;&lt;wsp:rsid wsp:val=&quot;00172401&quot;/&gt;&lt;wsp:rsid wsp:val=&quot;00172572&quot;/&gt;&lt;wsp:rsid wsp:val=&quot;00172F0A&quot;/&gt;&lt;wsp:rsid wsp:val=&quot;00172F4C&quot;/&gt;&lt;wsp:rsid wsp:val=&quot;00175205&quot;/&gt;&lt;wsp:rsid wsp:val=&quot;001774B1&quot;/&gt;&lt;wsp:rsid wsp:val=&quot;00177B4A&quot;/&gt;&lt;wsp:rsid wsp:val=&quot;0018367F&quot;/&gt;&lt;wsp:rsid wsp:val=&quot;00183C0F&quot;/&gt;&lt;wsp:rsid wsp:val=&quot;00185D25&quot;/&gt;&lt;wsp:rsid wsp:val=&quot;001873D2&quot;/&gt;&lt;wsp:rsid wsp:val=&quot;0019016D&quot;/&gt;&lt;wsp:rsid wsp:val=&quot;0019108E&quot;/&gt;&lt;wsp:rsid wsp:val=&quot;001910EB&quot;/&gt;&lt;wsp:rsid wsp:val=&quot;001916C6&quot;/&gt;&lt;wsp:rsid wsp:val=&quot;00191B64&quot;/&gt;&lt;wsp:rsid wsp:val=&quot;0019214B&quot;/&gt;&lt;wsp:rsid wsp:val=&quot;00192A2D&quot;/&gt;&lt;wsp:rsid wsp:val=&quot;00193742&quot;/&gt;&lt;wsp:rsid wsp:val=&quot;00193A8B&quot;/&gt;&lt;wsp:rsid wsp:val=&quot;00196E2A&quot;/&gt;&lt;wsp:rsid wsp:val=&quot;00197FB3&quot;/&gt;&lt;wsp:rsid wsp:val=&quot;001A0095&quot;/&gt;&lt;wsp:rsid wsp:val=&quot;001A018C&quot;/&gt;&lt;wsp:rsid wsp:val=&quot;001A1972&quot;/&gt;&lt;wsp:rsid wsp:val=&quot;001A26F3&quot;/&gt;&lt;wsp:rsid wsp:val=&quot;001A3A52&quot;/&gt;&lt;wsp:rsid wsp:val=&quot;001A5596&quot;/&gt;&lt;wsp:rsid wsp:val=&quot;001A581B&quot;/&gt;&lt;wsp:rsid wsp:val=&quot;001A5C74&quot;/&gt;&lt;wsp:rsid wsp:val=&quot;001A5CA5&quot;/&gt;&lt;wsp:rsid wsp:val=&quot;001A6E5E&quot;/&gt;&lt;wsp:rsid wsp:val=&quot;001A717A&quot;/&gt;&lt;wsp:rsid wsp:val=&quot;001A7265&quot;/&gt;&lt;wsp:rsid wsp:val=&quot;001A7B8D&quot;/&gt;&lt;wsp:rsid wsp:val=&quot;001A7E63&quot;/&gt;&lt;wsp:rsid wsp:val=&quot;001B0085&quot;/&gt;&lt;wsp:rsid wsp:val=&quot;001B1B8D&quot;/&gt;&lt;wsp:rsid wsp:val=&quot;001B1F70&quot;/&gt;&lt;wsp:rsid wsp:val=&quot;001B25A5&quot;/&gt;&lt;wsp:rsid wsp:val=&quot;001B2BA8&quot;/&gt;&lt;wsp:rsid wsp:val=&quot;001B50BD&quot;/&gt;&lt;wsp:rsid wsp:val=&quot;001B52F8&quot;/&gt;&lt;wsp:rsid wsp:val=&quot;001B5DDC&quot;/&gt;&lt;wsp:rsid wsp:val=&quot;001B755C&quot;/&gt;&lt;wsp:rsid wsp:val=&quot;001C0920&quot;/&gt;&lt;wsp:rsid wsp:val=&quot;001C1480&quot;/&gt;&lt;wsp:rsid wsp:val=&quot;001C1736&quot;/&gt;&lt;wsp:rsid wsp:val=&quot;001C20A5&quot;/&gt;&lt;wsp:rsid wsp:val=&quot;001C290B&quot;/&gt;&lt;wsp:rsid wsp:val=&quot;001C3A0D&quot;/&gt;&lt;wsp:rsid wsp:val=&quot;001C45F0&quot;/&gt;&lt;wsp:rsid wsp:val=&quot;001C6350&quot;/&gt;&lt;wsp:rsid wsp:val=&quot;001C67E3&quot;/&gt;&lt;wsp:rsid wsp:val=&quot;001C6E45&quot;/&gt;&lt;wsp:rsid wsp:val=&quot;001C777A&quot;/&gt;&lt;wsp:rsid wsp:val=&quot;001D047E&quot;/&gt;&lt;wsp:rsid wsp:val=&quot;001D081E&quot;/&gt;&lt;wsp:rsid wsp:val=&quot;001D0838&quot;/&gt;&lt;wsp:rsid wsp:val=&quot;001D0A77&quot;/&gt;&lt;wsp:rsid wsp:val=&quot;001D0EC1&quot;/&gt;&lt;wsp:rsid wsp:val=&quot;001D3440&quot;/&gt;&lt;wsp:rsid wsp:val=&quot;001D5301&quot;/&gt;&lt;wsp:rsid wsp:val=&quot;001D6606&quot;/&gt;&lt;wsp:rsid wsp:val=&quot;001D6CD5&quot;/&gt;&lt;wsp:rsid wsp:val=&quot;001D6FB8&quot;/&gt;&lt;wsp:rsid wsp:val=&quot;001D7950&quot;/&gt;&lt;wsp:rsid wsp:val=&quot;001E08A4&quot;/&gt;&lt;wsp:rsid wsp:val=&quot;001E128E&quot;/&gt;&lt;wsp:rsid wsp:val=&quot;001E17A1&quot;/&gt;&lt;wsp:rsid wsp:val=&quot;001E2F44&quot;/&gt;&lt;wsp:rsid wsp:val=&quot;001E30B2&quot;/&gt;&lt;wsp:rsid wsp:val=&quot;001E3279&quot;/&gt;&lt;wsp:rsid wsp:val=&quot;001E3E89&quot;/&gt;&lt;wsp:rsid wsp:val=&quot;001E42C4&quot;/&gt;&lt;wsp:rsid wsp:val=&quot;001E461F&quot;/&gt;&lt;wsp:rsid wsp:val=&quot;001E5821&quot;/&gt;&lt;wsp:rsid wsp:val=&quot;001E5E98&quot;/&gt;&lt;wsp:rsid wsp:val=&quot;001E7467&quot;/&gt;&lt;wsp:rsid wsp:val=&quot;001F09DB&quot;/&gt;&lt;wsp:rsid wsp:val=&quot;001F0B3E&quot;/&gt;&lt;wsp:rsid wsp:val=&quot;001F1A1C&quot;/&gt;&lt;wsp:rsid wsp:val=&quot;001F1A81&quot;/&gt;&lt;wsp:rsid wsp:val=&quot;001F2A1B&quot;/&gt;&lt;wsp:rsid wsp:val=&quot;001F339A&quot;/&gt;&lt;wsp:rsid wsp:val=&quot;001F3AAF&quot;/&gt;&lt;wsp:rsid wsp:val=&quot;001F4401&quot;/&gt;&lt;wsp:rsid wsp:val=&quot;001F531D&quot;/&gt;&lt;wsp:rsid wsp:val=&quot;001F56AD&quot;/&gt;&lt;wsp:rsid wsp:val=&quot;001F5F9E&quot;/&gt;&lt;wsp:rsid wsp:val=&quot;001F62CD&quot;/&gt;&lt;wsp:rsid wsp:val=&quot;001F6E1D&quot;/&gt;&lt;wsp:rsid wsp:val=&quot;001F7A51&quot;/&gt;&lt;wsp:rsid wsp:val=&quot;00200114&quot;/&gt;&lt;wsp:rsid wsp:val=&quot;00202547&quot;/&gt;&lt;wsp:rsid wsp:val=&quot;0020284C&quot;/&gt;&lt;wsp:rsid wsp:val=&quot;002031A3&quot;/&gt;&lt;wsp:rsid wsp:val=&quot;002048C5&quot;/&gt;&lt;wsp:rsid wsp:val=&quot;002049B5&quot;/&gt;&lt;wsp:rsid wsp:val=&quot;00205126&quot;/&gt;&lt;wsp:rsid wsp:val=&quot;002054AF&quot;/&gt;&lt;wsp:rsid wsp:val=&quot;002069AB&quot;/&gt;&lt;wsp:rsid wsp:val=&quot;0021064F&quot;/&gt;&lt;wsp:rsid wsp:val=&quot;00210F97&quot;/&gt;&lt;wsp:rsid wsp:val=&quot;002143D5&quot;/&gt;&lt;wsp:rsid wsp:val=&quot;00214737&quot;/&gt;&lt;wsp:rsid wsp:val=&quot;00214AE9&quot;/&gt;&lt;wsp:rsid wsp:val=&quot;00214C21&quot;/&gt;&lt;wsp:rsid wsp:val=&quot;00214CBA&quot;/&gt;&lt;wsp:rsid wsp:val=&quot;00215913&quot;/&gt;&lt;wsp:rsid wsp:val=&quot;00216726&quot;/&gt;&lt;wsp:rsid wsp:val=&quot;002169F3&quot;/&gt;&lt;wsp:rsid wsp:val=&quot;0021704F&quot;/&gt;&lt;wsp:rsid wsp:val=&quot;002175FC&quot;/&gt;&lt;wsp:rsid wsp:val=&quot;002206F6&quot;/&gt;&lt;wsp:rsid wsp:val=&quot;00220B1A&quot;/&gt;&lt;wsp:rsid wsp:val=&quot;00221715&quot;/&gt;&lt;wsp:rsid wsp:val=&quot;00221927&quot;/&gt;&lt;wsp:rsid wsp:val=&quot;0022225B&quot;/&gt;&lt;wsp:rsid wsp:val=&quot;002225CE&quot;/&gt;&lt;wsp:rsid wsp:val=&quot;00222F51&quot;/&gt;&lt;wsp:rsid wsp:val=&quot;00223A7A&quot;/&gt;&lt;wsp:rsid wsp:val=&quot;00227340&quot;/&gt;&lt;wsp:rsid wsp:val=&quot;002275C6&quot;/&gt;&lt;wsp:rsid wsp:val=&quot;002313B6&quot;/&gt;&lt;wsp:rsid wsp:val=&quot;002322A3&quot;/&gt;&lt;wsp:rsid wsp:val=&quot;00232642&quot;/&gt;&lt;wsp:rsid wsp:val=&quot;00233736&quot;/&gt;&lt;wsp:rsid wsp:val=&quot;00234497&quot;/&gt;&lt;wsp:rsid wsp:val=&quot;002344D7&quot;/&gt;&lt;wsp:rsid wsp:val=&quot;00234587&quot;/&gt;&lt;wsp:rsid wsp:val=&quot;00235031&quot;/&gt;&lt;wsp:rsid wsp:val=&quot;00235121&quot;/&gt;&lt;wsp:rsid wsp:val=&quot;00235496&quot;/&gt;&lt;wsp:rsid wsp:val=&quot;0023591D&quot;/&gt;&lt;wsp:rsid wsp:val=&quot;00237D7A&quot;/&gt;&lt;wsp:rsid wsp:val=&quot;00240263&quot;/&gt;&lt;wsp:rsid wsp:val=&quot;00240582&quot;/&gt;&lt;wsp:rsid wsp:val=&quot;00240D6F&quot;/&gt;&lt;wsp:rsid wsp:val=&quot;002410A6&quot;/&gt;&lt;wsp:rsid wsp:val=&quot;00242005&quot;/&gt;&lt;wsp:rsid wsp:val=&quot;00242177&quot;/&gt;&lt;wsp:rsid wsp:val=&quot;002421F8&quot;/&gt;&lt;wsp:rsid wsp:val=&quot;002435F4&quot;/&gt;&lt;wsp:rsid wsp:val=&quot;00243A36&quot;/&gt;&lt;wsp:rsid wsp:val=&quot;00243BAF&quot;/&gt;&lt;wsp:rsid wsp:val=&quot;0024531A&quot;/&gt;&lt;wsp:rsid wsp:val=&quot;00245C9D&quot;/&gt;&lt;wsp:rsid wsp:val=&quot;00245D36&quot;/&gt;&lt;wsp:rsid wsp:val=&quot;00245E1F&quot;/&gt;&lt;wsp:rsid wsp:val=&quot;00245EF6&quot;/&gt;&lt;wsp:rsid wsp:val=&quot;002460D6&quot;/&gt;&lt;wsp:rsid wsp:val=&quot;00246770&quot;/&gt;&lt;wsp:rsid wsp:val=&quot;0024718C&quot;/&gt;&lt;wsp:rsid wsp:val=&quot;002476CB&quot;/&gt;&lt;wsp:rsid wsp:val=&quot;00251FFD&quot;/&gt;&lt;wsp:rsid wsp:val=&quot;00252503&quot;/&gt;&lt;wsp:rsid wsp:val=&quot;0025273D&quot;/&gt;&lt;wsp:rsid wsp:val=&quot;00253ED6&quot;/&gt;&lt;wsp:rsid wsp:val=&quot;00254796&quot;/&gt;&lt;wsp:rsid wsp:val=&quot;002549BE&quot;/&gt;&lt;wsp:rsid wsp:val=&quot;00254EE7&quot;/&gt;&lt;wsp:rsid wsp:val=&quot;002550F7&quot;/&gt;&lt;wsp:rsid wsp:val=&quot;002569CB&quot;/&gt;&lt;wsp:rsid wsp:val=&quot;00257338&quot;/&gt;&lt;wsp:rsid wsp:val=&quot;00257427&quot;/&gt;&lt;wsp:rsid wsp:val=&quot;0025744B&quot;/&gt;&lt;wsp:rsid wsp:val=&quot;00257C57&quot;/&gt;&lt;wsp:rsid wsp:val=&quot;00260279&quot;/&gt;&lt;wsp:rsid wsp:val=&quot;002604C1&quot;/&gt;&lt;wsp:rsid wsp:val=&quot;00260538&quot;/&gt;&lt;wsp:rsid wsp:val=&quot;00260D0A&quot;/&gt;&lt;wsp:rsid wsp:val=&quot;00262177&quot;/&gt;&lt;wsp:rsid wsp:val=&quot;00262BF8&quot;/&gt;&lt;wsp:rsid wsp:val=&quot;0026364A&quot;/&gt;&lt;wsp:rsid wsp:val=&quot;00264B7E&quot;/&gt;&lt;wsp:rsid wsp:val=&quot;00265568&quot;/&gt;&lt;wsp:rsid wsp:val=&quot;00266219&quot;/&gt;&lt;wsp:rsid wsp:val=&quot;0026645C&quot;/&gt;&lt;wsp:rsid wsp:val=&quot;002666B9&quot;/&gt;&lt;wsp:rsid wsp:val=&quot;002666CC&quot;/&gt;&lt;wsp:rsid wsp:val=&quot;002677D6&quot;/&gt;&lt;wsp:rsid wsp:val=&quot;00270172&quot;/&gt;&lt;wsp:rsid wsp:val=&quot;00270802&quot;/&gt;&lt;wsp:rsid wsp:val=&quot;00270FE3&quot;/&gt;&lt;wsp:rsid wsp:val=&quot;002715FB&quot;/&gt;&lt;wsp:rsid wsp:val=&quot;0027304F&quot;/&gt;&lt;wsp:rsid wsp:val=&quot;002732D6&quot;/&gt;&lt;wsp:rsid wsp:val=&quot;00273916&quot;/&gt;&lt;wsp:rsid wsp:val=&quot;00274080&quot;/&gt;&lt;wsp:rsid wsp:val=&quot;00275000&quot;/&gt;&lt;wsp:rsid wsp:val=&quot;0027520C&quot;/&gt;&lt;wsp:rsid wsp:val=&quot;002764BD&quot;/&gt;&lt;wsp:rsid wsp:val=&quot;00276B4E&quot;/&gt;&lt;wsp:rsid wsp:val=&quot;002772BC&quot;/&gt;&lt;wsp:rsid wsp:val=&quot;00277A25&quot;/&gt;&lt;wsp:rsid wsp:val=&quot;0028000E&quot;/&gt;&lt;wsp:rsid wsp:val=&quot;00280889&quot;/&gt;&lt;wsp:rsid wsp:val=&quot;00281B3A&quot;/&gt;&lt;wsp:rsid wsp:val=&quot;00282755&quot;/&gt;&lt;wsp:rsid wsp:val=&quot;00282A5A&quot;/&gt;&lt;wsp:rsid wsp:val=&quot;00282D41&quot;/&gt;&lt;wsp:rsid wsp:val=&quot;00282D61&quot;/&gt;&lt;wsp:rsid wsp:val=&quot;00283BAB&quot;/&gt;&lt;wsp:rsid wsp:val=&quot;00283FD5&quot;/&gt;&lt;wsp:rsid wsp:val=&quot;002857BA&quot;/&gt;&lt;wsp:rsid wsp:val=&quot;0028643E&quot;/&gt;&lt;wsp:rsid wsp:val=&quot;00286759&quot;/&gt;&lt;wsp:rsid wsp:val=&quot;002873DA&quot;/&gt;&lt;wsp:rsid wsp:val=&quot;00290F19&quot;/&gt;&lt;wsp:rsid wsp:val=&quot;00292312&quot;/&gt;&lt;wsp:rsid wsp:val=&quot;0029231B&quot;/&gt;&lt;wsp:rsid wsp:val=&quot;00293998&quot;/&gt;&lt;wsp:rsid wsp:val=&quot;00295FB0&quot;/&gt;&lt;wsp:rsid wsp:val=&quot;0029646D&quot;/&gt;&lt;wsp:rsid wsp:val=&quot;00296E97&quot;/&gt;&lt;wsp:rsid wsp:val=&quot;002978EC&quot;/&gt;&lt;wsp:rsid wsp:val=&quot;00297925&quot;/&gt;&lt;wsp:rsid wsp:val=&quot;002A0A7E&quot;/&gt;&lt;wsp:rsid wsp:val=&quot;002A0E07&quot;/&gt;&lt;wsp:rsid wsp:val=&quot;002A1D0E&quot;/&gt;&lt;wsp:rsid wsp:val=&quot;002A2CC2&quot;/&gt;&lt;wsp:rsid wsp:val=&quot;002A2D71&quot;/&gt;&lt;wsp:rsid wsp:val=&quot;002A3B7E&quot;/&gt;&lt;wsp:rsid wsp:val=&quot;002A4724&quot;/&gt;&lt;wsp:rsid wsp:val=&quot;002A4E8F&quot;/&gt;&lt;wsp:rsid wsp:val=&quot;002A56F9&quot;/&gt;&lt;wsp:rsid wsp:val=&quot;002A6069&quot;/&gt;&lt;wsp:rsid wsp:val=&quot;002A654A&quot;/&gt;&lt;wsp:rsid wsp:val=&quot;002A77B9&quot;/&gt;&lt;wsp:rsid wsp:val=&quot;002B0590&quot;/&gt;&lt;wsp:rsid wsp:val=&quot;002B3A99&quot;/&gt;&lt;wsp:rsid wsp:val=&quot;002B3F77&quot;/&gt;&lt;wsp:rsid wsp:val=&quot;002B4274&quot;/&gt;&lt;wsp:rsid wsp:val=&quot;002B428A&quot;/&gt;&lt;wsp:rsid wsp:val=&quot;002B4AE6&quot;/&gt;&lt;wsp:rsid wsp:val=&quot;002B5F10&quot;/&gt;&lt;wsp:rsid wsp:val=&quot;002B60E9&quot;/&gt;&lt;wsp:rsid wsp:val=&quot;002B64F5&quot;/&gt;&lt;wsp:rsid wsp:val=&quot;002B78C4&quot;/&gt;&lt;wsp:rsid wsp:val=&quot;002B7B67&quot;/&gt;&lt;wsp:rsid wsp:val=&quot;002C0A39&quot;/&gt;&lt;wsp:rsid wsp:val=&quot;002C2F1A&quot;/&gt;&lt;wsp:rsid wsp:val=&quot;002C37F1&quot;/&gt;&lt;wsp:rsid wsp:val=&quot;002C3A74&quot;/&gt;&lt;wsp:rsid wsp:val=&quot;002C4A0B&quot;/&gt;&lt;wsp:rsid wsp:val=&quot;002C4F40&quot;/&gt;&lt;wsp:rsid wsp:val=&quot;002C5281&quot;/&gt;&lt;wsp:rsid wsp:val=&quot;002C56F0&quot;/&gt;&lt;wsp:rsid wsp:val=&quot;002C582D&quot;/&gt;&lt;wsp:rsid wsp:val=&quot;002C5D48&quot;/&gt;&lt;wsp:rsid wsp:val=&quot;002D13D7&quot;/&gt;&lt;wsp:rsid wsp:val=&quot;002D1968&quot;/&gt;&lt;wsp:rsid wsp:val=&quot;002D27D5&quot;/&gt;&lt;wsp:rsid wsp:val=&quot;002D4110&quot;/&gt;&lt;wsp:rsid wsp:val=&quot;002D4431&quot;/&gt;&lt;wsp:rsid wsp:val=&quot;002D5946&quot;/&gt;&lt;wsp:rsid wsp:val=&quot;002D5F40&quot;/&gt;&lt;wsp:rsid wsp:val=&quot;002D5FBE&quot;/&gt;&lt;wsp:rsid wsp:val=&quot;002D7D84&quot;/&gt;&lt;wsp:rsid wsp:val=&quot;002E06A9&quot;/&gt;&lt;wsp:rsid wsp:val=&quot;002E073D&quot;/&gt;&lt;wsp:rsid wsp:val=&quot;002E1CFC&quot;/&gt;&lt;wsp:rsid wsp:val=&quot;002E3138&quot;/&gt;&lt;wsp:rsid wsp:val=&quot;002E585E&quot;/&gt;&lt;wsp:rsid wsp:val=&quot;002E5A26&quot;/&gt;&lt;wsp:rsid wsp:val=&quot;002E7317&quot;/&gt;&lt;wsp:rsid wsp:val=&quot;002E7EEE&quot;/&gt;&lt;wsp:rsid wsp:val=&quot;002F0B7D&quot;/&gt;&lt;wsp:rsid wsp:val=&quot;002F1652&quot;/&gt;&lt;wsp:rsid wsp:val=&quot;002F3446&quot;/&gt;&lt;wsp:rsid wsp:val=&quot;002F4007&quot;/&gt;&lt;wsp:rsid wsp:val=&quot;002F48BA&quot;/&gt;&lt;wsp:rsid wsp:val=&quot;002F57AA&quot;/&gt;&lt;wsp:rsid wsp:val=&quot;002F61E2&quot;/&gt;&lt;wsp:rsid wsp:val=&quot;002F6E06&quot;/&gt;&lt;wsp:rsid wsp:val=&quot;002F79B9&quot;/&gt;&lt;wsp:rsid wsp:val=&quot;002F7F8D&quot;/&gt;&lt;wsp:rsid wsp:val=&quot;0030184C&quot;/&gt;&lt;wsp:rsid wsp:val=&quot;00301BC2&quot;/&gt;&lt;wsp:rsid wsp:val=&quot;00302F7A&quot;/&gt;&lt;wsp:rsid wsp:val=&quot;00303332&quot;/&gt;&lt;wsp:rsid wsp:val=&quot;00303D87&quot;/&gt;&lt;wsp:rsid wsp:val=&quot;0030706C&quot;/&gt;&lt;wsp:rsid wsp:val=&quot;00310DF4&quot;/&gt;&lt;wsp:rsid wsp:val=&quot;0031101A&quot;/&gt;&lt;wsp:rsid wsp:val=&quot;0031283E&quot;/&gt;&lt;wsp:rsid wsp:val=&quot;0031310C&quot;/&gt;&lt;wsp:rsid wsp:val=&quot;00313A45&quot;/&gt;&lt;wsp:rsid wsp:val=&quot;00313E49&quot;/&gt;&lt;wsp:rsid wsp:val=&quot;00314123&quot;/&gt;&lt;wsp:rsid wsp:val=&quot;003142ED&quot;/&gt;&lt;wsp:rsid wsp:val=&quot;003170E0&quot;/&gt;&lt;wsp:rsid wsp:val=&quot;00317888&quot;/&gt;&lt;wsp:rsid wsp:val=&quot;00317D2E&quot;/&gt;&lt;wsp:rsid wsp:val=&quot;003207DB&quot;/&gt;&lt;wsp:rsid wsp:val=&quot;003219A7&quot;/&gt;&lt;wsp:rsid wsp:val=&quot;00321A63&quot;/&gt;&lt;wsp:rsid wsp:val=&quot;00322808&quot;/&gt;&lt;wsp:rsid wsp:val=&quot;00323791&quot;/&gt;&lt;wsp:rsid wsp:val=&quot;00323EDF&quot;/&gt;&lt;wsp:rsid wsp:val=&quot;0032417A&quot;/&gt;&lt;wsp:rsid wsp:val=&quot;003244B0&quot;/&gt;&lt;wsp:rsid wsp:val=&quot;00324B17&quot;/&gt;&lt;wsp:rsid wsp:val=&quot;003257DA&quot;/&gt;&lt;wsp:rsid wsp:val=&quot;003263BD&quot;/&gt;&lt;wsp:rsid wsp:val=&quot;003263CC&quot;/&gt;&lt;wsp:rsid wsp:val=&quot;00326638&quot;/&gt;&lt;wsp:rsid wsp:val=&quot;0032678E&quot;/&gt;&lt;wsp:rsid wsp:val=&quot;003277BE&quot;/&gt;&lt;wsp:rsid wsp:val=&quot;00327ACB&quot;/&gt;&lt;wsp:rsid wsp:val=&quot;00330E85&quot;/&gt;&lt;wsp:rsid wsp:val=&quot;00331054&quot;/&gt;&lt;wsp:rsid wsp:val=&quot;003314C1&quot;/&gt;&lt;wsp:rsid wsp:val=&quot;003317B3&quot;/&gt;&lt;wsp:rsid wsp:val=&quot;00331F83&quot;/&gt;&lt;wsp:rsid wsp:val=&quot;003332C5&quot;/&gt;&lt;wsp:rsid wsp:val=&quot;00334A0A&quot;/&gt;&lt;wsp:rsid wsp:val=&quot;00340397&quot;/&gt;&lt;wsp:rsid wsp:val=&quot;0034088C&quot;/&gt;&lt;wsp:rsid wsp:val=&quot;003420D3&quot;/&gt;&lt;wsp:rsid wsp:val=&quot;00342FDB&quot;/&gt;&lt;wsp:rsid wsp:val=&quot;00343022&quot;/&gt;&lt;wsp:rsid wsp:val=&quot;00343D1A&quot;/&gt;&lt;wsp:rsid wsp:val=&quot;00344FF9&quot;/&gt;&lt;wsp:rsid wsp:val=&quot;003465E9&quot;/&gt;&lt;wsp:rsid wsp:val=&quot;00346636&quot;/&gt;&lt;wsp:rsid wsp:val=&quot;00346BFC&quot;/&gt;&lt;wsp:rsid wsp:val=&quot;00347631&quot;/&gt;&lt;wsp:rsid wsp:val=&quot;00350446&quot;/&gt;&lt;wsp:rsid wsp:val=&quot;003506D2&quot;/&gt;&lt;wsp:rsid wsp:val=&quot;003507FE&quot;/&gt;&lt;wsp:rsid wsp:val=&quot;003509C3&quot;/&gt;&lt;wsp:rsid wsp:val=&quot;00351A52&quot;/&gt;&lt;wsp:rsid wsp:val=&quot;00351BF3&quot;/&gt;&lt;wsp:rsid wsp:val=&quot;003521CC&quot;/&gt;&lt;wsp:rsid wsp:val=&quot;00352E2D&quot;/&gt;&lt;wsp:rsid wsp:val=&quot;003537B3&quot;/&gt;&lt;wsp:rsid wsp:val=&quot;00353D32&quot;/&gt;&lt;wsp:rsid wsp:val=&quot;0035408F&quot;/&gt;&lt;wsp:rsid wsp:val=&quot;003540E8&quot;/&gt;&lt;wsp:rsid wsp:val=&quot;0035503F&quot;/&gt;&lt;wsp:rsid wsp:val=&quot;003550EF&quot;/&gt;&lt;wsp:rsid wsp:val=&quot;003571BA&quot;/&gt;&lt;wsp:rsid wsp:val=&quot;00357518&quot;/&gt;&lt;wsp:rsid wsp:val=&quot;003578D8&quot;/&gt;&lt;wsp:rsid wsp:val=&quot;00360142&quot;/&gt;&lt;wsp:rsid wsp:val=&quot;00363716&quot;/&gt;&lt;wsp:rsid wsp:val=&quot;003639E9&quot;/&gt;&lt;wsp:rsid wsp:val=&quot;003644C8&quot;/&gt;&lt;wsp:rsid wsp:val=&quot;00365D36&quot;/&gt;&lt;wsp:rsid wsp:val=&quot;00366A05&quot;/&gt;&lt;wsp:rsid wsp:val=&quot;0036750A&quot;/&gt;&lt;wsp:rsid wsp:val=&quot;00370770&quot;/&gt;&lt;wsp:rsid wsp:val=&quot;00370909&quot;/&gt;&lt;wsp:rsid wsp:val=&quot;00370FD1&quot;/&gt;&lt;wsp:rsid wsp:val=&quot;0037341F&quot;/&gt;&lt;wsp:rsid wsp:val=&quot;00374057&quot;/&gt;&lt;wsp:rsid wsp:val=&quot;0037434F&quot;/&gt;&lt;wsp:rsid wsp:val=&quot;003764B7&quot;/&gt;&lt;wsp:rsid wsp:val=&quot;00377AE0&quot;/&gt;&lt;wsp:rsid wsp:val=&quot;00377B22&quot;/&gt;&lt;wsp:rsid wsp:val=&quot;00380A43&quot;/&gt;&lt;wsp:rsid wsp:val=&quot;00380AD2&quot;/&gt;&lt;wsp:rsid wsp:val=&quot;00381804&quot;/&gt;&lt;wsp:rsid wsp:val=&quot;00381859&quot;/&gt;&lt;wsp:rsid wsp:val=&quot;00382B61&quot;/&gt;&lt;wsp:rsid wsp:val=&quot;00382F7E&quot;/&gt;&lt;wsp:rsid wsp:val=&quot;00383A42&quot;/&gt;&lt;wsp:rsid wsp:val=&quot;00384D13&quot;/&gt;&lt;wsp:rsid wsp:val=&quot;003851CC&quot;/&gt;&lt;wsp:rsid wsp:val=&quot;00385D65&quot;/&gt;&lt;wsp:rsid wsp:val=&quot;00385F07&quot;/&gt;&lt;wsp:rsid wsp:val=&quot;00386053&quot;/&gt;&lt;wsp:rsid wsp:val=&quot;00386E2B&quot;/&gt;&lt;wsp:rsid wsp:val=&quot;00387509&quot;/&gt;&lt;wsp:rsid wsp:val=&quot;0039121B&quot;/&gt;&lt;wsp:rsid wsp:val=&quot;00391507&quot;/&gt;&lt;wsp:rsid wsp:val=&quot;00391B1A&quot;/&gt;&lt;wsp:rsid wsp:val=&quot;0039272D&quot;/&gt;&lt;wsp:rsid wsp:val=&quot;003932E9&quot;/&gt;&lt;wsp:rsid wsp:val=&quot;0039336D&quot;/&gt;&lt;wsp:rsid wsp:val=&quot;00393FA9&quot;/&gt;&lt;wsp:rsid wsp:val=&quot;00394873&quot;/&gt;&lt;wsp:rsid wsp:val=&quot;00394AF3&quot;/&gt;&lt;wsp:rsid wsp:val=&quot;00394F1C&quot;/&gt;&lt;wsp:rsid wsp:val=&quot;003950C1&quot;/&gt;&lt;wsp:rsid wsp:val=&quot;00395C88&quot;/&gt;&lt;wsp:rsid wsp:val=&quot;003967DC&quot;/&gt;&lt;wsp:rsid wsp:val=&quot;003970EA&quot;/&gt;&lt;wsp:rsid wsp:val=&quot;0039743F&quot;/&gt;&lt;wsp:rsid wsp:val=&quot;00397738&quot;/&gt;&lt;wsp:rsid wsp:val=&quot;00397FA1&quot;/&gt;&lt;wsp:rsid wsp:val=&quot;003A0212&quot;/&gt;&lt;wsp:rsid wsp:val=&quot;003A09E0&quot;/&gt;&lt;wsp:rsid wsp:val=&quot;003A25E1&quot;/&gt;&lt;wsp:rsid wsp:val=&quot;003A360B&quot;/&gt;&lt;wsp:rsid wsp:val=&quot;003A4833&quot;/&gt;&lt;wsp:rsid wsp:val=&quot;003A4B29&quot;/&gt;&lt;wsp:rsid wsp:val=&quot;003A4D06&quot;/&gt;&lt;wsp:rsid wsp:val=&quot;003A572E&quot;/&gt;&lt;wsp:rsid wsp:val=&quot;003A5779&quot;/&gt;&lt;wsp:rsid wsp:val=&quot;003A6725&quot;/&gt;&lt;wsp:rsid wsp:val=&quot;003A6FFE&quot;/&gt;&lt;wsp:rsid wsp:val=&quot;003A79F4&quot;/&gt;&lt;wsp:rsid wsp:val=&quot;003B158C&quot;/&gt;&lt;wsp:rsid wsp:val=&quot;003B189D&quot;/&gt;&lt;wsp:rsid wsp:val=&quot;003B2833&quot;/&gt;&lt;wsp:rsid wsp:val=&quot;003B3B90&quot;/&gt;&lt;wsp:rsid wsp:val=&quot;003B51C5&quot;/&gt;&lt;wsp:rsid wsp:val=&quot;003B54F9&quot;/&gt;&lt;wsp:rsid wsp:val=&quot;003B609A&quot;/&gt;&lt;wsp:rsid wsp:val=&quot;003B60E9&quot;/&gt;&lt;wsp:rsid wsp:val=&quot;003B63DC&quot;/&gt;&lt;wsp:rsid wsp:val=&quot;003B693C&quot;/&gt;&lt;wsp:rsid wsp:val=&quot;003B7213&quot;/&gt;&lt;wsp:rsid wsp:val=&quot;003C0BE2&quot;/&gt;&lt;wsp:rsid wsp:val=&quot;003C1AF6&quot;/&gt;&lt;wsp:rsid wsp:val=&quot;003C1C40&quot;/&gt;&lt;wsp:rsid wsp:val=&quot;003C2147&quot;/&gt;&lt;wsp:rsid wsp:val=&quot;003C2EB8&quot;/&gt;&lt;wsp:rsid wsp:val=&quot;003C3B77&quot;/&gt;&lt;wsp:rsid wsp:val=&quot;003C40E6&quot;/&gt;&lt;wsp:rsid wsp:val=&quot;003C50BE&quot;/&gt;&lt;wsp:rsid wsp:val=&quot;003D0ACC&quot;/&gt;&lt;wsp:rsid wsp:val=&quot;003D0B08&quot;/&gt;&lt;wsp:rsid wsp:val=&quot;003D0B6D&quot;/&gt;&lt;wsp:rsid wsp:val=&quot;003D0F0E&quot;/&gt;&lt;wsp:rsid wsp:val=&quot;003D1354&quot;/&gt;&lt;wsp:rsid wsp:val=&quot;003D14C5&quot;/&gt;&lt;wsp:rsid wsp:val=&quot;003D1A4E&quot;/&gt;&lt;wsp:rsid wsp:val=&quot;003D1B55&quot;/&gt;&lt;wsp:rsid wsp:val=&quot;003D274E&quot;/&gt;&lt;wsp:rsid wsp:val=&quot;003D284F&quot;/&gt;&lt;wsp:rsid wsp:val=&quot;003D2D27&quot;/&gt;&lt;wsp:rsid wsp:val=&quot;003D3A93&quot;/&gt;&lt;wsp:rsid wsp:val=&quot;003D4752&quot;/&gt;&lt;wsp:rsid wsp:val=&quot;003D4D51&quot;/&gt;&lt;wsp:rsid wsp:val=&quot;003D5C3E&quot;/&gt;&lt;wsp:rsid wsp:val=&quot;003D623F&quot;/&gt;&lt;wsp:rsid wsp:val=&quot;003D6CDC&quot;/&gt;&lt;wsp:rsid wsp:val=&quot;003D7EFC&quot;/&gt;&lt;wsp:rsid wsp:val=&quot;003E060F&quot;/&gt;&lt;wsp:rsid wsp:val=&quot;003E1A69&quot;/&gt;&lt;wsp:rsid wsp:val=&quot;003E1A78&quot;/&gt;&lt;wsp:rsid wsp:val=&quot;003E1B2E&quot;/&gt;&lt;wsp:rsid wsp:val=&quot;003E24D3&quot;/&gt;&lt;wsp:rsid wsp:val=&quot;003E30C8&quot;/&gt;&lt;wsp:rsid wsp:val=&quot;003E3136&quot;/&gt;&lt;wsp:rsid wsp:val=&quot;003E3454&quot;/&gt;&lt;wsp:rsid wsp:val=&quot;003E38F9&quot;/&gt;&lt;wsp:rsid wsp:val=&quot;003E4288&quot;/&gt;&lt;wsp:rsid wsp:val=&quot;003E4E57&quot;/&gt;&lt;wsp:rsid wsp:val=&quot;003E4F2E&quot;/&gt;&lt;wsp:rsid wsp:val=&quot;003E533C&quot;/&gt;&lt;wsp:rsid wsp:val=&quot;003E56E7&quot;/&gt;&lt;wsp:rsid wsp:val=&quot;003E612A&quot;/&gt;&lt;wsp:rsid wsp:val=&quot;003E6CDE&quot;/&gt;&lt;wsp:rsid wsp:val=&quot;003E6D6E&quot;/&gt;&lt;wsp:rsid wsp:val=&quot;003E70A8&quot;/&gt;&lt;wsp:rsid wsp:val=&quot;003E7A02&quot;/&gt;&lt;wsp:rsid wsp:val=&quot;003E7C6D&quot;/&gt;&lt;wsp:rsid wsp:val=&quot;003F16EF&quot;/&gt;&lt;wsp:rsid wsp:val=&quot;003F2B68&quot;/&gt;&lt;wsp:rsid wsp:val=&quot;003F35A4&quot;/&gt;&lt;wsp:rsid wsp:val=&quot;003F386C&quot;/&gt;&lt;wsp:rsid wsp:val=&quot;003F3AD4&quot;/&gt;&lt;wsp:rsid wsp:val=&quot;003F434C&quot;/&gt;&lt;wsp:rsid wsp:val=&quot;003F4E8E&quot;/&gt;&lt;wsp:rsid wsp:val=&quot;003F5510&quot;/&gt;&lt;wsp:rsid wsp:val=&quot;003F5BE8&quot;/&gt;&lt;wsp:rsid wsp:val=&quot;003F74AC&quot;/&gt;&lt;wsp:rsid wsp:val=&quot;003F7869&quot;/&gt;&lt;wsp:rsid wsp:val=&quot;00400A7B&quot;/&gt;&lt;wsp:rsid wsp:val=&quot;00400B8A&quot;/&gt;&lt;wsp:rsid wsp:val=&quot;004012C2&quot;/&gt;&lt;wsp:rsid wsp:val=&quot;00402008&quot;/&gt;&lt;wsp:rsid wsp:val=&quot;00402585&quot;/&gt;&lt;wsp:rsid wsp:val=&quot;00402987&quot;/&gt;&lt;wsp:rsid wsp:val=&quot;004032B0&quot;/&gt;&lt;wsp:rsid wsp:val=&quot;00403F02&quot;/&gt;&lt;wsp:rsid wsp:val=&quot;00404569&quot;/&gt;&lt;wsp:rsid wsp:val=&quot;00404587&quot;/&gt;&lt;wsp:rsid wsp:val=&quot;00404726&quot;/&gt;&lt;wsp:rsid wsp:val=&quot;00405D43&quot;/&gt;&lt;wsp:rsid wsp:val=&quot;004061FB&quot;/&gt;&lt;wsp:rsid wsp:val=&quot;00406210&quot;/&gt;&lt;wsp:rsid wsp:val=&quot;00406481&quot;/&gt;&lt;wsp:rsid wsp:val=&quot;004120C0&quot;/&gt;&lt;wsp:rsid wsp:val=&quot;00413635&quot;/&gt;&lt;wsp:rsid wsp:val=&quot;004145CD&quot;/&gt;&lt;wsp:rsid wsp:val=&quot;00416121&quot;/&gt;&lt;wsp:rsid wsp:val=&quot;00417486&quot;/&gt;&lt;wsp:rsid wsp:val=&quot;00417AB5&quot;/&gt;&lt;wsp:rsid wsp:val=&quot;004206D0&quot;/&gt;&lt;wsp:rsid wsp:val=&quot;00420D39&quot;/&gt;&lt;wsp:rsid wsp:val=&quot;004212FF&quot;/&gt;&lt;wsp:rsid wsp:val=&quot;004216B8&quot;/&gt;&lt;wsp:rsid wsp:val=&quot;00422094&quot;/&gt;&lt;wsp:rsid wsp:val=&quot;004231CE&quot;/&gt;&lt;wsp:rsid wsp:val=&quot;00423947&quot;/&gt;&lt;wsp:rsid wsp:val=&quot;004249D3&quot;/&gt;&lt;wsp:rsid wsp:val=&quot;00424FCD&quot;/&gt;&lt;wsp:rsid wsp:val=&quot;0042514F&quot;/&gt;&lt;wsp:rsid wsp:val=&quot;0042605F&quot;/&gt;&lt;wsp:rsid wsp:val=&quot;00430C6D&quot;/&gt;&lt;wsp:rsid wsp:val=&quot;0043112E&quot;/&gt;&lt;wsp:rsid wsp:val=&quot;00431536&quot;/&gt;&lt;wsp:rsid wsp:val=&quot;00431F04&quot;/&gt;&lt;wsp:rsid wsp:val=&quot;00432862&quot;/&gt;&lt;wsp:rsid wsp:val=&quot;004334C2&quot;/&gt;&lt;wsp:rsid wsp:val=&quot;004335F4&quot;/&gt;&lt;wsp:rsid wsp:val=&quot;0043486D&quot;/&gt;&lt;wsp:rsid wsp:val=&quot;00435771&quot;/&gt;&lt;wsp:rsid wsp:val=&quot;00435DBA&quot;/&gt;&lt;wsp:rsid wsp:val=&quot;00435F22&quot;/&gt;&lt;wsp:rsid wsp:val=&quot;00436C04&quot;/&gt;&lt;wsp:rsid wsp:val=&quot;004373B5&quot;/&gt;&lt;wsp:rsid wsp:val=&quot;00440990&quot;/&gt;&lt;wsp:rsid wsp:val=&quot;00441070&quot;/&gt;&lt;wsp:rsid wsp:val=&quot;004417FD&quot;/&gt;&lt;wsp:rsid wsp:val=&quot;004419C4&quot;/&gt;&lt;wsp:rsid wsp:val=&quot;00444014&quot;/&gt;&lt;wsp:rsid wsp:val=&quot;00444A86&quot;/&gt;&lt;wsp:rsid wsp:val=&quot;00444AAD&quot;/&gt;&lt;wsp:rsid wsp:val=&quot;004452E3&quot;/&gt;&lt;wsp:rsid wsp:val=&quot;00446DC6&quot;/&gt;&lt;wsp:rsid wsp:val=&quot;0044764C&quot;/&gt;&lt;wsp:rsid wsp:val=&quot;00447689&quot;/&gt;&lt;wsp:rsid wsp:val=&quot;00447BF7&quot;/&gt;&lt;wsp:rsid wsp:val=&quot;00450023&quot;/&gt;&lt;wsp:rsid wsp:val=&quot;004517FD&quot;/&gt;&lt;wsp:rsid wsp:val=&quot;00452229&quot;/&gt;&lt;wsp:rsid wsp:val=&quot;00456146&quot;/&gt;&lt;wsp:rsid wsp:val=&quot;004574FA&quot;/&gt;&lt;wsp:rsid wsp:val=&quot;004611F5&quot;/&gt;&lt;wsp:rsid wsp:val=&quot;0046229E&quot;/&gt;&lt;wsp:rsid wsp:val=&quot;0046269A&quot;/&gt;&lt;wsp:rsid wsp:val=&quot;00463A88&quot;/&gt;&lt;wsp:rsid wsp:val=&quot;004678DA&quot;/&gt;&lt;wsp:rsid wsp:val=&quot;004679D2&quot;/&gt;&lt;wsp:rsid wsp:val=&quot;00470342&quot;/&gt;&lt;wsp:rsid wsp:val=&quot;00470D0A&quot;/&gt;&lt;wsp:rsid wsp:val=&quot;00471498&quot;/&gt;&lt;wsp:rsid wsp:val=&quot;00472CE4&quot;/&gt;&lt;wsp:rsid wsp:val=&quot;0047399E&quot;/&gt;&lt;wsp:rsid wsp:val=&quot;00474109&quot;/&gt;&lt;wsp:rsid wsp:val=&quot;004744B5&quot;/&gt;&lt;wsp:rsid wsp:val=&quot;00474FE4&quot;/&gt;&lt;wsp:rsid wsp:val=&quot;0047533E&quot;/&gt;&lt;wsp:rsid wsp:val=&quot;004757A2&quot;/&gt;&lt;wsp:rsid wsp:val=&quot;00475DC4&quot;/&gt;&lt;wsp:rsid wsp:val=&quot;00475EE5&quot;/&gt;&lt;wsp:rsid wsp:val=&quot;00477187&quot;/&gt;&lt;wsp:rsid wsp:val=&quot;004774DA&quot;/&gt;&lt;wsp:rsid wsp:val=&quot;00477983&quot;/&gt;&lt;wsp:rsid wsp:val=&quot;004800C4&quot;/&gt;&lt;wsp:rsid wsp:val=&quot;00482239&quot;/&gt;&lt;wsp:rsid wsp:val=&quot;00482B9E&quot;/&gt;&lt;wsp:rsid wsp:val=&quot;00483178&quot;/&gt;&lt;wsp:rsid wsp:val=&quot;00483187&quot;/&gt;&lt;wsp:rsid wsp:val=&quot;0048350E&quot;/&gt;&lt;wsp:rsid wsp:val=&quot;00484AB6&quot;/&gt;&lt;wsp:rsid wsp:val=&quot;004865D1&quot;/&gt;&lt;wsp:rsid wsp:val=&quot;0048662D&quot;/&gt;&lt;wsp:rsid wsp:val=&quot;00486AC3&quot;/&gt;&lt;wsp:rsid wsp:val=&quot;004908BA&quot;/&gt;&lt;wsp:rsid wsp:val=&quot;0049186D&quot;/&gt;&lt;wsp:rsid wsp:val=&quot;00491E25&quot;/&gt;&lt;wsp:rsid wsp:val=&quot;00492D2B&quot;/&gt;&lt;wsp:rsid wsp:val=&quot;00493451&quot;/&gt;&lt;wsp:rsid wsp:val=&quot;00495972&quot;/&gt;&lt;wsp:rsid wsp:val=&quot;0049675B&quot;/&gt;&lt;wsp:rsid wsp:val=&quot;00497EC8&quot;/&gt;&lt;wsp:rsid wsp:val=&quot;004A00C2&quot;/&gt;&lt;wsp:rsid wsp:val=&quot;004A0124&quot;/&gt;&lt;wsp:rsid wsp:val=&quot;004A0475&quot;/&gt;&lt;wsp:rsid wsp:val=&quot;004A08A6&quot;/&gt;&lt;wsp:rsid wsp:val=&quot;004A1158&quot;/&gt;&lt;wsp:rsid wsp:val=&quot;004A1486&quot;/&gt;&lt;wsp:rsid wsp:val=&quot;004A1836&quot;/&gt;&lt;wsp:rsid wsp:val=&quot;004A279F&quot;/&gt;&lt;wsp:rsid wsp:val=&quot;004A2C40&quot;/&gt;&lt;wsp:rsid wsp:val=&quot;004A55E7&quot;/&gt;&lt;wsp:rsid wsp:val=&quot;004A579C&quot;/&gt;&lt;wsp:rsid wsp:val=&quot;004A7FF1&quot;/&gt;&lt;wsp:rsid wsp:val=&quot;004B0B9D&quot;/&gt;&lt;wsp:rsid wsp:val=&quot;004B1B88&quot;/&gt;&lt;wsp:rsid wsp:val=&quot;004B2AEE&quot;/&gt;&lt;wsp:rsid wsp:val=&quot;004B2E1C&quot;/&gt;&lt;wsp:rsid wsp:val=&quot;004B3375&quot;/&gt;&lt;wsp:rsid wsp:val=&quot;004B3A2D&quot;/&gt;&lt;wsp:rsid wsp:val=&quot;004B3E46&quot;/&gt;&lt;wsp:rsid wsp:val=&quot;004B5DA6&quot;/&gt;&lt;wsp:rsid wsp:val=&quot;004B5E90&quot;/&gt;&lt;wsp:rsid wsp:val=&quot;004B70AC&quot;/&gt;&lt;wsp:rsid wsp:val=&quot;004B7701&quot;/&gt;&lt;wsp:rsid wsp:val=&quot;004B78B4&quot;/&gt;&lt;wsp:rsid wsp:val=&quot;004B7C8F&quot;/&gt;&lt;wsp:rsid wsp:val=&quot;004C03BF&quot;/&gt;&lt;wsp:rsid wsp:val=&quot;004C094F&quot;/&gt;&lt;wsp:rsid wsp:val=&quot;004C15AA&quot;/&gt;&lt;wsp:rsid wsp:val=&quot;004C20AE&quot;/&gt;&lt;wsp:rsid wsp:val=&quot;004C2251&quot;/&gt;&lt;wsp:rsid wsp:val=&quot;004C2459&quot;/&gt;&lt;wsp:rsid wsp:val=&quot;004C390C&quot;/&gt;&lt;wsp:rsid wsp:val=&quot;004C431E&quot;/&gt;&lt;wsp:rsid wsp:val=&quot;004C48B5&quot;/&gt;&lt;wsp:rsid wsp:val=&quot;004C5044&quot;/&gt;&lt;wsp:rsid wsp:val=&quot;004C5918&quot;/&gt;&lt;wsp:rsid wsp:val=&quot;004C6325&quot;/&gt;&lt;wsp:rsid wsp:val=&quot;004C68F6&quot;/&gt;&lt;wsp:rsid wsp:val=&quot;004C6B5B&quot;/&gt;&lt;wsp:rsid wsp:val=&quot;004C6C07&quot;/&gt;&lt;wsp:rsid wsp:val=&quot;004C6D17&quot;/&gt;&lt;wsp:rsid wsp:val=&quot;004C702A&quot;/&gt;&lt;wsp:rsid wsp:val=&quot;004C75C6&quot;/&gt;&lt;wsp:rsid wsp:val=&quot;004C7D37&quot;/&gt;&lt;wsp:rsid wsp:val=&quot;004D0846&quot;/&gt;&lt;wsp:rsid wsp:val=&quot;004D0D2D&quot;/&gt;&lt;wsp:rsid wsp:val=&quot;004D11F4&quot;/&gt;&lt;wsp:rsid wsp:val=&quot;004D3592&quot;/&gt;&lt;wsp:rsid wsp:val=&quot;004D4718&quot;/&gt;&lt;wsp:rsid wsp:val=&quot;004D7FA4&quot;/&gt;&lt;wsp:rsid wsp:val=&quot;004E08A2&quot;/&gt;&lt;wsp:rsid wsp:val=&quot;004E0C50&quot;/&gt;&lt;wsp:rsid wsp:val=&quot;004E17A4&quot;/&gt;&lt;wsp:rsid wsp:val=&quot;004E3086&quot;/&gt;&lt;wsp:rsid wsp:val=&quot;004E3712&quot;/&gt;&lt;wsp:rsid wsp:val=&quot;004E3C9A&quot;/&gt;&lt;wsp:rsid wsp:val=&quot;004F0ABC&quot;/&gt;&lt;wsp:rsid wsp:val=&quot;004F2E30&quot;/&gt;&lt;wsp:rsid wsp:val=&quot;004F3B8F&quot;/&gt;&lt;wsp:rsid wsp:val=&quot;004F4C91&quot;/&gt;&lt;wsp:rsid wsp:val=&quot;004F540D&quot;/&gt;&lt;wsp:rsid wsp:val=&quot;004F6266&quot;/&gt;&lt;wsp:rsid wsp:val=&quot;004F7F3D&quot;/&gt;&lt;wsp:rsid wsp:val=&quot;005001FF&quot;/&gt;&lt;wsp:rsid wsp:val=&quot;00500C00&quot;/&gt;&lt;wsp:rsid wsp:val=&quot;00501FB9&quot;/&gt;&lt;wsp:rsid wsp:val=&quot;0050217C&quot;/&gt;&lt;wsp:rsid wsp:val=&quot;00503A8F&quot;/&gt;&lt;wsp:rsid wsp:val=&quot;00503CDF&quot;/&gt;&lt;wsp:rsid wsp:val=&quot;00503DB0&quot;/&gt;&lt;wsp:rsid wsp:val=&quot;00504C7C&quot;/&gt;&lt;wsp:rsid wsp:val=&quot;00504CEE&quot;/&gt;&lt;wsp:rsid wsp:val=&quot;0050582C&quot;/&gt;&lt;wsp:rsid wsp:val=&quot;00506897&quot;/&gt;&lt;wsp:rsid wsp:val=&quot;005072B0&quot;/&gt;&lt;wsp:rsid wsp:val=&quot;00507B74&quot;/&gt;&lt;wsp:rsid wsp:val=&quot;00511725&quot;/&gt;&lt;wsp:rsid wsp:val=&quot;005124FF&quot;/&gt;&lt;wsp:rsid wsp:val=&quot;005127EF&quot;/&gt;&lt;wsp:rsid wsp:val=&quot;00512BF2&quot;/&gt;&lt;wsp:rsid wsp:val=&quot;005132EA&quot;/&gt;&lt;wsp:rsid wsp:val=&quot;005142DF&quot;/&gt;&lt;wsp:rsid wsp:val=&quot;00514698&quot;/&gt;&lt;wsp:rsid wsp:val=&quot;00514E77&quot;/&gt;&lt;wsp:rsid wsp:val=&quot;00514FF5&quot;/&gt;&lt;wsp:rsid wsp:val=&quot;00515035&quot;/&gt;&lt;wsp:rsid wsp:val=&quot;00520A12&quot;/&gt;&lt;wsp:rsid wsp:val=&quot;00521B73&quot;/&gt;&lt;wsp:rsid wsp:val=&quot;00522227&quot;/&gt;&lt;wsp:rsid wsp:val=&quot;00524C57&quot;/&gt;&lt;wsp:rsid wsp:val=&quot;005271A7&quot;/&gt;&lt;wsp:rsid wsp:val=&quot;00527287&quot;/&gt;&lt;wsp:rsid wsp:val=&quot;005274EF&quot;/&gt;&lt;wsp:rsid wsp:val=&quot;005274FA&quot;/&gt;&lt;wsp:rsid wsp:val=&quot;00527E29&quot;/&gt;&lt;wsp:rsid wsp:val=&quot;00527E81&quot;/&gt;&lt;wsp:rsid wsp:val=&quot;00531A0F&quot;/&gt;&lt;wsp:rsid wsp:val=&quot;00533564&quot;/&gt;&lt;wsp:rsid wsp:val=&quot;00534245&quot;/&gt;&lt;wsp:rsid wsp:val=&quot;005344B9&quot;/&gt;&lt;wsp:rsid wsp:val=&quot;00534700&quot;/&gt;&lt;wsp:rsid wsp:val=&quot;005360BF&quot;/&gt;&lt;wsp:rsid wsp:val=&quot;0053640C&quot;/&gt;&lt;wsp:rsid wsp:val=&quot;005379F1&quot;/&gt;&lt;wsp:rsid wsp:val=&quot;00540395&quot;/&gt;&lt;wsp:rsid wsp:val=&quot;00542758&quot;/&gt;&lt;wsp:rsid wsp:val=&quot;005427E0&quot;/&gt;&lt;wsp:rsid wsp:val=&quot;005431DE&quot;/&gt;&lt;wsp:rsid wsp:val=&quot;005432B8&quot;/&gt;&lt;wsp:rsid wsp:val=&quot;005433B5&quot;/&gt;&lt;wsp:rsid wsp:val=&quot;00543667&quot;/&gt;&lt;wsp:rsid wsp:val=&quot;00544431&quot;/&gt;&lt;wsp:rsid wsp:val=&quot;00546BFF&quot;/&gt;&lt;wsp:rsid wsp:val=&quot;00550B0E&quot;/&gt;&lt;wsp:rsid wsp:val=&quot;00551E57&quot;/&gt;&lt;wsp:rsid wsp:val=&quot;00553D19&quot;/&gt;&lt;wsp:rsid wsp:val=&quot;0055441F&quot;/&gt;&lt;wsp:rsid wsp:val=&quot;005556EE&quot;/&gt;&lt;wsp:rsid wsp:val=&quot;00555AF7&quot;/&gt;&lt;wsp:rsid wsp:val=&quot;00556299&quot;/&gt;&lt;wsp:rsid wsp:val=&quot;00556566&quot;/&gt;&lt;wsp:rsid wsp:val=&quot;00556A1E&quot;/&gt;&lt;wsp:rsid wsp:val=&quot;005572CB&quot;/&gt;&lt;wsp:rsid wsp:val=&quot;005600B4&quot;/&gt;&lt;wsp:rsid wsp:val=&quot;0056067C&quot;/&gt;&lt;wsp:rsid wsp:val=&quot;00562236&quot;/&gt;&lt;wsp:rsid wsp:val=&quot;00563F14&quot;/&gt;&lt;wsp:rsid wsp:val=&quot;00564667&quot;/&gt;&lt;wsp:rsid wsp:val=&quot;005649FA&quot;/&gt;&lt;wsp:rsid wsp:val=&quot;0056622F&quot;/&gt;&lt;wsp:rsid wsp:val=&quot;005676DA&quot;/&gt;&lt;wsp:rsid wsp:val=&quot;00571890&quot;/&gt;&lt;wsp:rsid wsp:val=&quot;00571E81&quot;/&gt;&lt;wsp:rsid wsp:val=&quot;005726AF&quot;/&gt;&lt;wsp:rsid wsp:val=&quot;005730D3&quot;/&gt;&lt;wsp:rsid wsp:val=&quot;00573B9B&quot;/&gt;&lt;wsp:rsid wsp:val=&quot;00573F24&quot;/&gt;&lt;wsp:rsid wsp:val=&quot;005741C6&quot;/&gt;&lt;wsp:rsid wsp:val=&quot;005744E3&quot;/&gt;&lt;wsp:rsid wsp:val=&quot;005749DD&quot;/&gt;&lt;wsp:rsid wsp:val=&quot;00576F20&quot;/&gt;&lt;wsp:rsid wsp:val=&quot;0058157A&quot;/&gt;&lt;wsp:rsid wsp:val=&quot;005815C3&quot;/&gt;&lt;wsp:rsid wsp:val=&quot;00581902&quot;/&gt;&lt;wsp:rsid wsp:val=&quot;005819AE&quot;/&gt;&lt;wsp:rsid wsp:val=&quot;00582411&quot;/&gt;&lt;wsp:rsid wsp:val=&quot;005829AE&quot;/&gt;&lt;wsp:rsid wsp:val=&quot;00582D1A&quot;/&gt;&lt;wsp:rsid wsp:val=&quot;00582D94&quot;/&gt;&lt;wsp:rsid wsp:val=&quot;0058368C&quot;/&gt;&lt;wsp:rsid wsp:val=&quot;00585DC9&quot;/&gt;&lt;wsp:rsid wsp:val=&quot;0058605B&quot;/&gt;&lt;wsp:rsid wsp:val=&quot;00586184&quot;/&gt;&lt;wsp:rsid wsp:val=&quot;00586894&quot;/&gt;&lt;wsp:rsid wsp:val=&quot;00586ACA&quot;/&gt;&lt;wsp:rsid wsp:val=&quot;00587188&quot;/&gt;&lt;wsp:rsid wsp:val=&quot;00587363&quot;/&gt;&lt;wsp:rsid wsp:val=&quot;005909F9&quot;/&gt;&lt;wsp:rsid wsp:val=&quot;00592CED&quot;/&gt;&lt;wsp:rsid wsp:val=&quot;00592E32&quot;/&gt;&lt;wsp:rsid wsp:val=&quot;00593405&quot;/&gt;&lt;wsp:rsid wsp:val=&quot;00596C4F&quot;/&gt;&lt;wsp:rsid wsp:val=&quot;00596DB3&quot;/&gt;&lt;wsp:rsid wsp:val=&quot;00596EDC&quot;/&gt;&lt;wsp:rsid wsp:val=&quot;00597770&quot;/&gt;&lt;wsp:rsid wsp:val=&quot;00597C88&quot;/&gt;&lt;wsp:rsid wsp:val=&quot;005A0093&quot;/&gt;&lt;wsp:rsid wsp:val=&quot;005A03B9&quot;/&gt;&lt;wsp:rsid wsp:val=&quot;005A0517&quot;/&gt;&lt;wsp:rsid wsp:val=&quot;005A0D23&quot;/&gt;&lt;wsp:rsid wsp:val=&quot;005A1706&quot;/&gt;&lt;wsp:rsid wsp:val=&quot;005A1B4A&quot;/&gt;&lt;wsp:rsid wsp:val=&quot;005A2345&quot;/&gt;&lt;wsp:rsid wsp:val=&quot;005A2976&quot;/&gt;&lt;wsp:rsid wsp:val=&quot;005A35D0&quot;/&gt;&lt;wsp:rsid wsp:val=&quot;005A3670&quot;/&gt;&lt;wsp:rsid wsp:val=&quot;005A37C5&quot;/&gt;&lt;wsp:rsid wsp:val=&quot;005A3C34&quot;/&gt;&lt;wsp:rsid wsp:val=&quot;005A3DAC&quot;/&gt;&lt;wsp:rsid wsp:val=&quot;005A6050&quot;/&gt;&lt;wsp:rsid wsp:val=&quot;005A6632&quot;/&gt;&lt;wsp:rsid wsp:val=&quot;005A722A&quot;/&gt;&lt;wsp:rsid wsp:val=&quot;005A7DDA&quot;/&gt;&lt;wsp:rsid wsp:val=&quot;005B0C5B&quot;/&gt;&lt;wsp:rsid wsp:val=&quot;005B0FCB&quot;/&gt;&lt;wsp:rsid wsp:val=&quot;005B1323&quot;/&gt;&lt;wsp:rsid wsp:val=&quot;005B16BA&quot;/&gt;&lt;wsp:rsid wsp:val=&quot;005B1A9F&quot;/&gt;&lt;wsp:rsid wsp:val=&quot;005B1D8A&quot;/&gt;&lt;wsp:rsid wsp:val=&quot;005B2584&quot;/&gt;&lt;wsp:rsid wsp:val=&quot;005B37D7&quot;/&gt;&lt;wsp:rsid wsp:val=&quot;005B634D&quot;/&gt;&lt;wsp:rsid wsp:val=&quot;005B73CA&quot;/&gt;&lt;wsp:rsid wsp:val=&quot;005B7EB9&quot;/&gt;&lt;wsp:rsid wsp:val=&quot;005C1448&quot;/&gt;&lt;wsp:rsid wsp:val=&quot;005C1DB3&quot;/&gt;&lt;wsp:rsid wsp:val=&quot;005C3143&quot;/&gt;&lt;wsp:rsid wsp:val=&quot;005C32AF&quot;/&gt;&lt;wsp:rsid wsp:val=&quot;005C4529&quot;/&gt;&lt;wsp:rsid wsp:val=&quot;005C4787&quot;/&gt;&lt;wsp:rsid wsp:val=&quot;005C6407&quot;/&gt;&lt;wsp:rsid wsp:val=&quot;005C7D4E&quot;/&gt;&lt;wsp:rsid wsp:val=&quot;005C7E1E&quot;/&gt;&lt;wsp:rsid wsp:val=&quot;005D11CC&quot;/&gt;&lt;wsp:rsid wsp:val=&quot;005D240E&quot;/&gt;&lt;wsp:rsid wsp:val=&quot;005D2869&quot;/&gt;&lt;wsp:rsid wsp:val=&quot;005D2F2F&quot;/&gt;&lt;wsp:rsid wsp:val=&quot;005D3327&quot;/&gt;&lt;wsp:rsid wsp:val=&quot;005D3476&quot;/&gt;&lt;wsp:rsid wsp:val=&quot;005D3F9B&quot;/&gt;&lt;wsp:rsid wsp:val=&quot;005D4BE8&quot;/&gt;&lt;wsp:rsid wsp:val=&quot;005D4E1D&quot;/&gt;&lt;wsp:rsid wsp:val=&quot;005D5BAF&quot;/&gt;&lt;wsp:rsid wsp:val=&quot;005E11D5&quot;/&gt;&lt;wsp:rsid wsp:val=&quot;005E1558&quot;/&gt;&lt;wsp:rsid wsp:val=&quot;005E1AAF&quot;/&gt;&lt;wsp:rsid wsp:val=&quot;005E286C&quot;/&gt;&lt;wsp:rsid wsp:val=&quot;005E2BAD&quot;/&gt;&lt;wsp:rsid wsp:val=&quot;005E34FA&quot;/&gt;&lt;wsp:rsid wsp:val=&quot;005E37B7&quot;/&gt;&lt;wsp:rsid wsp:val=&quot;005E388B&quot;/&gt;&lt;wsp:rsid wsp:val=&quot;005E45DB&quot;/&gt;&lt;wsp:rsid wsp:val=&quot;005E49C1&quot;/&gt;&lt;wsp:rsid wsp:val=&quot;005E4E5E&quot;/&gt;&lt;wsp:rsid wsp:val=&quot;005E56ED&quot;/&gt;&lt;wsp:rsid wsp:val=&quot;005E6608&quot;/&gt;&lt;wsp:rsid wsp:val=&quot;005E6D40&quot;/&gt;&lt;wsp:rsid wsp:val=&quot;005E7505&quot;/&gt;&lt;wsp:rsid wsp:val=&quot;005E7CE0&quot;/&gt;&lt;wsp:rsid wsp:val=&quot;005F08A7&quot;/&gt;&lt;wsp:rsid wsp:val=&quot;005F0E85&quot;/&gt;&lt;wsp:rsid wsp:val=&quot;005F130E&quot;/&gt;&lt;wsp:rsid wsp:val=&quot;005F1433&quot;/&gt;&lt;wsp:rsid wsp:val=&quot;005F1705&quot;/&gt;&lt;wsp:rsid wsp:val=&quot;005F1747&quot;/&gt;&lt;wsp:rsid wsp:val=&quot;005F2511&quot;/&gt;&lt;wsp:rsid wsp:val=&quot;005F423C&quot;/&gt;&lt;wsp:rsid wsp:val=&quot;005F4ABF&quot;/&gt;&lt;wsp:rsid wsp:val=&quot;005F5071&quot;/&gt;&lt;wsp:rsid wsp:val=&quot;005F5BD3&quot;/&gt;&lt;wsp:rsid wsp:val=&quot;005F5C9C&quot;/&gt;&lt;wsp:rsid wsp:val=&quot;005F5E07&quot;/&gt;&lt;wsp:rsid wsp:val=&quot;005F663D&quot;/&gt;&lt;wsp:rsid wsp:val=&quot;005F6B82&quot;/&gt;&lt;wsp:rsid wsp:val=&quot;005F7471&quot;/&gt;&lt;wsp:rsid wsp:val=&quot;005F7F65&quot;/&gt;&lt;wsp:rsid wsp:val=&quot;006011B9&quot;/&gt;&lt;wsp:rsid wsp:val=&quot;00602B30&quot;/&gt;&lt;wsp:rsid wsp:val=&quot;006038DB&quot;/&gt;&lt;wsp:rsid wsp:val=&quot;00603AC2&quot;/&gt;&lt;wsp:rsid wsp:val=&quot;00603DB5&quot;/&gt;&lt;wsp:rsid wsp:val=&quot;00604012&quot;/&gt;&lt;wsp:rsid wsp:val=&quot;006049C7&quot;/&gt;&lt;wsp:rsid wsp:val=&quot;00604E44&quot;/&gt;&lt;wsp:rsid wsp:val=&quot;00606312&quot;/&gt;&lt;wsp:rsid wsp:val=&quot;006066CE&quot;/&gt;&lt;wsp:rsid wsp:val=&quot;006066D6&quot;/&gt;&lt;wsp:rsid wsp:val=&quot;0060723D&quot;/&gt;&lt;wsp:rsid wsp:val=&quot;0060752E&quot;/&gt;&lt;wsp:rsid wsp:val=&quot;006077AC&quot;/&gt;&lt;wsp:rsid wsp:val=&quot;00607BD8&quot;/&gt;&lt;wsp:rsid wsp:val=&quot;006109E0&quot;/&gt;&lt;wsp:rsid wsp:val=&quot;00610A76&quot;/&gt;&lt;wsp:rsid wsp:val=&quot;00611E04&quot;/&gt;&lt;wsp:rsid wsp:val=&quot;00611F42&quot;/&gt;&lt;wsp:rsid wsp:val=&quot;00611F7A&quot;/&gt;&lt;wsp:rsid wsp:val=&quot;00612B6F&quot;/&gt;&lt;wsp:rsid wsp:val=&quot;00613B3D&quot;/&gt;&lt;wsp:rsid wsp:val=&quot;006151B1&quot;/&gt;&lt;wsp:rsid wsp:val=&quot;00616946&quot;/&gt;&lt;wsp:rsid wsp:val=&quot;00620469&quot;/&gt;&lt;wsp:rsid wsp:val=&quot;006204E1&quot;/&gt;&lt;wsp:rsid wsp:val=&quot;00620A22&quot;/&gt;&lt;wsp:rsid wsp:val=&quot;00621211&quot;/&gt;&lt;wsp:rsid wsp:val=&quot;00621BB7&quot;/&gt;&lt;wsp:rsid wsp:val=&quot;00622871&quot;/&gt;&lt;wsp:rsid wsp:val=&quot;00622FC6&quot;/&gt;&lt;wsp:rsid wsp:val=&quot;00623326&quot;/&gt;&lt;wsp:rsid wsp:val=&quot;00623A74&quot;/&gt;&lt;wsp:rsid wsp:val=&quot;00623BF5&quot;/&gt;&lt;wsp:rsid wsp:val=&quot;00623C4B&quot;/&gt;&lt;wsp:rsid wsp:val=&quot;00623EFC&quot;/&gt;&lt;wsp:rsid wsp:val=&quot;0062456B&quot;/&gt;&lt;wsp:rsid wsp:val=&quot;00624D6C&quot;/&gt;&lt;wsp:rsid wsp:val=&quot;006258AA&quot;/&gt;&lt;wsp:rsid wsp:val=&quot;00626825&quot;/&gt;&lt;wsp:rsid wsp:val=&quot;00626FA2&quot;/&gt;&lt;wsp:rsid wsp:val=&quot;006279DB&quot;/&gt;&lt;wsp:rsid wsp:val=&quot;00627B32&quot;/&gt;&lt;wsp:rsid wsp:val=&quot;00627C6C&quot;/&gt;&lt;wsp:rsid wsp:val=&quot;00627DAC&quot;/&gt;&lt;wsp:rsid wsp:val=&quot;00630C1C&quot;/&gt;&lt;wsp:rsid wsp:val=&quot;00630C75&quot;/&gt;&lt;wsp:rsid wsp:val=&quot;00630D4F&quot;/&gt;&lt;wsp:rsid wsp:val=&quot;006313D8&quot;/&gt;&lt;wsp:rsid wsp:val=&quot;0063141A&quot;/&gt;&lt;wsp:rsid wsp:val=&quot;006318F3&quot;/&gt;&lt;wsp:rsid wsp:val=&quot;00632207&quot;/&gt;&lt;wsp:rsid wsp:val=&quot;0063280A&quot;/&gt;&lt;wsp:rsid wsp:val=&quot;00634B4C&quot;/&gt;&lt;wsp:rsid wsp:val=&quot;00634C90&quot;/&gt;&lt;wsp:rsid wsp:val=&quot;00635F70&quot;/&gt;&lt;wsp:rsid wsp:val=&quot;00637122&quot;/&gt;&lt;wsp:rsid wsp:val=&quot;006400D3&quot;/&gt;&lt;wsp:rsid wsp:val=&quot;0064029A&quot;/&gt;&lt;wsp:rsid wsp:val=&quot;00640614&quot;/&gt;&lt;wsp:rsid wsp:val=&quot;006411BF&quot;/&gt;&lt;wsp:rsid wsp:val=&quot;006423CD&quot;/&gt;&lt;wsp:rsid wsp:val=&quot;00642482&quot;/&gt;&lt;wsp:rsid wsp:val=&quot;00642486&quot;/&gt;&lt;wsp:rsid wsp:val=&quot;00642975&quot;/&gt;&lt;wsp:rsid wsp:val=&quot;00642D0B&quot;/&gt;&lt;wsp:rsid wsp:val=&quot;006430B7&quot;/&gt;&lt;wsp:rsid wsp:val=&quot;00643117&quot;/&gt;&lt;wsp:rsid wsp:val=&quot;00643C86&quot;/&gt;&lt;wsp:rsid wsp:val=&quot;00644A78&quot;/&gt;&lt;wsp:rsid wsp:val=&quot;006464DC&quot;/&gt;&lt;wsp:rsid wsp:val=&quot;00646846&quot;/&gt;&lt;wsp:rsid wsp:val=&quot;00647E01&quot;/&gt;&lt;wsp:rsid wsp:val=&quot;00650B7F&quot;/&gt;&lt;wsp:rsid wsp:val=&quot;00651205&quot;/&gt;&lt;wsp:rsid wsp:val=&quot;00651210&quot;/&gt;&lt;wsp:rsid wsp:val=&quot;00651701&quot;/&gt;&lt;wsp:rsid wsp:val=&quot;0065284F&quot;/&gt;&lt;wsp:rsid wsp:val=&quot;00652DBF&quot;/&gt;&lt;wsp:rsid wsp:val=&quot;00653F91&quot;/&gt;&lt;wsp:rsid wsp:val=&quot;0065450E&quot;/&gt;&lt;wsp:rsid wsp:val=&quot;00660115&quot;/&gt;&lt;wsp:rsid wsp:val=&quot;00661DA7&quot;/&gt;&lt;wsp:rsid wsp:val=&quot;00662418&quot;/&gt;&lt;wsp:rsid wsp:val=&quot;00663DA0&quot;/&gt;&lt;wsp:rsid wsp:val=&quot;006650A2&quot;/&gt;&lt;wsp:rsid wsp:val=&quot;0066575C&quot;/&gt;&lt;wsp:rsid wsp:val=&quot;00665C8D&quot;/&gt;&lt;wsp:rsid wsp:val=&quot;00665DB7&quot;/&gt;&lt;wsp:rsid wsp:val=&quot;0066641F&quot;/&gt;&lt;wsp:rsid wsp:val=&quot;00667BF7&quot;/&gt;&lt;wsp:rsid wsp:val=&quot;00671E7A&quot;/&gt;&lt;wsp:rsid wsp:val=&quot;0067257E&quot;/&gt;&lt;wsp:rsid wsp:val=&quot;00673309&quot;/&gt;&lt;wsp:rsid wsp:val=&quot;006745F9&quot;/&gt;&lt;wsp:rsid wsp:val=&quot;00674D40&quot;/&gt;&lt;wsp:rsid wsp:val=&quot;00675943&quot;/&gt;&lt;wsp:rsid wsp:val=&quot;0067613C&quot;/&gt;&lt;wsp:rsid wsp:val=&quot;00677983&quot;/&gt;&lt;wsp:rsid wsp:val=&quot;00677BD1&quot;/&gt;&lt;wsp:rsid wsp:val=&quot;00684570&quot;/&gt;&lt;wsp:rsid wsp:val=&quot;00684C44&quot;/&gt;&lt;wsp:rsid wsp:val=&quot;006851EC&quot;/&gt;&lt;wsp:rsid wsp:val=&quot;00686847&quot;/&gt;&lt;wsp:rsid wsp:val=&quot;0069108C&quot;/&gt;&lt;wsp:rsid wsp:val=&quot;0069272A&quot;/&gt;&lt;wsp:rsid wsp:val=&quot;00692B5B&quot;/&gt;&lt;wsp:rsid wsp:val=&quot;00692D5C&quot;/&gt;&lt;wsp:rsid wsp:val=&quot;00692E7A&quot;/&gt;&lt;wsp:rsid wsp:val=&quot;00692FF9&quot;/&gt;&lt;wsp:rsid wsp:val=&quot;006934EA&quot;/&gt;&lt;wsp:rsid wsp:val=&quot;00693F0F&quot;/&gt;&lt;wsp:rsid wsp:val=&quot;00697385&quot;/&gt;&lt;wsp:rsid wsp:val=&quot;00697471&quot;/&gt;&lt;wsp:rsid wsp:val=&quot;00697521&quot;/&gt;&lt;wsp:rsid wsp:val=&quot;00697CDC&quot;/&gt;&lt;wsp:rsid wsp:val=&quot;006A02C4&quot;/&gt;&lt;wsp:rsid wsp:val=&quot;006A0EBE&quot;/&gt;&lt;wsp:rsid wsp:val=&quot;006A1922&quot;/&gt;&lt;wsp:rsid wsp:val=&quot;006A21A0&quot;/&gt;&lt;wsp:rsid wsp:val=&quot;006A32F9&quot;/&gt;&lt;wsp:rsid wsp:val=&quot;006A470B&quot;/&gt;&lt;wsp:rsid wsp:val=&quot;006A502C&quot;/&gt;&lt;wsp:rsid wsp:val=&quot;006A60CA&quot;/&gt;&lt;wsp:rsid wsp:val=&quot;006A71B5&quot;/&gt;&lt;wsp:rsid wsp:val=&quot;006A78E0&quot;/&gt;&lt;wsp:rsid wsp:val=&quot;006B0769&quot;/&gt;&lt;wsp:rsid wsp:val=&quot;006B2423&quot;/&gt;&lt;wsp:rsid wsp:val=&quot;006B2687&quot;/&gt;&lt;wsp:rsid wsp:val=&quot;006B26E7&quot;/&gt;&lt;wsp:rsid wsp:val=&quot;006B2BC9&quot;/&gt;&lt;wsp:rsid wsp:val=&quot;006B331F&quot;/&gt;&lt;wsp:rsid wsp:val=&quot;006B3EEC&quot;/&gt;&lt;wsp:rsid wsp:val=&quot;006B44F2&quot;/&gt;&lt;wsp:rsid wsp:val=&quot;006B5B97&quot;/&gt;&lt;wsp:rsid wsp:val=&quot;006B62A7&quot;/&gt;&lt;wsp:rsid wsp:val=&quot;006B6CCD&quot;/&gt;&lt;wsp:rsid wsp:val=&quot;006C0A3A&quot;/&gt;&lt;wsp:rsid wsp:val=&quot;006C148B&quot;/&gt;&lt;wsp:rsid wsp:val=&quot;006C16D5&quot;/&gt;&lt;wsp:rsid wsp:val=&quot;006C18DC&quot;/&gt;&lt;wsp:rsid wsp:val=&quot;006C2053&quot;/&gt;&lt;wsp:rsid wsp:val=&quot;006C4D6D&quot;/&gt;&lt;wsp:rsid wsp:val=&quot;006C57A7&quot;/&gt;&lt;wsp:rsid wsp:val=&quot;006C5812&quot;/&gt;&lt;wsp:rsid wsp:val=&quot;006D0FA3&quot;/&gt;&lt;wsp:rsid wsp:val=&quot;006D139E&quot;/&gt;&lt;wsp:rsid wsp:val=&quot;006D13CC&quot;/&gt;&lt;wsp:rsid wsp:val=&quot;006D1AEA&quot;/&gt;&lt;wsp:rsid wsp:val=&quot;006D1FE7&quot;/&gt;&lt;wsp:rsid wsp:val=&quot;006D38E8&quot;/&gt;&lt;wsp:rsid wsp:val=&quot;006D444A&quot;/&gt;&lt;wsp:rsid wsp:val=&quot;006D45D3&quot;/&gt;&lt;wsp:rsid wsp:val=&quot;006D5E16&quot;/&gt;&lt;wsp:rsid wsp:val=&quot;006D60FE&quot;/&gt;&lt;wsp:rsid wsp:val=&quot;006D7691&quot;/&gt;&lt;wsp:rsid wsp:val=&quot;006E03A1&quot;/&gt;&lt;wsp:rsid wsp:val=&quot;006E08D7&quot;/&gt;&lt;wsp:rsid wsp:val=&quot;006E097E&quot;/&gt;&lt;wsp:rsid wsp:val=&quot;006E172D&quot;/&gt;&lt;wsp:rsid wsp:val=&quot;006E2726&quot;/&gt;&lt;wsp:rsid wsp:val=&quot;006E30A6&quot;/&gt;&lt;wsp:rsid wsp:val=&quot;006E6254&quot;/&gt;&lt;wsp:rsid wsp:val=&quot;006E7E17&quot;/&gt;&lt;wsp:rsid wsp:val=&quot;006F0017&quot;/&gt;&lt;wsp:rsid wsp:val=&quot;006F048D&quot;/&gt;&lt;wsp:rsid wsp:val=&quot;006F0994&quot;/&gt;&lt;wsp:rsid wsp:val=&quot;006F101D&quot;/&gt;&lt;wsp:rsid wsp:val=&quot;006F1325&quot;/&gt;&lt;wsp:rsid wsp:val=&quot;006F2911&quot;/&gt;&lt;wsp:rsid wsp:val=&quot;006F2A0D&quot;/&gt;&lt;wsp:rsid wsp:val=&quot;006F3653&quot;/&gt;&lt;wsp:rsid wsp:val=&quot;006F3B17&quot;/&gt;&lt;wsp:rsid wsp:val=&quot;006F476C&quot;/&gt;&lt;wsp:rsid wsp:val=&quot;006F5494&quot;/&gt;&lt;wsp:rsid wsp:val=&quot;006F5A95&quot;/&gt;&lt;wsp:rsid wsp:val=&quot;006F6D65&quot;/&gt;&lt;wsp:rsid wsp:val=&quot;006F74A7&quot;/&gt;&lt;wsp:rsid wsp:val=&quot;0070090C&quot;/&gt;&lt;wsp:rsid wsp:val=&quot;00701171&quot;/&gt;&lt;wsp:rsid wsp:val=&quot;00701955&quot;/&gt;&lt;wsp:rsid wsp:val=&quot;007045A0&quot;/&gt;&lt;wsp:rsid wsp:val=&quot;00704910&quot;/&gt;&lt;wsp:rsid wsp:val=&quot;00704933&quot;/&gt;&lt;wsp:rsid wsp:val=&quot;007049F0&quot;/&gt;&lt;wsp:rsid wsp:val=&quot;007049FE&quot;/&gt;&lt;wsp:rsid wsp:val=&quot;00704C9C&quot;/&gt;&lt;wsp:rsid wsp:val=&quot;00705C88&quot;/&gt;&lt;wsp:rsid wsp:val=&quot;00707B3A&quot;/&gt;&lt;wsp:rsid wsp:val=&quot;00710C8C&quot;/&gt;&lt;wsp:rsid wsp:val=&quot;007119E2&quot;/&gt;&lt;wsp:rsid wsp:val=&quot;00711AFB&quot;/&gt;&lt;wsp:rsid wsp:val=&quot;0071293A&quot;/&gt;&lt;wsp:rsid wsp:val=&quot;00714886&quot;/&gt;&lt;wsp:rsid wsp:val=&quot;00715133&quot;/&gt;&lt;wsp:rsid wsp:val=&quot;007158F1&quot;/&gt;&lt;wsp:rsid wsp:val=&quot;00715CEF&quot;/&gt;&lt;wsp:rsid wsp:val=&quot;00715F99&quot;/&gt;&lt;wsp:rsid wsp:val=&quot;0071604B&quot;/&gt;&lt;wsp:rsid wsp:val=&quot;0071744D&quot;/&gt;&lt;wsp:rsid wsp:val=&quot;007176F3&quot;/&gt;&lt;wsp:rsid wsp:val=&quot;00717AD1&quot;/&gt;&lt;wsp:rsid wsp:val=&quot;00717EC9&quot;/&gt;&lt;wsp:rsid wsp:val=&quot;0072137A&quot;/&gt;&lt;wsp:rsid wsp:val=&quot;007216BA&quot;/&gt;&lt;wsp:rsid wsp:val=&quot;00722202&quot;/&gt;&lt;wsp:rsid wsp:val=&quot;00723314&quot;/&gt;&lt;wsp:rsid wsp:val=&quot;007242F6&quot;/&gt;&lt;wsp:rsid wsp:val=&quot;00724B00&quot;/&gt;&lt;wsp:rsid wsp:val=&quot;00724B19&quot;/&gt;&lt;wsp:rsid wsp:val=&quot;00725517&quot;/&gt;&lt;wsp:rsid wsp:val=&quot;00725604&quot;/&gt;&lt;wsp:rsid wsp:val=&quot;007257B2&quot;/&gt;&lt;wsp:rsid wsp:val=&quot;00725A97&quot;/&gt;&lt;wsp:rsid wsp:val=&quot;00725B60&quot;/&gt;&lt;wsp:rsid wsp:val=&quot;007261AB&quot;/&gt;&lt;wsp:rsid wsp:val=&quot;00730305&quot;/&gt;&lt;wsp:rsid wsp:val=&quot;00730A72&quot;/&gt;&lt;wsp:rsid wsp:val=&quot;007314A3&quot;/&gt;&lt;wsp:rsid wsp:val=&quot;00731DC0&quot;/&gt;&lt;wsp:rsid wsp:val=&quot;00732355&quot;/&gt;&lt;wsp:rsid wsp:val=&quot;0073297C&quot;/&gt;&lt;wsp:rsid wsp:val=&quot;00733886&quot;/&gt;&lt;wsp:rsid wsp:val=&quot;00734C98&quot;/&gt;&lt;wsp:rsid wsp:val=&quot;00734E83&quot;/&gt;&lt;wsp:rsid wsp:val=&quot;00735239&quot;/&gt;&lt;wsp:rsid wsp:val=&quot;00740ED5&quot;/&gt;&lt;wsp:rsid wsp:val=&quot;00743B56&quot;/&gt;&lt;wsp:rsid wsp:val=&quot;00746828&quot;/&gt;&lt;wsp:rsid wsp:val=&quot;00747D8C&quot;/&gt;&lt;wsp:rsid wsp:val=&quot;007503C0&quot;/&gt;&lt;wsp:rsid wsp:val=&quot;00750825&quot;/&gt;&lt;wsp:rsid wsp:val=&quot;007509DA&quot;/&gt;&lt;wsp:rsid wsp:val=&quot;00750DFF&quot;/&gt;&lt;wsp:rsid wsp:val=&quot;00751A6A&quot;/&gt;&lt;wsp:rsid wsp:val=&quot;00751EF8&quot;/&gt;&lt;wsp:rsid wsp:val=&quot;0075256E&quot;/&gt;&lt;wsp:rsid wsp:val=&quot;00753240&quot;/&gt;&lt;wsp:rsid wsp:val=&quot;007536CD&quot;/&gt;&lt;wsp:rsid wsp:val=&quot;00753914&quot;/&gt;&lt;wsp:rsid wsp:val=&quot;00753C64&quot;/&gt;&lt;wsp:rsid wsp:val=&quot;007549E9&quot;/&gt;&lt;wsp:rsid wsp:val=&quot;00754F25&quot;/&gt;&lt;wsp:rsid wsp:val=&quot;00756128&quot;/&gt;&lt;wsp:rsid wsp:val=&quot;00756840&quot;/&gt;&lt;wsp:rsid wsp:val=&quot;00756E84&quot;/&gt;&lt;wsp:rsid wsp:val=&quot;00757F28&quot;/&gt;&lt;wsp:rsid wsp:val=&quot;00760394&quot;/&gt;&lt;wsp:rsid wsp:val=&quot;0076243E&quot;/&gt;&lt;wsp:rsid wsp:val=&quot;00764CAF&quot;/&gt;&lt;wsp:rsid wsp:val=&quot;00765C52&quot;/&gt;&lt;wsp:rsid wsp:val=&quot;00766AFD&quot;/&gt;&lt;wsp:rsid wsp:val=&quot;0077022D&quot;/&gt;&lt;wsp:rsid wsp:val=&quot;0077088A&quot;/&gt;&lt;wsp:rsid wsp:val=&quot;00770D88&quot;/&gt;&lt;wsp:rsid wsp:val=&quot;007712EA&quot;/&gt;&lt;wsp:rsid wsp:val=&quot;00773B4C&quot;/&gt;&lt;wsp:rsid wsp:val=&quot;00773D05&quot;/&gt;&lt;wsp:rsid wsp:val=&quot;00773DF3&quot;/&gt;&lt;wsp:rsid wsp:val=&quot;00773FA7&quot;/&gt;&lt;wsp:rsid wsp:val=&quot;00774752&quot;/&gt;&lt;wsp:rsid wsp:val=&quot;0077496E&quot;/&gt;&lt;wsp:rsid wsp:val=&quot;00774A8B&quot;/&gt;&lt;wsp:rsid wsp:val=&quot;00774D4A&quot;/&gt;&lt;wsp:rsid wsp:val=&quot;00775433&quot;/&gt;&lt;wsp:rsid wsp:val=&quot;00775D0A&quot;/&gt;&lt;wsp:rsid wsp:val=&quot;00775FDD&quot;/&gt;&lt;wsp:rsid wsp:val=&quot;00776C11&quot;/&gt;&lt;wsp:rsid wsp:val=&quot;00777B19&quot;/&gt;&lt;wsp:rsid wsp:val=&quot;00777D82&quot;/&gt;&lt;wsp:rsid wsp:val=&quot;007805BC&quot;/&gt;&lt;wsp:rsid wsp:val=&quot;0078078E&quot;/&gt;&lt;wsp:rsid wsp:val=&quot;00781611&quot;/&gt;&lt;wsp:rsid wsp:val=&quot;007818E2&quot;/&gt;&lt;wsp:rsid wsp:val=&quot;00781943&quot;/&gt;&lt;wsp:rsid wsp:val=&quot;0078218A&quot;/&gt;&lt;wsp:rsid wsp:val=&quot;00784493&quot;/&gt;&lt;wsp:rsid wsp:val=&quot;00784E74&quot;/&gt;&lt;wsp:rsid wsp:val=&quot;0078533B&quot;/&gt;&lt;wsp:rsid wsp:val=&quot;00785F22&quot;/&gt;&lt;wsp:rsid wsp:val=&quot;00786B08&quot;/&gt;&lt;wsp:rsid wsp:val=&quot;00786E28&quot;/&gt;&lt;wsp:rsid wsp:val=&quot;007918C0&quot;/&gt;&lt;wsp:rsid wsp:val=&quot;00791CD2&quot;/&gt;&lt;wsp:rsid wsp:val=&quot;00791EAC&quot;/&gt;&lt;wsp:rsid wsp:val=&quot;00792953&quot;/&gt;&lt;wsp:rsid wsp:val=&quot;007929C5&quot;/&gt;&lt;wsp:rsid wsp:val=&quot;00793B39&quot;/&gt;&lt;wsp:rsid wsp:val=&quot;00793D47&quot;/&gt;&lt;wsp:rsid wsp:val=&quot;00795C41&quot;/&gt;&lt;wsp:rsid wsp:val=&quot;00795DFF&quot;/&gt;&lt;wsp:rsid wsp:val=&quot;0079617C&quot;/&gt;&lt;wsp:rsid wsp:val=&quot;007967F3&quot;/&gt;&lt;wsp:rsid wsp:val=&quot;00797C10&quot;/&gt;&lt;wsp:rsid wsp:val=&quot;007A0D8F&quot;/&gt;&lt;wsp:rsid wsp:val=&quot;007A0EC9&quot;/&gt;&lt;wsp:rsid wsp:val=&quot;007A1108&quot;/&gt;&lt;wsp:rsid wsp:val=&quot;007A18B9&quot;/&gt;&lt;wsp:rsid wsp:val=&quot;007A2B64&quot;/&gt;&lt;wsp:rsid wsp:val=&quot;007A2BFC&quot;/&gt;&lt;wsp:rsid wsp:val=&quot;007A2FC2&quot;/&gt;&lt;wsp:rsid wsp:val=&quot;007A405E&quot;/&gt;&lt;wsp:rsid wsp:val=&quot;007A4B7D&quot;/&gt;&lt;wsp:rsid wsp:val=&quot;007A4E8E&quot;/&gt;&lt;wsp:rsid wsp:val=&quot;007A52A6&quot;/&gt;&lt;wsp:rsid wsp:val=&quot;007A52A7&quot;/&gt;&lt;wsp:rsid wsp:val=&quot;007A6151&quot;/&gt;&lt;wsp:rsid wsp:val=&quot;007A62B7&quot;/&gt;&lt;wsp:rsid wsp:val=&quot;007A637F&quot;/&gt;&lt;wsp:rsid wsp:val=&quot;007A63C8&quot;/&gt;&lt;wsp:rsid wsp:val=&quot;007A794E&quot;/&gt;&lt;wsp:rsid wsp:val=&quot;007B114D&quot;/&gt;&lt;wsp:rsid wsp:val=&quot;007B1A83&quot;/&gt;&lt;wsp:rsid wsp:val=&quot;007B204B&quot;/&gt;&lt;wsp:rsid wsp:val=&quot;007B2C5A&quot;/&gt;&lt;wsp:rsid wsp:val=&quot;007B5508&quot;/&gt;&lt;wsp:rsid wsp:val=&quot;007B5A6F&quot;/&gt;&lt;wsp:rsid wsp:val=&quot;007B6510&quot;/&gt;&lt;wsp:rsid wsp:val=&quot;007B7409&quot;/&gt;&lt;wsp:rsid wsp:val=&quot;007B7ED5&quot;/&gt;&lt;wsp:rsid wsp:val=&quot;007C04ED&quot;/&gt;&lt;wsp:rsid wsp:val=&quot;007C12BA&quot;/&gt;&lt;wsp:rsid wsp:val=&quot;007C2AFB&quot;/&gt;&lt;wsp:rsid wsp:val=&quot;007C2CCD&quot;/&gt;&lt;wsp:rsid wsp:val=&quot;007C2E01&quot;/&gt;&lt;wsp:rsid wsp:val=&quot;007C2F24&quot;/&gt;&lt;wsp:rsid wsp:val=&quot;007C303C&quot;/&gt;&lt;wsp:rsid wsp:val=&quot;007C3D46&quot;/&gt;&lt;wsp:rsid wsp:val=&quot;007C3D6B&quot;/&gt;&lt;wsp:rsid wsp:val=&quot;007C48B8&quot;/&gt;&lt;wsp:rsid wsp:val=&quot;007C5398&quot;/&gt;&lt;wsp:rsid wsp:val=&quot;007C53B7&quot;/&gt;&lt;wsp:rsid wsp:val=&quot;007C61FC&quot;/&gt;&lt;wsp:rsid wsp:val=&quot;007C64C2&quot;/&gt;&lt;wsp:rsid wsp:val=&quot;007C6B86&quot;/&gt;&lt;wsp:rsid wsp:val=&quot;007C6CC8&quot;/&gt;&lt;wsp:rsid wsp:val=&quot;007C7350&quot;/&gt;&lt;wsp:rsid wsp:val=&quot;007C76EE&quot;/&gt;&lt;wsp:rsid wsp:val=&quot;007D0294&quot;/&gt;&lt;wsp:rsid wsp:val=&quot;007D0490&quot;/&gt;&lt;wsp:rsid wsp:val=&quot;007D0F55&quot;/&gt;&lt;wsp:rsid wsp:val=&quot;007D2ADD&quot;/&gt;&lt;wsp:rsid wsp:val=&quot;007D2CAC&quot;/&gt;&lt;wsp:rsid wsp:val=&quot;007D348B&quot;/&gt;&lt;wsp:rsid wsp:val=&quot;007D3914&quot;/&gt;&lt;wsp:rsid wsp:val=&quot;007D3EFF&quot;/&gt;&lt;wsp:rsid wsp:val=&quot;007D412B&quot;/&gt;&lt;wsp:rsid wsp:val=&quot;007D502C&quot;/&gt;&lt;wsp:rsid wsp:val=&quot;007D5527&quot;/&gt;&lt;wsp:rsid wsp:val=&quot;007D5F17&quot;/&gt;&lt;wsp:rsid wsp:val=&quot;007D6FAC&quot;/&gt;&lt;wsp:rsid wsp:val=&quot;007E0391&quot;/&gt;&lt;wsp:rsid wsp:val=&quot;007E087D&quot;/&gt;&lt;wsp:rsid wsp:val=&quot;007E097B&quot;/&gt;&lt;wsp:rsid wsp:val=&quot;007E1BAF&quot;/&gt;&lt;wsp:rsid wsp:val=&quot;007E2337&quot;/&gt;&lt;wsp:rsid wsp:val=&quot;007E30A8&quot;/&gt;&lt;wsp:rsid wsp:val=&quot;007E36F1&quot;/&gt;&lt;wsp:rsid wsp:val=&quot;007E3BE2&quot;/&gt;&lt;wsp:rsid wsp:val=&quot;007E4989&quot;/&gt;&lt;wsp:rsid wsp:val=&quot;007E4F9D&quot;/&gt;&lt;wsp:rsid wsp:val=&quot;007E5215&quot;/&gt;&lt;wsp:rsid wsp:val=&quot;007E55E7&quot;/&gt;&lt;wsp:rsid wsp:val=&quot;007E7AEC&quot;/&gt;&lt;wsp:rsid wsp:val=&quot;007F29AE&quot;/&gt;&lt;wsp:rsid wsp:val=&quot;007F3053&quot;/&gt;&lt;wsp:rsid wsp:val=&quot;007F33D8&quot;/&gt;&lt;wsp:rsid wsp:val=&quot;007F444D&quot;/&gt;&lt;wsp:rsid wsp:val=&quot;007F4519&quot;/&gt;&lt;wsp:rsid wsp:val=&quot;007F4636&quot;/&gt;&lt;wsp:rsid wsp:val=&quot;007F51FE&quot;/&gt;&lt;wsp:rsid wsp:val=&quot;007F65B3&quot;/&gt;&lt;wsp:rsid wsp:val=&quot;007F6CCE&quot;/&gt;&lt;wsp:rsid wsp:val=&quot;007F79C1&quot;/&gt;&lt;wsp:rsid wsp:val=&quot;008003B9&quot;/&gt;&lt;wsp:rsid wsp:val=&quot;008004D1&quot;/&gt;&lt;wsp:rsid wsp:val=&quot;0080069D&quot;/&gt;&lt;wsp:rsid wsp:val=&quot;00801487&quot;/&gt;&lt;wsp:rsid wsp:val=&quot;00801AF6&quot;/&gt;&lt;wsp:rsid wsp:val=&quot;00802A0B&quot;/&gt;&lt;wsp:rsid wsp:val=&quot;00803F39&quot;/&gt;&lt;wsp:rsid wsp:val=&quot;008049D0&quot;/&gt;&lt;wsp:rsid wsp:val=&quot;0080633A&quot;/&gt;&lt;wsp:rsid wsp:val=&quot;00806DD8&quot;/&gt;&lt;wsp:rsid wsp:val=&quot;008071AA&quot;/&gt;&lt;wsp:rsid wsp:val=&quot;00810177&quot;/&gt;&lt;wsp:rsid wsp:val=&quot;008109BB&quot;/&gt;&lt;wsp:rsid wsp:val=&quot;00810F24&quot;/&gt;&lt;wsp:rsid wsp:val=&quot;00811E54&quot;/&gt;&lt;wsp:rsid wsp:val=&quot;00812496&quot;/&gt;&lt;wsp:rsid wsp:val=&quot;008127DD&quot;/&gt;&lt;wsp:rsid wsp:val=&quot;00812A68&quot;/&gt;&lt;wsp:rsid wsp:val=&quot;00812A69&quot;/&gt;&lt;wsp:rsid wsp:val=&quot;00812A7E&quot;/&gt;&lt;wsp:rsid wsp:val=&quot;00813473&quot;/&gt;&lt;wsp:rsid wsp:val=&quot;0081408B&quot;/&gt;&lt;wsp:rsid wsp:val=&quot;00814093&quot;/&gt;&lt;wsp:rsid wsp:val=&quot;00815C11&quot;/&gt;&lt;wsp:rsid wsp:val=&quot;00815D3F&quot;/&gt;&lt;wsp:rsid wsp:val=&quot;00816551&quot;/&gt;&lt;wsp:rsid wsp:val=&quot;008167E2&quot;/&gt;&lt;wsp:rsid wsp:val=&quot;00817A6B&quot;/&gt;&lt;wsp:rsid wsp:val=&quot;00820AC3&quot;/&gt;&lt;wsp:rsid wsp:val=&quot;00821579&quot;/&gt;&lt;wsp:rsid wsp:val=&quot;00822113&quot;/&gt;&lt;wsp:rsid wsp:val=&quot;00822AA4&quot;/&gt;&lt;wsp:rsid wsp:val=&quot;00823281&quot;/&gt;&lt;wsp:rsid wsp:val=&quot;008240CD&quot;/&gt;&lt;wsp:rsid wsp:val=&quot;008256BF&quot;/&gt;&lt;wsp:rsid wsp:val=&quot;008257A8&quot;/&gt;&lt;wsp:rsid wsp:val=&quot;00825A1E&quot;/&gt;&lt;wsp:rsid wsp:val=&quot;0082743F&quot;/&gt;&lt;wsp:rsid wsp:val=&quot;008274D0&quot;/&gt;&lt;wsp:rsid wsp:val=&quot;00827EF7&quot;/&gt;&lt;wsp:rsid wsp:val=&quot;00830BCE&quot;/&gt;&lt;wsp:rsid wsp:val=&quot;00831AF5&quot;/&gt;&lt;wsp:rsid wsp:val=&quot;00832080&quot;/&gt;&lt;wsp:rsid wsp:val=&quot;00833009&quot;/&gt;&lt;wsp:rsid wsp:val=&quot;0083373D&quot;/&gt;&lt;wsp:rsid wsp:val=&quot;0083400F&quot;/&gt;&lt;wsp:rsid wsp:val=&quot;00834C21&quot;/&gt;&lt;wsp:rsid wsp:val=&quot;00834E9D&quot;/&gt;&lt;wsp:rsid wsp:val=&quot;00835FB8&quot;/&gt;&lt;wsp:rsid wsp:val=&quot;00836440&quot;/&gt;&lt;wsp:rsid wsp:val=&quot;00836994&quot;/&gt;&lt;wsp:rsid wsp:val=&quot;00836F5E&quot;/&gt;&lt;wsp:rsid wsp:val=&quot;008372D5&quot;/&gt;&lt;wsp:rsid wsp:val=&quot;008378FF&quot;/&gt;&lt;wsp:rsid wsp:val=&quot;00837A73&quot;/&gt;&lt;wsp:rsid wsp:val=&quot;00837B45&quot;/&gt;&lt;wsp:rsid wsp:val=&quot;00837BBB&quot;/&gt;&lt;wsp:rsid wsp:val=&quot;008411D0&quot;/&gt;&lt;wsp:rsid wsp:val=&quot;008441AB&quot;/&gt;&lt;wsp:rsid wsp:val=&quot;008441C9&quot;/&gt;&lt;wsp:rsid wsp:val=&quot;008446DC&quot;/&gt;&lt;wsp:rsid wsp:val=&quot;0084591A&quot;/&gt;&lt;wsp:rsid wsp:val=&quot;00845FD9&quot;/&gt;&lt;wsp:rsid wsp:val=&quot;00846486&quot;/&gt;&lt;wsp:rsid wsp:val=&quot;00846693&quot;/&gt;&lt;wsp:rsid wsp:val=&quot;00846CD7&quot;/&gt;&lt;wsp:rsid wsp:val=&quot;008478AB&quot;/&gt;&lt;wsp:rsid wsp:val=&quot;0085169C&quot;/&gt;&lt;wsp:rsid wsp:val=&quot;00851703&quot;/&gt;&lt;wsp:rsid wsp:val=&quot;008519D4&quot;/&gt;&lt;wsp:rsid wsp:val=&quot;008533A3&quot;/&gt;&lt;wsp:rsid wsp:val=&quot;00854DE3&quot;/&gt;&lt;wsp:rsid wsp:val=&quot;00854FBD&quot;/&gt;&lt;wsp:rsid wsp:val=&quot;00855B2E&quot;/&gt;&lt;wsp:rsid wsp:val=&quot;0085607E&quot;/&gt;&lt;wsp:rsid wsp:val=&quot;00856BEE&quot;/&gt;&lt;wsp:rsid wsp:val=&quot;00856D30&quot;/&gt;&lt;wsp:rsid wsp:val=&quot;00860B8B&quot;/&gt;&lt;wsp:rsid wsp:val=&quot;00863041&quot;/&gt;&lt;wsp:rsid wsp:val=&quot;0086326E&quot;/&gt;&lt;wsp:rsid wsp:val=&quot;008634A0&quot;/&gt;&lt;wsp:rsid wsp:val=&quot;00864AE9&quot;/&gt;&lt;wsp:rsid wsp:val=&quot;00864CBB&quot;/&gt;&lt;wsp:rsid wsp:val=&quot;00864D0C&quot;/&gt;&lt;wsp:rsid wsp:val=&quot;008660E2&quot;/&gt;&lt;wsp:rsid wsp:val=&quot;00866F1F&quot;/&gt;&lt;wsp:rsid wsp:val=&quot;0086787B&quot;/&gt;&lt;wsp:rsid wsp:val=&quot;008701BC&quot;/&gt;&lt;wsp:rsid wsp:val=&quot;0087057D&quot;/&gt;&lt;wsp:rsid wsp:val=&quot;008712B5&quot;/&gt;&lt;wsp:rsid wsp:val=&quot;00871897&quot;/&gt;&lt;wsp:rsid wsp:val=&quot;008744E5&quot;/&gt;&lt;wsp:rsid wsp:val=&quot;00874964&quot;/&gt;&lt;wsp:rsid wsp:val=&quot;008755DE&quot;/&gt;&lt;wsp:rsid wsp:val=&quot;008759BE&quot;/&gt;&lt;wsp:rsid wsp:val=&quot;00875FD7&quot;/&gt;&lt;wsp:rsid wsp:val=&quot;008775C4&quot;/&gt;&lt;wsp:rsid wsp:val=&quot;00877FEC&quot;/&gt;&lt;wsp:rsid wsp:val=&quot;0088074E&quot;/&gt;&lt;wsp:rsid wsp:val=&quot;00880AB0&quot;/&gt;&lt;wsp:rsid wsp:val=&quot;008821BF&quot;/&gt;&lt;wsp:rsid wsp:val=&quot;008823C3&quot;/&gt;&lt;wsp:rsid wsp:val=&quot;00882951&quot;/&gt;&lt;wsp:rsid wsp:val=&quot;00883DD7&quot;/&gt;&lt;wsp:rsid wsp:val=&quot;008847BD&quot;/&gt;&lt;wsp:rsid wsp:val=&quot;00885415&quot;/&gt;&lt;wsp:rsid wsp:val=&quot;00886CFA&quot;/&gt;&lt;wsp:rsid wsp:val=&quot;00886E85&quot;/&gt;&lt;wsp:rsid wsp:val=&quot;0088771A&quot;/&gt;&lt;wsp:rsid wsp:val=&quot;0088779D&quot;/&gt;&lt;wsp:rsid wsp:val=&quot;008904AE&quot;/&gt;&lt;wsp:rsid wsp:val=&quot;008938F3&quot;/&gt;&lt;wsp:rsid wsp:val=&quot;008941D0&quot;/&gt;&lt;wsp:rsid wsp:val=&quot;0089716F&quot;/&gt;&lt;wsp:rsid wsp:val=&quot;00897FC8&quot;/&gt;&lt;wsp:rsid wsp:val=&quot;008A05CE&quot;/&gt;&lt;wsp:rsid wsp:val=&quot;008A067E&quot;/&gt;&lt;wsp:rsid wsp:val=&quot;008A095C&quot;/&gt;&lt;wsp:rsid wsp:val=&quot;008A1230&quot;/&gt;&lt;wsp:rsid wsp:val=&quot;008A161C&quot;/&gt;&lt;wsp:rsid wsp:val=&quot;008A1AD4&quot;/&gt;&lt;wsp:rsid wsp:val=&quot;008A26BA&quot;/&gt;&lt;wsp:rsid wsp:val=&quot;008A39EF&quot;/&gt;&lt;wsp:rsid wsp:val=&quot;008A3A2E&quot;/&gt;&lt;wsp:rsid wsp:val=&quot;008A3EA8&quot;/&gt;&lt;wsp:rsid wsp:val=&quot;008A413C&quot;/&gt;&lt;wsp:rsid wsp:val=&quot;008A451C&quot;/&gt;&lt;wsp:rsid wsp:val=&quot;008A4802&quot;/&gt;&lt;wsp:rsid wsp:val=&quot;008A4A95&quot;/&gt;&lt;wsp:rsid wsp:val=&quot;008A4B16&quot;/&gt;&lt;wsp:rsid wsp:val=&quot;008A4B30&quot;/&gt;&lt;wsp:rsid wsp:val=&quot;008A598B&quot;/&gt;&lt;wsp:rsid wsp:val=&quot;008A65E1&quot;/&gt;&lt;wsp:rsid wsp:val=&quot;008A6BD6&quot;/&gt;&lt;wsp:rsid wsp:val=&quot;008A7C36&quot;/&gt;&lt;wsp:rsid wsp:val=&quot;008B0390&quot;/&gt;&lt;wsp:rsid wsp:val=&quot;008B04ED&quot;/&gt;&lt;wsp:rsid wsp:val=&quot;008B115A&quot;/&gt;&lt;wsp:rsid wsp:val=&quot;008B1CF1&quot;/&gt;&lt;wsp:rsid wsp:val=&quot;008B255F&quot;/&gt;&lt;wsp:rsid wsp:val=&quot;008B29B4&quot;/&gt;&lt;wsp:rsid wsp:val=&quot;008B3B19&quot;/&gt;&lt;wsp:rsid wsp:val=&quot;008B4073&quot;/&gt;&lt;wsp:rsid wsp:val=&quot;008B47C7&quot;/&gt;&lt;wsp:rsid wsp:val=&quot;008B49B3&quot;/&gt;&lt;wsp:rsid wsp:val=&quot;008B6C65&quot;/&gt;&lt;wsp:rsid wsp:val=&quot;008B6F44&quot;/&gt;&lt;wsp:rsid wsp:val=&quot;008C0051&quot;/&gt;&lt;wsp:rsid wsp:val=&quot;008C01A1&quot;/&gt;&lt;wsp:rsid wsp:val=&quot;008C0BC1&quot;/&gt;&lt;wsp:rsid wsp:val=&quot;008C169D&quot;/&gt;&lt;wsp:rsid wsp:val=&quot;008C2D2B&quot;/&gt;&lt;wsp:rsid wsp:val=&quot;008C2EBA&quot;/&gt;&lt;wsp:rsid wsp:val=&quot;008C3488&quot;/&gt;&lt;wsp:rsid wsp:val=&quot;008C370C&quot;/&gt;&lt;wsp:rsid wsp:val=&quot;008C46DA&quot;/&gt;&lt;wsp:rsid wsp:val=&quot;008C49B3&quot;/&gt;&lt;wsp:rsid wsp:val=&quot;008C4CEB&quot;/&gt;&lt;wsp:rsid wsp:val=&quot;008C5B7A&quot;/&gt;&lt;wsp:rsid wsp:val=&quot;008C5FEE&quot;/&gt;&lt;wsp:rsid wsp:val=&quot;008C7566&quot;/&gt;&lt;wsp:rsid wsp:val=&quot;008D150B&quot;/&gt;&lt;wsp:rsid wsp:val=&quot;008D172C&quot;/&gt;&lt;wsp:rsid wsp:val=&quot;008D2EC7&quot;/&gt;&lt;wsp:rsid wsp:val=&quot;008D2F23&quot;/&gt;&lt;wsp:rsid wsp:val=&quot;008D3106&quot;/&gt;&lt;wsp:rsid wsp:val=&quot;008D36B0&quot;/&gt;&lt;wsp:rsid wsp:val=&quot;008D3DD9&quot;/&gt;&lt;wsp:rsid wsp:val=&quot;008D3F23&quot;/&gt;&lt;wsp:rsid wsp:val=&quot;008D459E&quot;/&gt;&lt;wsp:rsid wsp:val=&quot;008D4654&quot;/&gt;&lt;wsp:rsid wsp:val=&quot;008D4851&quot;/&gt;&lt;wsp:rsid wsp:val=&quot;008D4F68&quot;/&gt;&lt;wsp:rsid wsp:val=&quot;008D686F&quot;/&gt;&lt;wsp:rsid wsp:val=&quot;008D6B6E&quot;/&gt;&lt;wsp:rsid wsp:val=&quot;008D6F20&quot;/&gt;&lt;wsp:rsid wsp:val=&quot;008D7727&quot;/&gt;&lt;wsp:rsid wsp:val=&quot;008E0385&quot;/&gt;&lt;wsp:rsid wsp:val=&quot;008E08EE&quot;/&gt;&lt;wsp:rsid wsp:val=&quot;008E23F0&quot;/&gt;&lt;wsp:rsid wsp:val=&quot;008E3651&quot;/&gt;&lt;wsp:rsid wsp:val=&quot;008E3BDA&quot;/&gt;&lt;wsp:rsid wsp:val=&quot;008E462C&quot;/&gt;&lt;wsp:rsid wsp:val=&quot;008E5FF7&quot;/&gt;&lt;wsp:rsid wsp:val=&quot;008E62B9&quot;/&gt;&lt;wsp:rsid wsp:val=&quot;008E6389&quot;/&gt;&lt;wsp:rsid wsp:val=&quot;008E78D2&quot;/&gt;&lt;wsp:rsid wsp:val=&quot;008E7949&quot;/&gt;&lt;wsp:rsid wsp:val=&quot;008F065F&quot;/&gt;&lt;wsp:rsid wsp:val=&quot;008F184F&quot;/&gt;&lt;wsp:rsid wsp:val=&quot;008F1EA1&quot;/&gt;&lt;wsp:rsid wsp:val=&quot;008F26B2&quot;/&gt;&lt;wsp:rsid wsp:val=&quot;008F28A2&quot;/&gt;&lt;wsp:rsid wsp:val=&quot;008F37E2&quot;/&gt;&lt;wsp:rsid wsp:val=&quot;008F3AC2&quot;/&gt;&lt;wsp:rsid wsp:val=&quot;008F435E&quot;/&gt;&lt;wsp:rsid wsp:val=&quot;008F4B29&quot;/&gt;&lt;wsp:rsid wsp:val=&quot;008F59C8&quot;/&gt;&lt;wsp:rsid wsp:val=&quot;008F73F8&quot;/&gt;&lt;wsp:rsid wsp:val=&quot;008F759A&quot;/&gt;&lt;wsp:rsid wsp:val=&quot;00900BDD&quot;/&gt;&lt;wsp:rsid wsp:val=&quot;00900F3A&quot;/&gt;&lt;wsp:rsid wsp:val=&quot;00901B4B&quot;/&gt;&lt;wsp:rsid wsp:val=&quot;00901BE6&quot;/&gt;&lt;wsp:rsid wsp:val=&quot;00901FDD&quot;/&gt;&lt;wsp:rsid wsp:val=&quot;00903168&quot;/&gt;&lt;wsp:rsid wsp:val=&quot;00903624&quot;/&gt;&lt;wsp:rsid wsp:val=&quot;0090480E&quot;/&gt;&lt;wsp:rsid wsp:val=&quot;00905234&quot;/&gt;&lt;wsp:rsid wsp:val=&quot;009056EA&quot;/&gt;&lt;wsp:rsid wsp:val=&quot;009059ED&quot;/&gt;&lt;wsp:rsid wsp:val=&quot;00905B68&quot;/&gt;&lt;wsp:rsid wsp:val=&quot;0090602D&quot;/&gt;&lt;wsp:rsid wsp:val=&quot;00906818&quot;/&gt;&lt;wsp:rsid wsp:val=&quot;009069EE&quot;/&gt;&lt;wsp:rsid wsp:val=&quot;00910F8F&quot;/&gt;&lt;wsp:rsid wsp:val=&quot;0091276A&quot;/&gt;&lt;wsp:rsid wsp:val=&quot;009132CC&quot;/&gt;&lt;wsp:rsid wsp:val=&quot;00913B48&quot;/&gt;&lt;wsp:rsid wsp:val=&quot;00914A2F&quot;/&gt;&lt;wsp:rsid wsp:val=&quot;009151A9&quot;/&gt;&lt;wsp:rsid wsp:val=&quot;00915AAB&quot;/&gt;&lt;wsp:rsid wsp:val=&quot;009166A4&quot;/&gt;&lt;wsp:rsid wsp:val=&quot;00916C37&quot;/&gt;&lt;wsp:rsid wsp:val=&quot;00916D41&quot;/&gt;&lt;wsp:rsid wsp:val=&quot;00917D32&quot;/&gt;&lt;wsp:rsid wsp:val=&quot;00921B68&quot;/&gt;&lt;wsp:rsid wsp:val=&quot;00922118&quot;/&gt;&lt;wsp:rsid wsp:val=&quot;00924415&quot;/&gt;&lt;wsp:rsid wsp:val=&quot;00924DFE&quot;/&gt;&lt;wsp:rsid wsp:val=&quot;009250D5&quot;/&gt;&lt;wsp:rsid wsp:val=&quot;00926A1B&quot;/&gt;&lt;wsp:rsid wsp:val=&quot;00926BC2&quot;/&gt;&lt;wsp:rsid wsp:val=&quot;00930541&quot;/&gt;&lt;wsp:rsid wsp:val=&quot;00930CF4&quot;/&gt;&lt;wsp:rsid wsp:val=&quot;00931168&quot;/&gt;&lt;wsp:rsid wsp:val=&quot;00931411&quot;/&gt;&lt;wsp:rsid wsp:val=&quot;00931998&quot;/&gt;&lt;wsp:rsid wsp:val=&quot;00934492&quot;/&gt;&lt;wsp:rsid wsp:val=&quot;009344F7&quot;/&gt;&lt;wsp:rsid wsp:val=&quot;00935FD0&quot;/&gt;&lt;wsp:rsid wsp:val=&quot;00936E8D&quot;/&gt;&lt;wsp:rsid wsp:val=&quot;00937F75&quot;/&gt;&lt;wsp:rsid wsp:val=&quot;009408EA&quot;/&gt;&lt;wsp:rsid wsp:val=&quot;00940A6C&quot;/&gt;&lt;wsp:rsid wsp:val=&quot;00940ADD&quot;/&gt;&lt;wsp:rsid wsp:val=&quot;00940AF8&quot;/&gt;&lt;wsp:rsid wsp:val=&quot;00944384&quot;/&gt;&lt;wsp:rsid wsp:val=&quot;0094560A&quot;/&gt;&lt;wsp:rsid wsp:val=&quot;00945EFB&quot;/&gt;&lt;wsp:rsid wsp:val=&quot;0094625C&quot;/&gt;&lt;wsp:rsid wsp:val=&quot;00946DBD&quot;/&gt;&lt;wsp:rsid wsp:val=&quot;00946FE4&quot;/&gt;&lt;wsp:rsid wsp:val=&quot;00946FF9&quot;/&gt;&lt;wsp:rsid wsp:val=&quot;00947BD9&quot;/&gt;&lt;wsp:rsid wsp:val=&quot;00950082&quot;/&gt;&lt;wsp:rsid wsp:val=&quot;00950473&quot;/&gt;&lt;wsp:rsid wsp:val=&quot;009504BF&quot;/&gt;&lt;wsp:rsid wsp:val=&quot;00952275&quot;/&gt;&lt;wsp:rsid wsp:val=&quot;00952ED5&quot;/&gt;&lt;wsp:rsid wsp:val=&quot;009534DE&quot;/&gt;&lt;wsp:rsid wsp:val=&quot;00953AED&quot;/&gt;&lt;wsp:rsid wsp:val=&quot;009549B0&quot;/&gt;&lt;wsp:rsid wsp:val=&quot;00955F5D&quot;/&gt;&lt;wsp:rsid wsp:val=&quot;00956609&quot;/&gt;&lt;wsp:rsid wsp:val=&quot;00956B82&quot;/&gt;&lt;wsp:rsid wsp:val=&quot;009606BE&quot;/&gt;&lt;wsp:rsid wsp:val=&quot;009609F2&quot;/&gt;&lt;wsp:rsid wsp:val=&quot;00960D2F&quot;/&gt;&lt;wsp:rsid wsp:val=&quot;00962874&quot;/&gt;&lt;wsp:rsid wsp:val=&quot;00963897&quot;/&gt;&lt;wsp:rsid wsp:val=&quot;00964334&quot;/&gt;&lt;wsp:rsid wsp:val=&quot;00964863&quot;/&gt;&lt;wsp:rsid wsp:val=&quot;009649A0&quot;/&gt;&lt;wsp:rsid wsp:val=&quot;0096582F&quot;/&gt;&lt;wsp:rsid wsp:val=&quot;00965A0E&quot;/&gt;&lt;wsp:rsid wsp:val=&quot;00965E5B&quot;/&gt;&lt;wsp:rsid wsp:val=&quot;00966EB6&quot;/&gt;&lt;wsp:rsid wsp:val=&quot;009711C3&quot;/&gt;&lt;wsp:rsid wsp:val=&quot;0097129D&quot;/&gt;&lt;wsp:rsid wsp:val=&quot;00971E42&quot;/&gt;&lt;wsp:rsid wsp:val=&quot;00972328&quot;/&gt;&lt;wsp:rsid wsp:val=&quot;0097299B&quot;/&gt;&lt;wsp:rsid wsp:val=&quot;00973701&quot;/&gt;&lt;wsp:rsid wsp:val=&quot;00973F74&quot;/&gt;&lt;wsp:rsid wsp:val=&quot;00974A67&quot;/&gt;&lt;wsp:rsid wsp:val=&quot;00974B40&quot;/&gt;&lt;wsp:rsid wsp:val=&quot;0097685E&quot;/&gt;&lt;wsp:rsid wsp:val=&quot;0097693F&quot;/&gt;&lt;wsp:rsid wsp:val=&quot;00980BAE&quot;/&gt;&lt;wsp:rsid wsp:val=&quot;00980EE1&quot;/&gt;&lt;wsp:rsid wsp:val=&quot;009819A6&quot;/&gt;&lt;wsp:rsid wsp:val=&quot;00983D60&quot;/&gt;&lt;wsp:rsid wsp:val=&quot;00984698&quot;/&gt;&lt;wsp:rsid wsp:val=&quot;009849C8&quot;/&gt;&lt;wsp:rsid wsp:val=&quot;00984D7F&quot;/&gt;&lt;wsp:rsid wsp:val=&quot;00985680&quot;/&gt;&lt;wsp:rsid wsp:val=&quot;009860A7&quot;/&gt;&lt;wsp:rsid wsp:val=&quot;0098645E&quot;/&gt;&lt;wsp:rsid wsp:val=&quot;00990FCD&quot;/&gt;&lt;wsp:rsid wsp:val=&quot;009918A9&quot;/&gt;&lt;wsp:rsid wsp:val=&quot;00991BDA&quot;/&gt;&lt;wsp:rsid wsp:val=&quot;00993545&quot;/&gt;&lt;wsp:rsid wsp:val=&quot;009950D9&quot;/&gt;&lt;wsp:rsid wsp:val=&quot;00996A49&quot;/&gt;&lt;wsp:rsid wsp:val=&quot;009A0F59&quot;/&gt;&lt;wsp:rsid wsp:val=&quot;009A166A&quot;/&gt;&lt;wsp:rsid wsp:val=&quot;009A17CE&quot;/&gt;&lt;wsp:rsid wsp:val=&quot;009A2C51&quot;/&gt;&lt;wsp:rsid wsp:val=&quot;009A409D&quot;/&gt;&lt;wsp:rsid wsp:val=&quot;009A427F&quot;/&gt;&lt;wsp:rsid wsp:val=&quot;009A459E&quot;/&gt;&lt;wsp:rsid wsp:val=&quot;009A4ECD&quot;/&gt;&lt;wsp:rsid wsp:val=&quot;009A56A7&quot;/&gt;&lt;wsp:rsid wsp:val=&quot;009A5874&quot;/&gt;&lt;wsp:rsid wsp:val=&quot;009A734C&quot;/&gt;&lt;wsp:rsid wsp:val=&quot;009A7964&quot;/&gt;&lt;wsp:rsid wsp:val=&quot;009A7F95&quot;/&gt;&lt;wsp:rsid wsp:val=&quot;009B03E4&quot;/&gt;&lt;wsp:rsid wsp:val=&quot;009B0820&quot;/&gt;&lt;wsp:rsid wsp:val=&quot;009B11D7&quot;/&gt;&lt;wsp:rsid wsp:val=&quot;009B1952&quot;/&gt;&lt;wsp:rsid wsp:val=&quot;009B1FA7&quot;/&gt;&lt;wsp:rsid wsp:val=&quot;009B2F4A&quot;/&gt;&lt;wsp:rsid wsp:val=&quot;009B35F4&quot;/&gt;&lt;wsp:rsid wsp:val=&quot;009B4D96&quot;/&gt;&lt;wsp:rsid wsp:val=&quot;009B6133&quot;/&gt;&lt;wsp:rsid wsp:val=&quot;009B643E&quot;/&gt;&lt;wsp:rsid wsp:val=&quot;009B724A&quot;/&gt;&lt;wsp:rsid wsp:val=&quot;009C02A7&quot;/&gt;&lt;wsp:rsid wsp:val=&quot;009C044D&quot;/&gt;&lt;wsp:rsid wsp:val=&quot;009C086A&quot;/&gt;&lt;wsp:rsid wsp:val=&quot;009C2016&quot;/&gt;&lt;wsp:rsid wsp:val=&quot;009C21EC&quot;/&gt;&lt;wsp:rsid wsp:val=&quot;009C3190&quot;/&gt;&lt;wsp:rsid wsp:val=&quot;009C328D&quot;/&gt;&lt;wsp:rsid wsp:val=&quot;009C3E22&quot;/&gt;&lt;wsp:rsid wsp:val=&quot;009C50CB&quot;/&gt;&lt;wsp:rsid wsp:val=&quot;009C5348&quot;/&gt;&lt;wsp:rsid wsp:val=&quot;009C6D39&quot;/&gt;&lt;wsp:rsid wsp:val=&quot;009C6F27&quot;/&gt;&lt;wsp:rsid wsp:val=&quot;009C7ACD&quot;/&gt;&lt;wsp:rsid wsp:val=&quot;009D1962&quot;/&gt;&lt;wsp:rsid wsp:val=&quot;009D20A1&quot;/&gt;&lt;wsp:rsid wsp:val=&quot;009D2297&quot;/&gt;&lt;wsp:rsid wsp:val=&quot;009D2B0E&quot;/&gt;&lt;wsp:rsid wsp:val=&quot;009D2F26&quot;/&gt;&lt;wsp:rsid wsp:val=&quot;009D31F3&quot;/&gt;&lt;wsp:rsid wsp:val=&quot;009D3B4F&quot;/&gt;&lt;wsp:rsid wsp:val=&quot;009D48A0&quot;/&gt;&lt;wsp:rsid wsp:val=&quot;009D4AC2&quot;/&gt;&lt;wsp:rsid wsp:val=&quot;009D6377&quot;/&gt;&lt;wsp:rsid wsp:val=&quot;009D69D0&quot;/&gt;&lt;wsp:rsid wsp:val=&quot;009D72C5&quot;/&gt;&lt;wsp:rsid wsp:val=&quot;009E1291&quot;/&gt;&lt;wsp:rsid wsp:val=&quot;009E1AC8&quot;/&gt;&lt;wsp:rsid wsp:val=&quot;009E1F2D&quot;/&gt;&lt;wsp:rsid wsp:val=&quot;009E2AD8&quot;/&gt;&lt;wsp:rsid wsp:val=&quot;009E3BAB&quot;/&gt;&lt;wsp:rsid wsp:val=&quot;009E40C4&quot;/&gt;&lt;wsp:rsid wsp:val=&quot;009E45FD&quot;/&gt;&lt;wsp:rsid wsp:val=&quot;009E486A&quot;/&gt;&lt;wsp:rsid wsp:val=&quot;009E6321&quot;/&gt;&lt;wsp:rsid wsp:val=&quot;009E6884&quot;/&gt;&lt;wsp:rsid wsp:val=&quot;009E689A&quot;/&gt;&lt;wsp:rsid wsp:val=&quot;009E68DA&quot;/&gt;&lt;wsp:rsid wsp:val=&quot;009E6EA8&quot;/&gt;&lt;wsp:rsid wsp:val=&quot;009E6EF9&quot;/&gt;&lt;wsp:rsid wsp:val=&quot;009E7921&quot;/&gt;&lt;wsp:rsid wsp:val=&quot;009F0676&quot;/&gt;&lt;wsp:rsid wsp:val=&quot;009F0B64&quot;/&gt;&lt;wsp:rsid wsp:val=&quot;009F0BB7&quot;/&gt;&lt;wsp:rsid wsp:val=&quot;009F112E&quot;/&gt;&lt;wsp:rsid wsp:val=&quot;009F1DC3&quot;/&gt;&lt;wsp:rsid wsp:val=&quot;009F2039&quot;/&gt;&lt;wsp:rsid wsp:val=&quot;009F4CFC&quot;/&gt;&lt;wsp:rsid wsp:val=&quot;009F4EF0&quot;/&gt;&lt;wsp:rsid wsp:val=&quot;009F55E0&quot;/&gt;&lt;wsp:rsid wsp:val=&quot;009F6E3C&quot;/&gt;&lt;wsp:rsid wsp:val=&quot;009F7008&quot;/&gt;&lt;wsp:rsid wsp:val=&quot;009F79C7&quot;/&gt;&lt;wsp:rsid wsp:val=&quot;009F7D47&quot;/&gt;&lt;wsp:rsid wsp:val=&quot;00A022FF&quot;/&gt;&lt;wsp:rsid wsp:val=&quot;00A023BC&quot;/&gt;&lt;wsp:rsid wsp:val=&quot;00A0258B&quot;/&gt;&lt;wsp:rsid wsp:val=&quot;00A054D6&quot;/&gt;&lt;wsp:rsid wsp:val=&quot;00A05D39&quot;/&gt;&lt;wsp:rsid wsp:val=&quot;00A0604B&quot;/&gt;&lt;wsp:rsid wsp:val=&quot;00A061C7&quot;/&gt;&lt;wsp:rsid wsp:val=&quot;00A06F5C&quot;/&gt;&lt;wsp:rsid wsp:val=&quot;00A077BB&quot;/&gt;&lt;wsp:rsid wsp:val=&quot;00A07917&quot;/&gt;&lt;wsp:rsid wsp:val=&quot;00A07CFC&quot;/&gt;&lt;wsp:rsid wsp:val=&quot;00A10533&quot;/&gt;&lt;wsp:rsid wsp:val=&quot;00A10DE8&quot;/&gt;&lt;wsp:rsid wsp:val=&quot;00A11573&quot;/&gt;&lt;wsp:rsid wsp:val=&quot;00A12F5C&quot;/&gt;&lt;wsp:rsid wsp:val=&quot;00A134EE&quot;/&gt;&lt;wsp:rsid wsp:val=&quot;00A13A68&quot;/&gt;&lt;wsp:rsid wsp:val=&quot;00A13B6E&quot;/&gt;&lt;wsp:rsid wsp:val=&quot;00A14381&quot;/&gt;&lt;wsp:rsid wsp:val=&quot;00A1446D&quot;/&gt;&lt;wsp:rsid wsp:val=&quot;00A161FA&quot;/&gt;&lt;wsp:rsid wsp:val=&quot;00A16476&quot;/&gt;&lt;wsp:rsid wsp:val=&quot;00A168A9&quot;/&gt;&lt;wsp:rsid wsp:val=&quot;00A16FA0&quot;/&gt;&lt;wsp:rsid wsp:val=&quot;00A17087&quot;/&gt;&lt;wsp:rsid wsp:val=&quot;00A17741&quot;/&gt;&lt;wsp:rsid wsp:val=&quot;00A1776B&quot;/&gt;&lt;wsp:rsid wsp:val=&quot;00A21843&quot;/&gt;&lt;wsp:rsid wsp:val=&quot;00A23858&quot;/&gt;&lt;wsp:rsid wsp:val=&quot;00A243EE&quot;/&gt;&lt;wsp:rsid wsp:val=&quot;00A24838&quot;/&gt;&lt;wsp:rsid wsp:val=&quot;00A24D17&quot;/&gt;&lt;wsp:rsid wsp:val=&quot;00A272BA&quot;/&gt;&lt;wsp:rsid wsp:val=&quot;00A27C16&quot;/&gt;&lt;wsp:rsid wsp:val=&quot;00A3060E&quot;/&gt;&lt;wsp:rsid wsp:val=&quot;00A30853&quot;/&gt;&lt;wsp:rsid wsp:val=&quot;00A31400&quot;/&gt;&lt;wsp:rsid wsp:val=&quot;00A31507&quot;/&gt;&lt;wsp:rsid wsp:val=&quot;00A3170F&quot;/&gt;&lt;wsp:rsid wsp:val=&quot;00A323C2&quot;/&gt;&lt;wsp:rsid wsp:val=&quot;00A33437&quot;/&gt;&lt;wsp:rsid wsp:val=&quot;00A33735&quot;/&gt;&lt;wsp:rsid wsp:val=&quot;00A36048&quot;/&gt;&lt;wsp:rsid wsp:val=&quot;00A36939&quot;/&gt;&lt;wsp:rsid wsp:val=&quot;00A36BF0&quot;/&gt;&lt;wsp:rsid wsp:val=&quot;00A37690&quot;/&gt;&lt;wsp:rsid wsp:val=&quot;00A37789&quot;/&gt;&lt;wsp:rsid wsp:val=&quot;00A37826&quot;/&gt;&lt;wsp:rsid wsp:val=&quot;00A401B4&quot;/&gt;&lt;wsp:rsid wsp:val=&quot;00A40665&quot;/&gt;&lt;wsp:rsid wsp:val=&quot;00A40686&quot;/&gt;&lt;wsp:rsid wsp:val=&quot;00A41241&quot;/&gt;&lt;wsp:rsid wsp:val=&quot;00A42BE9&quot;/&gt;&lt;wsp:rsid wsp:val=&quot;00A42C5E&quot;/&gt;&lt;wsp:rsid wsp:val=&quot;00A456D4&quot;/&gt;&lt;wsp:rsid wsp:val=&quot;00A457E7&quot;/&gt;&lt;wsp:rsid wsp:val=&quot;00A45AC9&quot;/&gt;&lt;wsp:rsid wsp:val=&quot;00A4768D&quot;/&gt;&lt;wsp:rsid wsp:val=&quot;00A47C2F&quot;/&gt;&lt;wsp:rsid wsp:val=&quot;00A47E0D&quot;/&gt;&lt;wsp:rsid wsp:val=&quot;00A51022&quot;/&gt;&lt;wsp:rsid wsp:val=&quot;00A5195F&quot;/&gt;&lt;wsp:rsid wsp:val=&quot;00A51C8C&quot;/&gt;&lt;wsp:rsid wsp:val=&quot;00A5274D&quot;/&gt;&lt;wsp:rsid wsp:val=&quot;00A52CE0&quot;/&gt;&lt;wsp:rsid wsp:val=&quot;00A52D24&quot;/&gt;&lt;wsp:rsid wsp:val=&quot;00A53A46&quot;/&gt;&lt;wsp:rsid wsp:val=&quot;00A54451&quot;/&gt;&lt;wsp:rsid wsp:val=&quot;00A605AB&quot;/&gt;&lt;wsp:rsid wsp:val=&quot;00A60703&quot;/&gt;&lt;wsp:rsid wsp:val=&quot;00A60C00&quot;/&gt;&lt;wsp:rsid wsp:val=&quot;00A618B6&quot;/&gt;&lt;wsp:rsid wsp:val=&quot;00A6280C&quot;/&gt;&lt;wsp:rsid wsp:val=&quot;00A62CFC&quot;/&gt;&lt;wsp:rsid wsp:val=&quot;00A62D1D&quot;/&gt;&lt;wsp:rsid wsp:val=&quot;00A62F21&quot;/&gt;&lt;wsp:rsid wsp:val=&quot;00A63060&quot;/&gt;&lt;wsp:rsid wsp:val=&quot;00A6342A&quot;/&gt;&lt;wsp:rsid wsp:val=&quot;00A63A15&quot;/&gt;&lt;wsp:rsid wsp:val=&quot;00A63D4C&quot;/&gt;&lt;wsp:rsid wsp:val=&quot;00A64825&quot;/&gt;&lt;wsp:rsid wsp:val=&quot;00A64DE2&quot;/&gt;&lt;wsp:rsid wsp:val=&quot;00A65CA3&quot;/&gt;&lt;wsp:rsid wsp:val=&quot;00A66499&quot;/&gt;&lt;wsp:rsid wsp:val=&quot;00A667C2&quot;/&gt;&lt;wsp:rsid wsp:val=&quot;00A72C67&quot;/&gt;&lt;wsp:rsid wsp:val=&quot;00A731EB&quot;/&gt;&lt;wsp:rsid wsp:val=&quot;00A73E9B&quot;/&gt;&lt;wsp:rsid wsp:val=&quot;00A73F05&quot;/&gt;&lt;wsp:rsid wsp:val=&quot;00A7465B&quot;/&gt;&lt;wsp:rsid wsp:val=&quot;00A74984&quot;/&gt;&lt;wsp:rsid wsp:val=&quot;00A74A17&quot;/&gt;&lt;wsp:rsid wsp:val=&quot;00A75CE7&quot;/&gt;&lt;wsp:rsid wsp:val=&quot;00A76718&quot;/&gt;&lt;wsp:rsid wsp:val=&quot;00A76D92&quot;/&gt;&lt;wsp:rsid wsp:val=&quot;00A77808&quot;/&gt;&lt;wsp:rsid wsp:val=&quot;00A80064&quot;/&gt;&lt;wsp:rsid wsp:val=&quot;00A8070F&quot;/&gt;&lt;wsp:rsid wsp:val=&quot;00A80D28&quot;/&gt;&lt;wsp:rsid wsp:val=&quot;00A80F15&quot;/&gt;&lt;wsp:rsid wsp:val=&quot;00A81398&quot;/&gt;&lt;wsp:rsid wsp:val=&quot;00A82BDB&quot;/&gt;&lt;wsp:rsid wsp:val=&quot;00A83363&quot;/&gt;&lt;wsp:rsid wsp:val=&quot;00A84976&quot;/&gt;&lt;wsp:rsid wsp:val=&quot;00A85057&quot;/&gt;&lt;wsp:rsid wsp:val=&quot;00A85792&quot;/&gt;&lt;wsp:rsid wsp:val=&quot;00A86C31&quot;/&gt;&lt;wsp:rsid wsp:val=&quot;00A86D8B&quot;/&gt;&lt;wsp:rsid wsp:val=&quot;00A87151&quot;/&gt;&lt;wsp:rsid wsp:val=&quot;00A90198&quot;/&gt;&lt;wsp:rsid wsp:val=&quot;00A90215&quot;/&gt;&lt;wsp:rsid wsp:val=&quot;00A90F4B&quot;/&gt;&lt;wsp:rsid wsp:val=&quot;00A918E4&quot;/&gt;&lt;wsp:rsid wsp:val=&quot;00A919C9&quot;/&gt;&lt;wsp:rsid wsp:val=&quot;00A91A2B&quot;/&gt;&lt;wsp:rsid wsp:val=&quot;00A91A84&quot;/&gt;&lt;wsp:rsid wsp:val=&quot;00A91BC0&quot;/&gt;&lt;wsp:rsid wsp:val=&quot;00A91CDF&quot;/&gt;&lt;wsp:rsid wsp:val=&quot;00A91E3C&quot;/&gt;&lt;wsp:rsid wsp:val=&quot;00A9206E&quot;/&gt;&lt;wsp:rsid wsp:val=&quot;00A94950&quot;/&gt;&lt;wsp:rsid wsp:val=&quot;00A94DEC&quot;/&gt;&lt;wsp:rsid wsp:val=&quot;00A95043&quot;/&gt;&lt;wsp:rsid wsp:val=&quot;00A954EE&quot;/&gt;&lt;wsp:rsid wsp:val=&quot;00A95778&quot;/&gt;&lt;wsp:rsid wsp:val=&quot;00A96831&quot;/&gt;&lt;wsp:rsid wsp:val=&quot;00A96E6B&quot;/&gt;&lt;wsp:rsid wsp:val=&quot;00A97073&quot;/&gt;&lt;wsp:rsid wsp:val=&quot;00A97831&quot;/&gt;&lt;wsp:rsid wsp:val=&quot;00AA01F7&quot;/&gt;&lt;wsp:rsid wsp:val=&quot;00AA2420&quot;/&gt;&lt;wsp:rsid wsp:val=&quot;00AA3222&quot;/&gt;&lt;wsp:rsid wsp:val=&quot;00AA34E5&quot;/&gt;&lt;wsp:rsid wsp:val=&quot;00AA3A38&quot;/&gt;&lt;wsp:rsid wsp:val=&quot;00AA3B4B&quot;/&gt;&lt;wsp:rsid wsp:val=&quot;00AA4734&quot;/&gt;&lt;wsp:rsid wsp:val=&quot;00AA4F01&quot;/&gt;&lt;wsp:rsid wsp:val=&quot;00AA50ED&quot;/&gt;&lt;wsp:rsid wsp:val=&quot;00AA5642&quot;/&gt;&lt;wsp:rsid wsp:val=&quot;00AA6341&quot;/&gt;&lt;wsp:rsid wsp:val=&quot;00AA6948&quot;/&gt;&lt;wsp:rsid wsp:val=&quot;00AA6CA9&quot;/&gt;&lt;wsp:rsid wsp:val=&quot;00AA6E3C&quot;/&gt;&lt;wsp:rsid wsp:val=&quot;00AB06DF&quot;/&gt;&lt;wsp:rsid wsp:val=&quot;00AB0F91&quot;/&gt;&lt;wsp:rsid wsp:val=&quot;00AB201A&quot;/&gt;&lt;wsp:rsid wsp:val=&quot;00AB2F43&quot;/&gt;&lt;wsp:rsid wsp:val=&quot;00AB315C&quot;/&gt;&lt;wsp:rsid wsp:val=&quot;00AB4907&quot;/&gt;&lt;wsp:rsid wsp:val=&quot;00AB499A&quot;/&gt;&lt;wsp:rsid wsp:val=&quot;00AB543D&quot;/&gt;&lt;wsp:rsid wsp:val=&quot;00AB7B6B&quot;/&gt;&lt;wsp:rsid wsp:val=&quot;00AC0180&quot;/&gt;&lt;wsp:rsid wsp:val=&quot;00AC13B9&quot;/&gt;&lt;wsp:rsid wsp:val=&quot;00AC15AC&quot;/&gt;&lt;wsp:rsid wsp:val=&quot;00AC2C4E&quot;/&gt;&lt;wsp:rsid wsp:val=&quot;00AC33C1&quot;/&gt;&lt;wsp:rsid wsp:val=&quot;00AC426E&quot;/&gt;&lt;wsp:rsid wsp:val=&quot;00AC4579&quot;/&gt;&lt;wsp:rsid wsp:val=&quot;00AC51B3&quot;/&gt;&lt;wsp:rsid wsp:val=&quot;00AC64CE&quot;/&gt;&lt;wsp:rsid wsp:val=&quot;00AC71BC&quot;/&gt;&lt;wsp:rsid wsp:val=&quot;00AC770C&quot;/&gt;&lt;wsp:rsid wsp:val=&quot;00AD0092&quot;/&gt;&lt;wsp:rsid wsp:val=&quot;00AD034D&quot;/&gt;&lt;wsp:rsid wsp:val=&quot;00AD059D&quot;/&gt;&lt;wsp:rsid wsp:val=&quot;00AD1323&quot;/&gt;&lt;wsp:rsid wsp:val=&quot;00AD1BA0&quot;/&gt;&lt;wsp:rsid wsp:val=&quot;00AD33DF&quot;/&gt;&lt;wsp:rsid wsp:val=&quot;00AD3E06&quot;/&gt;&lt;wsp:rsid wsp:val=&quot;00AD41D9&quot;/&gt;&lt;wsp:rsid wsp:val=&quot;00AD696F&quot;/&gt;&lt;wsp:rsid wsp:val=&quot;00AE01CE&quot;/&gt;&lt;wsp:rsid wsp:val=&quot;00AE1923&quot;/&gt;&lt;wsp:rsid wsp:val=&quot;00AE210E&quot;/&gt;&lt;wsp:rsid wsp:val=&quot;00AE317F&quot;/&gt;&lt;wsp:rsid wsp:val=&quot;00AE3F2D&quot;/&gt;&lt;wsp:rsid wsp:val=&quot;00AE41DD&quot;/&gt;&lt;wsp:rsid wsp:val=&quot;00AE53A3&quot;/&gt;&lt;wsp:rsid wsp:val=&quot;00AE53B5&quot;/&gt;&lt;wsp:rsid wsp:val=&quot;00AE569F&quot;/&gt;&lt;wsp:rsid wsp:val=&quot;00AE56F9&quot;/&gt;&lt;wsp:rsid wsp:val=&quot;00AE5DB1&quot;/&gt;&lt;wsp:rsid wsp:val=&quot;00AE6962&quot;/&gt;&lt;wsp:rsid wsp:val=&quot;00AF0899&quot;/&gt;&lt;wsp:rsid wsp:val=&quot;00AF0E35&quot;/&gt;&lt;wsp:rsid wsp:val=&quot;00AF1590&quot;/&gt;&lt;wsp:rsid wsp:val=&quot;00AF1E66&quot;/&gt;&lt;wsp:rsid wsp:val=&quot;00AF2490&quot;/&gt;&lt;wsp:rsid wsp:val=&quot;00AF3705&quot;/&gt;&lt;wsp:rsid wsp:val=&quot;00AF483C&quot;/&gt;&lt;wsp:rsid wsp:val=&quot;00AF4D24&quot;/&gt;&lt;wsp:rsid wsp:val=&quot;00AF5B50&quot;/&gt;&lt;wsp:rsid wsp:val=&quot;00AF5D7D&quot;/&gt;&lt;wsp:rsid wsp:val=&quot;00AF75B8&quot;/&gt;&lt;wsp:rsid wsp:val=&quot;00B00A7B&quot;/&gt;&lt;wsp:rsid wsp:val=&quot;00B01073&quot;/&gt;&lt;wsp:rsid wsp:val=&quot;00B018D8&quot;/&gt;&lt;wsp:rsid wsp:val=&quot;00B01D90&quot;/&gt;&lt;wsp:rsid wsp:val=&quot;00B02049&quot;/&gt;&lt;wsp:rsid wsp:val=&quot;00B0257A&quot;/&gt;&lt;wsp:rsid wsp:val=&quot;00B02F0E&quot;/&gt;&lt;wsp:rsid wsp:val=&quot;00B0355B&quot;/&gt;&lt;wsp:rsid wsp:val=&quot;00B03ADB&quot;/&gt;&lt;wsp:rsid wsp:val=&quot;00B04BD5&quot;/&gt;&lt;wsp:rsid wsp:val=&quot;00B059AA&quot;/&gt;&lt;wsp:rsid wsp:val=&quot;00B06963&quot;/&gt;&lt;wsp:rsid wsp:val=&quot;00B07596&quot;/&gt;&lt;wsp:rsid wsp:val=&quot;00B076CE&quot;/&gt;&lt;wsp:rsid wsp:val=&quot;00B101EF&quot;/&gt;&lt;wsp:rsid wsp:val=&quot;00B111A8&quot;/&gt;&lt;wsp:rsid wsp:val=&quot;00B11556&quot;/&gt;&lt;wsp:rsid wsp:val=&quot;00B1178D&quot;/&gt;&lt;wsp:rsid wsp:val=&quot;00B11F97&quot;/&gt;&lt;wsp:rsid wsp:val=&quot;00B120B1&quot;/&gt;&lt;wsp:rsid wsp:val=&quot;00B12861&quot;/&gt;&lt;wsp:rsid wsp:val=&quot;00B12D36&quot;/&gt;&lt;wsp:rsid wsp:val=&quot;00B13278&quot;/&gt;&lt;wsp:rsid wsp:val=&quot;00B13E93&quot;/&gt;&lt;wsp:rsid wsp:val=&quot;00B148CC&quot;/&gt;&lt;wsp:rsid wsp:val=&quot;00B15031&quot;/&gt;&lt;wsp:rsid wsp:val=&quot;00B153E2&quot;/&gt;&lt;wsp:rsid wsp:val=&quot;00B1561A&quot;/&gt;&lt;wsp:rsid wsp:val=&quot;00B15799&quot;/&gt;&lt;wsp:rsid wsp:val=&quot;00B17589&quot;/&gt;&lt;wsp:rsid wsp:val=&quot;00B20820&quot;/&gt;&lt;wsp:rsid wsp:val=&quot;00B20E7C&quot;/&gt;&lt;wsp:rsid wsp:val=&quot;00B214D9&quot;/&gt;&lt;wsp:rsid wsp:val=&quot;00B214EF&quot;/&gt;&lt;wsp:rsid wsp:val=&quot;00B21C98&quot;/&gt;&lt;wsp:rsid wsp:val=&quot;00B22240&quot;/&gt;&lt;wsp:rsid wsp:val=&quot;00B2354F&quot;/&gt;&lt;wsp:rsid wsp:val=&quot;00B2376E&quot;/&gt;&lt;wsp:rsid wsp:val=&quot;00B23787&quot;/&gt;&lt;wsp:rsid wsp:val=&quot;00B23792&quot;/&gt;&lt;wsp:rsid wsp:val=&quot;00B2396B&quot;/&gt;&lt;wsp:rsid wsp:val=&quot;00B23DAC&quot;/&gt;&lt;wsp:rsid wsp:val=&quot;00B2422A&quot;/&gt;&lt;wsp:rsid wsp:val=&quot;00B255D5&quot;/&gt;&lt;wsp:rsid wsp:val=&quot;00B2590F&quot;/&gt;&lt;wsp:rsid wsp:val=&quot;00B26080&quot;/&gt;&lt;wsp:rsid wsp:val=&quot;00B278F4&quot;/&gt;&lt;wsp:rsid wsp:val=&quot;00B3049F&quot;/&gt;&lt;wsp:rsid wsp:val=&quot;00B31149&quot;/&gt;&lt;wsp:rsid wsp:val=&quot;00B31D0D&quot;/&gt;&lt;wsp:rsid wsp:val=&quot;00B32526&quot;/&gt;&lt;wsp:rsid wsp:val=&quot;00B32AD4&quot;/&gt;&lt;wsp:rsid wsp:val=&quot;00B331D2&quot;/&gt;&lt;wsp:rsid wsp:val=&quot;00B33959&quot;/&gt;&lt;wsp:rsid wsp:val=&quot;00B3409D&quot;/&gt;&lt;wsp:rsid wsp:val=&quot;00B35328&quot;/&gt;&lt;wsp:rsid wsp:val=&quot;00B355DF&quot;/&gt;&lt;wsp:rsid wsp:val=&quot;00B36382&quot;/&gt;&lt;wsp:rsid wsp:val=&quot;00B3748B&quot;/&gt;&lt;wsp:rsid wsp:val=&quot;00B378CA&quot;/&gt;&lt;wsp:rsid wsp:val=&quot;00B37948&quot;/&gt;&lt;wsp:rsid wsp:val=&quot;00B4248D&quot;/&gt;&lt;wsp:rsid wsp:val=&quot;00B42957&quot;/&gt;&lt;wsp:rsid wsp:val=&quot;00B44E2C&quot;/&gt;&lt;wsp:rsid wsp:val=&quot;00B45D0D&quot;/&gt;&lt;wsp:rsid wsp:val=&quot;00B46680&quot;/&gt;&lt;wsp:rsid wsp:val=&quot;00B46A69&quot;/&gt;&lt;wsp:rsid wsp:val=&quot;00B507D4&quot;/&gt;&lt;wsp:rsid wsp:val=&quot;00B50973&quot;/&gt;&lt;wsp:rsid wsp:val=&quot;00B50EEB&quot;/&gt;&lt;wsp:rsid wsp:val=&quot;00B52253&quot;/&gt;&lt;wsp:rsid wsp:val=&quot;00B52334&quot;/&gt;&lt;wsp:rsid wsp:val=&quot;00B52603&quot;/&gt;&lt;wsp:rsid wsp:val=&quot;00B5273C&quot;/&gt;&lt;wsp:rsid wsp:val=&quot;00B5332D&quot;/&gt;&lt;wsp:rsid wsp:val=&quot;00B53624&quot;/&gt;&lt;wsp:rsid wsp:val=&quot;00B5379C&quot;/&gt;&lt;wsp:rsid wsp:val=&quot;00B54075&quot;/&gt;&lt;wsp:rsid wsp:val=&quot;00B54736&quot;/&gt;&lt;wsp:rsid wsp:val=&quot;00B548A0&quot;/&gt;&lt;wsp:rsid wsp:val=&quot;00B54E5A&quot;/&gt;&lt;wsp:rsid wsp:val=&quot;00B55417&quot;/&gt;&lt;wsp:rsid wsp:val=&quot;00B5581C&quot;/&gt;&lt;wsp:rsid wsp:val=&quot;00B571D1&quot;/&gt;&lt;wsp:rsid wsp:val=&quot;00B57537&quot;/&gt;&lt;wsp:rsid wsp:val=&quot;00B57BAA&quot;/&gt;&lt;wsp:rsid wsp:val=&quot;00B6016F&quot;/&gt;&lt;wsp:rsid wsp:val=&quot;00B602A2&quot;/&gt;&lt;wsp:rsid wsp:val=&quot;00B60B91&quot;/&gt;&lt;wsp:rsid wsp:val=&quot;00B61A50&quot;/&gt;&lt;wsp:rsid wsp:val=&quot;00B6211A&quot;/&gt;&lt;wsp:rsid wsp:val=&quot;00B62E4F&quot;/&gt;&lt;wsp:rsid wsp:val=&quot;00B639C8&quot;/&gt;&lt;wsp:rsid wsp:val=&quot;00B64A10&quot;/&gt;&lt;wsp:rsid wsp:val=&quot;00B6638F&quot;/&gt;&lt;wsp:rsid wsp:val=&quot;00B66D60&quot;/&gt;&lt;wsp:rsid wsp:val=&quot;00B67925&quot;/&gt;&lt;wsp:rsid wsp:val=&quot;00B7014D&quot;/&gt;&lt;wsp:rsid wsp:val=&quot;00B701CD&quot;/&gt;&lt;wsp:rsid wsp:val=&quot;00B70268&quot;/&gt;&lt;wsp:rsid wsp:val=&quot;00B70B21&quot;/&gt;&lt;wsp:rsid wsp:val=&quot;00B7184F&quot;/&gt;&lt;wsp:rsid wsp:val=&quot;00B72675&quot;/&gt;&lt;wsp:rsid wsp:val=&quot;00B72960&quot;/&gt;&lt;wsp:rsid wsp:val=&quot;00B72A23&quot;/&gt;&lt;wsp:rsid wsp:val=&quot;00B737A5&quot;/&gt;&lt;wsp:rsid wsp:val=&quot;00B73FDE&quot;/&gt;&lt;wsp:rsid wsp:val=&quot;00B7471F&quot;/&gt;&lt;wsp:rsid wsp:val=&quot;00B76E56&quot;/&gt;&lt;wsp:rsid wsp:val=&quot;00B770A2&quot;/&gt;&lt;wsp:rsid wsp:val=&quot;00B80538&quot;/&gt;&lt;wsp:rsid wsp:val=&quot;00B808F5&quot;/&gt;&lt;wsp:rsid wsp:val=&quot;00B813DB&quot;/&gt;&lt;wsp:rsid wsp:val=&quot;00B81A22&quot;/&gt;&lt;wsp:rsid wsp:val=&quot;00B825E2&quot;/&gt;&lt;wsp:rsid wsp:val=&quot;00B82892&quot;/&gt;&lt;wsp:rsid wsp:val=&quot;00B83662&quot;/&gt;&lt;wsp:rsid wsp:val=&quot;00B8406C&quot;/&gt;&lt;wsp:rsid wsp:val=&quot;00B8442A&quot;/&gt;&lt;wsp:rsid wsp:val=&quot;00B84BA6&quot;/&gt;&lt;wsp:rsid wsp:val=&quot;00B85343&quot;/&gt;&lt;wsp:rsid wsp:val=&quot;00B853E0&quot;/&gt;&lt;wsp:rsid wsp:val=&quot;00B85CEB&quot;/&gt;&lt;wsp:rsid wsp:val=&quot;00B860A8&quot;/&gt;&lt;wsp:rsid wsp:val=&quot;00B865D8&quot;/&gt;&lt;wsp:rsid wsp:val=&quot;00B867CC&quot;/&gt;&lt;wsp:rsid wsp:val=&quot;00B86A4F&quot;/&gt;&lt;wsp:rsid wsp:val=&quot;00B86B1D&quot;/&gt;&lt;wsp:rsid wsp:val=&quot;00B8708E&quot;/&gt;&lt;wsp:rsid wsp:val=&quot;00B901A9&quot;/&gt;&lt;wsp:rsid wsp:val=&quot;00B90F82&quot;/&gt;&lt;wsp:rsid wsp:val=&quot;00B91A06&quot;/&gt;&lt;wsp:rsid wsp:val=&quot;00B91ACF&quot;/&gt;&lt;wsp:rsid wsp:val=&quot;00B91ED5&quot;/&gt;&lt;wsp:rsid wsp:val=&quot;00B925AA&quot;/&gt;&lt;wsp:rsid wsp:val=&quot;00B92926&quot;/&gt;&lt;wsp:rsid wsp:val=&quot;00B929CE&quot;/&gt;&lt;wsp:rsid wsp:val=&quot;00B93168&quot;/&gt;&lt;wsp:rsid wsp:val=&quot;00B93D65&quot;/&gt;&lt;wsp:rsid wsp:val=&quot;00B93FD4&quot;/&gt;&lt;wsp:rsid wsp:val=&quot;00B94867&quot;/&gt;&lt;wsp:rsid wsp:val=&quot;00B949FB&quot;/&gt;&lt;wsp:rsid wsp:val=&quot;00B94EDE&quot;/&gt;&lt;wsp:rsid wsp:val=&quot;00B961D6&quot;/&gt;&lt;wsp:rsid wsp:val=&quot;00B96404&quot;/&gt;&lt;wsp:rsid wsp:val=&quot;00B97854&quot;/&gt;&lt;wsp:rsid wsp:val=&quot;00B97F95&quot;/&gt;&lt;wsp:rsid wsp:val=&quot;00BA0B19&quot;/&gt;&lt;wsp:rsid wsp:val=&quot;00BA1093&quot;/&gt;&lt;wsp:rsid wsp:val=&quot;00BA146B&quot;/&gt;&lt;wsp:rsid wsp:val=&quot;00BA1E7F&quot;/&gt;&lt;wsp:rsid wsp:val=&quot;00BA20AB&quot;/&gt;&lt;wsp:rsid wsp:val=&quot;00BA467F&quot;/&gt;&lt;wsp:rsid wsp:val=&quot;00BA48E4&quot;/&gt;&lt;wsp:rsid wsp:val=&quot;00BA4BB7&quot;/&gt;&lt;wsp:rsid wsp:val=&quot;00BA5523&quot;/&gt;&lt;wsp:rsid wsp:val=&quot;00BA59B7&quot;/&gt;&lt;wsp:rsid wsp:val=&quot;00BA5CF8&quot;/&gt;&lt;wsp:rsid wsp:val=&quot;00BA66E3&quot;/&gt;&lt;wsp:rsid wsp:val=&quot;00BA69E8&quot;/&gt;&lt;wsp:rsid wsp:val=&quot;00BB0403&quot;/&gt;&lt;wsp:rsid wsp:val=&quot;00BB2328&quot;/&gt;&lt;wsp:rsid wsp:val=&quot;00BB2DA1&quot;/&gt;&lt;wsp:rsid wsp:val=&quot;00BB3AAB&quot;/&gt;&lt;wsp:rsid wsp:val=&quot;00BB47A5&quot;/&gt;&lt;wsp:rsid wsp:val=&quot;00BB48AD&quot;/&gt;&lt;wsp:rsid wsp:val=&quot;00BB626B&quot;/&gt;&lt;wsp:rsid wsp:val=&quot;00BB6339&quot;/&gt;&lt;wsp:rsid wsp:val=&quot;00BB7258&quot;/&gt;&lt;wsp:rsid wsp:val=&quot;00BB7666&quot;/&gt;&lt;wsp:rsid wsp:val=&quot;00BC00AE&quot;/&gt;&lt;wsp:rsid wsp:val=&quot;00BC021D&quot;/&gt;&lt;wsp:rsid wsp:val=&quot;00BC0CA9&quot;/&gt;&lt;wsp:rsid wsp:val=&quot;00BC0E97&quot;/&gt;&lt;wsp:rsid wsp:val=&quot;00BC168A&quot;/&gt;&lt;wsp:rsid wsp:val=&quot;00BC25A8&quot;/&gt;&lt;wsp:rsid wsp:val=&quot;00BC3855&quot;/&gt;&lt;wsp:rsid wsp:val=&quot;00BC3D20&quot;/&gt;&lt;wsp:rsid wsp:val=&quot;00BC433E&quot;/&gt;&lt;wsp:rsid wsp:val=&quot;00BC5328&quot;/&gt;&lt;wsp:rsid wsp:val=&quot;00BC6728&quot;/&gt;&lt;wsp:rsid wsp:val=&quot;00BC67D3&quot;/&gt;&lt;wsp:rsid wsp:val=&quot;00BC7410&quot;/&gt;&lt;wsp:rsid wsp:val=&quot;00BC7CCE&quot;/&gt;&lt;wsp:rsid wsp:val=&quot;00BC7E5E&quot;/&gt;&lt;wsp:rsid wsp:val=&quot;00BD21A9&quot;/&gt;&lt;wsp:rsid wsp:val=&quot;00BD2EED&quot;/&gt;&lt;wsp:rsid wsp:val=&quot;00BD314D&quot;/&gt;&lt;wsp:rsid wsp:val=&quot;00BD4B52&quot;/&gt;&lt;wsp:rsid wsp:val=&quot;00BD59E3&quot;/&gt;&lt;wsp:rsid wsp:val=&quot;00BD5B28&quot;/&gt;&lt;wsp:rsid wsp:val=&quot;00BD61B9&quot;/&gt;&lt;wsp:rsid wsp:val=&quot;00BD647A&quot;/&gt;&lt;wsp:rsid wsp:val=&quot;00BE01EA&quot;/&gt;&lt;wsp:rsid wsp:val=&quot;00BE0714&quot;/&gt;&lt;wsp:rsid wsp:val=&quot;00BE0F34&quot;/&gt;&lt;wsp:rsid wsp:val=&quot;00BE153A&quot;/&gt;&lt;wsp:rsid wsp:val=&quot;00BE3C76&quot;/&gt;&lt;wsp:rsid wsp:val=&quot;00BE439F&quot;/&gt;&lt;wsp:rsid wsp:val=&quot;00BE4423&quot;/&gt;&lt;wsp:rsid wsp:val=&quot;00BE4BF7&quot;/&gt;&lt;wsp:rsid wsp:val=&quot;00BE4F27&quot;/&gt;&lt;wsp:rsid wsp:val=&quot;00BE732B&quot;/&gt;&lt;wsp:rsid wsp:val=&quot;00BF03A5&quot;/&gt;&lt;wsp:rsid wsp:val=&quot;00BF0CF8&quot;/&gt;&lt;wsp:rsid wsp:val=&quot;00BF16C8&quot;/&gt;&lt;wsp:rsid wsp:val=&quot;00BF1FED&quot;/&gt;&lt;wsp:rsid wsp:val=&quot;00BF2522&quot;/&gt;&lt;wsp:rsid wsp:val=&quot;00BF254C&quot;/&gt;&lt;wsp:rsid wsp:val=&quot;00BF37DD&quot;/&gt;&lt;wsp:rsid wsp:val=&quot;00BF3996&quot;/&gt;&lt;wsp:rsid wsp:val=&quot;00BF3E86&quot;/&gt;&lt;wsp:rsid wsp:val=&quot;00BF471D&quot;/&gt;&lt;wsp:rsid wsp:val=&quot;00BF64B7&quot;/&gt;&lt;wsp:rsid wsp:val=&quot;00BF680B&quot;/&gt;&lt;wsp:rsid wsp:val=&quot;00BF71C1&quot;/&gt;&lt;wsp:rsid wsp:val=&quot;00C01368&quot;/&gt;&lt;wsp:rsid wsp:val=&quot;00C0237F&quot;/&gt;&lt;wsp:rsid wsp:val=&quot;00C03EA2&quot;/&gt;&lt;wsp:rsid wsp:val=&quot;00C04020&quot;/&gt;&lt;wsp:rsid wsp:val=&quot;00C049D7&quot;/&gt;&lt;wsp:rsid wsp:val=&quot;00C04AB2&quot;/&gt;&lt;wsp:rsid wsp:val=&quot;00C04E35&quot;/&gt;&lt;wsp:rsid wsp:val=&quot;00C05678&quot;/&gt;&lt;wsp:rsid wsp:val=&quot;00C06B9D&quot;/&gt;&lt;wsp:rsid wsp:val=&quot;00C07994&quot;/&gt;&lt;wsp:rsid wsp:val=&quot;00C07B83&quot;/&gt;&lt;wsp:rsid wsp:val=&quot;00C10E9A&quot;/&gt;&lt;wsp:rsid wsp:val=&quot;00C114BA&quot;/&gt;&lt;wsp:rsid wsp:val=&quot;00C121DF&quot;/&gt;&lt;wsp:rsid wsp:val=&quot;00C129DC&quot;/&gt;&lt;wsp:rsid wsp:val=&quot;00C12A50&quot;/&gt;&lt;wsp:rsid wsp:val=&quot;00C1388A&quot;/&gt;&lt;wsp:rsid wsp:val=&quot;00C13E42&quot;/&gt;&lt;wsp:rsid wsp:val=&quot;00C14406&quot;/&gt;&lt;wsp:rsid wsp:val=&quot;00C14737&quot;/&gt;&lt;wsp:rsid wsp:val=&quot;00C14828&quot;/&gt;&lt;wsp:rsid wsp:val=&quot;00C14A6F&quot;/&gt;&lt;wsp:rsid wsp:val=&quot;00C158F6&quot;/&gt;&lt;wsp:rsid wsp:val=&quot;00C15D88&quot;/&gt;&lt;wsp:rsid wsp:val=&quot;00C161CC&quot;/&gt;&lt;wsp:rsid wsp:val=&quot;00C1671E&quot;/&gt;&lt;wsp:rsid wsp:val=&quot;00C167E6&quot;/&gt;&lt;wsp:rsid wsp:val=&quot;00C1680D&quot;/&gt;&lt;wsp:rsid wsp:val=&quot;00C16950&quot;/&gt;&lt;wsp:rsid wsp:val=&quot;00C16E2E&quot;/&gt;&lt;wsp:rsid wsp:val=&quot;00C1776B&quot;/&gt;&lt;wsp:rsid wsp:val=&quot;00C17D78&quot;/&gt;&lt;wsp:rsid wsp:val=&quot;00C17D7C&quot;/&gt;&lt;wsp:rsid wsp:val=&quot;00C20071&quot;/&gt;&lt;wsp:rsid wsp:val=&quot;00C201DA&quot;/&gt;&lt;wsp:rsid wsp:val=&quot;00C213F3&quot;/&gt;&lt;wsp:rsid wsp:val=&quot;00C21657&quot;/&gt;&lt;wsp:rsid wsp:val=&quot;00C21A78&quot;/&gt;&lt;wsp:rsid wsp:val=&quot;00C21D41&quot;/&gt;&lt;wsp:rsid wsp:val=&quot;00C22067&quot;/&gt;&lt;wsp:rsid wsp:val=&quot;00C2276F&quot;/&gt;&lt;wsp:rsid wsp:val=&quot;00C22991&quot;/&gt;&lt;wsp:rsid wsp:val=&quot;00C23F48&quot;/&gt;&lt;wsp:rsid wsp:val=&quot;00C24D8E&quot;/&gt;&lt;wsp:rsid wsp:val=&quot;00C25704&quot;/&gt;&lt;wsp:rsid wsp:val=&quot;00C2573C&quot;/&gt;&lt;wsp:rsid wsp:val=&quot;00C25B33&quot;/&gt;&lt;wsp:rsid wsp:val=&quot;00C25E18&quot;/&gt;&lt;wsp:rsid wsp:val=&quot;00C26579&quot;/&gt;&lt;wsp:rsid wsp:val=&quot;00C27127&quot;/&gt;&lt;wsp:rsid wsp:val=&quot;00C27F6B&quot;/&gt;&lt;wsp:rsid wsp:val=&quot;00C31C55&quot;/&gt;&lt;wsp:rsid wsp:val=&quot;00C3225C&quot;/&gt;&lt;wsp:rsid wsp:val=&quot;00C32FE5&quot;/&gt;&lt;wsp:rsid wsp:val=&quot;00C33B9A&quot;/&gt;&lt;wsp:rsid wsp:val=&quot;00C362E1&quot;/&gt;&lt;wsp:rsid wsp:val=&quot;00C3678D&quot;/&gt;&lt;wsp:rsid wsp:val=&quot;00C36D41&quot;/&gt;&lt;wsp:rsid wsp:val=&quot;00C374BC&quot;/&gt;&lt;wsp:rsid wsp:val=&quot;00C37D1A&quot;/&gt;&lt;wsp:rsid wsp:val=&quot;00C40988&quot;/&gt;&lt;wsp:rsid wsp:val=&quot;00C40BF6&quot;/&gt;&lt;wsp:rsid wsp:val=&quot;00C413E7&quot;/&gt;&lt;wsp:rsid wsp:val=&quot;00C41854&quot;/&gt;&lt;wsp:rsid wsp:val=&quot;00C43C77&quot;/&gt;&lt;wsp:rsid wsp:val=&quot;00C44165&quot;/&gt;&lt;wsp:rsid wsp:val=&quot;00C452BA&quot;/&gt;&lt;wsp:rsid wsp:val=&quot;00C454F0&quot;/&gt;&lt;wsp:rsid wsp:val=&quot;00C4570A&quot;/&gt;&lt;wsp:rsid wsp:val=&quot;00C50358&quot;/&gt;&lt;wsp:rsid wsp:val=&quot;00C50D55&quot;/&gt;&lt;wsp:rsid wsp:val=&quot;00C50FE9&quot;/&gt;&lt;wsp:rsid wsp:val=&quot;00C51B52&quot;/&gt;&lt;wsp:rsid wsp:val=&quot;00C52108&quot;/&gt;&lt;wsp:rsid wsp:val=&quot;00C52AD0&quot;/&gt;&lt;wsp:rsid wsp:val=&quot;00C5448E&quot;/&gt;&lt;wsp:rsid wsp:val=&quot;00C546A1&quot;/&gt;&lt;wsp:rsid wsp:val=&quot;00C54946&quot;/&gt;&lt;wsp:rsid wsp:val=&quot;00C567DE&quot;/&gt;&lt;wsp:rsid wsp:val=&quot;00C5764F&quot;/&gt;&lt;wsp:rsid wsp:val=&quot;00C57F81&quot;/&gt;&lt;wsp:rsid wsp:val=&quot;00C60915&quot;/&gt;&lt;wsp:rsid wsp:val=&quot;00C61E1C&quot;/&gt;&lt;wsp:rsid wsp:val=&quot;00C63AAC&quot;/&gt;&lt;wsp:rsid wsp:val=&quot;00C64ED4&quot;/&gt;&lt;wsp:rsid wsp:val=&quot;00C657FD&quot;/&gt;&lt;wsp:rsid wsp:val=&quot;00C6589A&quot;/&gt;&lt;wsp:rsid wsp:val=&quot;00C663B9&quot;/&gt;&lt;wsp:rsid wsp:val=&quot;00C678C0&quot;/&gt;&lt;wsp:rsid wsp:val=&quot;00C72E84&quot;/&gt;&lt;wsp:rsid wsp:val=&quot;00C732A8&quot;/&gt;&lt;wsp:rsid wsp:val=&quot;00C7344B&quot;/&gt;&lt;wsp:rsid wsp:val=&quot;00C743FD&quot;/&gt;&lt;wsp:rsid wsp:val=&quot;00C76243&quot;/&gt;&lt;wsp:rsid wsp:val=&quot;00C76886&quot;/&gt;&lt;wsp:rsid wsp:val=&quot;00C76E31&quot;/&gt;&lt;wsp:rsid wsp:val=&quot;00C77C8D&quot;/&gt;&lt;wsp:rsid wsp:val=&quot;00C77E17&quot;/&gt;&lt;wsp:rsid wsp:val=&quot;00C80BC5&quot;/&gt;&lt;wsp:rsid wsp:val=&quot;00C83027&quot;/&gt;&lt;wsp:rsid wsp:val=&quot;00C84F5F&quot;/&gt;&lt;wsp:rsid wsp:val=&quot;00C85468&quot;/&gt;&lt;wsp:rsid wsp:val=&quot;00C858E5&quot;/&gt;&lt;wsp:rsid wsp:val=&quot;00C85A8A&quot;/&gt;&lt;wsp:rsid wsp:val=&quot;00C869E6&quot;/&gt;&lt;wsp:rsid wsp:val=&quot;00C86ECD&quot;/&gt;&lt;wsp:rsid wsp:val=&quot;00C86F36&quot;/&gt;&lt;wsp:rsid wsp:val=&quot;00C874C4&quot;/&gt;&lt;wsp:rsid wsp:val=&quot;00C87535&quot;/&gt;&lt;wsp:rsid wsp:val=&quot;00C8791E&quot;/&gt;&lt;wsp:rsid wsp:val=&quot;00C87B21&quot;/&gt;&lt;wsp:rsid wsp:val=&quot;00C9046B&quot;/&gt;&lt;wsp:rsid wsp:val=&quot;00C905C4&quot;/&gt;&lt;wsp:rsid wsp:val=&quot;00C90C9C&quot;/&gt;&lt;wsp:rsid wsp:val=&quot;00C90E2F&quot;/&gt;&lt;wsp:rsid wsp:val=&quot;00C90F66&quot;/&gt;&lt;wsp:rsid wsp:val=&quot;00C90FB5&quot;/&gt;&lt;wsp:rsid wsp:val=&quot;00C91D87&quot;/&gt;&lt;wsp:rsid wsp:val=&quot;00C92257&quot;/&gt;&lt;wsp:rsid wsp:val=&quot;00C922B3&quot;/&gt;&lt;wsp:rsid wsp:val=&quot;00C926B1&quot;/&gt;&lt;wsp:rsid wsp:val=&quot;00C927A0&quot;/&gt;&lt;wsp:rsid wsp:val=&quot;00C92BE6&quot;/&gt;&lt;wsp:rsid wsp:val=&quot;00C94CD1&quot;/&gt;&lt;wsp:rsid wsp:val=&quot;00C95214&quot;/&gt;&lt;wsp:rsid wsp:val=&quot;00C95700&quot;/&gt;&lt;wsp:rsid wsp:val=&quot;00C95DF3&quot;/&gt;&lt;wsp:rsid wsp:val=&quot;00C966B2&quot;/&gt;&lt;wsp:rsid wsp:val=&quot;00C973A2&quot;/&gt;&lt;wsp:rsid wsp:val=&quot;00CA0450&quot;/&gt;&lt;wsp:rsid wsp:val=&quot;00CA06DD&quot;/&gt;&lt;wsp:rsid wsp:val=&quot;00CA0AE8&quot;/&gt;&lt;wsp:rsid wsp:val=&quot;00CA0EB1&quot;/&gt;&lt;wsp:rsid wsp:val=&quot;00CA189F&quot;/&gt;&lt;wsp:rsid wsp:val=&quot;00CA1EB1&quot;/&gt;&lt;wsp:rsid wsp:val=&quot;00CA3218&quot;/&gt;&lt;wsp:rsid wsp:val=&quot;00CA5D70&quot;/&gt;&lt;wsp:rsid wsp:val=&quot;00CA7447&quot;/&gt;&lt;wsp:rsid wsp:val=&quot;00CA7531&quot;/&gt;&lt;wsp:rsid wsp:val=&quot;00CB0003&quot;/&gt;&lt;wsp:rsid wsp:val=&quot;00CB02D0&quot;/&gt;&lt;wsp:rsid wsp:val=&quot;00CB04AB&quot;/&gt;&lt;wsp:rsid wsp:val=&quot;00CB0528&quot;/&gt;&lt;wsp:rsid wsp:val=&quot;00CB18B3&quot;/&gt;&lt;wsp:rsid wsp:val=&quot;00CB1AEC&quot;/&gt;&lt;wsp:rsid wsp:val=&quot;00CB2654&quot;/&gt;&lt;wsp:rsid wsp:val=&quot;00CB2DC3&quot;/&gt;&lt;wsp:rsid wsp:val=&quot;00CB3E50&quot;/&gt;&lt;wsp:rsid wsp:val=&quot;00CB4017&quot;/&gt;&lt;wsp:rsid wsp:val=&quot;00CB592F&quot;/&gt;&lt;wsp:rsid wsp:val=&quot;00CC02C1&quot;/&gt;&lt;wsp:rsid wsp:val=&quot;00CC1297&quot;/&gt;&lt;wsp:rsid wsp:val=&quot;00CC1736&quot;/&gt;&lt;wsp:rsid wsp:val=&quot;00CC1B3A&quot;/&gt;&lt;wsp:rsid wsp:val=&quot;00CC2227&quot;/&gt;&lt;wsp:rsid wsp:val=&quot;00CC2777&quot;/&gt;&lt;wsp:rsid wsp:val=&quot;00CC39CC&quot;/&gt;&lt;wsp:rsid wsp:val=&quot;00CC44D5&quot;/&gt;&lt;wsp:rsid wsp:val=&quot;00CC4BB3&quot;/&gt;&lt;wsp:rsid wsp:val=&quot;00CC520E&quot;/&gt;&lt;wsp:rsid wsp:val=&quot;00CC614D&quot;/&gt;&lt;wsp:rsid wsp:val=&quot;00CC6AD1&quot;/&gt;&lt;wsp:rsid wsp:val=&quot;00CC7AFC&quot;/&gt;&lt;wsp:rsid wsp:val=&quot;00CD05C8&quot;/&gt;&lt;wsp:rsid wsp:val=&quot;00CD0E33&quot;/&gt;&lt;wsp:rsid wsp:val=&quot;00CD0F35&quot;/&gt;&lt;wsp:rsid wsp:val=&quot;00CD1B46&quot;/&gt;&lt;wsp:rsid wsp:val=&quot;00CD1FBD&quot;/&gt;&lt;wsp:rsid wsp:val=&quot;00CD22A3&quot;/&gt;&lt;wsp:rsid wsp:val=&quot;00CD29B8&quot;/&gt;&lt;wsp:rsid wsp:val=&quot;00CD357A&quot;/&gt;&lt;wsp:rsid wsp:val=&quot;00CD475E&quot;/&gt;&lt;wsp:rsid wsp:val=&quot;00CD5089&quot;/&gt;&lt;wsp:rsid wsp:val=&quot;00CD51B5&quot;/&gt;&lt;wsp:rsid wsp:val=&quot;00CD614C&quot;/&gt;&lt;wsp:rsid wsp:val=&quot;00CD6D0F&quot;/&gt;&lt;wsp:rsid wsp:val=&quot;00CE18CC&quot;/&gt;&lt;wsp:rsid wsp:val=&quot;00CE1C42&quot;/&gt;&lt;wsp:rsid wsp:val=&quot;00CE3A03&quot;/&gt;&lt;wsp:rsid wsp:val=&quot;00CE3E4C&quot;/&gt;&lt;wsp:rsid wsp:val=&quot;00CE40B1&quot;/&gt;&lt;wsp:rsid wsp:val=&quot;00CE4E00&quot;/&gt;&lt;wsp:rsid wsp:val=&quot;00CE5B25&quot;/&gt;&lt;wsp:rsid wsp:val=&quot;00CE727E&quot;/&gt;&lt;wsp:rsid wsp:val=&quot;00CE7B23&quot;/&gt;&lt;wsp:rsid wsp:val=&quot;00CF0181&quot;/&gt;&lt;wsp:rsid wsp:val=&quot;00CF16AD&quot;/&gt;&lt;wsp:rsid wsp:val=&quot;00CF254B&quot;/&gt;&lt;wsp:rsid wsp:val=&quot;00CF2BAB&quot;/&gt;&lt;wsp:rsid wsp:val=&quot;00CF3231&quot;/&gt;&lt;wsp:rsid wsp:val=&quot;00CF478C&quot;/&gt;&lt;wsp:rsid wsp:val=&quot;00CF5198&quot;/&gt;&lt;wsp:rsid wsp:val=&quot;00CF5230&quot;/&gt;&lt;wsp:rsid wsp:val=&quot;00CF5EE1&quot;/&gt;&lt;wsp:rsid wsp:val=&quot;00CF6460&quot;/&gt;&lt;wsp:rsid wsp:val=&quot;00CF78AC&quot;/&gt;&lt;wsp:rsid wsp:val=&quot;00CF7A85&quot;/&gt;&lt;wsp:rsid wsp:val=&quot;00D000D2&quot;/&gt;&lt;wsp:rsid wsp:val=&quot;00D01104&quot;/&gt;&lt;wsp:rsid wsp:val=&quot;00D01E08&quot;/&gt;&lt;wsp:rsid wsp:val=&quot;00D026DD&quot;/&gt;&lt;wsp:rsid wsp:val=&quot;00D045DA&quot;/&gt;&lt;wsp:rsid wsp:val=&quot;00D0461E&quot;/&gt;&lt;wsp:rsid wsp:val=&quot;00D05C73&quot;/&gt;&lt;wsp:rsid wsp:val=&quot;00D06820&quot;/&gt;&lt;wsp:rsid wsp:val=&quot;00D06882&quot;/&gt;&lt;wsp:rsid wsp:val=&quot;00D07C92&quot;/&gt;&lt;wsp:rsid wsp:val=&quot;00D11295&quot;/&gt;&lt;wsp:rsid wsp:val=&quot;00D11334&quot;/&gt;&lt;wsp:rsid wsp:val=&quot;00D11553&quot;/&gt;&lt;wsp:rsid wsp:val=&quot;00D126E9&quot;/&gt;&lt;wsp:rsid wsp:val=&quot;00D1564E&quot;/&gt;&lt;wsp:rsid wsp:val=&quot;00D15908&quot;/&gt;&lt;wsp:rsid wsp:val=&quot;00D160B0&quot;/&gt;&lt;wsp:rsid wsp:val=&quot;00D16550&quot;/&gt;&lt;wsp:rsid wsp:val=&quot;00D168FD&quot;/&gt;&lt;wsp:rsid wsp:val=&quot;00D1771A&quot;/&gt;&lt;wsp:rsid wsp:val=&quot;00D178FD&quot;/&gt;&lt;wsp:rsid wsp:val=&quot;00D20466&quot;/&gt;&lt;wsp:rsid wsp:val=&quot;00D20697&quot;/&gt;&lt;wsp:rsid wsp:val=&quot;00D20EA8&quot;/&gt;&lt;wsp:rsid wsp:val=&quot;00D210CA&quot;/&gt;&lt;wsp:rsid wsp:val=&quot;00D21582&quot;/&gt;&lt;wsp:rsid wsp:val=&quot;00D21897&quot;/&gt;&lt;wsp:rsid wsp:val=&quot;00D21B00&quot;/&gt;&lt;wsp:rsid wsp:val=&quot;00D21BCE&quot;/&gt;&lt;wsp:rsid wsp:val=&quot;00D21DA8&quot;/&gt;&lt;wsp:rsid wsp:val=&quot;00D24A59&quot;/&gt;&lt;wsp:rsid wsp:val=&quot;00D24B99&quot;/&gt;&lt;wsp:rsid wsp:val=&quot;00D25538&quot;/&gt;&lt;wsp:rsid wsp:val=&quot;00D26371&quot;/&gt;&lt;wsp:rsid wsp:val=&quot;00D2735C&quot;/&gt;&lt;wsp:rsid wsp:val=&quot;00D27576&quot;/&gt;&lt;wsp:rsid wsp:val=&quot;00D27C94&quot;/&gt;&lt;wsp:rsid wsp:val=&quot;00D308CD&quot;/&gt;&lt;wsp:rsid wsp:val=&quot;00D3090F&quot;/&gt;&lt;wsp:rsid wsp:val=&quot;00D30D33&quot;/&gt;&lt;wsp:rsid wsp:val=&quot;00D318CF&quot;/&gt;&lt;wsp:rsid wsp:val=&quot;00D325CC&quot;/&gt;&lt;wsp:rsid wsp:val=&quot;00D3360C&quot;/&gt;&lt;wsp:rsid wsp:val=&quot;00D33B36&quot;/&gt;&lt;wsp:rsid wsp:val=&quot;00D34000&quot;/&gt;&lt;wsp:rsid wsp:val=&quot;00D352E9&quot;/&gt;&lt;wsp:rsid wsp:val=&quot;00D364ED&quot;/&gt;&lt;wsp:rsid wsp:val=&quot;00D36667&quot;/&gt;&lt;wsp:rsid wsp:val=&quot;00D369E9&quot;/&gt;&lt;wsp:rsid wsp:val=&quot;00D3765B&quot;/&gt;&lt;wsp:rsid wsp:val=&quot;00D413CF&quot;/&gt;&lt;wsp:rsid wsp:val=&quot;00D41E54&quot;/&gt;&lt;wsp:rsid wsp:val=&quot;00D42F14&quot;/&gt;&lt;wsp:rsid wsp:val=&quot;00D44D43&quot;/&gt;&lt;wsp:rsid wsp:val=&quot;00D44EAB&quot;/&gt;&lt;wsp:rsid wsp:val=&quot;00D45A0B&quot;/&gt;&lt;wsp:rsid wsp:val=&quot;00D45CC8&quot;/&gt;&lt;wsp:rsid wsp:val=&quot;00D45DE3&quot;/&gt;&lt;wsp:rsid wsp:val=&quot;00D4615A&quot;/&gt;&lt;wsp:rsid wsp:val=&quot;00D46595&quot;/&gt;&lt;wsp:rsid wsp:val=&quot;00D4674E&quot;/&gt;&lt;wsp:rsid wsp:val=&quot;00D47871&quot;/&gt;&lt;wsp:rsid wsp:val=&quot;00D507E2&quot;/&gt;&lt;wsp:rsid wsp:val=&quot;00D51FED&quot;/&gt;&lt;wsp:rsid wsp:val=&quot;00D53111&quot;/&gt;&lt;wsp:rsid wsp:val=&quot;00D53EC7&quot;/&gt;&lt;wsp:rsid wsp:val=&quot;00D5424C&quot;/&gt;&lt;wsp:rsid wsp:val=&quot;00D557DD&quot;/&gt;&lt;wsp:rsid wsp:val=&quot;00D558B9&quot;/&gt;&lt;wsp:rsid wsp:val=&quot;00D55A57&quot;/&gt;&lt;wsp:rsid wsp:val=&quot;00D5626A&quot;/&gt;&lt;wsp:rsid wsp:val=&quot;00D56C95&quot;/&gt;&lt;wsp:rsid wsp:val=&quot;00D573CC&quot;/&gt;&lt;wsp:rsid wsp:val=&quot;00D57C7C&quot;/&gt;&lt;wsp:rsid wsp:val=&quot;00D607AD&quot;/&gt;&lt;wsp:rsid wsp:val=&quot;00D608D6&quot;/&gt;&lt;wsp:rsid wsp:val=&quot;00D60FC8&quot;/&gt;&lt;wsp:rsid wsp:val=&quot;00D6150F&quot;/&gt;&lt;wsp:rsid wsp:val=&quot;00D6254F&quot;/&gt;&lt;wsp:rsid wsp:val=&quot;00D62804&quot;/&gt;&lt;wsp:rsid wsp:val=&quot;00D62D54&quot;/&gt;&lt;wsp:rsid wsp:val=&quot;00D63971&quot;/&gt;&lt;wsp:rsid wsp:val=&quot;00D64C0E&quot;/&gt;&lt;wsp:rsid wsp:val=&quot;00D6629D&quot;/&gt;&lt;wsp:rsid wsp:val=&quot;00D6677F&quot;/&gt;&lt;wsp:rsid wsp:val=&quot;00D669DE&quot;/&gt;&lt;wsp:rsid wsp:val=&quot;00D66E62&quot;/&gt;&lt;wsp:rsid wsp:val=&quot;00D67252&quot;/&gt;&lt;wsp:rsid wsp:val=&quot;00D7043B&quot;/&gt;&lt;wsp:rsid wsp:val=&quot;00D7141D&quot;/&gt;&lt;wsp:rsid wsp:val=&quot;00D73539&quot;/&gt;&lt;wsp:rsid wsp:val=&quot;00D748C3&quot;/&gt;&lt;wsp:rsid wsp:val=&quot;00D76E14&quot;/&gt;&lt;wsp:rsid wsp:val=&quot;00D773C1&quot;/&gt;&lt;wsp:rsid wsp:val=&quot;00D77CB2&quot;/&gt;&lt;wsp:rsid wsp:val=&quot;00D8215C&quot;/&gt;&lt;wsp:rsid wsp:val=&quot;00D84BD5&quot;/&gt;&lt;wsp:rsid wsp:val=&quot;00D869DC&quot;/&gt;&lt;wsp:rsid wsp:val=&quot;00D86C7D&quot;/&gt;&lt;wsp:rsid wsp:val=&quot;00D872FD&quot;/&gt;&lt;wsp:rsid wsp:val=&quot;00D878A0&quot;/&gt;&lt;wsp:rsid wsp:val=&quot;00D9077C&quot;/&gt;&lt;wsp:rsid wsp:val=&quot;00D9099C&quot;/&gt;&lt;wsp:rsid wsp:val=&quot;00D91545&quot;/&gt;&lt;wsp:rsid wsp:val=&quot;00D91685&quot;/&gt;&lt;wsp:rsid wsp:val=&quot;00D91B78&quot;/&gt;&lt;wsp:rsid wsp:val=&quot;00D945E8&quot;/&gt;&lt;wsp:rsid wsp:val=&quot;00D947FF&quot;/&gt;&lt;wsp:rsid wsp:val=&quot;00D94BD4&quot;/&gt;&lt;wsp:rsid wsp:val=&quot;00D95361&quot;/&gt;&lt;wsp:rsid wsp:val=&quot;00D9601C&quot;/&gt;&lt;wsp:rsid wsp:val=&quot;00D96B02&quot;/&gt;&lt;wsp:rsid wsp:val=&quot;00D96CAE&quot;/&gt;&lt;wsp:rsid wsp:val=&quot;00D97467&quot;/&gt;&lt;wsp:rsid wsp:val=&quot;00D97557&quot;/&gt;&lt;wsp:rsid wsp:val=&quot;00DA1036&quot;/&gt;&lt;wsp:rsid wsp:val=&quot;00DA10BF&quot;/&gt;&lt;wsp:rsid wsp:val=&quot;00DA1144&quot;/&gt;&lt;wsp:rsid wsp:val=&quot;00DA11BD&quot;/&gt;&lt;wsp:rsid wsp:val=&quot;00DA1816&quot;/&gt;&lt;wsp:rsid wsp:val=&quot;00DA32C1&quot;/&gt;&lt;wsp:rsid wsp:val=&quot;00DA3439&quot;/&gt;&lt;wsp:rsid wsp:val=&quot;00DA4AA2&quot;/&gt;&lt;wsp:rsid wsp:val=&quot;00DA5055&quot;/&gt;&lt;wsp:rsid wsp:val=&quot;00DA57AB&quot;/&gt;&lt;wsp:rsid wsp:val=&quot;00DA6190&quot;/&gt;&lt;wsp:rsid wsp:val=&quot;00DA6F61&quot;/&gt;&lt;wsp:rsid wsp:val=&quot;00DA7235&quot;/&gt;&lt;wsp:rsid wsp:val=&quot;00DA7676&quot;/&gt;&lt;wsp:rsid wsp:val=&quot;00DA7C34&quot;/&gt;&lt;wsp:rsid wsp:val=&quot;00DB0AAD&quot;/&gt;&lt;wsp:rsid wsp:val=&quot;00DB0C5D&quot;/&gt;&lt;wsp:rsid wsp:val=&quot;00DB1287&quot;/&gt;&lt;wsp:rsid wsp:val=&quot;00DB1797&quot;/&gt;&lt;wsp:rsid wsp:val=&quot;00DB320C&quot;/&gt;&lt;wsp:rsid wsp:val=&quot;00DB39BD&quot;/&gt;&lt;wsp:rsid wsp:val=&quot;00DB5DB8&quot;/&gt;&lt;wsp:rsid wsp:val=&quot;00DB5EAD&quot;/&gt;&lt;wsp:rsid wsp:val=&quot;00DB65AE&quot;/&gt;&lt;wsp:rsid wsp:val=&quot;00DB76CB&quot;/&gt;&lt;wsp:rsid wsp:val=&quot;00DB788C&quot;/&gt;&lt;wsp:rsid wsp:val=&quot;00DC0B2D&quot;/&gt;&lt;wsp:rsid wsp:val=&quot;00DC0FA7&quot;/&gt;&lt;wsp:rsid wsp:val=&quot;00DC19B6&quot;/&gt;&lt;wsp:rsid wsp:val=&quot;00DC1C2E&quot;/&gt;&lt;wsp:rsid wsp:val=&quot;00DC1ED9&quot;/&gt;&lt;wsp:rsid wsp:val=&quot;00DC22D3&quot;/&gt;&lt;wsp:rsid wsp:val=&quot;00DC2507&quot;/&gt;&lt;wsp:rsid wsp:val=&quot;00DC2DFB&quot;/&gt;&lt;wsp:rsid wsp:val=&quot;00DC3235&quot;/&gt;&lt;wsp:rsid wsp:val=&quot;00DC48A8&quot;/&gt;&lt;wsp:rsid wsp:val=&quot;00DC546E&quot;/&gt;&lt;wsp:rsid wsp:val=&quot;00DC58B4&quot;/&gt;&lt;wsp:rsid wsp:val=&quot;00DC5A3B&quot;/&gt;&lt;wsp:rsid wsp:val=&quot;00DC6869&quot;/&gt;&lt;wsp:rsid wsp:val=&quot;00DD09C7&quot;/&gt;&lt;wsp:rsid wsp:val=&quot;00DD1C09&quot;/&gt;&lt;wsp:rsid wsp:val=&quot;00DD2D5C&quot;/&gt;&lt;wsp:rsid wsp:val=&quot;00DD2E44&quot;/&gt;&lt;wsp:rsid wsp:val=&quot;00DD39A7&quot;/&gt;&lt;wsp:rsid wsp:val=&quot;00DD5529&quot;/&gt;&lt;wsp:rsid wsp:val=&quot;00DD56C7&quot;/&gt;&lt;wsp:rsid wsp:val=&quot;00DD679D&quot;/&gt;&lt;wsp:rsid wsp:val=&quot;00DE0365&quot;/&gt;&lt;wsp:rsid wsp:val=&quot;00DE1715&quot;/&gt;&lt;wsp:rsid wsp:val=&quot;00DE1F81&quot;/&gt;&lt;wsp:rsid wsp:val=&quot;00DE2B8D&quot;/&gt;&lt;wsp:rsid wsp:val=&quot;00DE3273&quot;/&gt;&lt;wsp:rsid wsp:val=&quot;00DE3715&quot;/&gt;&lt;wsp:rsid wsp:val=&quot;00DE58C7&quot;/&gt;&lt;wsp:rsid wsp:val=&quot;00DE5DC8&quot;/&gt;&lt;wsp:rsid wsp:val=&quot;00DE7D91&quot;/&gt;&lt;wsp:rsid wsp:val=&quot;00DF047E&quot;/&gt;&lt;wsp:rsid wsp:val=&quot;00DF051F&quot;/&gt;&lt;wsp:rsid wsp:val=&quot;00DF0586&quot;/&gt;&lt;wsp:rsid wsp:val=&quot;00DF07BF&quot;/&gt;&lt;wsp:rsid wsp:val=&quot;00DF192E&quot;/&gt;&lt;wsp:rsid wsp:val=&quot;00DF3803&quot;/&gt;&lt;wsp:rsid wsp:val=&quot;00DF3937&quot;/&gt;&lt;wsp:rsid wsp:val=&quot;00DF4168&quot;/&gt;&lt;wsp:rsid wsp:val=&quot;00DF5015&quot;/&gt;&lt;wsp:rsid wsp:val=&quot;00DF6084&quot;/&gt;&lt;wsp:rsid wsp:val=&quot;00DF6B96&quot;/&gt;&lt;wsp:rsid wsp:val=&quot;00DF705B&quot;/&gt;&lt;wsp:rsid wsp:val=&quot;00DF79B9&quot;/&gt;&lt;wsp:rsid wsp:val=&quot;00E005AF&quot;/&gt;&lt;wsp:rsid wsp:val=&quot;00E04232&quot;/&gt;&lt;wsp:rsid wsp:val=&quot;00E045C3&quot;/&gt;&lt;wsp:rsid wsp:val=&quot;00E0473E&quot;/&gt;&lt;wsp:rsid wsp:val=&quot;00E047B1&quot;/&gt;&lt;wsp:rsid wsp:val=&quot;00E051C2&quot;/&gt;&lt;wsp:rsid wsp:val=&quot;00E0532D&quot;/&gt;&lt;wsp:rsid wsp:val=&quot;00E05D14&quot;/&gt;&lt;wsp:rsid wsp:val=&quot;00E06348&quot;/&gt;&lt;wsp:rsid wsp:val=&quot;00E07142&quot;/&gt;&lt;wsp:rsid wsp:val=&quot;00E07603&quot;/&gt;&lt;wsp:rsid wsp:val=&quot;00E105C7&quot;/&gt;&lt;wsp:rsid wsp:val=&quot;00E11928&quot;/&gt;&lt;wsp:rsid wsp:val=&quot;00E1242F&quot;/&gt;&lt;wsp:rsid wsp:val=&quot;00E13BFF&quot;/&gt;&lt;wsp:rsid wsp:val=&quot;00E13C16&quot;/&gt;&lt;wsp:rsid wsp:val=&quot;00E147F3&quot;/&gt;&lt;wsp:rsid wsp:val=&quot;00E160F5&quot;/&gt;&lt;wsp:rsid wsp:val=&quot;00E165B7&quot;/&gt;&lt;wsp:rsid wsp:val=&quot;00E1761C&quot;/&gt;&lt;wsp:rsid wsp:val=&quot;00E17779&quot;/&gt;&lt;wsp:rsid wsp:val=&quot;00E209E7&quot;/&gt;&lt;wsp:rsid wsp:val=&quot;00E212A0&quot;/&gt;&lt;wsp:rsid wsp:val=&quot;00E217CC&quot;/&gt;&lt;wsp:rsid wsp:val=&quot;00E21FAD&quot;/&gt;&lt;wsp:rsid wsp:val=&quot;00E22F8F&quot;/&gt;&lt;wsp:rsid wsp:val=&quot;00E2325C&quot;/&gt;&lt;wsp:rsid wsp:val=&quot;00E23AA0&quot;/&gt;&lt;wsp:rsid wsp:val=&quot;00E23B89&quot;/&gt;&lt;wsp:rsid wsp:val=&quot;00E244B0&quot;/&gt;&lt;wsp:rsid wsp:val=&quot;00E25BB1&quot;/&gt;&lt;wsp:rsid wsp:val=&quot;00E2619B&quot;/&gt;&lt;wsp:rsid wsp:val=&quot;00E267AB&quot;/&gt;&lt;wsp:rsid wsp:val=&quot;00E27C08&quot;/&gt;&lt;wsp:rsid wsp:val=&quot;00E30613&quot;/&gt;&lt;wsp:rsid wsp:val=&quot;00E31A5A&quot;/&gt;&lt;wsp:rsid wsp:val=&quot;00E31C1A&quot;/&gt;&lt;wsp:rsid wsp:val=&quot;00E326C9&quot;/&gt;&lt;wsp:rsid wsp:val=&quot;00E32CEA&quot;/&gt;&lt;wsp:rsid wsp:val=&quot;00E3311D&quot;/&gt;&lt;wsp:rsid wsp:val=&quot;00E33A60&quot;/&gt;&lt;wsp:rsid wsp:val=&quot;00E33BAC&quot;/&gt;&lt;wsp:rsid wsp:val=&quot;00E33F65&quot;/&gt;&lt;wsp:rsid wsp:val=&quot;00E35104&quot;/&gt;&lt;wsp:rsid wsp:val=&quot;00E35884&quot;/&gt;&lt;wsp:rsid wsp:val=&quot;00E36B24&quot;/&gt;&lt;wsp:rsid wsp:val=&quot;00E3755E&quot;/&gt;&lt;wsp:rsid wsp:val=&quot;00E37B1F&quot;/&gt;&lt;wsp:rsid wsp:val=&quot;00E37D2D&quot;/&gt;&lt;wsp:rsid wsp:val=&quot;00E401B0&quot;/&gt;&lt;wsp:rsid wsp:val=&quot;00E40B4F&quot;/&gt;&lt;wsp:rsid wsp:val=&quot;00E40DE7&quot;/&gt;&lt;wsp:rsid wsp:val=&quot;00E41664&quot;/&gt;&lt;wsp:rsid wsp:val=&quot;00E41BCD&quot;/&gt;&lt;wsp:rsid wsp:val=&quot;00E43FFA&quot;/&gt;&lt;wsp:rsid wsp:val=&quot;00E4425B&quot;/&gt;&lt;wsp:rsid wsp:val=&quot;00E45DC1&quot;/&gt;&lt;wsp:rsid wsp:val=&quot;00E45F39&quot;/&gt;&lt;wsp:rsid wsp:val=&quot;00E46BFB&quot;/&gt;&lt;wsp:rsid wsp:val=&quot;00E477D5&quot;/&gt;&lt;wsp:rsid wsp:val=&quot;00E47CD9&quot;/&gt;&lt;wsp:rsid wsp:val=&quot;00E50269&quot;/&gt;&lt;wsp:rsid wsp:val=&quot;00E511D2&quot;/&gt;&lt;wsp:rsid wsp:val=&quot;00E51D0C&quot;/&gt;&lt;wsp:rsid wsp:val=&quot;00E52328&quot;/&gt;&lt;wsp:rsid wsp:val=&quot;00E524E6&quot;/&gt;&lt;wsp:rsid wsp:val=&quot;00E535B4&quot;/&gt;&lt;wsp:rsid wsp:val=&quot;00E53A35&quot;/&gt;&lt;wsp:rsid wsp:val=&quot;00E53EDA&quot;/&gt;&lt;wsp:rsid wsp:val=&quot;00E542C5&quot;/&gt;&lt;wsp:rsid wsp:val=&quot;00E54494&quot;/&gt;&lt;wsp:rsid wsp:val=&quot;00E54CB5&quot;/&gt;&lt;wsp:rsid wsp:val=&quot;00E55039&quot;/&gt;&lt;wsp:rsid wsp:val=&quot;00E55156&quot;/&gt;&lt;wsp:rsid wsp:val=&quot;00E55CC8&quot;/&gt;&lt;wsp:rsid wsp:val=&quot;00E577A9&quot;/&gt;&lt;wsp:rsid wsp:val=&quot;00E60352&quot;/&gt;&lt;wsp:rsid wsp:val=&quot;00E616AF&quot;/&gt;&lt;wsp:rsid wsp:val=&quot;00E6245F&quot;/&gt;&lt;wsp:rsid wsp:val=&quot;00E6309C&quot;/&gt;&lt;wsp:rsid wsp:val=&quot;00E633A3&quot;/&gt;&lt;wsp:rsid wsp:val=&quot;00E643E6&quot;/&gt;&lt;wsp:rsid wsp:val=&quot;00E64649&quot;/&gt;&lt;wsp:rsid wsp:val=&quot;00E6665B&quot;/&gt;&lt;wsp:rsid wsp:val=&quot;00E67C09&quot;/&gt;&lt;wsp:rsid wsp:val=&quot;00E67D7D&quot;/&gt;&lt;wsp:rsid wsp:val=&quot;00E7028F&quot;/&gt;&lt;wsp:rsid wsp:val=&quot;00E704BD&quot;/&gt;&lt;wsp:rsid wsp:val=&quot;00E73187&quot;/&gt;&lt;wsp:rsid wsp:val=&quot;00E74789&quot;/&gt;&lt;wsp:rsid wsp:val=&quot;00E749A8&quot;/&gt;&lt;wsp:rsid wsp:val=&quot;00E76924&quot;/&gt;&lt;wsp:rsid wsp:val=&quot;00E76BBE&quot;/&gt;&lt;wsp:rsid wsp:val=&quot;00E771AB&quot;/&gt;&lt;wsp:rsid wsp:val=&quot;00E779F0&quot;/&gt;&lt;wsp:rsid wsp:val=&quot;00E80DEE&quot;/&gt;&lt;wsp:rsid wsp:val=&quot;00E81636&quot;/&gt;&lt;wsp:rsid wsp:val=&quot;00E819D8&quot;/&gt;&lt;wsp:rsid wsp:val=&quot;00E829A6&quot;/&gt;&lt;wsp:rsid wsp:val=&quot;00E82EFF&quot;/&gt;&lt;wsp:rsid wsp:val=&quot;00E830CD&quot;/&gt;&lt;wsp:rsid wsp:val=&quot;00E83233&quot;/&gt;&lt;wsp:rsid wsp:val=&quot;00E833FE&quot;/&gt;&lt;wsp:rsid wsp:val=&quot;00E846B2&quot;/&gt;&lt;wsp:rsid wsp:val=&quot;00E84C10&quot;/&gt;&lt;wsp:rsid wsp:val=&quot;00E856FC&quot;/&gt;&lt;wsp:rsid wsp:val=&quot;00E85CC9&quot;/&gt;&lt;wsp:rsid wsp:val=&quot;00E85CF8&quot;/&gt;&lt;wsp:rsid wsp:val=&quot;00E86242&quot;/&gt;&lt;wsp:rsid wsp:val=&quot;00E90126&quot;/&gt;&lt;wsp:rsid wsp:val=&quot;00E90BAE&quot;/&gt;&lt;wsp:rsid wsp:val=&quot;00E91D57&quot;/&gt;&lt;wsp:rsid wsp:val=&quot;00E93045&quot;/&gt;&lt;wsp:rsid wsp:val=&quot;00E94641&quot;/&gt;&lt;wsp:rsid wsp:val=&quot;00E94993&quot;/&gt;&lt;wsp:rsid wsp:val=&quot;00E9555B&quot;/&gt;&lt;wsp:rsid wsp:val=&quot;00E958BF&quot;/&gt;&lt;wsp:rsid wsp:val=&quot;00E96B35&quot;/&gt;&lt;wsp:rsid wsp:val=&quot;00E9700A&quot;/&gt;&lt;wsp:rsid wsp:val=&quot;00E97199&quot;/&gt;&lt;wsp:rsid wsp:val=&quot;00EA0E3F&quot;/&gt;&lt;wsp:rsid wsp:val=&quot;00EA1857&quot;/&gt;&lt;wsp:rsid wsp:val=&quot;00EA193E&quot;/&gt;&lt;wsp:rsid wsp:val=&quot;00EA2923&quot;/&gt;&lt;wsp:rsid wsp:val=&quot;00EA2DA0&quot;/&gt;&lt;wsp:rsid wsp:val=&quot;00EA36D4&quot;/&gt;&lt;wsp:rsid wsp:val=&quot;00EA4209&quot;/&gt;&lt;wsp:rsid wsp:val=&quot;00EA517B&quot;/&gt;&lt;wsp:rsid wsp:val=&quot;00EA63C7&quot;/&gt;&lt;wsp:rsid wsp:val=&quot;00EA7D48&quot;/&gt;&lt;wsp:rsid wsp:val=&quot;00EA7D90&quot;/&gt;&lt;wsp:rsid wsp:val=&quot;00EB0272&quot;/&gt;&lt;wsp:rsid wsp:val=&quot;00EB0342&quot;/&gt;&lt;wsp:rsid wsp:val=&quot;00EB03C3&quot;/&gt;&lt;wsp:rsid wsp:val=&quot;00EB07A4&quot;/&gt;&lt;wsp:rsid wsp:val=&quot;00EB1130&quot;/&gt;&lt;wsp:rsid wsp:val=&quot;00EB1F12&quot;/&gt;&lt;wsp:rsid wsp:val=&quot;00EB220C&quot;/&gt;&lt;wsp:rsid wsp:val=&quot;00EB2525&quot;/&gt;&lt;wsp:rsid wsp:val=&quot;00EB3193&quot;/&gt;&lt;wsp:rsid wsp:val=&quot;00EB3369&quot;/&gt;&lt;wsp:rsid wsp:val=&quot;00EB41A6&quot;/&gt;&lt;wsp:rsid wsp:val=&quot;00EB4886&quot;/&gt;&lt;wsp:rsid wsp:val=&quot;00EB4F10&quot;/&gt;&lt;wsp:rsid wsp:val=&quot;00EB53AA&quot;/&gt;&lt;wsp:rsid wsp:val=&quot;00EB598A&quot;/&gt;&lt;wsp:rsid wsp:val=&quot;00EB6198&quot;/&gt;&lt;wsp:rsid wsp:val=&quot;00EC0396&quot;/&gt;&lt;wsp:rsid wsp:val=&quot;00EC0785&quot;/&gt;&lt;wsp:rsid wsp:val=&quot;00EC10FF&quot;/&gt;&lt;wsp:rsid wsp:val=&quot;00EC1407&quot;/&gt;&lt;wsp:rsid wsp:val=&quot;00EC15F6&quot;/&gt;&lt;wsp:rsid wsp:val=&quot;00EC2CEE&quot;/&gt;&lt;wsp:rsid wsp:val=&quot;00EC3838&quot;/&gt;&lt;wsp:rsid wsp:val=&quot;00EC3EC5&quot;/&gt;&lt;wsp:rsid wsp:val=&quot;00EC3F5C&quot;/&gt;&lt;wsp:rsid wsp:val=&quot;00EC4197&quot;/&gt;&lt;wsp:rsid wsp:val=&quot;00EC43D5&quot;/&gt;&lt;wsp:rsid wsp:val=&quot;00EC4563&quot;/&gt;&lt;wsp:rsid wsp:val=&quot;00EC64A2&quot;/&gt;&lt;wsp:rsid wsp:val=&quot;00EC6767&quot;/&gt;&lt;wsp:rsid wsp:val=&quot;00EC6B92&quot;/&gt;&lt;wsp:rsid wsp:val=&quot;00ED0536&quot;/&gt;&lt;wsp:rsid wsp:val=&quot;00ED142E&quot;/&gt;&lt;wsp:rsid wsp:val=&quot;00ED243E&quot;/&gt;&lt;wsp:rsid wsp:val=&quot;00ED3685&quot;/&gt;&lt;wsp:rsid wsp:val=&quot;00ED36A3&quot;/&gt;&lt;wsp:rsid wsp:val=&quot;00ED39C6&quot;/&gt;&lt;wsp:rsid wsp:val=&quot;00ED4A7A&quot;/&gt;&lt;wsp:rsid wsp:val=&quot;00ED4F85&quot;/&gt;&lt;wsp:rsid wsp:val=&quot;00ED5987&quot;/&gt;&lt;wsp:rsid wsp:val=&quot;00ED7F24&quot;/&gt;&lt;wsp:rsid wsp:val=&quot;00EE05C2&quot;/&gt;&lt;wsp:rsid wsp:val=&quot;00EE088C&quot;/&gt;&lt;wsp:rsid wsp:val=&quot;00EE0EB9&quot;/&gt;&lt;wsp:rsid wsp:val=&quot;00EE14CE&quot;/&gt;&lt;wsp:rsid wsp:val=&quot;00EE2443&quot;/&gt;&lt;wsp:rsid wsp:val=&quot;00EE29C0&quot;/&gt;&lt;wsp:rsid wsp:val=&quot;00EE2B52&quot;/&gt;&lt;wsp:rsid wsp:val=&quot;00EE4C36&quot;/&gt;&lt;wsp:rsid wsp:val=&quot;00EE4C3F&quot;/&gt;&lt;wsp:rsid wsp:val=&quot;00EE5823&quot;/&gt;&lt;wsp:rsid wsp:val=&quot;00EE63E0&quot;/&gt;&lt;wsp:rsid wsp:val=&quot;00EF08E1&quot;/&gt;&lt;wsp:rsid wsp:val=&quot;00EF181A&quot;/&gt;&lt;wsp:rsid wsp:val=&quot;00EF19F1&quot;/&gt;&lt;wsp:rsid wsp:val=&quot;00EF1C6F&quot;/&gt;&lt;wsp:rsid wsp:val=&quot;00EF26EF&quot;/&gt;&lt;wsp:rsid wsp:val=&quot;00EF402D&quot;/&gt;&lt;wsp:rsid wsp:val=&quot;00EF4B6D&quot;/&gt;&lt;wsp:rsid wsp:val=&quot;00EF500B&quot;/&gt;&lt;wsp:rsid wsp:val=&quot;00EF6913&quot;/&gt;&lt;wsp:rsid wsp:val=&quot;00EF696D&quot;/&gt;&lt;wsp:rsid wsp:val=&quot;00EF6AE6&quot;/&gt;&lt;wsp:rsid wsp:val=&quot;00EF6D58&quot;/&gt;&lt;wsp:rsid wsp:val=&quot;00EF7F6C&quot;/&gt;&lt;wsp:rsid wsp:val=&quot;00F01D2D&quot;/&gt;&lt;wsp:rsid wsp:val=&quot;00F020BA&quot;/&gt;&lt;wsp:rsid wsp:val=&quot;00F02203&quot;/&gt;&lt;wsp:rsid wsp:val=&quot;00F025CA&quot;/&gt;&lt;wsp:rsid wsp:val=&quot;00F05A56&quot;/&gt;&lt;wsp:rsid wsp:val=&quot;00F05B9C&quot;/&gt;&lt;wsp:rsid wsp:val=&quot;00F067A5&quot;/&gt;&lt;wsp:rsid wsp:val=&quot;00F069D0&quot;/&gt;&lt;wsp:rsid wsp:val=&quot;00F0712C&quot;/&gt;&lt;wsp:rsid wsp:val=&quot;00F079CE&quot;/&gt;&lt;wsp:rsid wsp:val=&quot;00F079FE&quot;/&gt;&lt;wsp:rsid wsp:val=&quot;00F104D6&quot;/&gt;&lt;wsp:rsid wsp:val=&quot;00F112BB&quot;/&gt;&lt;wsp:rsid wsp:val=&quot;00F1162A&quot;/&gt;&lt;wsp:rsid wsp:val=&quot;00F11F49&quot;/&gt;&lt;wsp:rsid wsp:val=&quot;00F12151&quot;/&gt;&lt;wsp:rsid wsp:val=&quot;00F13341&quot;/&gt;&lt;wsp:rsid wsp:val=&quot;00F13656&quot;/&gt;&lt;wsp:rsid wsp:val=&quot;00F137CC&quot;/&gt;&lt;wsp:rsid wsp:val=&quot;00F140F0&quot;/&gt;&lt;wsp:rsid wsp:val=&quot;00F14ADA&quot;/&gt;&lt;wsp:rsid wsp:val=&quot;00F14DE7&quot;/&gt;&lt;wsp:rsid wsp:val=&quot;00F15056&quot;/&gt;&lt;wsp:rsid wsp:val=&quot;00F1665E&quot;/&gt;&lt;wsp:rsid wsp:val=&quot;00F16696&quot;/&gt;&lt;wsp:rsid wsp:val=&quot;00F17D18&quot;/&gt;&lt;wsp:rsid wsp:val=&quot;00F20A5D&quot;/&gt;&lt;wsp:rsid wsp:val=&quot;00F20E3F&quot;/&gt;&lt;wsp:rsid wsp:val=&quot;00F21912&quot;/&gt;&lt;wsp:rsid wsp:val=&quot;00F21F21&quot;/&gt;&lt;wsp:rsid wsp:val=&quot;00F2212E&quot;/&gt;&lt;wsp:rsid wsp:val=&quot;00F22659&quot;/&gt;&lt;wsp:rsid wsp:val=&quot;00F22830&quot;/&gt;&lt;wsp:rsid wsp:val=&quot;00F2324D&quot;/&gt;&lt;wsp:rsid wsp:val=&quot;00F23CB9&quot;/&gt;&lt;wsp:rsid wsp:val=&quot;00F23DF5&quot;/&gt;&lt;wsp:rsid wsp:val=&quot;00F2430C&quot;/&gt;&lt;wsp:rsid wsp:val=&quot;00F246D0&quot;/&gt;&lt;wsp:rsid wsp:val=&quot;00F251BD&quot;/&gt;&lt;wsp:rsid wsp:val=&quot;00F26155&quot;/&gt;&lt;wsp:rsid wsp:val=&quot;00F263C6&quot;/&gt;&lt;wsp:rsid wsp:val=&quot;00F30197&quot;/&gt;&lt;wsp:rsid wsp:val=&quot;00F3313D&quot;/&gt;&lt;wsp:rsid wsp:val=&quot;00F3469A&quot;/&gt;&lt;wsp:rsid wsp:val=&quot;00F3473D&quot;/&gt;&lt;wsp:rsid wsp:val=&quot;00F34AA1&quot;/&gt;&lt;wsp:rsid wsp:val=&quot;00F35111&quot;/&gt;&lt;wsp:rsid wsp:val=&quot;00F35F7D&quot;/&gt;&lt;wsp:rsid wsp:val=&quot;00F36448&quot;/&gt;&lt;wsp:rsid wsp:val=&quot;00F36B5C&quot;/&gt;&lt;wsp:rsid wsp:val=&quot;00F3704E&quot;/&gt;&lt;wsp:rsid wsp:val=&quot;00F40113&quot;/&gt;&lt;wsp:rsid wsp:val=&quot;00F40477&quot;/&gt;&lt;wsp:rsid wsp:val=&quot;00F40BF7&quot;/&gt;&lt;wsp:rsid wsp:val=&quot;00F40CF2&quot;/&gt;&lt;wsp:rsid wsp:val=&quot;00F40FBA&quot;/&gt;&lt;wsp:rsid wsp:val=&quot;00F41D3E&quot;/&gt;&lt;wsp:rsid wsp:val=&quot;00F43088&quot;/&gt;&lt;wsp:rsid wsp:val=&quot;00F44620&quot;/&gt;&lt;wsp:rsid wsp:val=&quot;00F44850&quot;/&gt;&lt;wsp:rsid wsp:val=&quot;00F45037&quot;/&gt;&lt;wsp:rsid wsp:val=&quot;00F456EA&quot;/&gt;&lt;wsp:rsid wsp:val=&quot;00F45FB8&quot;/&gt;&lt;wsp:rsid wsp:val=&quot;00F46268&quot;/&gt;&lt;wsp:rsid wsp:val=&quot;00F4723B&quot;/&gt;&lt;wsp:rsid wsp:val=&quot;00F475D7&quot;/&gt;&lt;wsp:rsid wsp:val=&quot;00F504D5&quot;/&gt;&lt;wsp:rsid wsp:val=&quot;00F50726&quot;/&gt;&lt;wsp:rsid wsp:val=&quot;00F50C88&quot;/&gt;&lt;wsp:rsid wsp:val=&quot;00F51136&quot;/&gt;&lt;wsp:rsid wsp:val=&quot;00F517E7&quot;/&gt;&lt;wsp:rsid wsp:val=&quot;00F51B68&quot;/&gt;&lt;wsp:rsid wsp:val=&quot;00F51CD0&quot;/&gt;&lt;wsp:rsid wsp:val=&quot;00F5209B&quot;/&gt;&lt;wsp:rsid wsp:val=&quot;00F5234D&quot;/&gt;&lt;wsp:rsid wsp:val=&quot;00F52A4C&quot;/&gt;&lt;wsp:rsid wsp:val=&quot;00F53384&quot;/&gt;&lt;wsp:rsid wsp:val=&quot;00F53ADD&quot;/&gt;&lt;wsp:rsid wsp:val=&quot;00F54197&quot;/&gt;&lt;wsp:rsid wsp:val=&quot;00F541B9&quot;/&gt;&lt;wsp:rsid wsp:val=&quot;00F54A29&quot;/&gt;&lt;wsp:rsid wsp:val=&quot;00F554DE&quot;/&gt;&lt;wsp:rsid wsp:val=&quot;00F56C9C&quot;/&gt;&lt;wsp:rsid wsp:val=&quot;00F5753C&quot;/&gt;&lt;wsp:rsid wsp:val=&quot;00F57F6D&quot;/&gt;&lt;wsp:rsid wsp:val=&quot;00F60A9F&quot;/&gt;&lt;wsp:rsid wsp:val=&quot;00F60CFE&quot;/&gt;&lt;wsp:rsid wsp:val=&quot;00F613A1&quot;/&gt;&lt;wsp:rsid wsp:val=&quot;00F6210B&quot;/&gt;&lt;wsp:rsid wsp:val=&quot;00F627CC&quot;/&gt;&lt;wsp:rsid wsp:val=&quot;00F6281A&quot;/&gt;&lt;wsp:rsid wsp:val=&quot;00F62B74&quot;/&gt;&lt;wsp:rsid wsp:val=&quot;00F63BC1&quot;/&gt;&lt;wsp:rsid wsp:val=&quot;00F64143&quot;/&gt;&lt;wsp:rsid wsp:val=&quot;00F6479C&quot;/&gt;&lt;wsp:rsid wsp:val=&quot;00F65C21&quot;/&gt;&lt;wsp:rsid wsp:val=&quot;00F66664&quot;/&gt;&lt;wsp:rsid wsp:val=&quot;00F66761&quot;/&gt;&lt;wsp:rsid wsp:val=&quot;00F66D01&quot;/&gt;&lt;wsp:rsid wsp:val=&quot;00F671E2&quot;/&gt;&lt;wsp:rsid wsp:val=&quot;00F67C09&quot;/&gt;&lt;wsp:rsid wsp:val=&quot;00F67E22&quot;/&gt;&lt;wsp:rsid wsp:val=&quot;00F70B71&quot;/&gt;&lt;wsp:rsid wsp:val=&quot;00F711F1&quot;/&gt;&lt;wsp:rsid wsp:val=&quot;00F71EA4&quot;/&gt;&lt;wsp:rsid wsp:val=&quot;00F72525&quot;/&gt;&lt;wsp:rsid wsp:val=&quot;00F72D06&quot;/&gt;&lt;wsp:rsid wsp:val=&quot;00F74C0D&quot;/&gt;&lt;wsp:rsid wsp:val=&quot;00F752D4&quot;/&gt;&lt;wsp:rsid wsp:val=&quot;00F75427&quot;/&gt;&lt;wsp:rsid wsp:val=&quot;00F76426&quot;/&gt;&lt;wsp:rsid wsp:val=&quot;00F7716D&quot;/&gt;&lt;wsp:rsid wsp:val=&quot;00F81164&quot;/&gt;&lt;wsp:rsid wsp:val=&quot;00F82E4E&quot;/&gt;&lt;wsp:rsid wsp:val=&quot;00F8356F&quot;/&gt;&lt;wsp:rsid wsp:val=&quot;00F8372B&quot;/&gt;&lt;wsp:rsid wsp:val=&quot;00F8421E&quot;/&gt;&lt;wsp:rsid wsp:val=&quot;00F84A7B&quot;/&gt;&lt;wsp:rsid wsp:val=&quot;00F84B6A&quot;/&gt;&lt;wsp:rsid wsp:val=&quot;00F8546E&quot;/&gt;&lt;wsp:rsid wsp:val=&quot;00F858E1&quot;/&gt;&lt;wsp:rsid wsp:val=&quot;00F85DCB&quot;/&gt;&lt;wsp:rsid wsp:val=&quot;00F86FF9&quot;/&gt;&lt;wsp:rsid wsp:val=&quot;00F87206&quot;/&gt;&lt;wsp:rsid wsp:val=&quot;00F906B7&quot;/&gt;&lt;wsp:rsid wsp:val=&quot;00F9116A&quot;/&gt;&lt;wsp:rsid wsp:val=&quot;00F91AC4&quot;/&gt;&lt;wsp:rsid wsp:val=&quot;00F923EB&quot;/&gt;&lt;wsp:rsid wsp:val=&quot;00F936C1&quot;/&gt;&lt;wsp:rsid wsp:val=&quot;00F93DC2&quot;/&gt;&lt;wsp:rsid wsp:val=&quot;00F93F81&quot;/&gt;&lt;wsp:rsid wsp:val=&quot;00F9592F&quot;/&gt;&lt;wsp:rsid wsp:val=&quot;00F96FAB&quot;/&gt;&lt;wsp:rsid wsp:val=&quot;00F9701A&quot;/&gt;&lt;wsp:rsid wsp:val=&quot;00F97A56&quot;/&gt;&lt;wsp:rsid wsp:val=&quot;00FA047D&quot;/&gt;&lt;wsp:rsid wsp:val=&quot;00FA1063&quot;/&gt;&lt;wsp:rsid wsp:val=&quot;00FA1461&quot;/&gt;&lt;wsp:rsid wsp:val=&quot;00FA1697&quot;/&gt;&lt;wsp:rsid wsp:val=&quot;00FA171D&quot;/&gt;&lt;wsp:rsid wsp:val=&quot;00FA17BE&quot;/&gt;&lt;wsp:rsid wsp:val=&quot;00FA1A2F&quot;/&gt;&lt;wsp:rsid wsp:val=&quot;00FA3379&quot;/&gt;&lt;wsp:rsid wsp:val=&quot;00FA3A94&quot;/&gt;&lt;wsp:rsid wsp:val=&quot;00FA3C3F&quot;/&gt;&lt;wsp:rsid wsp:val=&quot;00FA5AAE&quot;/&gt;&lt;wsp:rsid wsp:val=&quot;00FA5D8F&quot;/&gt;&lt;wsp:rsid wsp:val=&quot;00FA7D2E&quot;/&gt;&lt;wsp:rsid wsp:val=&quot;00FB09E1&quot;/&gt;&lt;wsp:rsid wsp:val=&quot;00FB158E&quot;/&gt;&lt;wsp:rsid wsp:val=&quot;00FB1CF9&quot;/&gt;&lt;wsp:rsid wsp:val=&quot;00FB20B1&quot;/&gt;&lt;wsp:rsid wsp:val=&quot;00FB23C1&quot;/&gt;&lt;wsp:rsid wsp:val=&quot;00FB4AFF&quot;/&gt;&lt;wsp:rsid wsp:val=&quot;00FB5576&quot;/&gt;&lt;wsp:rsid wsp:val=&quot;00FB56CF&quot;/&gt;&lt;wsp:rsid wsp:val=&quot;00FB636D&quot;/&gt;&lt;wsp:rsid wsp:val=&quot;00FB6629&quot;/&gt;&lt;wsp:rsid wsp:val=&quot;00FB6CFB&quot;/&gt;&lt;wsp:rsid wsp:val=&quot;00FB7945&quot;/&gt;&lt;wsp:rsid wsp:val=&quot;00FC0D58&quot;/&gt;&lt;wsp:rsid wsp:val=&quot;00FC12B0&quot;/&gt;&lt;wsp:rsid wsp:val=&quot;00FC27AA&quot;/&gt;&lt;wsp:rsid wsp:val=&quot;00FC2CE6&quot;/&gt;&lt;wsp:rsid wsp:val=&quot;00FC31B7&quot;/&gt;&lt;wsp:rsid wsp:val=&quot;00FC325F&quot;/&gt;&lt;wsp:rsid wsp:val=&quot;00FC3E54&quot;/&gt;&lt;wsp:rsid wsp:val=&quot;00FC4370&quot;/&gt;&lt;wsp:rsid wsp:val=&quot;00FC4E1E&quot;/&gt;&lt;wsp:rsid wsp:val=&quot;00FC5E51&quot;/&gt;&lt;wsp:rsid wsp:val=&quot;00FC70FB&quot;/&gt;&lt;wsp:rsid wsp:val=&quot;00FD0180&quot;/&gt;&lt;wsp:rsid wsp:val=&quot;00FD1482&quot;/&gt;&lt;wsp:rsid wsp:val=&quot;00FD171C&quot;/&gt;&lt;wsp:rsid wsp:val=&quot;00FD1B97&quot;/&gt;&lt;wsp:rsid wsp:val=&quot;00FD3507&quot;/&gt;&lt;wsp:rsid wsp:val=&quot;00FD3EBE&quot;/&gt;&lt;wsp:rsid wsp:val=&quot;00FD3F04&quot;/&gt;&lt;wsp:rsid wsp:val=&quot;00FD4604&quot;/&gt;&lt;wsp:rsid wsp:val=&quot;00FD6BD6&quot;/&gt;&lt;wsp:rsid wsp:val=&quot;00FD7C07&quot;/&gt;&lt;wsp:rsid wsp:val=&quot;00FE05F7&quot;/&gt;&lt;wsp:rsid wsp:val=&quot;00FE06AB&quot;/&gt;&lt;wsp:rsid wsp:val=&quot;00FE261C&quot;/&gt;&lt;wsp:rsid wsp:val=&quot;00FE3151&quot;/&gt;&lt;wsp:rsid wsp:val=&quot;00FE333D&quot;/&gt;&lt;wsp:rsid wsp:val=&quot;00FE36C3&quot;/&gt;&lt;wsp:rsid wsp:val=&quot;00FE44F0&quot;/&gt;&lt;wsp:rsid wsp:val=&quot;00FE5DAC&quot;/&gt;&lt;wsp:rsid wsp:val=&quot;00FE60B9&quot;/&gt;&lt;wsp:rsid wsp:val=&quot;00FE6FB2&quot;/&gt;&lt;wsp:rsid wsp:val=&quot;00FE76E0&quot;/&gt;&lt;wsp:rsid wsp:val=&quot;00FF046C&quot;/&gt;&lt;wsp:rsid wsp:val=&quot;00FF07B8&quot;/&gt;&lt;wsp:rsid wsp:val=&quot;00FF0B63&quot;/&gt;&lt;wsp:rsid wsp:val=&quot;00FF0DEB&quot;/&gt;&lt;wsp:rsid wsp:val=&quot;00FF21EB&quot;/&gt;&lt;wsp:rsid wsp:val=&quot;00FF2E08&quot;/&gt;&lt;wsp:rsid wsp:val=&quot;00FF37A1&quot;/&gt;&lt;wsp:rsid wsp:val=&quot;00FF4661&quot;/&gt;&lt;wsp:rsid wsp:val=&quot;00FF4C34&quot;/&gt;&lt;wsp:rsid wsp:val=&quot;00FF4F75&quot;/&gt;&lt;wsp:rsid wsp:val=&quot;00FF5E04&quot;/&gt;&lt;wsp:rsid wsp:val=&quot;00FF6515&quot;/&gt;&lt;wsp:rsid wsp:val=&quot;00FF669D&quot;/&gt;&lt;wsp:rsid wsp:val=&quot;00FF6979&quot;/&gt;&lt;wsp:rsid wsp:val=&quot;00FF7011&quot;/&gt;&lt;wsp:rsid wsp:val=&quot;00FF7723&quot;/&gt;&lt;wsp:rsid wsp:val=&quot;00FF79DE&quot;/&gt;&lt;wsp:rsid wsp:val=&quot;0471177E&quot;/&gt;&lt;wsp:rsid wsp:val=&quot;05E3020F&quot;/&gt;&lt;wsp:rsid wsp:val=&quot;08724604&quot;/&gt;&lt;wsp:rsid wsp:val=&quot;0C1803E3&quot;/&gt;&lt;wsp:rsid wsp:val=&quot;0C990E7C&quot;/&gt;&lt;wsp:rsid wsp:val=&quot;0CAD7F05&quot;/&gt;&lt;wsp:rsid wsp:val=&quot;11873A80&quot;/&gt;&lt;wsp:rsid wsp:val=&quot;17BC422F&quot;/&gt;&lt;wsp:rsid wsp:val=&quot;18E707A5&quot;/&gt;&lt;wsp:rsid wsp:val=&quot;1A433BB2&quot;/&gt;&lt;wsp:rsid wsp:val=&quot;23D3070A&quot;/&gt;&lt;wsp:rsid wsp:val=&quot;25350811&quot;/&gt;&lt;wsp:rsid wsp:val=&quot;289B1E8D&quot;/&gt;&lt;wsp:rsid wsp:val=&quot;2E6F0B8E&quot;/&gt;&lt;wsp:rsid wsp:val=&quot;304D5659&quot;/&gt;&lt;wsp:rsid wsp:val=&quot;317F025F&quot;/&gt;&lt;wsp:rsid wsp:val=&quot;368D0334&quot;/&gt;&lt;wsp:rsid wsp:val=&quot;40055E36&quot;/&gt;&lt;wsp:rsid wsp:val=&quot;40CE4415&quot;/&gt;&lt;wsp:rsid wsp:val=&quot;46A25A7F&quot;/&gt;&lt;wsp:rsid wsp:val=&quot;485A4EA6&quot;/&gt;&lt;wsp:rsid wsp:val=&quot;49CB60E5&quot;/&gt;&lt;wsp:rsid wsp:val=&quot;546859EB&quot;/&gt;&lt;wsp:rsid wsp:val=&quot;58D46D47&quot;/&gt;&lt;wsp:rsid wsp:val=&quot;5CD44510&quot;/&gt;&lt;wsp:rsid wsp:val=&quot;5D4516CB&quot;/&gt;&lt;wsp:rsid wsp:val=&quot;5D860F6B&quot;/&gt;&lt;wsp:rsid wsp:val=&quot;68B430FC&quot;/&gt;&lt;wsp:rsid wsp:val=&quot;6A2A4C91&quot;/&gt;&lt;wsp:rsid wsp:val=&quot;715012E2&quot;/&gt;&lt;wsp:rsid wsp:val=&quot;71DF487E&quot;/&gt;&lt;wsp:rsid wsp:val=&quot;735343C5&quot;/&gt;&lt;wsp:rsid wsp:val=&quot;78F91B53&quot;/&gt;&lt;wsp:rsid wsp:val=&quot;7C64631E&quot;/&gt;&lt;wsp:rsid wsp:val=&quot;7D423CE2&quot;/&gt;&lt;/wsp:rsids&gt;&lt;/w:docPr&gt;&lt;w:body&gt;&lt;wx:sect&gt;&lt;w:p wsp:rsidR=&quot;00000000&quot; wsp:rsidRDefault=&quot;00F67C09&quot; wsp:rsidP=&quot;00F67C09&quot;&gt;&lt;m:oMathPara&gt;&lt;m:oMath&gt;&lt;m:sSup&gt;&lt;m:sSupPr&gt;&lt;m:ctrlPr&gt;&lt;w:rPr&gt;&lt;w:rFonts w:ascii=&quot;Cambria Math&quot; w:h-ansi=&quot;Cambria Math&quot;/&gt;&lt;wx:font wx:val=&quot;Cambria Math&quot;/&gt;&lt;/w:rPr&gt;&lt;/m:ctrlPr&gt;&lt;/m:sSupPr&gt;&lt;m:e&gt;&lt;m:r&gt;&lt;w:rPr&gt;&lt;w:rFonts w:ascii=&quot;Cambria Math&quot; w:h-ansi=&quot;Cambria Math&quot;/&gt;&lt;wx:font wx:val=&quot;Cambria Math&quot;/&gt;&lt;w:i/&gt;&lt;/w:rPr&gt;&lt;m:t&gt;u&lt;/m:t&gt;&lt;/m:r&gt;&lt;/m:e&gt;&lt;m:sup&gt;&lt;m:r&gt;&lt;w:rPr&gt;&lt;w:rFonts w:ascii=&quot;Cambria Math&quot; w:h-ansi=&quot;Cambria Math&quot;/&gt;&lt;wx:font wx:val=&quot;Cambria Math&quot;/&gt;&lt;w:i/&gt;&lt;/w:rPr&gt;&lt;m:t&gt;*&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22" chromakey="#FFFFFF" o:title=""/>
                  <o:lock v:ext="edit" aspectratio="t"/>
                  <w10:wrap type="none"/>
                  <w10:anchorlock/>
                </v:shape>
              </w:pic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olor w:val="auto"/>
                <w:sz w:val="24"/>
                <w:szCs w:val="24"/>
                <w:highlight w:val="none"/>
              </w:rPr>
              <w:t>为摩擦风速，m/s。计算方法见公式</w:t>
            </w:r>
            <w:r>
              <w:rPr>
                <w:rFonts w:hint="default" w:ascii="Times New Roman" w:hAnsi="Times New Roman" w:cs="Times New Roman"/>
                <w:color w:val="auto"/>
                <w:sz w:val="24"/>
                <w:szCs w:val="24"/>
                <w:highlight w:val="none"/>
                <w:lang w:val="en-US" w:eastAsia="zh-CN"/>
              </w:rPr>
              <w:t>4.1</w:t>
            </w:r>
            <w:r>
              <w:rPr>
                <w:rFonts w:hint="default" w:ascii="Times New Roman" w:hAnsi="Times New Roman" w:eastAsia="宋体" w:cs="Times New Roman"/>
                <w:color w:val="auto"/>
                <w:sz w:val="24"/>
                <w:szCs w:val="24"/>
                <w:highlight w:val="none"/>
              </w:rPr>
              <w:t>-5。</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QUOTE </w:instrText>
            </w:r>
            <w:r>
              <w:rPr>
                <w:rFonts w:hint="default" w:ascii="Times New Roman" w:hAnsi="Times New Roman" w:eastAsia="宋体" w:cs="Times New Roman"/>
                <w:color w:val="auto"/>
                <w:position w:val="-8"/>
                <w:sz w:val="24"/>
                <w:szCs w:val="24"/>
                <w:highlight w:val="none"/>
              </w:rPr>
              <w:pict>
                <v:shape id="_x0000_i1029" o:spt="75" type="#_x0000_t75" style="height:15.75pt;width:10.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94&quot;/&gt;&lt;w:displayBackgroundShape/&gt;&lt;w:doNotEmbedSystemFonts/&gt;&lt;w:bordersDontSurroundHeader/&gt;&lt;w:bordersDontSurroundFooter/&gt;&lt;w:hideSpellingErrors/&gt;&lt;w:defaultTabStop w:val=&quot;420&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82A5A&quot;/&gt;&lt;wsp:rsid wsp:val=&quot;00000D02&quot;/&gt;&lt;wsp:rsid wsp:val=&quot;00000F90&quot;/&gt;&lt;wsp:rsid wsp:val=&quot;00002DD6&quot;/&gt;&lt;wsp:rsid wsp:val=&quot;00003C3B&quot;/&gt;&lt;wsp:rsid wsp:val=&quot;00004137&quot;/&gt;&lt;wsp:rsid wsp:val=&quot;00004407&quot;/&gt;&lt;wsp:rsid wsp:val=&quot;000048CB&quot;/&gt;&lt;wsp:rsid wsp:val=&quot;00004FFF&quot;/&gt;&lt;wsp:rsid wsp:val=&quot;000052ED&quot;/&gt;&lt;wsp:rsid wsp:val=&quot;000068EA&quot;/&gt;&lt;wsp:rsid wsp:val=&quot;000079C0&quot;/&gt;&lt;wsp:rsid wsp:val=&quot;00010579&quot;/&gt;&lt;wsp:rsid wsp:val=&quot;000108D9&quot;/&gt;&lt;wsp:rsid wsp:val=&quot;00011409&quot;/&gt;&lt;wsp:rsid wsp:val=&quot;0001296A&quot;/&gt;&lt;wsp:rsid wsp:val=&quot;00014275&quot;/&gt;&lt;wsp:rsid wsp:val=&quot;00014351&quot;/&gt;&lt;wsp:rsid wsp:val=&quot;0001449A&quot;/&gt;&lt;wsp:rsid wsp:val=&quot;00015DD0&quot;/&gt;&lt;wsp:rsid wsp:val=&quot;0001650C&quot;/&gt;&lt;wsp:rsid wsp:val=&quot;00017297&quot;/&gt;&lt;wsp:rsid wsp:val=&quot;00017B9C&quot;/&gt;&lt;wsp:rsid wsp:val=&quot;000205C8&quot;/&gt;&lt;wsp:rsid wsp:val=&quot;000235A3&quot;/&gt;&lt;wsp:rsid wsp:val=&quot;00023D8F&quot;/&gt;&lt;wsp:rsid wsp:val=&quot;0002422E&quot;/&gt;&lt;wsp:rsid wsp:val=&quot;000243AF&quot;/&gt;&lt;wsp:rsid wsp:val=&quot;00024BAD&quot;/&gt;&lt;wsp:rsid wsp:val=&quot;00025526&quot;/&gt;&lt;wsp:rsid wsp:val=&quot;0002623A&quot;/&gt;&lt;wsp:rsid wsp:val=&quot;000262D7&quot;/&gt;&lt;wsp:rsid wsp:val=&quot;0002637C&quot;/&gt;&lt;wsp:rsid wsp:val=&quot;0002690B&quot;/&gt;&lt;wsp:rsid wsp:val=&quot;00026B3C&quot;/&gt;&lt;wsp:rsid wsp:val=&quot;0002708F&quot;/&gt;&lt;wsp:rsid wsp:val=&quot;0003165E&quot;/&gt;&lt;wsp:rsid wsp:val=&quot;0003172F&quot;/&gt;&lt;wsp:rsid wsp:val=&quot;0003188D&quot;/&gt;&lt;wsp:rsid wsp:val=&quot;00031D66&quot;/&gt;&lt;wsp:rsid wsp:val=&quot;00031F5A&quot;/&gt;&lt;wsp:rsid wsp:val=&quot;000333B7&quot;/&gt;&lt;wsp:rsid wsp:val=&quot;00034880&quot;/&gt;&lt;wsp:rsid wsp:val=&quot;00034881&quot;/&gt;&lt;wsp:rsid wsp:val=&quot;000355F3&quot;/&gt;&lt;wsp:rsid wsp:val=&quot;0003581E&quot;/&gt;&lt;wsp:rsid wsp:val=&quot;000363A7&quot;/&gt;&lt;wsp:rsid wsp:val=&quot;000368BC&quot;/&gt;&lt;wsp:rsid wsp:val=&quot;000370F0&quot;/&gt;&lt;wsp:rsid wsp:val=&quot;00037309&quot;/&gt;&lt;wsp:rsid wsp:val=&quot;00037E96&quot;/&gt;&lt;wsp:rsid wsp:val=&quot;000400F4&quot;/&gt;&lt;wsp:rsid wsp:val=&quot;000407EF&quot;/&gt;&lt;wsp:rsid wsp:val=&quot;000408A6&quot;/&gt;&lt;wsp:rsid wsp:val=&quot;000408AB&quot;/&gt;&lt;wsp:rsid wsp:val=&quot;0004180C&quot;/&gt;&lt;wsp:rsid wsp:val=&quot;00041E3C&quot;/&gt;&lt;wsp:rsid wsp:val=&quot;00042180&quot;/&gt;&lt;wsp:rsid wsp:val=&quot;00042E92&quot;/&gt;&lt;wsp:rsid wsp:val=&quot;0004360D&quot;/&gt;&lt;wsp:rsid wsp:val=&quot;0004371E&quot;/&gt;&lt;wsp:rsid wsp:val=&quot;00043952&quot;/&gt;&lt;wsp:rsid wsp:val=&quot;00044DE2&quot;/&gt;&lt;wsp:rsid wsp:val=&quot;00045662&quot;/&gt;&lt;wsp:rsid wsp:val=&quot;00046772&quot;/&gt;&lt;wsp:rsid wsp:val=&quot;0004683B&quot;/&gt;&lt;wsp:rsid wsp:val=&quot;0004701E&quot;/&gt;&lt;wsp:rsid wsp:val=&quot;00050BF0&quot;/&gt;&lt;wsp:rsid wsp:val=&quot;00051A43&quot;/&gt;&lt;wsp:rsid wsp:val=&quot;000533F2&quot;/&gt;&lt;wsp:rsid wsp:val=&quot;000535D6&quot;/&gt;&lt;wsp:rsid wsp:val=&quot;00054EE6&quot;/&gt;&lt;wsp:rsid wsp:val=&quot;0005634C&quot;/&gt;&lt;wsp:rsid wsp:val=&quot;00056B61&quot;/&gt;&lt;wsp:rsid wsp:val=&quot;00057E6E&quot;/&gt;&lt;wsp:rsid wsp:val=&quot;000607AD&quot;/&gt;&lt;wsp:rsid wsp:val=&quot;0006125E&quot;/&gt;&lt;wsp:rsid wsp:val=&quot;00061796&quot;/&gt;&lt;wsp:rsid wsp:val=&quot;00061812&quot;/&gt;&lt;wsp:rsid wsp:val=&quot;00064956&quot;/&gt;&lt;wsp:rsid wsp:val=&quot;00064F3B&quot;/&gt;&lt;wsp:rsid wsp:val=&quot;00065A8F&quot;/&gt;&lt;wsp:rsid wsp:val=&quot;00065F29&quot;/&gt;&lt;wsp:rsid wsp:val=&quot;00070A09&quot;/&gt;&lt;wsp:rsid wsp:val=&quot;00070C7F&quot;/&gt;&lt;wsp:rsid wsp:val=&quot;00073CB1&quot;/&gt;&lt;wsp:rsid wsp:val=&quot;00074058&quot;/&gt;&lt;wsp:rsid wsp:val=&quot;00074AFD&quot;/&gt;&lt;wsp:rsid wsp:val=&quot;00074E15&quot;/&gt;&lt;wsp:rsid wsp:val=&quot;00075C0B&quot;/&gt;&lt;wsp:rsid wsp:val=&quot;00075F90&quot;/&gt;&lt;wsp:rsid wsp:val=&quot;00075FF9&quot;/&gt;&lt;wsp:rsid wsp:val=&quot;000763A0&quot;/&gt;&lt;wsp:rsid wsp:val=&quot;00076760&quot;/&gt;&lt;wsp:rsid wsp:val=&quot;00077C6E&quot;/&gt;&lt;wsp:rsid wsp:val=&quot;00077EBB&quot;/&gt;&lt;wsp:rsid wsp:val=&quot;0008028D&quot;/&gt;&lt;wsp:rsid wsp:val=&quot;00080AA2&quot;/&gt;&lt;wsp:rsid wsp:val=&quot;00080BDD&quot;/&gt;&lt;wsp:rsid wsp:val=&quot;0008159D&quot;/&gt;&lt;wsp:rsid wsp:val=&quot;00082D36&quot;/&gt;&lt;wsp:rsid wsp:val=&quot;0008396F&quot;/&gt;&lt;wsp:rsid wsp:val=&quot;00083C18&quot;/&gt;&lt;wsp:rsid wsp:val=&quot;0008442F&quot;/&gt;&lt;wsp:rsid wsp:val=&quot;000864D5&quot;/&gt;&lt;wsp:rsid wsp:val=&quot;00086CF7&quot;/&gt;&lt;wsp:rsid wsp:val=&quot;00087257&quot;/&gt;&lt;wsp:rsid wsp:val=&quot;00087498&quot;/&gt;&lt;wsp:rsid wsp:val=&quot;000877C8&quot;/&gt;&lt;wsp:rsid wsp:val=&quot;00087FE8&quot;/&gt;&lt;wsp:rsid wsp:val=&quot;00090424&quot;/&gt;&lt;wsp:rsid wsp:val=&quot;000909D8&quot;/&gt;&lt;wsp:rsid wsp:val=&quot;00090C5E&quot;/&gt;&lt;wsp:rsid wsp:val=&quot;000917E6&quot;/&gt;&lt;wsp:rsid wsp:val=&quot;00091B7C&quot;/&gt;&lt;wsp:rsid wsp:val=&quot;00092B59&quot;/&gt;&lt;wsp:rsid wsp:val=&quot;000930C4&quot;/&gt;&lt;wsp:rsid wsp:val=&quot;00093812&quot;/&gt;&lt;wsp:rsid wsp:val=&quot;000964A7&quot;/&gt;&lt;wsp:rsid wsp:val=&quot;000978C5&quot;/&gt;&lt;wsp:rsid wsp:val=&quot;000A08F1&quot;/&gt;&lt;wsp:rsid wsp:val=&quot;000A1217&quot;/&gt;&lt;wsp:rsid wsp:val=&quot;000A20E0&quot;/&gt;&lt;wsp:rsid wsp:val=&quot;000A2264&quot;/&gt;&lt;wsp:rsid wsp:val=&quot;000A38FB&quot;/&gt;&lt;wsp:rsid wsp:val=&quot;000A457D&quot;/&gt;&lt;wsp:rsid wsp:val=&quot;000A4F2C&quot;/&gt;&lt;wsp:rsid wsp:val=&quot;000A589B&quot;/&gt;&lt;wsp:rsid wsp:val=&quot;000A5F49&quot;/&gt;&lt;wsp:rsid wsp:val=&quot;000A64EA&quot;/&gt;&lt;wsp:rsid wsp:val=&quot;000A7A05&quot;/&gt;&lt;wsp:rsid wsp:val=&quot;000B1DD7&quot;/&gt;&lt;wsp:rsid wsp:val=&quot;000B34F4&quot;/&gt;&lt;wsp:rsid wsp:val=&quot;000B487E&quot;/&gt;&lt;wsp:rsid wsp:val=&quot;000B4973&quot;/&gt;&lt;wsp:rsid wsp:val=&quot;000B49B2&quot;/&gt;&lt;wsp:rsid wsp:val=&quot;000B4C16&quot;/&gt;&lt;wsp:rsid wsp:val=&quot;000B4EE4&quot;/&gt;&lt;wsp:rsid wsp:val=&quot;000B56C3&quot;/&gt;&lt;wsp:rsid wsp:val=&quot;000B69BE&quot;/&gt;&lt;wsp:rsid wsp:val=&quot;000B6AF4&quot;/&gt;&lt;wsp:rsid wsp:val=&quot;000C2528&quot;/&gt;&lt;wsp:rsid wsp:val=&quot;000C2696&quot;/&gt;&lt;wsp:rsid wsp:val=&quot;000C2B0E&quot;/&gt;&lt;wsp:rsid wsp:val=&quot;000C3650&quot;/&gt;&lt;wsp:rsid wsp:val=&quot;000C366B&quot;/&gt;&lt;wsp:rsid wsp:val=&quot;000C4235&quot;/&gt;&lt;wsp:rsid wsp:val=&quot;000C54D5&quot;/&gt;&lt;wsp:rsid wsp:val=&quot;000C57FB&quot;/&gt;&lt;wsp:rsid wsp:val=&quot;000C5E64&quot;/&gt;&lt;wsp:rsid wsp:val=&quot;000C6333&quot;/&gt;&lt;wsp:rsid wsp:val=&quot;000C64F8&quot;/&gt;&lt;wsp:rsid wsp:val=&quot;000D0338&quot;/&gt;&lt;wsp:rsid wsp:val=&quot;000D07AD&quot;/&gt;&lt;wsp:rsid wsp:val=&quot;000D08DB&quot;/&gt;&lt;wsp:rsid wsp:val=&quot;000D1088&quot;/&gt;&lt;wsp:rsid wsp:val=&quot;000D168E&quot;/&gt;&lt;wsp:rsid wsp:val=&quot;000D2F3D&quot;/&gt;&lt;wsp:rsid wsp:val=&quot;000D37FA&quot;/&gt;&lt;wsp:rsid wsp:val=&quot;000D6076&quot;/&gt;&lt;wsp:rsid wsp:val=&quot;000D7188&quot;/&gt;&lt;wsp:rsid wsp:val=&quot;000D7605&quot;/&gt;&lt;wsp:rsid wsp:val=&quot;000E0759&quot;/&gt;&lt;wsp:rsid wsp:val=&quot;000E0FF9&quot;/&gt;&lt;wsp:rsid wsp:val=&quot;000E37D9&quot;/&gt;&lt;wsp:rsid wsp:val=&quot;000E401E&quot;/&gt;&lt;wsp:rsid wsp:val=&quot;000E4700&quot;/&gt;&lt;wsp:rsid wsp:val=&quot;000E4DA3&quot;/&gt;&lt;wsp:rsid wsp:val=&quot;000E55BB&quot;/&gt;&lt;wsp:rsid wsp:val=&quot;000E5840&quot;/&gt;&lt;wsp:rsid wsp:val=&quot;000E5FD7&quot;/&gt;&lt;wsp:rsid wsp:val=&quot;000E68B4&quot;/&gt;&lt;wsp:rsid wsp:val=&quot;000E72E8&quot;/&gt;&lt;wsp:rsid wsp:val=&quot;000F03AE&quot;/&gt;&lt;wsp:rsid wsp:val=&quot;000F089B&quot;/&gt;&lt;wsp:rsid wsp:val=&quot;000F106C&quot;/&gt;&lt;wsp:rsid wsp:val=&quot;000F2649&quot;/&gt;&lt;wsp:rsid wsp:val=&quot;000F28E7&quot;/&gt;&lt;wsp:rsid wsp:val=&quot;000F39C8&quot;/&gt;&lt;wsp:rsid wsp:val=&quot;000F3B35&quot;/&gt;&lt;wsp:rsid wsp:val=&quot;000F3DB3&quot;/&gt;&lt;wsp:rsid wsp:val=&quot;000F508C&quot;/&gt;&lt;wsp:rsid wsp:val=&quot;000F53E1&quot;/&gt;&lt;wsp:rsid wsp:val=&quot;000F6B60&quot;/&gt;&lt;wsp:rsid wsp:val=&quot;00100E94&quot;/&gt;&lt;wsp:rsid wsp:val=&quot;0010109B&quot;/&gt;&lt;wsp:rsid wsp:val=&quot;00101299&quot;/&gt;&lt;wsp:rsid wsp:val=&quot;00102D42&quot;/&gt;&lt;wsp:rsid wsp:val=&quot;00102DA9&quot;/&gt;&lt;wsp:rsid wsp:val=&quot;00102EE0&quot;/&gt;&lt;wsp:rsid wsp:val=&quot;00103127&quot;/&gt;&lt;wsp:rsid wsp:val=&quot;001034EA&quot;/&gt;&lt;wsp:rsid wsp:val=&quot;00103B53&quot;/&gt;&lt;wsp:rsid wsp:val=&quot;001047B2&quot;/&gt;&lt;wsp:rsid wsp:val=&quot;00104C51&quot;/&gt;&lt;wsp:rsid wsp:val=&quot;00105B91&quot;/&gt;&lt;wsp:rsid wsp:val=&quot;00105BEB&quot;/&gt;&lt;wsp:rsid wsp:val=&quot;00106601&quot;/&gt;&lt;wsp:rsid wsp:val=&quot;00107554&quot;/&gt;&lt;wsp:rsid wsp:val=&quot;00107A60&quot;/&gt;&lt;wsp:rsid wsp:val=&quot;0011031F&quot;/&gt;&lt;wsp:rsid wsp:val=&quot;001103D2&quot;/&gt;&lt;wsp:rsid wsp:val=&quot;00110EB9&quot;/&gt;&lt;wsp:rsid wsp:val=&quot;00111636&quot;/&gt;&lt;wsp:rsid wsp:val=&quot;00111AC0&quot;/&gt;&lt;wsp:rsid wsp:val=&quot;001121D8&quot;/&gt;&lt;wsp:rsid wsp:val=&quot;00112217&quot;/&gt;&lt;wsp:rsid wsp:val=&quot;00112483&quot;/&gt;&lt;wsp:rsid wsp:val=&quot;00112B6C&quot;/&gt;&lt;wsp:rsid wsp:val=&quot;00113651&quot;/&gt;&lt;wsp:rsid wsp:val=&quot;001142E5&quot;/&gt;&lt;wsp:rsid wsp:val=&quot;001146BB&quot;/&gt;&lt;wsp:rsid wsp:val=&quot;001147D9&quot;/&gt;&lt;wsp:rsid wsp:val=&quot;00115ED6&quot;/&gt;&lt;wsp:rsid wsp:val=&quot;00116BC7&quot;/&gt;&lt;wsp:rsid wsp:val=&quot;00116F50&quot;/&gt;&lt;wsp:rsid wsp:val=&quot;001173B8&quot;/&gt;&lt;wsp:rsid wsp:val=&quot;00117F73&quot;/&gt;&lt;wsp:rsid wsp:val=&quot;00120383&quot;/&gt;&lt;wsp:rsid wsp:val=&quot;00120D7C&quot;/&gt;&lt;wsp:rsid wsp:val=&quot;00121C68&quot;/&gt;&lt;wsp:rsid wsp:val=&quot;001235CF&quot;/&gt;&lt;wsp:rsid wsp:val=&quot;00123A6C&quot;/&gt;&lt;wsp:rsid wsp:val=&quot;001241CD&quot;/&gt;&lt;wsp:rsid wsp:val=&quot;00125EC7&quot;/&gt;&lt;wsp:rsid wsp:val=&quot;0012609F&quot;/&gt;&lt;wsp:rsid wsp:val=&quot;00127F2B&quot;/&gt;&lt;wsp:rsid wsp:val=&quot;00130114&quot;/&gt;&lt;wsp:rsid wsp:val=&quot;0013076E&quot;/&gt;&lt;wsp:rsid wsp:val=&quot;00130B64&quot;/&gt;&lt;wsp:rsid wsp:val=&quot;00130E8C&quot;/&gt;&lt;wsp:rsid wsp:val=&quot;00131F6C&quot;/&gt;&lt;wsp:rsid wsp:val=&quot;00132836&quot;/&gt;&lt;wsp:rsid wsp:val=&quot;00133048&quot;/&gt;&lt;wsp:rsid wsp:val=&quot;00133949&quot;/&gt;&lt;wsp:rsid wsp:val=&quot;00135197&quot;/&gt;&lt;wsp:rsid wsp:val=&quot;00135B64&quot;/&gt;&lt;wsp:rsid wsp:val=&quot;001367F1&quot;/&gt;&lt;wsp:rsid wsp:val=&quot;0013719C&quot;/&gt;&lt;wsp:rsid wsp:val=&quot;001373F3&quot;/&gt;&lt;wsp:rsid wsp:val=&quot;001374BB&quot;/&gt;&lt;wsp:rsid wsp:val=&quot;001405F0&quot;/&gt;&lt;wsp:rsid wsp:val=&quot;0014082D&quot;/&gt;&lt;wsp:rsid wsp:val=&quot;00141038&quot;/&gt;&lt;wsp:rsid wsp:val=&quot;0014154B&quot;/&gt;&lt;wsp:rsid wsp:val=&quot;00141984&quot;/&gt;&lt;wsp:rsid wsp:val=&quot;00141E17&quot;/&gt;&lt;wsp:rsid wsp:val=&quot;00141EEB&quot;/&gt;&lt;wsp:rsid wsp:val=&quot;001421EA&quot;/&gt;&lt;wsp:rsid wsp:val=&quot;00142292&quot;/&gt;&lt;wsp:rsid wsp:val=&quot;001440A1&quot;/&gt;&lt;wsp:rsid wsp:val=&quot;001466ED&quot;/&gt;&lt;wsp:rsid wsp:val=&quot;001469B7&quot;/&gt;&lt;wsp:rsid wsp:val=&quot;00147BE4&quot;/&gt;&lt;wsp:rsid wsp:val=&quot;0015061D&quot;/&gt;&lt;wsp:rsid wsp:val=&quot;001508C4&quot;/&gt;&lt;wsp:rsid wsp:val=&quot;0015197D&quot;/&gt;&lt;wsp:rsid wsp:val=&quot;001523E9&quot;/&gt;&lt;wsp:rsid wsp:val=&quot;00152768&quot;/&gt;&lt;wsp:rsid wsp:val=&quot;001528FA&quot;/&gt;&lt;wsp:rsid wsp:val=&quot;00152B6D&quot;/&gt;&lt;wsp:rsid wsp:val=&quot;001532E7&quot;/&gt;&lt;wsp:rsid wsp:val=&quot;00153366&quot;/&gt;&lt;wsp:rsid wsp:val=&quot;001554B1&quot;/&gt;&lt;wsp:rsid wsp:val=&quot;00156550&quot;/&gt;&lt;wsp:rsid wsp:val=&quot;00156AA1&quot;/&gt;&lt;wsp:rsid wsp:val=&quot;00157B3E&quot;/&gt;&lt;wsp:rsid wsp:val=&quot;001611D0&quot;/&gt;&lt;wsp:rsid wsp:val=&quot;00162183&quot;/&gt;&lt;wsp:rsid wsp:val=&quot;00162845&quot;/&gt;&lt;wsp:rsid wsp:val=&quot;00162BD5&quot;/&gt;&lt;wsp:rsid wsp:val=&quot;001635E7&quot;/&gt;&lt;wsp:rsid wsp:val=&quot;001653F7&quot;/&gt;&lt;wsp:rsid wsp:val=&quot;00165B46&quot;/&gt;&lt;wsp:rsid wsp:val=&quot;00165FD3&quot;/&gt;&lt;wsp:rsid wsp:val=&quot;0016649E&quot;/&gt;&lt;wsp:rsid wsp:val=&quot;00166847&quot;/&gt;&lt;wsp:rsid wsp:val=&quot;0016733A&quot;/&gt;&lt;wsp:rsid wsp:val=&quot;001679DC&quot;/&gt;&lt;wsp:rsid wsp:val=&quot;00167AD0&quot;/&gt;&lt;wsp:rsid wsp:val=&quot;00171430&quot;/&gt;&lt;wsp:rsid wsp:val=&quot;00172401&quot;/&gt;&lt;wsp:rsid wsp:val=&quot;00172572&quot;/&gt;&lt;wsp:rsid wsp:val=&quot;00172F0A&quot;/&gt;&lt;wsp:rsid wsp:val=&quot;00172F4C&quot;/&gt;&lt;wsp:rsid wsp:val=&quot;00175205&quot;/&gt;&lt;wsp:rsid wsp:val=&quot;001774B1&quot;/&gt;&lt;wsp:rsid wsp:val=&quot;00177B4A&quot;/&gt;&lt;wsp:rsid wsp:val=&quot;0018367F&quot;/&gt;&lt;wsp:rsid wsp:val=&quot;00183C0F&quot;/&gt;&lt;wsp:rsid wsp:val=&quot;00185D25&quot;/&gt;&lt;wsp:rsid wsp:val=&quot;001873D2&quot;/&gt;&lt;wsp:rsid wsp:val=&quot;0019016D&quot;/&gt;&lt;wsp:rsid wsp:val=&quot;0019108E&quot;/&gt;&lt;wsp:rsid wsp:val=&quot;001910EB&quot;/&gt;&lt;wsp:rsid wsp:val=&quot;001916C6&quot;/&gt;&lt;wsp:rsid wsp:val=&quot;00191B64&quot;/&gt;&lt;wsp:rsid wsp:val=&quot;0019214B&quot;/&gt;&lt;wsp:rsid wsp:val=&quot;00192A2D&quot;/&gt;&lt;wsp:rsid wsp:val=&quot;00193742&quot;/&gt;&lt;wsp:rsid wsp:val=&quot;00193A8B&quot;/&gt;&lt;wsp:rsid wsp:val=&quot;00196E2A&quot;/&gt;&lt;wsp:rsid wsp:val=&quot;00197FB3&quot;/&gt;&lt;wsp:rsid wsp:val=&quot;001A0095&quot;/&gt;&lt;wsp:rsid wsp:val=&quot;001A018C&quot;/&gt;&lt;wsp:rsid wsp:val=&quot;001A1972&quot;/&gt;&lt;wsp:rsid wsp:val=&quot;001A26F3&quot;/&gt;&lt;wsp:rsid wsp:val=&quot;001A3A52&quot;/&gt;&lt;wsp:rsid wsp:val=&quot;001A5596&quot;/&gt;&lt;wsp:rsid wsp:val=&quot;001A581B&quot;/&gt;&lt;wsp:rsid wsp:val=&quot;001A5C74&quot;/&gt;&lt;wsp:rsid wsp:val=&quot;001A5CA5&quot;/&gt;&lt;wsp:rsid wsp:val=&quot;001A6E5E&quot;/&gt;&lt;wsp:rsid wsp:val=&quot;001A717A&quot;/&gt;&lt;wsp:rsid wsp:val=&quot;001A7265&quot;/&gt;&lt;wsp:rsid wsp:val=&quot;001A7B8D&quot;/&gt;&lt;wsp:rsid wsp:val=&quot;001A7E63&quot;/&gt;&lt;wsp:rsid wsp:val=&quot;001B0085&quot;/&gt;&lt;wsp:rsid wsp:val=&quot;001B1B8D&quot;/&gt;&lt;wsp:rsid wsp:val=&quot;001B1F70&quot;/&gt;&lt;wsp:rsid wsp:val=&quot;001B25A5&quot;/&gt;&lt;wsp:rsid wsp:val=&quot;001B2BA8&quot;/&gt;&lt;wsp:rsid wsp:val=&quot;001B50BD&quot;/&gt;&lt;wsp:rsid wsp:val=&quot;001B52F8&quot;/&gt;&lt;wsp:rsid wsp:val=&quot;001B5DDC&quot;/&gt;&lt;wsp:rsid wsp:val=&quot;001B755C&quot;/&gt;&lt;wsp:rsid wsp:val=&quot;001C0920&quot;/&gt;&lt;wsp:rsid wsp:val=&quot;001C1480&quot;/&gt;&lt;wsp:rsid wsp:val=&quot;001C1736&quot;/&gt;&lt;wsp:rsid wsp:val=&quot;001C20A5&quot;/&gt;&lt;wsp:rsid wsp:val=&quot;001C290B&quot;/&gt;&lt;wsp:rsid wsp:val=&quot;001C3A0D&quot;/&gt;&lt;wsp:rsid wsp:val=&quot;001C45F0&quot;/&gt;&lt;wsp:rsid wsp:val=&quot;001C6350&quot;/&gt;&lt;wsp:rsid wsp:val=&quot;001C67E3&quot;/&gt;&lt;wsp:rsid wsp:val=&quot;001C6E45&quot;/&gt;&lt;wsp:rsid wsp:val=&quot;001C777A&quot;/&gt;&lt;wsp:rsid wsp:val=&quot;001D047E&quot;/&gt;&lt;wsp:rsid wsp:val=&quot;001D081E&quot;/&gt;&lt;wsp:rsid wsp:val=&quot;001D0838&quot;/&gt;&lt;wsp:rsid wsp:val=&quot;001D0A77&quot;/&gt;&lt;wsp:rsid wsp:val=&quot;001D0EC1&quot;/&gt;&lt;wsp:rsid wsp:val=&quot;001D3440&quot;/&gt;&lt;wsp:rsid wsp:val=&quot;001D5301&quot;/&gt;&lt;wsp:rsid wsp:val=&quot;001D6606&quot;/&gt;&lt;wsp:rsid wsp:val=&quot;001D6CD5&quot;/&gt;&lt;wsp:rsid wsp:val=&quot;001D6FB8&quot;/&gt;&lt;wsp:rsid wsp:val=&quot;001D7950&quot;/&gt;&lt;wsp:rsid wsp:val=&quot;001E08A4&quot;/&gt;&lt;wsp:rsid wsp:val=&quot;001E128E&quot;/&gt;&lt;wsp:rsid wsp:val=&quot;001E17A1&quot;/&gt;&lt;wsp:rsid wsp:val=&quot;001E2F44&quot;/&gt;&lt;wsp:rsid wsp:val=&quot;001E30B2&quot;/&gt;&lt;wsp:rsid wsp:val=&quot;001E3279&quot;/&gt;&lt;wsp:rsid wsp:val=&quot;001E3E89&quot;/&gt;&lt;wsp:rsid wsp:val=&quot;001E42C4&quot;/&gt;&lt;wsp:rsid wsp:val=&quot;001E461F&quot;/&gt;&lt;wsp:rsid wsp:val=&quot;001E5821&quot;/&gt;&lt;wsp:rsid wsp:val=&quot;001E5E98&quot;/&gt;&lt;wsp:rsid wsp:val=&quot;001E7467&quot;/&gt;&lt;wsp:rsid wsp:val=&quot;001F09DB&quot;/&gt;&lt;wsp:rsid wsp:val=&quot;001F0B3E&quot;/&gt;&lt;wsp:rsid wsp:val=&quot;001F1A1C&quot;/&gt;&lt;wsp:rsid wsp:val=&quot;001F1A81&quot;/&gt;&lt;wsp:rsid wsp:val=&quot;001F2A1B&quot;/&gt;&lt;wsp:rsid wsp:val=&quot;001F339A&quot;/&gt;&lt;wsp:rsid wsp:val=&quot;001F3AAF&quot;/&gt;&lt;wsp:rsid wsp:val=&quot;001F4401&quot;/&gt;&lt;wsp:rsid wsp:val=&quot;001F531D&quot;/&gt;&lt;wsp:rsid wsp:val=&quot;001F56AD&quot;/&gt;&lt;wsp:rsid wsp:val=&quot;001F5F9E&quot;/&gt;&lt;wsp:rsid wsp:val=&quot;001F62CD&quot;/&gt;&lt;wsp:rsid wsp:val=&quot;001F6E1D&quot;/&gt;&lt;wsp:rsid wsp:val=&quot;001F7A51&quot;/&gt;&lt;wsp:rsid wsp:val=&quot;00200114&quot;/&gt;&lt;wsp:rsid wsp:val=&quot;00202547&quot;/&gt;&lt;wsp:rsid wsp:val=&quot;0020284C&quot;/&gt;&lt;wsp:rsid wsp:val=&quot;002031A3&quot;/&gt;&lt;wsp:rsid wsp:val=&quot;002048C5&quot;/&gt;&lt;wsp:rsid wsp:val=&quot;002049B5&quot;/&gt;&lt;wsp:rsid wsp:val=&quot;00205126&quot;/&gt;&lt;wsp:rsid wsp:val=&quot;002054AF&quot;/&gt;&lt;wsp:rsid wsp:val=&quot;002069AB&quot;/&gt;&lt;wsp:rsid wsp:val=&quot;0021064F&quot;/&gt;&lt;wsp:rsid wsp:val=&quot;00210F97&quot;/&gt;&lt;wsp:rsid wsp:val=&quot;002143D5&quot;/&gt;&lt;wsp:rsid wsp:val=&quot;00214737&quot;/&gt;&lt;wsp:rsid wsp:val=&quot;00214AE9&quot;/&gt;&lt;wsp:rsid wsp:val=&quot;00214C21&quot;/&gt;&lt;wsp:rsid wsp:val=&quot;00214CBA&quot;/&gt;&lt;wsp:rsid wsp:val=&quot;00215913&quot;/&gt;&lt;wsp:rsid wsp:val=&quot;00216726&quot;/&gt;&lt;wsp:rsid wsp:val=&quot;002169F3&quot;/&gt;&lt;wsp:rsid wsp:val=&quot;0021704F&quot;/&gt;&lt;wsp:rsid wsp:val=&quot;002175FC&quot;/&gt;&lt;wsp:rsid wsp:val=&quot;002206F6&quot;/&gt;&lt;wsp:rsid wsp:val=&quot;00220B1A&quot;/&gt;&lt;wsp:rsid wsp:val=&quot;00221715&quot;/&gt;&lt;wsp:rsid wsp:val=&quot;00221927&quot;/&gt;&lt;wsp:rsid wsp:val=&quot;0022225B&quot;/&gt;&lt;wsp:rsid wsp:val=&quot;002225CE&quot;/&gt;&lt;wsp:rsid wsp:val=&quot;00222F51&quot;/&gt;&lt;wsp:rsid wsp:val=&quot;00223A7A&quot;/&gt;&lt;wsp:rsid wsp:val=&quot;00227340&quot;/&gt;&lt;wsp:rsid wsp:val=&quot;002275C6&quot;/&gt;&lt;wsp:rsid wsp:val=&quot;002313B6&quot;/&gt;&lt;wsp:rsid wsp:val=&quot;002322A3&quot;/&gt;&lt;wsp:rsid wsp:val=&quot;00232642&quot;/&gt;&lt;wsp:rsid wsp:val=&quot;00233736&quot;/&gt;&lt;wsp:rsid wsp:val=&quot;00234497&quot;/&gt;&lt;wsp:rsid wsp:val=&quot;002344D7&quot;/&gt;&lt;wsp:rsid wsp:val=&quot;00234587&quot;/&gt;&lt;wsp:rsid wsp:val=&quot;00235031&quot;/&gt;&lt;wsp:rsid wsp:val=&quot;00235121&quot;/&gt;&lt;wsp:rsid wsp:val=&quot;00235496&quot;/&gt;&lt;wsp:rsid wsp:val=&quot;0023591D&quot;/&gt;&lt;wsp:rsid wsp:val=&quot;00237D7A&quot;/&gt;&lt;wsp:rsid wsp:val=&quot;00240263&quot;/&gt;&lt;wsp:rsid wsp:val=&quot;00240582&quot;/&gt;&lt;wsp:rsid wsp:val=&quot;00240D6F&quot;/&gt;&lt;wsp:rsid wsp:val=&quot;002410A6&quot;/&gt;&lt;wsp:rsid wsp:val=&quot;00242005&quot;/&gt;&lt;wsp:rsid wsp:val=&quot;00242177&quot;/&gt;&lt;wsp:rsid wsp:val=&quot;002421F8&quot;/&gt;&lt;wsp:rsid wsp:val=&quot;002435F4&quot;/&gt;&lt;wsp:rsid wsp:val=&quot;00243A36&quot;/&gt;&lt;wsp:rsid wsp:val=&quot;00243BAF&quot;/&gt;&lt;wsp:rsid wsp:val=&quot;0024531A&quot;/&gt;&lt;wsp:rsid wsp:val=&quot;00245C9D&quot;/&gt;&lt;wsp:rsid wsp:val=&quot;00245D36&quot;/&gt;&lt;wsp:rsid wsp:val=&quot;00245E1F&quot;/&gt;&lt;wsp:rsid wsp:val=&quot;00245EF6&quot;/&gt;&lt;wsp:rsid wsp:val=&quot;002460D6&quot;/&gt;&lt;wsp:rsid wsp:val=&quot;00246770&quot;/&gt;&lt;wsp:rsid wsp:val=&quot;0024718C&quot;/&gt;&lt;wsp:rsid wsp:val=&quot;002476CB&quot;/&gt;&lt;wsp:rsid wsp:val=&quot;00251FFD&quot;/&gt;&lt;wsp:rsid wsp:val=&quot;00252503&quot;/&gt;&lt;wsp:rsid wsp:val=&quot;0025273D&quot;/&gt;&lt;wsp:rsid wsp:val=&quot;00253ED6&quot;/&gt;&lt;wsp:rsid wsp:val=&quot;00254796&quot;/&gt;&lt;wsp:rsid wsp:val=&quot;002549BE&quot;/&gt;&lt;wsp:rsid wsp:val=&quot;00254EE7&quot;/&gt;&lt;wsp:rsid wsp:val=&quot;002550F7&quot;/&gt;&lt;wsp:rsid wsp:val=&quot;002569CB&quot;/&gt;&lt;wsp:rsid wsp:val=&quot;00257338&quot;/&gt;&lt;wsp:rsid wsp:val=&quot;00257427&quot;/&gt;&lt;wsp:rsid wsp:val=&quot;0025744B&quot;/&gt;&lt;wsp:rsid wsp:val=&quot;00257C57&quot;/&gt;&lt;wsp:rsid wsp:val=&quot;00260279&quot;/&gt;&lt;wsp:rsid wsp:val=&quot;002604C1&quot;/&gt;&lt;wsp:rsid wsp:val=&quot;00260538&quot;/&gt;&lt;wsp:rsid wsp:val=&quot;00260D0A&quot;/&gt;&lt;wsp:rsid wsp:val=&quot;00262177&quot;/&gt;&lt;wsp:rsid wsp:val=&quot;00262BF8&quot;/&gt;&lt;wsp:rsid wsp:val=&quot;0026364A&quot;/&gt;&lt;wsp:rsid wsp:val=&quot;00264B7E&quot;/&gt;&lt;wsp:rsid wsp:val=&quot;00265568&quot;/&gt;&lt;wsp:rsid wsp:val=&quot;00266219&quot;/&gt;&lt;wsp:rsid wsp:val=&quot;0026645C&quot;/&gt;&lt;wsp:rsid wsp:val=&quot;002666B9&quot;/&gt;&lt;wsp:rsid wsp:val=&quot;002666CC&quot;/&gt;&lt;wsp:rsid wsp:val=&quot;002677D6&quot;/&gt;&lt;wsp:rsid wsp:val=&quot;00270172&quot;/&gt;&lt;wsp:rsid wsp:val=&quot;00270802&quot;/&gt;&lt;wsp:rsid wsp:val=&quot;00270FE3&quot;/&gt;&lt;wsp:rsid wsp:val=&quot;002715FB&quot;/&gt;&lt;wsp:rsid wsp:val=&quot;0027304F&quot;/&gt;&lt;wsp:rsid wsp:val=&quot;002732D6&quot;/&gt;&lt;wsp:rsid wsp:val=&quot;00273916&quot;/&gt;&lt;wsp:rsid wsp:val=&quot;00274080&quot;/&gt;&lt;wsp:rsid wsp:val=&quot;00275000&quot;/&gt;&lt;wsp:rsid wsp:val=&quot;0027520C&quot;/&gt;&lt;wsp:rsid wsp:val=&quot;002764BD&quot;/&gt;&lt;wsp:rsid wsp:val=&quot;00276B4E&quot;/&gt;&lt;wsp:rsid wsp:val=&quot;002772BC&quot;/&gt;&lt;wsp:rsid wsp:val=&quot;00277A25&quot;/&gt;&lt;wsp:rsid wsp:val=&quot;0028000E&quot;/&gt;&lt;wsp:rsid wsp:val=&quot;00280889&quot;/&gt;&lt;wsp:rsid wsp:val=&quot;00281B3A&quot;/&gt;&lt;wsp:rsid wsp:val=&quot;00282755&quot;/&gt;&lt;wsp:rsid wsp:val=&quot;00282A5A&quot;/&gt;&lt;wsp:rsid wsp:val=&quot;00282D41&quot;/&gt;&lt;wsp:rsid wsp:val=&quot;00282D61&quot;/&gt;&lt;wsp:rsid wsp:val=&quot;00283BAB&quot;/&gt;&lt;wsp:rsid wsp:val=&quot;00283FD5&quot;/&gt;&lt;wsp:rsid wsp:val=&quot;002857BA&quot;/&gt;&lt;wsp:rsid wsp:val=&quot;0028643E&quot;/&gt;&lt;wsp:rsid wsp:val=&quot;00286759&quot;/&gt;&lt;wsp:rsid wsp:val=&quot;002873DA&quot;/&gt;&lt;wsp:rsid wsp:val=&quot;00290F19&quot;/&gt;&lt;wsp:rsid wsp:val=&quot;00292312&quot;/&gt;&lt;wsp:rsid wsp:val=&quot;0029231B&quot;/&gt;&lt;wsp:rsid wsp:val=&quot;00293998&quot;/&gt;&lt;wsp:rsid wsp:val=&quot;00295FB0&quot;/&gt;&lt;wsp:rsid wsp:val=&quot;0029646D&quot;/&gt;&lt;wsp:rsid wsp:val=&quot;00296E97&quot;/&gt;&lt;wsp:rsid wsp:val=&quot;002978EC&quot;/&gt;&lt;wsp:rsid wsp:val=&quot;00297925&quot;/&gt;&lt;wsp:rsid wsp:val=&quot;002A0A7E&quot;/&gt;&lt;wsp:rsid wsp:val=&quot;002A0E07&quot;/&gt;&lt;wsp:rsid wsp:val=&quot;002A1D0E&quot;/&gt;&lt;wsp:rsid wsp:val=&quot;002A2CC2&quot;/&gt;&lt;wsp:rsid wsp:val=&quot;002A2D71&quot;/&gt;&lt;wsp:rsid wsp:val=&quot;002A3B7E&quot;/&gt;&lt;wsp:rsid wsp:val=&quot;002A4724&quot;/&gt;&lt;wsp:rsid wsp:val=&quot;002A4E8F&quot;/&gt;&lt;wsp:rsid wsp:val=&quot;002A56F9&quot;/&gt;&lt;wsp:rsid wsp:val=&quot;002A6069&quot;/&gt;&lt;wsp:rsid wsp:val=&quot;002A654A&quot;/&gt;&lt;wsp:rsid wsp:val=&quot;002A77B9&quot;/&gt;&lt;wsp:rsid wsp:val=&quot;002B0590&quot;/&gt;&lt;wsp:rsid wsp:val=&quot;002B3A99&quot;/&gt;&lt;wsp:rsid wsp:val=&quot;002B3F77&quot;/&gt;&lt;wsp:rsid wsp:val=&quot;002B4274&quot;/&gt;&lt;wsp:rsid wsp:val=&quot;002B428A&quot;/&gt;&lt;wsp:rsid wsp:val=&quot;002B4AE6&quot;/&gt;&lt;wsp:rsid wsp:val=&quot;002B5F10&quot;/&gt;&lt;wsp:rsid wsp:val=&quot;002B60E9&quot;/&gt;&lt;wsp:rsid wsp:val=&quot;002B64F5&quot;/&gt;&lt;wsp:rsid wsp:val=&quot;002B78C4&quot;/&gt;&lt;wsp:rsid wsp:val=&quot;002B7B67&quot;/&gt;&lt;wsp:rsid wsp:val=&quot;002C0A39&quot;/&gt;&lt;wsp:rsid wsp:val=&quot;002C2F1A&quot;/&gt;&lt;wsp:rsid wsp:val=&quot;002C37F1&quot;/&gt;&lt;wsp:rsid wsp:val=&quot;002C3A74&quot;/&gt;&lt;wsp:rsid wsp:val=&quot;002C4A0B&quot;/&gt;&lt;wsp:rsid wsp:val=&quot;002C4F40&quot;/&gt;&lt;wsp:rsid wsp:val=&quot;002C5281&quot;/&gt;&lt;wsp:rsid wsp:val=&quot;002C56F0&quot;/&gt;&lt;wsp:rsid wsp:val=&quot;002C582D&quot;/&gt;&lt;wsp:rsid wsp:val=&quot;002C5D48&quot;/&gt;&lt;wsp:rsid wsp:val=&quot;002D13D7&quot;/&gt;&lt;wsp:rsid wsp:val=&quot;002D1968&quot;/&gt;&lt;wsp:rsid wsp:val=&quot;002D27D5&quot;/&gt;&lt;wsp:rsid wsp:val=&quot;002D4110&quot;/&gt;&lt;wsp:rsid wsp:val=&quot;002D4431&quot;/&gt;&lt;wsp:rsid wsp:val=&quot;002D5946&quot;/&gt;&lt;wsp:rsid wsp:val=&quot;002D5F40&quot;/&gt;&lt;wsp:rsid wsp:val=&quot;002D5FBE&quot;/&gt;&lt;wsp:rsid wsp:val=&quot;002D7D84&quot;/&gt;&lt;wsp:rsid wsp:val=&quot;002E06A9&quot;/&gt;&lt;wsp:rsid wsp:val=&quot;002E073D&quot;/&gt;&lt;wsp:rsid wsp:val=&quot;002E1CFC&quot;/&gt;&lt;wsp:rsid wsp:val=&quot;002E3138&quot;/&gt;&lt;wsp:rsid wsp:val=&quot;002E585E&quot;/&gt;&lt;wsp:rsid wsp:val=&quot;002E5A26&quot;/&gt;&lt;wsp:rsid wsp:val=&quot;002E7317&quot;/&gt;&lt;wsp:rsid wsp:val=&quot;002E7EEE&quot;/&gt;&lt;wsp:rsid wsp:val=&quot;002F0B7D&quot;/&gt;&lt;wsp:rsid wsp:val=&quot;002F1652&quot;/&gt;&lt;wsp:rsid wsp:val=&quot;002F3446&quot;/&gt;&lt;wsp:rsid wsp:val=&quot;002F4007&quot;/&gt;&lt;wsp:rsid wsp:val=&quot;002F48BA&quot;/&gt;&lt;wsp:rsid wsp:val=&quot;002F57AA&quot;/&gt;&lt;wsp:rsid wsp:val=&quot;002F61E2&quot;/&gt;&lt;wsp:rsid wsp:val=&quot;002F6E06&quot;/&gt;&lt;wsp:rsid wsp:val=&quot;002F79B9&quot;/&gt;&lt;wsp:rsid wsp:val=&quot;002F7F8D&quot;/&gt;&lt;wsp:rsid wsp:val=&quot;0030184C&quot;/&gt;&lt;wsp:rsid wsp:val=&quot;00301BC2&quot;/&gt;&lt;wsp:rsid wsp:val=&quot;00302F7A&quot;/&gt;&lt;wsp:rsid wsp:val=&quot;00303332&quot;/&gt;&lt;wsp:rsid wsp:val=&quot;00303D87&quot;/&gt;&lt;wsp:rsid wsp:val=&quot;0030706C&quot;/&gt;&lt;wsp:rsid wsp:val=&quot;00310DF4&quot;/&gt;&lt;wsp:rsid wsp:val=&quot;0031101A&quot;/&gt;&lt;wsp:rsid wsp:val=&quot;0031283E&quot;/&gt;&lt;wsp:rsid wsp:val=&quot;0031310C&quot;/&gt;&lt;wsp:rsid wsp:val=&quot;00313A45&quot;/&gt;&lt;wsp:rsid wsp:val=&quot;00313E49&quot;/&gt;&lt;wsp:rsid wsp:val=&quot;00314123&quot;/&gt;&lt;wsp:rsid wsp:val=&quot;003142ED&quot;/&gt;&lt;wsp:rsid wsp:val=&quot;003170E0&quot;/&gt;&lt;wsp:rsid wsp:val=&quot;00317888&quot;/&gt;&lt;wsp:rsid wsp:val=&quot;00317D2E&quot;/&gt;&lt;wsp:rsid wsp:val=&quot;003207DB&quot;/&gt;&lt;wsp:rsid wsp:val=&quot;003219A7&quot;/&gt;&lt;wsp:rsid wsp:val=&quot;00321A63&quot;/&gt;&lt;wsp:rsid wsp:val=&quot;00322808&quot;/&gt;&lt;wsp:rsid wsp:val=&quot;00323791&quot;/&gt;&lt;wsp:rsid wsp:val=&quot;00323EDF&quot;/&gt;&lt;wsp:rsid wsp:val=&quot;0032417A&quot;/&gt;&lt;wsp:rsid wsp:val=&quot;003244B0&quot;/&gt;&lt;wsp:rsid wsp:val=&quot;00324B17&quot;/&gt;&lt;wsp:rsid wsp:val=&quot;003257DA&quot;/&gt;&lt;wsp:rsid wsp:val=&quot;003263BD&quot;/&gt;&lt;wsp:rsid wsp:val=&quot;003263CC&quot;/&gt;&lt;wsp:rsid wsp:val=&quot;00326638&quot;/&gt;&lt;wsp:rsid wsp:val=&quot;0032678E&quot;/&gt;&lt;wsp:rsid wsp:val=&quot;003277BE&quot;/&gt;&lt;wsp:rsid wsp:val=&quot;00327ACB&quot;/&gt;&lt;wsp:rsid wsp:val=&quot;00330E85&quot;/&gt;&lt;wsp:rsid wsp:val=&quot;00331054&quot;/&gt;&lt;wsp:rsid wsp:val=&quot;003314C1&quot;/&gt;&lt;wsp:rsid wsp:val=&quot;003317B3&quot;/&gt;&lt;wsp:rsid wsp:val=&quot;00331F83&quot;/&gt;&lt;wsp:rsid wsp:val=&quot;003332C5&quot;/&gt;&lt;wsp:rsid wsp:val=&quot;00334A0A&quot;/&gt;&lt;wsp:rsid wsp:val=&quot;00340397&quot;/&gt;&lt;wsp:rsid wsp:val=&quot;0034088C&quot;/&gt;&lt;wsp:rsid wsp:val=&quot;003420D3&quot;/&gt;&lt;wsp:rsid wsp:val=&quot;00342FDB&quot;/&gt;&lt;wsp:rsid wsp:val=&quot;00343022&quot;/&gt;&lt;wsp:rsid wsp:val=&quot;00343D1A&quot;/&gt;&lt;wsp:rsid wsp:val=&quot;00344FF9&quot;/&gt;&lt;wsp:rsid wsp:val=&quot;003465E9&quot;/&gt;&lt;wsp:rsid wsp:val=&quot;00346636&quot;/&gt;&lt;wsp:rsid wsp:val=&quot;00346BFC&quot;/&gt;&lt;wsp:rsid wsp:val=&quot;00347631&quot;/&gt;&lt;wsp:rsid wsp:val=&quot;00350446&quot;/&gt;&lt;wsp:rsid wsp:val=&quot;003506D2&quot;/&gt;&lt;wsp:rsid wsp:val=&quot;003507FE&quot;/&gt;&lt;wsp:rsid wsp:val=&quot;003509C3&quot;/&gt;&lt;wsp:rsid wsp:val=&quot;00351A52&quot;/&gt;&lt;wsp:rsid wsp:val=&quot;00351BF3&quot;/&gt;&lt;wsp:rsid wsp:val=&quot;003521CC&quot;/&gt;&lt;wsp:rsid wsp:val=&quot;00352E2D&quot;/&gt;&lt;wsp:rsid wsp:val=&quot;003537B3&quot;/&gt;&lt;wsp:rsid wsp:val=&quot;00353D32&quot;/&gt;&lt;wsp:rsid wsp:val=&quot;0035408F&quot;/&gt;&lt;wsp:rsid wsp:val=&quot;003540E8&quot;/&gt;&lt;wsp:rsid wsp:val=&quot;0035503F&quot;/&gt;&lt;wsp:rsid wsp:val=&quot;003550EF&quot;/&gt;&lt;wsp:rsid wsp:val=&quot;003571BA&quot;/&gt;&lt;wsp:rsid wsp:val=&quot;00357518&quot;/&gt;&lt;wsp:rsid wsp:val=&quot;003578D8&quot;/&gt;&lt;wsp:rsid wsp:val=&quot;00360142&quot;/&gt;&lt;wsp:rsid wsp:val=&quot;00363716&quot;/&gt;&lt;wsp:rsid wsp:val=&quot;003639E9&quot;/&gt;&lt;wsp:rsid wsp:val=&quot;003644C8&quot;/&gt;&lt;wsp:rsid wsp:val=&quot;00365D36&quot;/&gt;&lt;wsp:rsid wsp:val=&quot;00366A05&quot;/&gt;&lt;wsp:rsid wsp:val=&quot;0036750A&quot;/&gt;&lt;wsp:rsid wsp:val=&quot;00370770&quot;/&gt;&lt;wsp:rsid wsp:val=&quot;00370909&quot;/&gt;&lt;wsp:rsid wsp:val=&quot;00370FD1&quot;/&gt;&lt;wsp:rsid wsp:val=&quot;0037341F&quot;/&gt;&lt;wsp:rsid wsp:val=&quot;00374057&quot;/&gt;&lt;wsp:rsid wsp:val=&quot;0037434F&quot;/&gt;&lt;wsp:rsid wsp:val=&quot;003764B7&quot;/&gt;&lt;wsp:rsid wsp:val=&quot;00377AE0&quot;/&gt;&lt;wsp:rsid wsp:val=&quot;00377B22&quot;/&gt;&lt;wsp:rsid wsp:val=&quot;00380A43&quot;/&gt;&lt;wsp:rsid wsp:val=&quot;00380AD2&quot;/&gt;&lt;wsp:rsid wsp:val=&quot;00381804&quot;/&gt;&lt;wsp:rsid wsp:val=&quot;00381859&quot;/&gt;&lt;wsp:rsid wsp:val=&quot;00382B61&quot;/&gt;&lt;wsp:rsid wsp:val=&quot;00382F7E&quot;/&gt;&lt;wsp:rsid wsp:val=&quot;00383A42&quot;/&gt;&lt;wsp:rsid wsp:val=&quot;00384D13&quot;/&gt;&lt;wsp:rsid wsp:val=&quot;003851CC&quot;/&gt;&lt;wsp:rsid wsp:val=&quot;00385D65&quot;/&gt;&lt;wsp:rsid wsp:val=&quot;00385F07&quot;/&gt;&lt;wsp:rsid wsp:val=&quot;00386053&quot;/&gt;&lt;wsp:rsid wsp:val=&quot;00386E2B&quot;/&gt;&lt;wsp:rsid wsp:val=&quot;00387509&quot;/&gt;&lt;wsp:rsid wsp:val=&quot;0039121B&quot;/&gt;&lt;wsp:rsid wsp:val=&quot;00391507&quot;/&gt;&lt;wsp:rsid wsp:val=&quot;00391B1A&quot;/&gt;&lt;wsp:rsid wsp:val=&quot;0039272D&quot;/&gt;&lt;wsp:rsid wsp:val=&quot;003932E9&quot;/&gt;&lt;wsp:rsid wsp:val=&quot;0039336D&quot;/&gt;&lt;wsp:rsid wsp:val=&quot;00393FA9&quot;/&gt;&lt;wsp:rsid wsp:val=&quot;00394873&quot;/&gt;&lt;wsp:rsid wsp:val=&quot;00394AF3&quot;/&gt;&lt;wsp:rsid wsp:val=&quot;00394F1C&quot;/&gt;&lt;wsp:rsid wsp:val=&quot;003950C1&quot;/&gt;&lt;wsp:rsid wsp:val=&quot;00395C88&quot;/&gt;&lt;wsp:rsid wsp:val=&quot;003967DC&quot;/&gt;&lt;wsp:rsid wsp:val=&quot;003970EA&quot;/&gt;&lt;wsp:rsid wsp:val=&quot;0039743F&quot;/&gt;&lt;wsp:rsid wsp:val=&quot;00397738&quot;/&gt;&lt;wsp:rsid wsp:val=&quot;00397FA1&quot;/&gt;&lt;wsp:rsid wsp:val=&quot;003A0212&quot;/&gt;&lt;wsp:rsid wsp:val=&quot;003A09E0&quot;/&gt;&lt;wsp:rsid wsp:val=&quot;003A25E1&quot;/&gt;&lt;wsp:rsid wsp:val=&quot;003A360B&quot;/&gt;&lt;wsp:rsid wsp:val=&quot;003A4833&quot;/&gt;&lt;wsp:rsid wsp:val=&quot;003A4B29&quot;/&gt;&lt;wsp:rsid wsp:val=&quot;003A4D06&quot;/&gt;&lt;wsp:rsid wsp:val=&quot;003A572E&quot;/&gt;&lt;wsp:rsid wsp:val=&quot;003A5779&quot;/&gt;&lt;wsp:rsid wsp:val=&quot;003A6725&quot;/&gt;&lt;wsp:rsid wsp:val=&quot;003A6FFE&quot;/&gt;&lt;wsp:rsid wsp:val=&quot;003A79F4&quot;/&gt;&lt;wsp:rsid wsp:val=&quot;003B158C&quot;/&gt;&lt;wsp:rsid wsp:val=&quot;003B189D&quot;/&gt;&lt;wsp:rsid wsp:val=&quot;003B2833&quot;/&gt;&lt;wsp:rsid wsp:val=&quot;003B3B90&quot;/&gt;&lt;wsp:rsid wsp:val=&quot;003B51C5&quot;/&gt;&lt;wsp:rsid wsp:val=&quot;003B54F9&quot;/&gt;&lt;wsp:rsid wsp:val=&quot;003B609A&quot;/&gt;&lt;wsp:rsid wsp:val=&quot;003B60E9&quot;/&gt;&lt;wsp:rsid wsp:val=&quot;003B63DC&quot;/&gt;&lt;wsp:rsid wsp:val=&quot;003B693C&quot;/&gt;&lt;wsp:rsid wsp:val=&quot;003B7213&quot;/&gt;&lt;wsp:rsid wsp:val=&quot;003C0BE2&quot;/&gt;&lt;wsp:rsid wsp:val=&quot;003C1AF6&quot;/&gt;&lt;wsp:rsid wsp:val=&quot;003C1C40&quot;/&gt;&lt;wsp:rsid wsp:val=&quot;003C2147&quot;/&gt;&lt;wsp:rsid wsp:val=&quot;003C2EB8&quot;/&gt;&lt;wsp:rsid wsp:val=&quot;003C3B77&quot;/&gt;&lt;wsp:rsid wsp:val=&quot;003C40E6&quot;/&gt;&lt;wsp:rsid wsp:val=&quot;003C50BE&quot;/&gt;&lt;wsp:rsid wsp:val=&quot;003D0ACC&quot;/&gt;&lt;wsp:rsid wsp:val=&quot;003D0B08&quot;/&gt;&lt;wsp:rsid wsp:val=&quot;003D0B6D&quot;/&gt;&lt;wsp:rsid wsp:val=&quot;003D0F0E&quot;/&gt;&lt;wsp:rsid wsp:val=&quot;003D1354&quot;/&gt;&lt;wsp:rsid wsp:val=&quot;003D14C5&quot;/&gt;&lt;wsp:rsid wsp:val=&quot;003D1A4E&quot;/&gt;&lt;wsp:rsid wsp:val=&quot;003D1B55&quot;/&gt;&lt;wsp:rsid wsp:val=&quot;003D274E&quot;/&gt;&lt;wsp:rsid wsp:val=&quot;003D284F&quot;/&gt;&lt;wsp:rsid wsp:val=&quot;003D2D27&quot;/&gt;&lt;wsp:rsid wsp:val=&quot;003D3A93&quot;/&gt;&lt;wsp:rsid wsp:val=&quot;003D4752&quot;/&gt;&lt;wsp:rsid wsp:val=&quot;003D4D51&quot;/&gt;&lt;wsp:rsid wsp:val=&quot;003D5C3E&quot;/&gt;&lt;wsp:rsid wsp:val=&quot;003D623F&quot;/&gt;&lt;wsp:rsid wsp:val=&quot;003D6CDC&quot;/&gt;&lt;wsp:rsid wsp:val=&quot;003D7EFC&quot;/&gt;&lt;wsp:rsid wsp:val=&quot;003E060F&quot;/&gt;&lt;wsp:rsid wsp:val=&quot;003E1A69&quot;/&gt;&lt;wsp:rsid wsp:val=&quot;003E1A78&quot;/&gt;&lt;wsp:rsid wsp:val=&quot;003E1B2E&quot;/&gt;&lt;wsp:rsid wsp:val=&quot;003E24D3&quot;/&gt;&lt;wsp:rsid wsp:val=&quot;003E30C8&quot;/&gt;&lt;wsp:rsid wsp:val=&quot;003E3136&quot;/&gt;&lt;wsp:rsid wsp:val=&quot;003E3454&quot;/&gt;&lt;wsp:rsid wsp:val=&quot;003E38F9&quot;/&gt;&lt;wsp:rsid wsp:val=&quot;003E4288&quot;/&gt;&lt;wsp:rsid wsp:val=&quot;003E4E57&quot;/&gt;&lt;wsp:rsid wsp:val=&quot;003E4F2E&quot;/&gt;&lt;wsp:rsid wsp:val=&quot;003E533C&quot;/&gt;&lt;wsp:rsid wsp:val=&quot;003E56E7&quot;/&gt;&lt;wsp:rsid wsp:val=&quot;003E612A&quot;/&gt;&lt;wsp:rsid wsp:val=&quot;003E6CDE&quot;/&gt;&lt;wsp:rsid wsp:val=&quot;003E6D6E&quot;/&gt;&lt;wsp:rsid wsp:val=&quot;003E70A8&quot;/&gt;&lt;wsp:rsid wsp:val=&quot;003E7A02&quot;/&gt;&lt;wsp:rsid wsp:val=&quot;003E7C6D&quot;/&gt;&lt;wsp:rsid wsp:val=&quot;003F16EF&quot;/&gt;&lt;wsp:rsid wsp:val=&quot;003F2B68&quot;/&gt;&lt;wsp:rsid wsp:val=&quot;003F35A4&quot;/&gt;&lt;wsp:rsid wsp:val=&quot;003F386C&quot;/&gt;&lt;wsp:rsid wsp:val=&quot;003F3AD4&quot;/&gt;&lt;wsp:rsid wsp:val=&quot;003F434C&quot;/&gt;&lt;wsp:rsid wsp:val=&quot;003F4E8E&quot;/&gt;&lt;wsp:rsid wsp:val=&quot;003F5510&quot;/&gt;&lt;wsp:rsid wsp:val=&quot;003F5BE8&quot;/&gt;&lt;wsp:rsid wsp:val=&quot;003F74AC&quot;/&gt;&lt;wsp:rsid wsp:val=&quot;003F7869&quot;/&gt;&lt;wsp:rsid wsp:val=&quot;00400A7B&quot;/&gt;&lt;wsp:rsid wsp:val=&quot;00400B8A&quot;/&gt;&lt;wsp:rsid wsp:val=&quot;004012C2&quot;/&gt;&lt;wsp:rsid wsp:val=&quot;00402008&quot;/&gt;&lt;wsp:rsid wsp:val=&quot;00402585&quot;/&gt;&lt;wsp:rsid wsp:val=&quot;00402987&quot;/&gt;&lt;wsp:rsid wsp:val=&quot;004032B0&quot;/&gt;&lt;wsp:rsid wsp:val=&quot;00403F02&quot;/&gt;&lt;wsp:rsid wsp:val=&quot;00404569&quot;/&gt;&lt;wsp:rsid wsp:val=&quot;00404587&quot;/&gt;&lt;wsp:rsid wsp:val=&quot;00404726&quot;/&gt;&lt;wsp:rsid wsp:val=&quot;00405D43&quot;/&gt;&lt;wsp:rsid wsp:val=&quot;004061FB&quot;/&gt;&lt;wsp:rsid wsp:val=&quot;00406210&quot;/&gt;&lt;wsp:rsid wsp:val=&quot;00406481&quot;/&gt;&lt;wsp:rsid wsp:val=&quot;004120C0&quot;/&gt;&lt;wsp:rsid wsp:val=&quot;00413635&quot;/&gt;&lt;wsp:rsid wsp:val=&quot;004145CD&quot;/&gt;&lt;wsp:rsid wsp:val=&quot;00416121&quot;/&gt;&lt;wsp:rsid wsp:val=&quot;00417486&quot;/&gt;&lt;wsp:rsid wsp:val=&quot;00417AB5&quot;/&gt;&lt;wsp:rsid wsp:val=&quot;004206D0&quot;/&gt;&lt;wsp:rsid wsp:val=&quot;00420D39&quot;/&gt;&lt;wsp:rsid wsp:val=&quot;004212FF&quot;/&gt;&lt;wsp:rsid wsp:val=&quot;004216B8&quot;/&gt;&lt;wsp:rsid wsp:val=&quot;00422094&quot;/&gt;&lt;wsp:rsid wsp:val=&quot;004231CE&quot;/&gt;&lt;wsp:rsid wsp:val=&quot;00423947&quot;/&gt;&lt;wsp:rsid wsp:val=&quot;004249D3&quot;/&gt;&lt;wsp:rsid wsp:val=&quot;00424FCD&quot;/&gt;&lt;wsp:rsid wsp:val=&quot;0042514F&quot;/&gt;&lt;wsp:rsid wsp:val=&quot;0042605F&quot;/&gt;&lt;wsp:rsid wsp:val=&quot;00430C6D&quot;/&gt;&lt;wsp:rsid wsp:val=&quot;0043112E&quot;/&gt;&lt;wsp:rsid wsp:val=&quot;00431536&quot;/&gt;&lt;wsp:rsid wsp:val=&quot;00431F04&quot;/&gt;&lt;wsp:rsid wsp:val=&quot;00432862&quot;/&gt;&lt;wsp:rsid wsp:val=&quot;004334C2&quot;/&gt;&lt;wsp:rsid wsp:val=&quot;004335F4&quot;/&gt;&lt;wsp:rsid wsp:val=&quot;0043486D&quot;/&gt;&lt;wsp:rsid wsp:val=&quot;00435771&quot;/&gt;&lt;wsp:rsid wsp:val=&quot;00435DBA&quot;/&gt;&lt;wsp:rsid wsp:val=&quot;00435F22&quot;/&gt;&lt;wsp:rsid wsp:val=&quot;00436C04&quot;/&gt;&lt;wsp:rsid wsp:val=&quot;004373B5&quot;/&gt;&lt;wsp:rsid wsp:val=&quot;00440990&quot;/&gt;&lt;wsp:rsid wsp:val=&quot;00441070&quot;/&gt;&lt;wsp:rsid wsp:val=&quot;004417FD&quot;/&gt;&lt;wsp:rsid wsp:val=&quot;004419C4&quot;/&gt;&lt;wsp:rsid wsp:val=&quot;00444014&quot;/&gt;&lt;wsp:rsid wsp:val=&quot;00444A86&quot;/&gt;&lt;wsp:rsid wsp:val=&quot;00444AAD&quot;/&gt;&lt;wsp:rsid wsp:val=&quot;004452E3&quot;/&gt;&lt;wsp:rsid wsp:val=&quot;00446DC6&quot;/&gt;&lt;wsp:rsid wsp:val=&quot;0044764C&quot;/&gt;&lt;wsp:rsid wsp:val=&quot;00447689&quot;/&gt;&lt;wsp:rsid wsp:val=&quot;00447BF7&quot;/&gt;&lt;wsp:rsid wsp:val=&quot;00450023&quot;/&gt;&lt;wsp:rsid wsp:val=&quot;004517FD&quot;/&gt;&lt;wsp:rsid wsp:val=&quot;00452229&quot;/&gt;&lt;wsp:rsid wsp:val=&quot;00456146&quot;/&gt;&lt;wsp:rsid wsp:val=&quot;004574FA&quot;/&gt;&lt;wsp:rsid wsp:val=&quot;004611F5&quot;/&gt;&lt;wsp:rsid wsp:val=&quot;0046229E&quot;/&gt;&lt;wsp:rsid wsp:val=&quot;0046269A&quot;/&gt;&lt;wsp:rsid wsp:val=&quot;00463A88&quot;/&gt;&lt;wsp:rsid wsp:val=&quot;004678DA&quot;/&gt;&lt;wsp:rsid wsp:val=&quot;004679D2&quot;/&gt;&lt;wsp:rsid wsp:val=&quot;00470342&quot;/&gt;&lt;wsp:rsid wsp:val=&quot;00470D0A&quot;/&gt;&lt;wsp:rsid wsp:val=&quot;00471498&quot;/&gt;&lt;wsp:rsid wsp:val=&quot;00472CE4&quot;/&gt;&lt;wsp:rsid wsp:val=&quot;0047399E&quot;/&gt;&lt;wsp:rsid wsp:val=&quot;00474109&quot;/&gt;&lt;wsp:rsid wsp:val=&quot;004744B5&quot;/&gt;&lt;wsp:rsid wsp:val=&quot;00474FE4&quot;/&gt;&lt;wsp:rsid wsp:val=&quot;0047533E&quot;/&gt;&lt;wsp:rsid wsp:val=&quot;004757A2&quot;/&gt;&lt;wsp:rsid wsp:val=&quot;00475DC4&quot;/&gt;&lt;wsp:rsid wsp:val=&quot;00475EE5&quot;/&gt;&lt;wsp:rsid wsp:val=&quot;00477187&quot;/&gt;&lt;wsp:rsid wsp:val=&quot;004774DA&quot;/&gt;&lt;wsp:rsid wsp:val=&quot;00477983&quot;/&gt;&lt;wsp:rsid wsp:val=&quot;004800C4&quot;/&gt;&lt;wsp:rsid wsp:val=&quot;00482239&quot;/&gt;&lt;wsp:rsid wsp:val=&quot;00482B9E&quot;/&gt;&lt;wsp:rsid wsp:val=&quot;00483178&quot;/&gt;&lt;wsp:rsid wsp:val=&quot;00483187&quot;/&gt;&lt;wsp:rsid wsp:val=&quot;0048350E&quot;/&gt;&lt;wsp:rsid wsp:val=&quot;00484AB6&quot;/&gt;&lt;wsp:rsid wsp:val=&quot;004865D1&quot;/&gt;&lt;wsp:rsid wsp:val=&quot;0048662D&quot;/&gt;&lt;wsp:rsid wsp:val=&quot;00486AC3&quot;/&gt;&lt;wsp:rsid wsp:val=&quot;004908BA&quot;/&gt;&lt;wsp:rsid wsp:val=&quot;0049186D&quot;/&gt;&lt;wsp:rsid wsp:val=&quot;00491E25&quot;/&gt;&lt;wsp:rsid wsp:val=&quot;00492D2B&quot;/&gt;&lt;wsp:rsid wsp:val=&quot;00493451&quot;/&gt;&lt;wsp:rsid wsp:val=&quot;00495972&quot;/&gt;&lt;wsp:rsid wsp:val=&quot;0049675B&quot;/&gt;&lt;wsp:rsid wsp:val=&quot;00497EC8&quot;/&gt;&lt;wsp:rsid wsp:val=&quot;004A00C2&quot;/&gt;&lt;wsp:rsid wsp:val=&quot;004A0124&quot;/&gt;&lt;wsp:rsid wsp:val=&quot;004A0475&quot;/&gt;&lt;wsp:rsid wsp:val=&quot;004A08A6&quot;/&gt;&lt;wsp:rsid wsp:val=&quot;004A1158&quot;/&gt;&lt;wsp:rsid wsp:val=&quot;004A1486&quot;/&gt;&lt;wsp:rsid wsp:val=&quot;004A1836&quot;/&gt;&lt;wsp:rsid wsp:val=&quot;004A279F&quot;/&gt;&lt;wsp:rsid wsp:val=&quot;004A2C40&quot;/&gt;&lt;wsp:rsid wsp:val=&quot;004A55E7&quot;/&gt;&lt;wsp:rsid wsp:val=&quot;004A579C&quot;/&gt;&lt;wsp:rsid wsp:val=&quot;004A7FF1&quot;/&gt;&lt;wsp:rsid wsp:val=&quot;004B0B9D&quot;/&gt;&lt;wsp:rsid wsp:val=&quot;004B1B88&quot;/&gt;&lt;wsp:rsid wsp:val=&quot;004B2AEE&quot;/&gt;&lt;wsp:rsid wsp:val=&quot;004B2E1C&quot;/&gt;&lt;wsp:rsid wsp:val=&quot;004B3375&quot;/&gt;&lt;wsp:rsid wsp:val=&quot;004B3A2D&quot;/&gt;&lt;wsp:rsid wsp:val=&quot;004B3E46&quot;/&gt;&lt;wsp:rsid wsp:val=&quot;004B5DA6&quot;/&gt;&lt;wsp:rsid wsp:val=&quot;004B5E90&quot;/&gt;&lt;wsp:rsid wsp:val=&quot;004B70AC&quot;/&gt;&lt;wsp:rsid wsp:val=&quot;004B7701&quot;/&gt;&lt;wsp:rsid wsp:val=&quot;004B78B4&quot;/&gt;&lt;wsp:rsid wsp:val=&quot;004B7C8F&quot;/&gt;&lt;wsp:rsid wsp:val=&quot;004C03BF&quot;/&gt;&lt;wsp:rsid wsp:val=&quot;004C094F&quot;/&gt;&lt;wsp:rsid wsp:val=&quot;004C15AA&quot;/&gt;&lt;wsp:rsid wsp:val=&quot;004C20AE&quot;/&gt;&lt;wsp:rsid wsp:val=&quot;004C2251&quot;/&gt;&lt;wsp:rsid wsp:val=&quot;004C2459&quot;/&gt;&lt;wsp:rsid wsp:val=&quot;004C390C&quot;/&gt;&lt;wsp:rsid wsp:val=&quot;004C431E&quot;/&gt;&lt;wsp:rsid wsp:val=&quot;004C48B5&quot;/&gt;&lt;wsp:rsid wsp:val=&quot;004C5044&quot;/&gt;&lt;wsp:rsid wsp:val=&quot;004C5918&quot;/&gt;&lt;wsp:rsid wsp:val=&quot;004C6325&quot;/&gt;&lt;wsp:rsid wsp:val=&quot;004C68F6&quot;/&gt;&lt;wsp:rsid wsp:val=&quot;004C6B5B&quot;/&gt;&lt;wsp:rsid wsp:val=&quot;004C6C07&quot;/&gt;&lt;wsp:rsid wsp:val=&quot;004C6D17&quot;/&gt;&lt;wsp:rsid wsp:val=&quot;004C702A&quot;/&gt;&lt;wsp:rsid wsp:val=&quot;004C75C6&quot;/&gt;&lt;wsp:rsid wsp:val=&quot;004C7D37&quot;/&gt;&lt;wsp:rsid wsp:val=&quot;004D0846&quot;/&gt;&lt;wsp:rsid wsp:val=&quot;004D0D2D&quot;/&gt;&lt;wsp:rsid wsp:val=&quot;004D11F4&quot;/&gt;&lt;wsp:rsid wsp:val=&quot;004D3592&quot;/&gt;&lt;wsp:rsid wsp:val=&quot;004D4718&quot;/&gt;&lt;wsp:rsid wsp:val=&quot;004D7FA4&quot;/&gt;&lt;wsp:rsid wsp:val=&quot;004E08A2&quot;/&gt;&lt;wsp:rsid wsp:val=&quot;004E0C50&quot;/&gt;&lt;wsp:rsid wsp:val=&quot;004E17A4&quot;/&gt;&lt;wsp:rsid wsp:val=&quot;004E3086&quot;/&gt;&lt;wsp:rsid wsp:val=&quot;004E3712&quot;/&gt;&lt;wsp:rsid wsp:val=&quot;004E3C9A&quot;/&gt;&lt;wsp:rsid wsp:val=&quot;004F0ABC&quot;/&gt;&lt;wsp:rsid wsp:val=&quot;004F2E30&quot;/&gt;&lt;wsp:rsid wsp:val=&quot;004F3B8F&quot;/&gt;&lt;wsp:rsid wsp:val=&quot;004F4C91&quot;/&gt;&lt;wsp:rsid wsp:val=&quot;004F540D&quot;/&gt;&lt;wsp:rsid wsp:val=&quot;004F6266&quot;/&gt;&lt;wsp:rsid wsp:val=&quot;004F7F3D&quot;/&gt;&lt;wsp:rsid wsp:val=&quot;005001FF&quot;/&gt;&lt;wsp:rsid wsp:val=&quot;00500C00&quot;/&gt;&lt;wsp:rsid wsp:val=&quot;00501FB9&quot;/&gt;&lt;wsp:rsid wsp:val=&quot;0050217C&quot;/&gt;&lt;wsp:rsid wsp:val=&quot;00503A8F&quot;/&gt;&lt;wsp:rsid wsp:val=&quot;00503CDF&quot;/&gt;&lt;wsp:rsid wsp:val=&quot;00503DB0&quot;/&gt;&lt;wsp:rsid wsp:val=&quot;00504C7C&quot;/&gt;&lt;wsp:rsid wsp:val=&quot;00504CEE&quot;/&gt;&lt;wsp:rsid wsp:val=&quot;0050582C&quot;/&gt;&lt;wsp:rsid wsp:val=&quot;00506897&quot;/&gt;&lt;wsp:rsid wsp:val=&quot;005072B0&quot;/&gt;&lt;wsp:rsid wsp:val=&quot;00507B74&quot;/&gt;&lt;wsp:rsid wsp:val=&quot;00511725&quot;/&gt;&lt;wsp:rsid wsp:val=&quot;005124FF&quot;/&gt;&lt;wsp:rsid wsp:val=&quot;005127EF&quot;/&gt;&lt;wsp:rsid wsp:val=&quot;00512BF2&quot;/&gt;&lt;wsp:rsid wsp:val=&quot;005132EA&quot;/&gt;&lt;wsp:rsid wsp:val=&quot;005142DF&quot;/&gt;&lt;wsp:rsid wsp:val=&quot;00514698&quot;/&gt;&lt;wsp:rsid wsp:val=&quot;00514E77&quot;/&gt;&lt;wsp:rsid wsp:val=&quot;00514FF5&quot;/&gt;&lt;wsp:rsid wsp:val=&quot;00515035&quot;/&gt;&lt;wsp:rsid wsp:val=&quot;00520A12&quot;/&gt;&lt;wsp:rsid wsp:val=&quot;00521B73&quot;/&gt;&lt;wsp:rsid wsp:val=&quot;00522227&quot;/&gt;&lt;wsp:rsid wsp:val=&quot;00524C57&quot;/&gt;&lt;wsp:rsid wsp:val=&quot;005271A7&quot;/&gt;&lt;wsp:rsid wsp:val=&quot;00527287&quot;/&gt;&lt;wsp:rsid wsp:val=&quot;005274EF&quot;/&gt;&lt;wsp:rsid wsp:val=&quot;005274FA&quot;/&gt;&lt;wsp:rsid wsp:val=&quot;00527E29&quot;/&gt;&lt;wsp:rsid wsp:val=&quot;00527E81&quot;/&gt;&lt;wsp:rsid wsp:val=&quot;00531A0F&quot;/&gt;&lt;wsp:rsid wsp:val=&quot;00533564&quot;/&gt;&lt;wsp:rsid wsp:val=&quot;00534245&quot;/&gt;&lt;wsp:rsid wsp:val=&quot;005344B9&quot;/&gt;&lt;wsp:rsid wsp:val=&quot;00534700&quot;/&gt;&lt;wsp:rsid wsp:val=&quot;005360BF&quot;/&gt;&lt;wsp:rsid wsp:val=&quot;0053640C&quot;/&gt;&lt;wsp:rsid wsp:val=&quot;005379F1&quot;/&gt;&lt;wsp:rsid wsp:val=&quot;00540395&quot;/&gt;&lt;wsp:rsid wsp:val=&quot;00542758&quot;/&gt;&lt;wsp:rsid wsp:val=&quot;005427E0&quot;/&gt;&lt;wsp:rsid wsp:val=&quot;005431DE&quot;/&gt;&lt;wsp:rsid wsp:val=&quot;005432B8&quot;/&gt;&lt;wsp:rsid wsp:val=&quot;005433B5&quot;/&gt;&lt;wsp:rsid wsp:val=&quot;00543667&quot;/&gt;&lt;wsp:rsid wsp:val=&quot;00544431&quot;/&gt;&lt;wsp:rsid wsp:val=&quot;00546BFF&quot;/&gt;&lt;wsp:rsid wsp:val=&quot;00550B0E&quot;/&gt;&lt;wsp:rsid wsp:val=&quot;00551E57&quot;/&gt;&lt;wsp:rsid wsp:val=&quot;00553D19&quot;/&gt;&lt;wsp:rsid wsp:val=&quot;0055441F&quot;/&gt;&lt;wsp:rsid wsp:val=&quot;005556EE&quot;/&gt;&lt;wsp:rsid wsp:val=&quot;00555AF7&quot;/&gt;&lt;wsp:rsid wsp:val=&quot;00556299&quot;/&gt;&lt;wsp:rsid wsp:val=&quot;00556566&quot;/&gt;&lt;wsp:rsid wsp:val=&quot;00556A1E&quot;/&gt;&lt;wsp:rsid wsp:val=&quot;005572CB&quot;/&gt;&lt;wsp:rsid wsp:val=&quot;005600B4&quot;/&gt;&lt;wsp:rsid wsp:val=&quot;0056067C&quot;/&gt;&lt;wsp:rsid wsp:val=&quot;00562236&quot;/&gt;&lt;wsp:rsid wsp:val=&quot;00563F14&quot;/&gt;&lt;wsp:rsid wsp:val=&quot;00564667&quot;/&gt;&lt;wsp:rsid wsp:val=&quot;005649FA&quot;/&gt;&lt;wsp:rsid wsp:val=&quot;0056622F&quot;/&gt;&lt;wsp:rsid wsp:val=&quot;005676DA&quot;/&gt;&lt;wsp:rsid wsp:val=&quot;00571890&quot;/&gt;&lt;wsp:rsid wsp:val=&quot;00571E81&quot;/&gt;&lt;wsp:rsid wsp:val=&quot;005726AF&quot;/&gt;&lt;wsp:rsid wsp:val=&quot;005730D3&quot;/&gt;&lt;wsp:rsid wsp:val=&quot;00573B9B&quot;/&gt;&lt;wsp:rsid wsp:val=&quot;00573F24&quot;/&gt;&lt;wsp:rsid wsp:val=&quot;005741C6&quot;/&gt;&lt;wsp:rsid wsp:val=&quot;005744E3&quot;/&gt;&lt;wsp:rsid wsp:val=&quot;005749DD&quot;/&gt;&lt;wsp:rsid wsp:val=&quot;00576F20&quot;/&gt;&lt;wsp:rsid wsp:val=&quot;0058157A&quot;/&gt;&lt;wsp:rsid wsp:val=&quot;005815C3&quot;/&gt;&lt;wsp:rsid wsp:val=&quot;00581902&quot;/&gt;&lt;wsp:rsid wsp:val=&quot;005819AE&quot;/&gt;&lt;wsp:rsid wsp:val=&quot;00582411&quot;/&gt;&lt;wsp:rsid wsp:val=&quot;005829AE&quot;/&gt;&lt;wsp:rsid wsp:val=&quot;00582D1A&quot;/&gt;&lt;wsp:rsid wsp:val=&quot;00582D94&quot;/&gt;&lt;wsp:rsid wsp:val=&quot;0058368C&quot;/&gt;&lt;wsp:rsid wsp:val=&quot;00585DC9&quot;/&gt;&lt;wsp:rsid wsp:val=&quot;0058605B&quot;/&gt;&lt;wsp:rsid wsp:val=&quot;00586184&quot;/&gt;&lt;wsp:rsid wsp:val=&quot;00586894&quot;/&gt;&lt;wsp:rsid wsp:val=&quot;00586ACA&quot;/&gt;&lt;wsp:rsid wsp:val=&quot;00587188&quot;/&gt;&lt;wsp:rsid wsp:val=&quot;00587363&quot;/&gt;&lt;wsp:rsid wsp:val=&quot;005909F9&quot;/&gt;&lt;wsp:rsid wsp:val=&quot;00592CED&quot;/&gt;&lt;wsp:rsid wsp:val=&quot;00592E32&quot;/&gt;&lt;wsp:rsid wsp:val=&quot;00593405&quot;/&gt;&lt;wsp:rsid wsp:val=&quot;00596C4F&quot;/&gt;&lt;wsp:rsid wsp:val=&quot;00596DB3&quot;/&gt;&lt;wsp:rsid wsp:val=&quot;00596EDC&quot;/&gt;&lt;wsp:rsid wsp:val=&quot;00597770&quot;/&gt;&lt;wsp:rsid wsp:val=&quot;00597C88&quot;/&gt;&lt;wsp:rsid wsp:val=&quot;005A0093&quot;/&gt;&lt;wsp:rsid wsp:val=&quot;005A03B9&quot;/&gt;&lt;wsp:rsid wsp:val=&quot;005A0517&quot;/&gt;&lt;wsp:rsid wsp:val=&quot;005A0D23&quot;/&gt;&lt;wsp:rsid wsp:val=&quot;005A1706&quot;/&gt;&lt;wsp:rsid wsp:val=&quot;005A1B4A&quot;/&gt;&lt;wsp:rsid wsp:val=&quot;005A2345&quot;/&gt;&lt;wsp:rsid wsp:val=&quot;005A2976&quot;/&gt;&lt;wsp:rsid wsp:val=&quot;005A35D0&quot;/&gt;&lt;wsp:rsid wsp:val=&quot;005A3670&quot;/&gt;&lt;wsp:rsid wsp:val=&quot;005A37C5&quot;/&gt;&lt;wsp:rsid wsp:val=&quot;005A3C34&quot;/&gt;&lt;wsp:rsid wsp:val=&quot;005A3DAC&quot;/&gt;&lt;wsp:rsid wsp:val=&quot;005A6050&quot;/&gt;&lt;wsp:rsid wsp:val=&quot;005A6632&quot;/&gt;&lt;wsp:rsid wsp:val=&quot;005A722A&quot;/&gt;&lt;wsp:rsid wsp:val=&quot;005A7DDA&quot;/&gt;&lt;wsp:rsid wsp:val=&quot;005B0C5B&quot;/&gt;&lt;wsp:rsid wsp:val=&quot;005B0FCB&quot;/&gt;&lt;wsp:rsid wsp:val=&quot;005B1323&quot;/&gt;&lt;wsp:rsid wsp:val=&quot;005B16BA&quot;/&gt;&lt;wsp:rsid wsp:val=&quot;005B1A9F&quot;/&gt;&lt;wsp:rsid wsp:val=&quot;005B1D8A&quot;/&gt;&lt;wsp:rsid wsp:val=&quot;005B2584&quot;/&gt;&lt;wsp:rsid wsp:val=&quot;005B37D7&quot;/&gt;&lt;wsp:rsid wsp:val=&quot;005B634D&quot;/&gt;&lt;wsp:rsid wsp:val=&quot;005B73CA&quot;/&gt;&lt;wsp:rsid wsp:val=&quot;005B7EB9&quot;/&gt;&lt;wsp:rsid wsp:val=&quot;005C1448&quot;/&gt;&lt;wsp:rsid wsp:val=&quot;005C1DB3&quot;/&gt;&lt;wsp:rsid wsp:val=&quot;005C3143&quot;/&gt;&lt;wsp:rsid wsp:val=&quot;005C32AF&quot;/&gt;&lt;wsp:rsid wsp:val=&quot;005C4529&quot;/&gt;&lt;wsp:rsid wsp:val=&quot;005C4787&quot;/&gt;&lt;wsp:rsid wsp:val=&quot;005C6407&quot;/&gt;&lt;wsp:rsid wsp:val=&quot;005C7D4E&quot;/&gt;&lt;wsp:rsid wsp:val=&quot;005C7E1E&quot;/&gt;&lt;wsp:rsid wsp:val=&quot;005D11CC&quot;/&gt;&lt;wsp:rsid wsp:val=&quot;005D240E&quot;/&gt;&lt;wsp:rsid wsp:val=&quot;005D2869&quot;/&gt;&lt;wsp:rsid wsp:val=&quot;005D2F2F&quot;/&gt;&lt;wsp:rsid wsp:val=&quot;005D3327&quot;/&gt;&lt;wsp:rsid wsp:val=&quot;005D3476&quot;/&gt;&lt;wsp:rsid wsp:val=&quot;005D3F9B&quot;/&gt;&lt;wsp:rsid wsp:val=&quot;005D4BE8&quot;/&gt;&lt;wsp:rsid wsp:val=&quot;005D4E1D&quot;/&gt;&lt;wsp:rsid wsp:val=&quot;005D5BAF&quot;/&gt;&lt;wsp:rsid wsp:val=&quot;005E11D5&quot;/&gt;&lt;wsp:rsid wsp:val=&quot;005E1558&quot;/&gt;&lt;wsp:rsid wsp:val=&quot;005E1AAF&quot;/&gt;&lt;wsp:rsid wsp:val=&quot;005E286C&quot;/&gt;&lt;wsp:rsid wsp:val=&quot;005E2BAD&quot;/&gt;&lt;wsp:rsid wsp:val=&quot;005E34FA&quot;/&gt;&lt;wsp:rsid wsp:val=&quot;005E37B7&quot;/&gt;&lt;wsp:rsid wsp:val=&quot;005E388B&quot;/&gt;&lt;wsp:rsid wsp:val=&quot;005E45DB&quot;/&gt;&lt;wsp:rsid wsp:val=&quot;005E49C1&quot;/&gt;&lt;wsp:rsid wsp:val=&quot;005E4E5E&quot;/&gt;&lt;wsp:rsid wsp:val=&quot;005E56ED&quot;/&gt;&lt;wsp:rsid wsp:val=&quot;005E6608&quot;/&gt;&lt;wsp:rsid wsp:val=&quot;005E6D40&quot;/&gt;&lt;wsp:rsid wsp:val=&quot;005E7505&quot;/&gt;&lt;wsp:rsid wsp:val=&quot;005E7CE0&quot;/&gt;&lt;wsp:rsid wsp:val=&quot;005F08A7&quot;/&gt;&lt;wsp:rsid wsp:val=&quot;005F0E85&quot;/&gt;&lt;wsp:rsid wsp:val=&quot;005F130E&quot;/&gt;&lt;wsp:rsid wsp:val=&quot;005F1433&quot;/&gt;&lt;wsp:rsid wsp:val=&quot;005F1705&quot;/&gt;&lt;wsp:rsid wsp:val=&quot;005F1747&quot;/&gt;&lt;wsp:rsid wsp:val=&quot;005F2511&quot;/&gt;&lt;wsp:rsid wsp:val=&quot;005F423C&quot;/&gt;&lt;wsp:rsid wsp:val=&quot;005F4ABF&quot;/&gt;&lt;wsp:rsid wsp:val=&quot;005F5071&quot;/&gt;&lt;wsp:rsid wsp:val=&quot;005F5BD3&quot;/&gt;&lt;wsp:rsid wsp:val=&quot;005F5C9C&quot;/&gt;&lt;wsp:rsid wsp:val=&quot;005F5E07&quot;/&gt;&lt;wsp:rsid wsp:val=&quot;005F663D&quot;/&gt;&lt;wsp:rsid wsp:val=&quot;005F6B82&quot;/&gt;&lt;wsp:rsid wsp:val=&quot;005F7471&quot;/&gt;&lt;wsp:rsid wsp:val=&quot;005F7F65&quot;/&gt;&lt;wsp:rsid wsp:val=&quot;006011B9&quot;/&gt;&lt;wsp:rsid wsp:val=&quot;00602B30&quot;/&gt;&lt;wsp:rsid wsp:val=&quot;006038DB&quot;/&gt;&lt;wsp:rsid wsp:val=&quot;00603AC2&quot;/&gt;&lt;wsp:rsid wsp:val=&quot;00603DB5&quot;/&gt;&lt;wsp:rsid wsp:val=&quot;00604012&quot;/&gt;&lt;wsp:rsid wsp:val=&quot;006049C7&quot;/&gt;&lt;wsp:rsid wsp:val=&quot;00604E44&quot;/&gt;&lt;wsp:rsid wsp:val=&quot;00606312&quot;/&gt;&lt;wsp:rsid wsp:val=&quot;006066CE&quot;/&gt;&lt;wsp:rsid wsp:val=&quot;006066D6&quot;/&gt;&lt;wsp:rsid wsp:val=&quot;0060723D&quot;/&gt;&lt;wsp:rsid wsp:val=&quot;0060752E&quot;/&gt;&lt;wsp:rsid wsp:val=&quot;006077AC&quot;/&gt;&lt;wsp:rsid wsp:val=&quot;00607BD8&quot;/&gt;&lt;wsp:rsid wsp:val=&quot;006109E0&quot;/&gt;&lt;wsp:rsid wsp:val=&quot;00610A76&quot;/&gt;&lt;wsp:rsid wsp:val=&quot;00611E04&quot;/&gt;&lt;wsp:rsid wsp:val=&quot;00611F42&quot;/&gt;&lt;wsp:rsid wsp:val=&quot;00611F7A&quot;/&gt;&lt;wsp:rsid wsp:val=&quot;00612B6F&quot;/&gt;&lt;wsp:rsid wsp:val=&quot;00613B3D&quot;/&gt;&lt;wsp:rsid wsp:val=&quot;006151B1&quot;/&gt;&lt;wsp:rsid wsp:val=&quot;00616946&quot;/&gt;&lt;wsp:rsid wsp:val=&quot;00620469&quot;/&gt;&lt;wsp:rsid wsp:val=&quot;006204E1&quot;/&gt;&lt;wsp:rsid wsp:val=&quot;00620A22&quot;/&gt;&lt;wsp:rsid wsp:val=&quot;00621211&quot;/&gt;&lt;wsp:rsid wsp:val=&quot;00621BB7&quot;/&gt;&lt;wsp:rsid wsp:val=&quot;00622871&quot;/&gt;&lt;wsp:rsid wsp:val=&quot;00622FC6&quot;/&gt;&lt;wsp:rsid wsp:val=&quot;00623326&quot;/&gt;&lt;wsp:rsid wsp:val=&quot;00623A74&quot;/&gt;&lt;wsp:rsid wsp:val=&quot;00623BF5&quot;/&gt;&lt;wsp:rsid wsp:val=&quot;00623C4B&quot;/&gt;&lt;wsp:rsid wsp:val=&quot;00623EFC&quot;/&gt;&lt;wsp:rsid wsp:val=&quot;0062456B&quot;/&gt;&lt;wsp:rsid wsp:val=&quot;00624D6C&quot;/&gt;&lt;wsp:rsid wsp:val=&quot;006258AA&quot;/&gt;&lt;wsp:rsid wsp:val=&quot;00626825&quot;/&gt;&lt;wsp:rsid wsp:val=&quot;00626FA2&quot;/&gt;&lt;wsp:rsid wsp:val=&quot;006279DB&quot;/&gt;&lt;wsp:rsid wsp:val=&quot;00627B32&quot;/&gt;&lt;wsp:rsid wsp:val=&quot;00627C6C&quot;/&gt;&lt;wsp:rsid wsp:val=&quot;00627DAC&quot;/&gt;&lt;wsp:rsid wsp:val=&quot;00630C1C&quot;/&gt;&lt;wsp:rsid wsp:val=&quot;00630C75&quot;/&gt;&lt;wsp:rsid wsp:val=&quot;00630D4F&quot;/&gt;&lt;wsp:rsid wsp:val=&quot;006313D8&quot;/&gt;&lt;wsp:rsid wsp:val=&quot;0063141A&quot;/&gt;&lt;wsp:rsid wsp:val=&quot;006318F3&quot;/&gt;&lt;wsp:rsid wsp:val=&quot;00632207&quot;/&gt;&lt;wsp:rsid wsp:val=&quot;0063280A&quot;/&gt;&lt;wsp:rsid wsp:val=&quot;00634B4C&quot;/&gt;&lt;wsp:rsid wsp:val=&quot;00634C90&quot;/&gt;&lt;wsp:rsid wsp:val=&quot;00635F70&quot;/&gt;&lt;wsp:rsid wsp:val=&quot;00637122&quot;/&gt;&lt;wsp:rsid wsp:val=&quot;006400D3&quot;/&gt;&lt;wsp:rsid wsp:val=&quot;0064029A&quot;/&gt;&lt;wsp:rsid wsp:val=&quot;00640614&quot;/&gt;&lt;wsp:rsid wsp:val=&quot;006411BF&quot;/&gt;&lt;wsp:rsid wsp:val=&quot;006423CD&quot;/&gt;&lt;wsp:rsid wsp:val=&quot;00642482&quot;/&gt;&lt;wsp:rsid wsp:val=&quot;00642486&quot;/&gt;&lt;wsp:rsid wsp:val=&quot;00642975&quot;/&gt;&lt;wsp:rsid wsp:val=&quot;00642D0B&quot;/&gt;&lt;wsp:rsid wsp:val=&quot;006430B7&quot;/&gt;&lt;wsp:rsid wsp:val=&quot;00643117&quot;/&gt;&lt;wsp:rsid wsp:val=&quot;00643C86&quot;/&gt;&lt;wsp:rsid wsp:val=&quot;00644A78&quot;/&gt;&lt;wsp:rsid wsp:val=&quot;006464DC&quot;/&gt;&lt;wsp:rsid wsp:val=&quot;00646846&quot;/&gt;&lt;wsp:rsid wsp:val=&quot;00647E01&quot;/&gt;&lt;wsp:rsid wsp:val=&quot;00650B7F&quot;/&gt;&lt;wsp:rsid wsp:val=&quot;00651205&quot;/&gt;&lt;wsp:rsid wsp:val=&quot;00651210&quot;/&gt;&lt;wsp:rsid wsp:val=&quot;00651701&quot;/&gt;&lt;wsp:rsid wsp:val=&quot;0065284F&quot;/&gt;&lt;wsp:rsid wsp:val=&quot;00652DBF&quot;/&gt;&lt;wsp:rsid wsp:val=&quot;00653F91&quot;/&gt;&lt;wsp:rsid wsp:val=&quot;0065450E&quot;/&gt;&lt;wsp:rsid wsp:val=&quot;00660115&quot;/&gt;&lt;wsp:rsid wsp:val=&quot;00661DA7&quot;/&gt;&lt;wsp:rsid wsp:val=&quot;00662418&quot;/&gt;&lt;wsp:rsid wsp:val=&quot;00663DA0&quot;/&gt;&lt;wsp:rsid wsp:val=&quot;006650A2&quot;/&gt;&lt;wsp:rsid wsp:val=&quot;0066575C&quot;/&gt;&lt;wsp:rsid wsp:val=&quot;00665C8D&quot;/&gt;&lt;wsp:rsid wsp:val=&quot;00665DB7&quot;/&gt;&lt;wsp:rsid wsp:val=&quot;0066641F&quot;/&gt;&lt;wsp:rsid wsp:val=&quot;00667BF7&quot;/&gt;&lt;wsp:rsid wsp:val=&quot;00671E7A&quot;/&gt;&lt;wsp:rsid wsp:val=&quot;0067257E&quot;/&gt;&lt;wsp:rsid wsp:val=&quot;00673309&quot;/&gt;&lt;wsp:rsid wsp:val=&quot;006745F9&quot;/&gt;&lt;wsp:rsid wsp:val=&quot;00674D40&quot;/&gt;&lt;wsp:rsid wsp:val=&quot;00675943&quot;/&gt;&lt;wsp:rsid wsp:val=&quot;0067613C&quot;/&gt;&lt;wsp:rsid wsp:val=&quot;00677983&quot;/&gt;&lt;wsp:rsid wsp:val=&quot;00677BD1&quot;/&gt;&lt;wsp:rsid wsp:val=&quot;00684570&quot;/&gt;&lt;wsp:rsid wsp:val=&quot;00684C44&quot;/&gt;&lt;wsp:rsid wsp:val=&quot;006851EC&quot;/&gt;&lt;wsp:rsid wsp:val=&quot;00686847&quot;/&gt;&lt;wsp:rsid wsp:val=&quot;0069108C&quot;/&gt;&lt;wsp:rsid wsp:val=&quot;0069272A&quot;/&gt;&lt;wsp:rsid wsp:val=&quot;00692B5B&quot;/&gt;&lt;wsp:rsid wsp:val=&quot;00692D5C&quot;/&gt;&lt;wsp:rsid wsp:val=&quot;00692E7A&quot;/&gt;&lt;wsp:rsid wsp:val=&quot;00692FF9&quot;/&gt;&lt;wsp:rsid wsp:val=&quot;006934EA&quot;/&gt;&lt;wsp:rsid wsp:val=&quot;00693F0F&quot;/&gt;&lt;wsp:rsid wsp:val=&quot;00697385&quot;/&gt;&lt;wsp:rsid wsp:val=&quot;00697471&quot;/&gt;&lt;wsp:rsid wsp:val=&quot;00697521&quot;/&gt;&lt;wsp:rsid wsp:val=&quot;00697CDC&quot;/&gt;&lt;wsp:rsid wsp:val=&quot;006A02C4&quot;/&gt;&lt;wsp:rsid wsp:val=&quot;006A0EBE&quot;/&gt;&lt;wsp:rsid wsp:val=&quot;006A1922&quot;/&gt;&lt;wsp:rsid wsp:val=&quot;006A21A0&quot;/&gt;&lt;wsp:rsid wsp:val=&quot;006A32F9&quot;/&gt;&lt;wsp:rsid wsp:val=&quot;006A470B&quot;/&gt;&lt;wsp:rsid wsp:val=&quot;006A502C&quot;/&gt;&lt;wsp:rsid wsp:val=&quot;006A60CA&quot;/&gt;&lt;wsp:rsid wsp:val=&quot;006A71B5&quot;/&gt;&lt;wsp:rsid wsp:val=&quot;006A78E0&quot;/&gt;&lt;wsp:rsid wsp:val=&quot;006B0769&quot;/&gt;&lt;wsp:rsid wsp:val=&quot;006B2423&quot;/&gt;&lt;wsp:rsid wsp:val=&quot;006B2687&quot;/&gt;&lt;wsp:rsid wsp:val=&quot;006B26E7&quot;/&gt;&lt;wsp:rsid wsp:val=&quot;006B2BC9&quot;/&gt;&lt;wsp:rsid wsp:val=&quot;006B331F&quot;/&gt;&lt;wsp:rsid wsp:val=&quot;006B3EEC&quot;/&gt;&lt;wsp:rsid wsp:val=&quot;006B44F2&quot;/&gt;&lt;wsp:rsid wsp:val=&quot;006B5B97&quot;/&gt;&lt;wsp:rsid wsp:val=&quot;006B62A7&quot;/&gt;&lt;wsp:rsid wsp:val=&quot;006B6CCD&quot;/&gt;&lt;wsp:rsid wsp:val=&quot;006C0A3A&quot;/&gt;&lt;wsp:rsid wsp:val=&quot;006C148B&quot;/&gt;&lt;wsp:rsid wsp:val=&quot;006C16D5&quot;/&gt;&lt;wsp:rsid wsp:val=&quot;006C18DC&quot;/&gt;&lt;wsp:rsid wsp:val=&quot;006C2053&quot;/&gt;&lt;wsp:rsid wsp:val=&quot;006C4D6D&quot;/&gt;&lt;wsp:rsid wsp:val=&quot;006C57A7&quot;/&gt;&lt;wsp:rsid wsp:val=&quot;006C5812&quot;/&gt;&lt;wsp:rsid wsp:val=&quot;006D0FA3&quot;/&gt;&lt;wsp:rsid wsp:val=&quot;006D139E&quot;/&gt;&lt;wsp:rsid wsp:val=&quot;006D13CC&quot;/&gt;&lt;wsp:rsid wsp:val=&quot;006D18E0&quot;/&gt;&lt;wsp:rsid wsp:val=&quot;006D1AEA&quot;/&gt;&lt;wsp:rsid wsp:val=&quot;006D1FE7&quot;/&gt;&lt;wsp:rsid wsp:val=&quot;006D38E8&quot;/&gt;&lt;wsp:rsid wsp:val=&quot;006D444A&quot;/&gt;&lt;wsp:rsid wsp:val=&quot;006D45D3&quot;/&gt;&lt;wsp:rsid wsp:val=&quot;006D5E16&quot;/&gt;&lt;wsp:rsid wsp:val=&quot;006D60FE&quot;/&gt;&lt;wsp:rsid wsp:val=&quot;006D7691&quot;/&gt;&lt;wsp:rsid wsp:val=&quot;006E03A1&quot;/&gt;&lt;wsp:rsid wsp:val=&quot;006E08D7&quot;/&gt;&lt;wsp:rsid wsp:val=&quot;006E097E&quot;/&gt;&lt;wsp:rsid wsp:val=&quot;006E172D&quot;/&gt;&lt;wsp:rsid wsp:val=&quot;006E2726&quot;/&gt;&lt;wsp:rsid wsp:val=&quot;006E30A6&quot;/&gt;&lt;wsp:rsid wsp:val=&quot;006E6254&quot;/&gt;&lt;wsp:rsid wsp:val=&quot;006E7E17&quot;/&gt;&lt;wsp:rsid wsp:val=&quot;006F0017&quot;/&gt;&lt;wsp:rsid wsp:val=&quot;006F048D&quot;/&gt;&lt;wsp:rsid wsp:val=&quot;006F0994&quot;/&gt;&lt;wsp:rsid wsp:val=&quot;006F101D&quot;/&gt;&lt;wsp:rsid wsp:val=&quot;006F1325&quot;/&gt;&lt;wsp:rsid wsp:val=&quot;006F2911&quot;/&gt;&lt;wsp:rsid wsp:val=&quot;006F2A0D&quot;/&gt;&lt;wsp:rsid wsp:val=&quot;006F3653&quot;/&gt;&lt;wsp:rsid wsp:val=&quot;006F3B17&quot;/&gt;&lt;wsp:rsid wsp:val=&quot;006F476C&quot;/&gt;&lt;wsp:rsid wsp:val=&quot;006F5494&quot;/&gt;&lt;wsp:rsid wsp:val=&quot;006F5A95&quot;/&gt;&lt;wsp:rsid wsp:val=&quot;006F6D65&quot;/&gt;&lt;wsp:rsid wsp:val=&quot;006F74A7&quot;/&gt;&lt;wsp:rsid wsp:val=&quot;0070090C&quot;/&gt;&lt;wsp:rsid wsp:val=&quot;00701171&quot;/&gt;&lt;wsp:rsid wsp:val=&quot;00701955&quot;/&gt;&lt;wsp:rsid wsp:val=&quot;007045A0&quot;/&gt;&lt;wsp:rsid wsp:val=&quot;00704910&quot;/&gt;&lt;wsp:rsid wsp:val=&quot;00704933&quot;/&gt;&lt;wsp:rsid wsp:val=&quot;007049F0&quot;/&gt;&lt;wsp:rsid wsp:val=&quot;007049FE&quot;/&gt;&lt;wsp:rsid wsp:val=&quot;00704C9C&quot;/&gt;&lt;wsp:rsid wsp:val=&quot;00705C88&quot;/&gt;&lt;wsp:rsid wsp:val=&quot;00707B3A&quot;/&gt;&lt;wsp:rsid wsp:val=&quot;00710C8C&quot;/&gt;&lt;wsp:rsid wsp:val=&quot;007119E2&quot;/&gt;&lt;wsp:rsid wsp:val=&quot;00711AFB&quot;/&gt;&lt;wsp:rsid wsp:val=&quot;0071293A&quot;/&gt;&lt;wsp:rsid wsp:val=&quot;00714886&quot;/&gt;&lt;wsp:rsid wsp:val=&quot;00715133&quot;/&gt;&lt;wsp:rsid wsp:val=&quot;007158F1&quot;/&gt;&lt;wsp:rsid wsp:val=&quot;00715CEF&quot;/&gt;&lt;wsp:rsid wsp:val=&quot;00715F99&quot;/&gt;&lt;wsp:rsid wsp:val=&quot;0071604B&quot;/&gt;&lt;wsp:rsid wsp:val=&quot;0071744D&quot;/&gt;&lt;wsp:rsid wsp:val=&quot;007176F3&quot;/&gt;&lt;wsp:rsid wsp:val=&quot;00717AD1&quot;/&gt;&lt;wsp:rsid wsp:val=&quot;00717EC9&quot;/&gt;&lt;wsp:rsid wsp:val=&quot;0072137A&quot;/&gt;&lt;wsp:rsid wsp:val=&quot;007216BA&quot;/&gt;&lt;wsp:rsid wsp:val=&quot;00722202&quot;/&gt;&lt;wsp:rsid wsp:val=&quot;00723314&quot;/&gt;&lt;wsp:rsid wsp:val=&quot;007242F6&quot;/&gt;&lt;wsp:rsid wsp:val=&quot;00724B00&quot;/&gt;&lt;wsp:rsid wsp:val=&quot;00724B19&quot;/&gt;&lt;wsp:rsid wsp:val=&quot;00725517&quot;/&gt;&lt;wsp:rsid wsp:val=&quot;00725604&quot;/&gt;&lt;wsp:rsid wsp:val=&quot;007257B2&quot;/&gt;&lt;wsp:rsid wsp:val=&quot;00725A97&quot;/&gt;&lt;wsp:rsid wsp:val=&quot;00725B60&quot;/&gt;&lt;wsp:rsid wsp:val=&quot;007261AB&quot;/&gt;&lt;wsp:rsid wsp:val=&quot;00730305&quot;/&gt;&lt;wsp:rsid wsp:val=&quot;00730A72&quot;/&gt;&lt;wsp:rsid wsp:val=&quot;007314A3&quot;/&gt;&lt;wsp:rsid wsp:val=&quot;00731DC0&quot;/&gt;&lt;wsp:rsid wsp:val=&quot;00732355&quot;/&gt;&lt;wsp:rsid wsp:val=&quot;0073297C&quot;/&gt;&lt;wsp:rsid wsp:val=&quot;00733886&quot;/&gt;&lt;wsp:rsid wsp:val=&quot;00734C98&quot;/&gt;&lt;wsp:rsid wsp:val=&quot;00734E83&quot;/&gt;&lt;wsp:rsid wsp:val=&quot;00735239&quot;/&gt;&lt;wsp:rsid wsp:val=&quot;00740ED5&quot;/&gt;&lt;wsp:rsid wsp:val=&quot;00743B56&quot;/&gt;&lt;wsp:rsid wsp:val=&quot;00746828&quot;/&gt;&lt;wsp:rsid wsp:val=&quot;00747D8C&quot;/&gt;&lt;wsp:rsid wsp:val=&quot;007503C0&quot;/&gt;&lt;wsp:rsid wsp:val=&quot;00750825&quot;/&gt;&lt;wsp:rsid wsp:val=&quot;007509DA&quot;/&gt;&lt;wsp:rsid wsp:val=&quot;00750DFF&quot;/&gt;&lt;wsp:rsid wsp:val=&quot;00751A6A&quot;/&gt;&lt;wsp:rsid wsp:val=&quot;00751EF8&quot;/&gt;&lt;wsp:rsid wsp:val=&quot;0075256E&quot;/&gt;&lt;wsp:rsid wsp:val=&quot;00753240&quot;/&gt;&lt;wsp:rsid wsp:val=&quot;007536CD&quot;/&gt;&lt;wsp:rsid wsp:val=&quot;00753914&quot;/&gt;&lt;wsp:rsid wsp:val=&quot;00753C64&quot;/&gt;&lt;wsp:rsid wsp:val=&quot;007549E9&quot;/&gt;&lt;wsp:rsid wsp:val=&quot;00754F25&quot;/&gt;&lt;wsp:rsid wsp:val=&quot;00756128&quot;/&gt;&lt;wsp:rsid wsp:val=&quot;00756840&quot;/&gt;&lt;wsp:rsid wsp:val=&quot;00756E84&quot;/&gt;&lt;wsp:rsid wsp:val=&quot;00757F28&quot;/&gt;&lt;wsp:rsid wsp:val=&quot;00760394&quot;/&gt;&lt;wsp:rsid wsp:val=&quot;0076243E&quot;/&gt;&lt;wsp:rsid wsp:val=&quot;00764CAF&quot;/&gt;&lt;wsp:rsid wsp:val=&quot;00765C52&quot;/&gt;&lt;wsp:rsid wsp:val=&quot;00766AFD&quot;/&gt;&lt;wsp:rsid wsp:val=&quot;0077022D&quot;/&gt;&lt;wsp:rsid wsp:val=&quot;0077088A&quot;/&gt;&lt;wsp:rsid wsp:val=&quot;00770D88&quot;/&gt;&lt;wsp:rsid wsp:val=&quot;007712EA&quot;/&gt;&lt;wsp:rsid wsp:val=&quot;00773B4C&quot;/&gt;&lt;wsp:rsid wsp:val=&quot;00773D05&quot;/&gt;&lt;wsp:rsid wsp:val=&quot;00773DF3&quot;/&gt;&lt;wsp:rsid wsp:val=&quot;00773FA7&quot;/&gt;&lt;wsp:rsid wsp:val=&quot;00774752&quot;/&gt;&lt;wsp:rsid wsp:val=&quot;0077496E&quot;/&gt;&lt;wsp:rsid wsp:val=&quot;00774A8B&quot;/&gt;&lt;wsp:rsid wsp:val=&quot;00774D4A&quot;/&gt;&lt;wsp:rsid wsp:val=&quot;00775433&quot;/&gt;&lt;wsp:rsid wsp:val=&quot;00775D0A&quot;/&gt;&lt;wsp:rsid wsp:val=&quot;00775FDD&quot;/&gt;&lt;wsp:rsid wsp:val=&quot;00776C11&quot;/&gt;&lt;wsp:rsid wsp:val=&quot;00777B19&quot;/&gt;&lt;wsp:rsid wsp:val=&quot;00777D82&quot;/&gt;&lt;wsp:rsid wsp:val=&quot;007805BC&quot;/&gt;&lt;wsp:rsid wsp:val=&quot;0078078E&quot;/&gt;&lt;wsp:rsid wsp:val=&quot;00781611&quot;/&gt;&lt;wsp:rsid wsp:val=&quot;007818E2&quot;/&gt;&lt;wsp:rsid wsp:val=&quot;00781943&quot;/&gt;&lt;wsp:rsid wsp:val=&quot;0078218A&quot;/&gt;&lt;wsp:rsid wsp:val=&quot;00784493&quot;/&gt;&lt;wsp:rsid wsp:val=&quot;00784E74&quot;/&gt;&lt;wsp:rsid wsp:val=&quot;0078533B&quot;/&gt;&lt;wsp:rsid wsp:val=&quot;00785F22&quot;/&gt;&lt;wsp:rsid wsp:val=&quot;00786B08&quot;/&gt;&lt;wsp:rsid wsp:val=&quot;00786E28&quot;/&gt;&lt;wsp:rsid wsp:val=&quot;007918C0&quot;/&gt;&lt;wsp:rsid wsp:val=&quot;00791CD2&quot;/&gt;&lt;wsp:rsid wsp:val=&quot;00791EAC&quot;/&gt;&lt;wsp:rsid wsp:val=&quot;00792953&quot;/&gt;&lt;wsp:rsid wsp:val=&quot;007929C5&quot;/&gt;&lt;wsp:rsid wsp:val=&quot;00793B39&quot;/&gt;&lt;wsp:rsid wsp:val=&quot;00793D47&quot;/&gt;&lt;wsp:rsid wsp:val=&quot;00795C41&quot;/&gt;&lt;wsp:rsid wsp:val=&quot;00795DFF&quot;/&gt;&lt;wsp:rsid wsp:val=&quot;0079617C&quot;/&gt;&lt;wsp:rsid wsp:val=&quot;007967F3&quot;/&gt;&lt;wsp:rsid wsp:val=&quot;00797C10&quot;/&gt;&lt;wsp:rsid wsp:val=&quot;007A0D8F&quot;/&gt;&lt;wsp:rsid wsp:val=&quot;007A0EC9&quot;/&gt;&lt;wsp:rsid wsp:val=&quot;007A1108&quot;/&gt;&lt;wsp:rsid wsp:val=&quot;007A18B9&quot;/&gt;&lt;wsp:rsid wsp:val=&quot;007A2B64&quot;/&gt;&lt;wsp:rsid wsp:val=&quot;007A2BFC&quot;/&gt;&lt;wsp:rsid wsp:val=&quot;007A2FC2&quot;/&gt;&lt;wsp:rsid wsp:val=&quot;007A405E&quot;/&gt;&lt;wsp:rsid wsp:val=&quot;007A4B7D&quot;/&gt;&lt;wsp:rsid wsp:val=&quot;007A4E8E&quot;/&gt;&lt;wsp:rsid wsp:val=&quot;007A52A6&quot;/&gt;&lt;wsp:rsid wsp:val=&quot;007A52A7&quot;/&gt;&lt;wsp:rsid wsp:val=&quot;007A6151&quot;/&gt;&lt;wsp:rsid wsp:val=&quot;007A62B7&quot;/&gt;&lt;wsp:rsid wsp:val=&quot;007A637F&quot;/&gt;&lt;wsp:rsid wsp:val=&quot;007A63C8&quot;/&gt;&lt;wsp:rsid wsp:val=&quot;007A794E&quot;/&gt;&lt;wsp:rsid wsp:val=&quot;007B114D&quot;/&gt;&lt;wsp:rsid wsp:val=&quot;007B1A83&quot;/&gt;&lt;wsp:rsid wsp:val=&quot;007B204B&quot;/&gt;&lt;wsp:rsid wsp:val=&quot;007B2C5A&quot;/&gt;&lt;wsp:rsid wsp:val=&quot;007B5508&quot;/&gt;&lt;wsp:rsid wsp:val=&quot;007B5A6F&quot;/&gt;&lt;wsp:rsid wsp:val=&quot;007B6510&quot;/&gt;&lt;wsp:rsid wsp:val=&quot;007B7409&quot;/&gt;&lt;wsp:rsid wsp:val=&quot;007B7ED5&quot;/&gt;&lt;wsp:rsid wsp:val=&quot;007C04ED&quot;/&gt;&lt;wsp:rsid wsp:val=&quot;007C12BA&quot;/&gt;&lt;wsp:rsid wsp:val=&quot;007C2AFB&quot;/&gt;&lt;wsp:rsid wsp:val=&quot;007C2CCD&quot;/&gt;&lt;wsp:rsid wsp:val=&quot;007C2E01&quot;/&gt;&lt;wsp:rsid wsp:val=&quot;007C2F24&quot;/&gt;&lt;wsp:rsid wsp:val=&quot;007C303C&quot;/&gt;&lt;wsp:rsid wsp:val=&quot;007C3D46&quot;/&gt;&lt;wsp:rsid wsp:val=&quot;007C3D6B&quot;/&gt;&lt;wsp:rsid wsp:val=&quot;007C48B8&quot;/&gt;&lt;wsp:rsid wsp:val=&quot;007C5398&quot;/&gt;&lt;wsp:rsid wsp:val=&quot;007C53B7&quot;/&gt;&lt;wsp:rsid wsp:val=&quot;007C61FC&quot;/&gt;&lt;wsp:rsid wsp:val=&quot;007C64C2&quot;/&gt;&lt;wsp:rsid wsp:val=&quot;007C6B86&quot;/&gt;&lt;wsp:rsid wsp:val=&quot;007C6CC8&quot;/&gt;&lt;wsp:rsid wsp:val=&quot;007C7350&quot;/&gt;&lt;wsp:rsid wsp:val=&quot;007C76EE&quot;/&gt;&lt;wsp:rsid wsp:val=&quot;007D0294&quot;/&gt;&lt;wsp:rsid wsp:val=&quot;007D0490&quot;/&gt;&lt;wsp:rsid wsp:val=&quot;007D0F55&quot;/&gt;&lt;wsp:rsid wsp:val=&quot;007D2ADD&quot;/&gt;&lt;wsp:rsid wsp:val=&quot;007D2CAC&quot;/&gt;&lt;wsp:rsid wsp:val=&quot;007D348B&quot;/&gt;&lt;wsp:rsid wsp:val=&quot;007D3914&quot;/&gt;&lt;wsp:rsid wsp:val=&quot;007D3EFF&quot;/&gt;&lt;wsp:rsid wsp:val=&quot;007D412B&quot;/&gt;&lt;wsp:rsid wsp:val=&quot;007D502C&quot;/&gt;&lt;wsp:rsid wsp:val=&quot;007D5527&quot;/&gt;&lt;wsp:rsid wsp:val=&quot;007D5F17&quot;/&gt;&lt;wsp:rsid wsp:val=&quot;007D6FAC&quot;/&gt;&lt;wsp:rsid wsp:val=&quot;007E0391&quot;/&gt;&lt;wsp:rsid wsp:val=&quot;007E087D&quot;/&gt;&lt;wsp:rsid wsp:val=&quot;007E097B&quot;/&gt;&lt;wsp:rsid wsp:val=&quot;007E1BAF&quot;/&gt;&lt;wsp:rsid wsp:val=&quot;007E2337&quot;/&gt;&lt;wsp:rsid wsp:val=&quot;007E30A8&quot;/&gt;&lt;wsp:rsid wsp:val=&quot;007E36F1&quot;/&gt;&lt;wsp:rsid wsp:val=&quot;007E3BE2&quot;/&gt;&lt;wsp:rsid wsp:val=&quot;007E4989&quot;/&gt;&lt;wsp:rsid wsp:val=&quot;007E4F9D&quot;/&gt;&lt;wsp:rsid wsp:val=&quot;007E5215&quot;/&gt;&lt;wsp:rsid wsp:val=&quot;007E55E7&quot;/&gt;&lt;wsp:rsid wsp:val=&quot;007E7AEC&quot;/&gt;&lt;wsp:rsid wsp:val=&quot;007F29AE&quot;/&gt;&lt;wsp:rsid wsp:val=&quot;007F3053&quot;/&gt;&lt;wsp:rsid wsp:val=&quot;007F33D8&quot;/&gt;&lt;wsp:rsid wsp:val=&quot;007F444D&quot;/&gt;&lt;wsp:rsid wsp:val=&quot;007F4519&quot;/&gt;&lt;wsp:rsid wsp:val=&quot;007F4636&quot;/&gt;&lt;wsp:rsid wsp:val=&quot;007F51FE&quot;/&gt;&lt;wsp:rsid wsp:val=&quot;007F65B3&quot;/&gt;&lt;wsp:rsid wsp:val=&quot;007F6CCE&quot;/&gt;&lt;wsp:rsid wsp:val=&quot;007F79C1&quot;/&gt;&lt;wsp:rsid wsp:val=&quot;008003B9&quot;/&gt;&lt;wsp:rsid wsp:val=&quot;008004D1&quot;/&gt;&lt;wsp:rsid wsp:val=&quot;0080069D&quot;/&gt;&lt;wsp:rsid wsp:val=&quot;00801487&quot;/&gt;&lt;wsp:rsid wsp:val=&quot;00801AF6&quot;/&gt;&lt;wsp:rsid wsp:val=&quot;00802A0B&quot;/&gt;&lt;wsp:rsid wsp:val=&quot;00803F39&quot;/&gt;&lt;wsp:rsid wsp:val=&quot;008049D0&quot;/&gt;&lt;wsp:rsid wsp:val=&quot;0080633A&quot;/&gt;&lt;wsp:rsid wsp:val=&quot;00806DD8&quot;/&gt;&lt;wsp:rsid wsp:val=&quot;008071AA&quot;/&gt;&lt;wsp:rsid wsp:val=&quot;00810177&quot;/&gt;&lt;wsp:rsid wsp:val=&quot;008109BB&quot;/&gt;&lt;wsp:rsid wsp:val=&quot;00810F24&quot;/&gt;&lt;wsp:rsid wsp:val=&quot;00811E54&quot;/&gt;&lt;wsp:rsid wsp:val=&quot;00812496&quot;/&gt;&lt;wsp:rsid wsp:val=&quot;008127DD&quot;/&gt;&lt;wsp:rsid wsp:val=&quot;00812A68&quot;/&gt;&lt;wsp:rsid wsp:val=&quot;00812A69&quot;/&gt;&lt;wsp:rsid wsp:val=&quot;00812A7E&quot;/&gt;&lt;wsp:rsid wsp:val=&quot;00813473&quot;/&gt;&lt;wsp:rsid wsp:val=&quot;0081408B&quot;/&gt;&lt;wsp:rsid wsp:val=&quot;00814093&quot;/&gt;&lt;wsp:rsid wsp:val=&quot;00815C11&quot;/&gt;&lt;wsp:rsid wsp:val=&quot;00815D3F&quot;/&gt;&lt;wsp:rsid wsp:val=&quot;00816551&quot;/&gt;&lt;wsp:rsid wsp:val=&quot;008167E2&quot;/&gt;&lt;wsp:rsid wsp:val=&quot;00817A6B&quot;/&gt;&lt;wsp:rsid wsp:val=&quot;00820AC3&quot;/&gt;&lt;wsp:rsid wsp:val=&quot;00821579&quot;/&gt;&lt;wsp:rsid wsp:val=&quot;00822113&quot;/&gt;&lt;wsp:rsid wsp:val=&quot;00822AA4&quot;/&gt;&lt;wsp:rsid wsp:val=&quot;00823281&quot;/&gt;&lt;wsp:rsid wsp:val=&quot;008240CD&quot;/&gt;&lt;wsp:rsid wsp:val=&quot;008256BF&quot;/&gt;&lt;wsp:rsid wsp:val=&quot;008257A8&quot;/&gt;&lt;wsp:rsid wsp:val=&quot;00825A1E&quot;/&gt;&lt;wsp:rsid wsp:val=&quot;0082743F&quot;/&gt;&lt;wsp:rsid wsp:val=&quot;008274D0&quot;/&gt;&lt;wsp:rsid wsp:val=&quot;00827EF7&quot;/&gt;&lt;wsp:rsid wsp:val=&quot;00830BCE&quot;/&gt;&lt;wsp:rsid wsp:val=&quot;00831AF5&quot;/&gt;&lt;wsp:rsid wsp:val=&quot;00832080&quot;/&gt;&lt;wsp:rsid wsp:val=&quot;00833009&quot;/&gt;&lt;wsp:rsid wsp:val=&quot;0083373D&quot;/&gt;&lt;wsp:rsid wsp:val=&quot;0083400F&quot;/&gt;&lt;wsp:rsid wsp:val=&quot;00834C21&quot;/&gt;&lt;wsp:rsid wsp:val=&quot;00834E9D&quot;/&gt;&lt;wsp:rsid wsp:val=&quot;00835FB8&quot;/&gt;&lt;wsp:rsid wsp:val=&quot;00836440&quot;/&gt;&lt;wsp:rsid wsp:val=&quot;00836994&quot;/&gt;&lt;wsp:rsid wsp:val=&quot;00836F5E&quot;/&gt;&lt;wsp:rsid wsp:val=&quot;008372D5&quot;/&gt;&lt;wsp:rsid wsp:val=&quot;008378FF&quot;/&gt;&lt;wsp:rsid wsp:val=&quot;00837A73&quot;/&gt;&lt;wsp:rsid wsp:val=&quot;00837B45&quot;/&gt;&lt;wsp:rsid wsp:val=&quot;00837BBB&quot;/&gt;&lt;wsp:rsid wsp:val=&quot;008411D0&quot;/&gt;&lt;wsp:rsid wsp:val=&quot;008441AB&quot;/&gt;&lt;wsp:rsid wsp:val=&quot;008441C9&quot;/&gt;&lt;wsp:rsid wsp:val=&quot;008446DC&quot;/&gt;&lt;wsp:rsid wsp:val=&quot;0084591A&quot;/&gt;&lt;wsp:rsid wsp:val=&quot;00845FD9&quot;/&gt;&lt;wsp:rsid wsp:val=&quot;00846486&quot;/&gt;&lt;wsp:rsid wsp:val=&quot;00846693&quot;/&gt;&lt;wsp:rsid wsp:val=&quot;00846CD7&quot;/&gt;&lt;wsp:rsid wsp:val=&quot;008478AB&quot;/&gt;&lt;wsp:rsid wsp:val=&quot;0085169C&quot;/&gt;&lt;wsp:rsid wsp:val=&quot;00851703&quot;/&gt;&lt;wsp:rsid wsp:val=&quot;008519D4&quot;/&gt;&lt;wsp:rsid wsp:val=&quot;008533A3&quot;/&gt;&lt;wsp:rsid wsp:val=&quot;00854DE3&quot;/&gt;&lt;wsp:rsid wsp:val=&quot;00854FBD&quot;/&gt;&lt;wsp:rsid wsp:val=&quot;00855B2E&quot;/&gt;&lt;wsp:rsid wsp:val=&quot;0085607E&quot;/&gt;&lt;wsp:rsid wsp:val=&quot;00856BEE&quot;/&gt;&lt;wsp:rsid wsp:val=&quot;00856D30&quot;/&gt;&lt;wsp:rsid wsp:val=&quot;00860B8B&quot;/&gt;&lt;wsp:rsid wsp:val=&quot;00863041&quot;/&gt;&lt;wsp:rsid wsp:val=&quot;0086326E&quot;/&gt;&lt;wsp:rsid wsp:val=&quot;008634A0&quot;/&gt;&lt;wsp:rsid wsp:val=&quot;00864AE9&quot;/&gt;&lt;wsp:rsid wsp:val=&quot;00864CBB&quot;/&gt;&lt;wsp:rsid wsp:val=&quot;00864D0C&quot;/&gt;&lt;wsp:rsid wsp:val=&quot;008660E2&quot;/&gt;&lt;wsp:rsid wsp:val=&quot;00866F1F&quot;/&gt;&lt;wsp:rsid wsp:val=&quot;0086787B&quot;/&gt;&lt;wsp:rsid wsp:val=&quot;008701BC&quot;/&gt;&lt;wsp:rsid wsp:val=&quot;0087057D&quot;/&gt;&lt;wsp:rsid wsp:val=&quot;008712B5&quot;/&gt;&lt;wsp:rsid wsp:val=&quot;00871897&quot;/&gt;&lt;wsp:rsid wsp:val=&quot;008744E5&quot;/&gt;&lt;wsp:rsid wsp:val=&quot;00874964&quot;/&gt;&lt;wsp:rsid wsp:val=&quot;008755DE&quot;/&gt;&lt;wsp:rsid wsp:val=&quot;008759BE&quot;/&gt;&lt;wsp:rsid wsp:val=&quot;00875FD7&quot;/&gt;&lt;wsp:rsid wsp:val=&quot;008775C4&quot;/&gt;&lt;wsp:rsid wsp:val=&quot;00877FEC&quot;/&gt;&lt;wsp:rsid wsp:val=&quot;0088074E&quot;/&gt;&lt;wsp:rsid wsp:val=&quot;00880AB0&quot;/&gt;&lt;wsp:rsid wsp:val=&quot;008821BF&quot;/&gt;&lt;wsp:rsid wsp:val=&quot;008823C3&quot;/&gt;&lt;wsp:rsid wsp:val=&quot;00882951&quot;/&gt;&lt;wsp:rsid wsp:val=&quot;00883DD7&quot;/&gt;&lt;wsp:rsid wsp:val=&quot;008847BD&quot;/&gt;&lt;wsp:rsid wsp:val=&quot;00885415&quot;/&gt;&lt;wsp:rsid wsp:val=&quot;00886CFA&quot;/&gt;&lt;wsp:rsid wsp:val=&quot;00886E85&quot;/&gt;&lt;wsp:rsid wsp:val=&quot;0088771A&quot;/&gt;&lt;wsp:rsid wsp:val=&quot;0088779D&quot;/&gt;&lt;wsp:rsid wsp:val=&quot;008904AE&quot;/&gt;&lt;wsp:rsid wsp:val=&quot;008938F3&quot;/&gt;&lt;wsp:rsid wsp:val=&quot;008941D0&quot;/&gt;&lt;wsp:rsid wsp:val=&quot;0089716F&quot;/&gt;&lt;wsp:rsid wsp:val=&quot;00897FC8&quot;/&gt;&lt;wsp:rsid wsp:val=&quot;008A05CE&quot;/&gt;&lt;wsp:rsid wsp:val=&quot;008A067E&quot;/&gt;&lt;wsp:rsid wsp:val=&quot;008A095C&quot;/&gt;&lt;wsp:rsid wsp:val=&quot;008A1230&quot;/&gt;&lt;wsp:rsid wsp:val=&quot;008A161C&quot;/&gt;&lt;wsp:rsid wsp:val=&quot;008A1AD4&quot;/&gt;&lt;wsp:rsid wsp:val=&quot;008A26BA&quot;/&gt;&lt;wsp:rsid wsp:val=&quot;008A39EF&quot;/&gt;&lt;wsp:rsid wsp:val=&quot;008A3A2E&quot;/&gt;&lt;wsp:rsid wsp:val=&quot;008A3EA8&quot;/&gt;&lt;wsp:rsid wsp:val=&quot;008A413C&quot;/&gt;&lt;wsp:rsid wsp:val=&quot;008A451C&quot;/&gt;&lt;wsp:rsid wsp:val=&quot;008A4802&quot;/&gt;&lt;wsp:rsid wsp:val=&quot;008A4A95&quot;/&gt;&lt;wsp:rsid wsp:val=&quot;008A4B16&quot;/&gt;&lt;wsp:rsid wsp:val=&quot;008A4B30&quot;/&gt;&lt;wsp:rsid wsp:val=&quot;008A598B&quot;/&gt;&lt;wsp:rsid wsp:val=&quot;008A65E1&quot;/&gt;&lt;wsp:rsid wsp:val=&quot;008A6BD6&quot;/&gt;&lt;wsp:rsid wsp:val=&quot;008A7C36&quot;/&gt;&lt;wsp:rsid wsp:val=&quot;008B0390&quot;/&gt;&lt;wsp:rsid wsp:val=&quot;008B04ED&quot;/&gt;&lt;wsp:rsid wsp:val=&quot;008B115A&quot;/&gt;&lt;wsp:rsid wsp:val=&quot;008B1CF1&quot;/&gt;&lt;wsp:rsid wsp:val=&quot;008B255F&quot;/&gt;&lt;wsp:rsid wsp:val=&quot;008B29B4&quot;/&gt;&lt;wsp:rsid wsp:val=&quot;008B3B19&quot;/&gt;&lt;wsp:rsid wsp:val=&quot;008B4073&quot;/&gt;&lt;wsp:rsid wsp:val=&quot;008B47C7&quot;/&gt;&lt;wsp:rsid wsp:val=&quot;008B49B3&quot;/&gt;&lt;wsp:rsid wsp:val=&quot;008B6C65&quot;/&gt;&lt;wsp:rsid wsp:val=&quot;008B6F44&quot;/&gt;&lt;wsp:rsid wsp:val=&quot;008C0051&quot;/&gt;&lt;wsp:rsid wsp:val=&quot;008C01A1&quot;/&gt;&lt;wsp:rsid wsp:val=&quot;008C0BC1&quot;/&gt;&lt;wsp:rsid wsp:val=&quot;008C169D&quot;/&gt;&lt;wsp:rsid wsp:val=&quot;008C2D2B&quot;/&gt;&lt;wsp:rsid wsp:val=&quot;008C2EBA&quot;/&gt;&lt;wsp:rsid wsp:val=&quot;008C3488&quot;/&gt;&lt;wsp:rsid wsp:val=&quot;008C370C&quot;/&gt;&lt;wsp:rsid wsp:val=&quot;008C46DA&quot;/&gt;&lt;wsp:rsid wsp:val=&quot;008C49B3&quot;/&gt;&lt;wsp:rsid wsp:val=&quot;008C4CEB&quot;/&gt;&lt;wsp:rsid wsp:val=&quot;008C5B7A&quot;/&gt;&lt;wsp:rsid wsp:val=&quot;008C5FEE&quot;/&gt;&lt;wsp:rsid wsp:val=&quot;008C7566&quot;/&gt;&lt;wsp:rsid wsp:val=&quot;008D150B&quot;/&gt;&lt;wsp:rsid wsp:val=&quot;008D172C&quot;/&gt;&lt;wsp:rsid wsp:val=&quot;008D2EC7&quot;/&gt;&lt;wsp:rsid wsp:val=&quot;008D2F23&quot;/&gt;&lt;wsp:rsid wsp:val=&quot;008D3106&quot;/&gt;&lt;wsp:rsid wsp:val=&quot;008D36B0&quot;/&gt;&lt;wsp:rsid wsp:val=&quot;008D3DD9&quot;/&gt;&lt;wsp:rsid wsp:val=&quot;008D3F23&quot;/&gt;&lt;wsp:rsid wsp:val=&quot;008D459E&quot;/&gt;&lt;wsp:rsid wsp:val=&quot;008D4654&quot;/&gt;&lt;wsp:rsid wsp:val=&quot;008D4851&quot;/&gt;&lt;wsp:rsid wsp:val=&quot;008D4F68&quot;/&gt;&lt;wsp:rsid wsp:val=&quot;008D686F&quot;/&gt;&lt;wsp:rsid wsp:val=&quot;008D6B6E&quot;/&gt;&lt;wsp:rsid wsp:val=&quot;008D6F20&quot;/&gt;&lt;wsp:rsid wsp:val=&quot;008D7727&quot;/&gt;&lt;wsp:rsid wsp:val=&quot;008E0385&quot;/&gt;&lt;wsp:rsid wsp:val=&quot;008E08EE&quot;/&gt;&lt;wsp:rsid wsp:val=&quot;008E23F0&quot;/&gt;&lt;wsp:rsid wsp:val=&quot;008E3651&quot;/&gt;&lt;wsp:rsid wsp:val=&quot;008E3BDA&quot;/&gt;&lt;wsp:rsid wsp:val=&quot;008E462C&quot;/&gt;&lt;wsp:rsid wsp:val=&quot;008E5FF7&quot;/&gt;&lt;wsp:rsid wsp:val=&quot;008E62B9&quot;/&gt;&lt;wsp:rsid wsp:val=&quot;008E6389&quot;/&gt;&lt;wsp:rsid wsp:val=&quot;008E78D2&quot;/&gt;&lt;wsp:rsid wsp:val=&quot;008E7949&quot;/&gt;&lt;wsp:rsid wsp:val=&quot;008F065F&quot;/&gt;&lt;wsp:rsid wsp:val=&quot;008F184F&quot;/&gt;&lt;wsp:rsid wsp:val=&quot;008F1EA1&quot;/&gt;&lt;wsp:rsid wsp:val=&quot;008F26B2&quot;/&gt;&lt;wsp:rsid wsp:val=&quot;008F28A2&quot;/&gt;&lt;wsp:rsid wsp:val=&quot;008F37E2&quot;/&gt;&lt;wsp:rsid wsp:val=&quot;008F3AC2&quot;/&gt;&lt;wsp:rsid wsp:val=&quot;008F435E&quot;/&gt;&lt;wsp:rsid wsp:val=&quot;008F4B29&quot;/&gt;&lt;wsp:rsid wsp:val=&quot;008F59C8&quot;/&gt;&lt;wsp:rsid wsp:val=&quot;008F73F8&quot;/&gt;&lt;wsp:rsid wsp:val=&quot;008F759A&quot;/&gt;&lt;wsp:rsid wsp:val=&quot;00900BDD&quot;/&gt;&lt;wsp:rsid wsp:val=&quot;00900F3A&quot;/&gt;&lt;wsp:rsid wsp:val=&quot;00901B4B&quot;/&gt;&lt;wsp:rsid wsp:val=&quot;00901BE6&quot;/&gt;&lt;wsp:rsid wsp:val=&quot;00901FDD&quot;/&gt;&lt;wsp:rsid wsp:val=&quot;00903168&quot;/&gt;&lt;wsp:rsid wsp:val=&quot;00903624&quot;/&gt;&lt;wsp:rsid wsp:val=&quot;0090480E&quot;/&gt;&lt;wsp:rsid wsp:val=&quot;00905234&quot;/&gt;&lt;wsp:rsid wsp:val=&quot;009056EA&quot;/&gt;&lt;wsp:rsid wsp:val=&quot;009059ED&quot;/&gt;&lt;wsp:rsid wsp:val=&quot;00905B68&quot;/&gt;&lt;wsp:rsid wsp:val=&quot;0090602D&quot;/&gt;&lt;wsp:rsid wsp:val=&quot;00906818&quot;/&gt;&lt;wsp:rsid wsp:val=&quot;009069EE&quot;/&gt;&lt;wsp:rsid wsp:val=&quot;00910F8F&quot;/&gt;&lt;wsp:rsid wsp:val=&quot;0091276A&quot;/&gt;&lt;wsp:rsid wsp:val=&quot;009132CC&quot;/&gt;&lt;wsp:rsid wsp:val=&quot;00913B48&quot;/&gt;&lt;wsp:rsid wsp:val=&quot;00914A2F&quot;/&gt;&lt;wsp:rsid wsp:val=&quot;009151A9&quot;/&gt;&lt;wsp:rsid wsp:val=&quot;00915AAB&quot;/&gt;&lt;wsp:rsid wsp:val=&quot;009166A4&quot;/&gt;&lt;wsp:rsid wsp:val=&quot;00916C37&quot;/&gt;&lt;wsp:rsid wsp:val=&quot;00916D41&quot;/&gt;&lt;wsp:rsid wsp:val=&quot;00917D32&quot;/&gt;&lt;wsp:rsid wsp:val=&quot;00921B68&quot;/&gt;&lt;wsp:rsid wsp:val=&quot;00922118&quot;/&gt;&lt;wsp:rsid wsp:val=&quot;00924415&quot;/&gt;&lt;wsp:rsid wsp:val=&quot;00924DFE&quot;/&gt;&lt;wsp:rsid wsp:val=&quot;009250D5&quot;/&gt;&lt;wsp:rsid wsp:val=&quot;00926A1B&quot;/&gt;&lt;wsp:rsid wsp:val=&quot;00926BC2&quot;/&gt;&lt;wsp:rsid wsp:val=&quot;00930541&quot;/&gt;&lt;wsp:rsid wsp:val=&quot;00930CF4&quot;/&gt;&lt;wsp:rsid wsp:val=&quot;00931168&quot;/&gt;&lt;wsp:rsid wsp:val=&quot;00931411&quot;/&gt;&lt;wsp:rsid wsp:val=&quot;00931998&quot;/&gt;&lt;wsp:rsid wsp:val=&quot;00934492&quot;/&gt;&lt;wsp:rsid wsp:val=&quot;009344F7&quot;/&gt;&lt;wsp:rsid wsp:val=&quot;00935FD0&quot;/&gt;&lt;wsp:rsid wsp:val=&quot;00936E8D&quot;/&gt;&lt;wsp:rsid wsp:val=&quot;00937F75&quot;/&gt;&lt;wsp:rsid wsp:val=&quot;009408EA&quot;/&gt;&lt;wsp:rsid wsp:val=&quot;00940A6C&quot;/&gt;&lt;wsp:rsid wsp:val=&quot;00940ADD&quot;/&gt;&lt;wsp:rsid wsp:val=&quot;00940AF8&quot;/&gt;&lt;wsp:rsid wsp:val=&quot;00944384&quot;/&gt;&lt;wsp:rsid wsp:val=&quot;0094560A&quot;/&gt;&lt;wsp:rsid wsp:val=&quot;00945EFB&quot;/&gt;&lt;wsp:rsid wsp:val=&quot;0094625C&quot;/&gt;&lt;wsp:rsid wsp:val=&quot;00946DBD&quot;/&gt;&lt;wsp:rsid wsp:val=&quot;00946FE4&quot;/&gt;&lt;wsp:rsid wsp:val=&quot;00946FF9&quot;/&gt;&lt;wsp:rsid wsp:val=&quot;00947BD9&quot;/&gt;&lt;wsp:rsid wsp:val=&quot;00950082&quot;/&gt;&lt;wsp:rsid wsp:val=&quot;00950473&quot;/&gt;&lt;wsp:rsid wsp:val=&quot;009504BF&quot;/&gt;&lt;wsp:rsid wsp:val=&quot;00952275&quot;/&gt;&lt;wsp:rsid wsp:val=&quot;00952ED5&quot;/&gt;&lt;wsp:rsid wsp:val=&quot;009534DE&quot;/&gt;&lt;wsp:rsid wsp:val=&quot;00953AED&quot;/&gt;&lt;wsp:rsid wsp:val=&quot;009549B0&quot;/&gt;&lt;wsp:rsid wsp:val=&quot;00955F5D&quot;/&gt;&lt;wsp:rsid wsp:val=&quot;00956609&quot;/&gt;&lt;wsp:rsid wsp:val=&quot;00956B82&quot;/&gt;&lt;wsp:rsid wsp:val=&quot;009606BE&quot;/&gt;&lt;wsp:rsid wsp:val=&quot;009609F2&quot;/&gt;&lt;wsp:rsid wsp:val=&quot;00960D2F&quot;/&gt;&lt;wsp:rsid wsp:val=&quot;00962874&quot;/&gt;&lt;wsp:rsid wsp:val=&quot;00963897&quot;/&gt;&lt;wsp:rsid wsp:val=&quot;00964334&quot;/&gt;&lt;wsp:rsid wsp:val=&quot;00964863&quot;/&gt;&lt;wsp:rsid wsp:val=&quot;009649A0&quot;/&gt;&lt;wsp:rsid wsp:val=&quot;0096582F&quot;/&gt;&lt;wsp:rsid wsp:val=&quot;00965A0E&quot;/&gt;&lt;wsp:rsid wsp:val=&quot;00965E5B&quot;/&gt;&lt;wsp:rsid wsp:val=&quot;00966EB6&quot;/&gt;&lt;wsp:rsid wsp:val=&quot;009711C3&quot;/&gt;&lt;wsp:rsid wsp:val=&quot;0097129D&quot;/&gt;&lt;wsp:rsid wsp:val=&quot;00971E42&quot;/&gt;&lt;wsp:rsid wsp:val=&quot;00972328&quot;/&gt;&lt;wsp:rsid wsp:val=&quot;0097299B&quot;/&gt;&lt;wsp:rsid wsp:val=&quot;00973701&quot;/&gt;&lt;wsp:rsid wsp:val=&quot;00973F74&quot;/&gt;&lt;wsp:rsid wsp:val=&quot;00974A67&quot;/&gt;&lt;wsp:rsid wsp:val=&quot;00974B40&quot;/&gt;&lt;wsp:rsid wsp:val=&quot;0097685E&quot;/&gt;&lt;wsp:rsid wsp:val=&quot;0097693F&quot;/&gt;&lt;wsp:rsid wsp:val=&quot;00980BAE&quot;/&gt;&lt;wsp:rsid wsp:val=&quot;00980EE1&quot;/&gt;&lt;wsp:rsid wsp:val=&quot;009819A6&quot;/&gt;&lt;wsp:rsid wsp:val=&quot;00983D60&quot;/&gt;&lt;wsp:rsid wsp:val=&quot;00984698&quot;/&gt;&lt;wsp:rsid wsp:val=&quot;009849C8&quot;/&gt;&lt;wsp:rsid wsp:val=&quot;00984D7F&quot;/&gt;&lt;wsp:rsid wsp:val=&quot;00985680&quot;/&gt;&lt;wsp:rsid wsp:val=&quot;009860A7&quot;/&gt;&lt;wsp:rsid wsp:val=&quot;0098645E&quot;/&gt;&lt;wsp:rsid wsp:val=&quot;00990FCD&quot;/&gt;&lt;wsp:rsid wsp:val=&quot;009918A9&quot;/&gt;&lt;wsp:rsid wsp:val=&quot;00991BDA&quot;/&gt;&lt;wsp:rsid wsp:val=&quot;00993545&quot;/&gt;&lt;wsp:rsid wsp:val=&quot;009950D9&quot;/&gt;&lt;wsp:rsid wsp:val=&quot;00996A49&quot;/&gt;&lt;wsp:rsid wsp:val=&quot;009A0F59&quot;/&gt;&lt;wsp:rsid wsp:val=&quot;009A166A&quot;/&gt;&lt;wsp:rsid wsp:val=&quot;009A17CE&quot;/&gt;&lt;wsp:rsid wsp:val=&quot;009A2C51&quot;/&gt;&lt;wsp:rsid wsp:val=&quot;009A409D&quot;/&gt;&lt;wsp:rsid wsp:val=&quot;009A427F&quot;/&gt;&lt;wsp:rsid wsp:val=&quot;009A459E&quot;/&gt;&lt;wsp:rsid wsp:val=&quot;009A4ECD&quot;/&gt;&lt;wsp:rsid wsp:val=&quot;009A56A7&quot;/&gt;&lt;wsp:rsid wsp:val=&quot;009A5874&quot;/&gt;&lt;wsp:rsid wsp:val=&quot;009A734C&quot;/&gt;&lt;wsp:rsid wsp:val=&quot;009A7964&quot;/&gt;&lt;wsp:rsid wsp:val=&quot;009A7F95&quot;/&gt;&lt;wsp:rsid wsp:val=&quot;009B03E4&quot;/&gt;&lt;wsp:rsid wsp:val=&quot;009B0820&quot;/&gt;&lt;wsp:rsid wsp:val=&quot;009B11D7&quot;/&gt;&lt;wsp:rsid wsp:val=&quot;009B1952&quot;/&gt;&lt;wsp:rsid wsp:val=&quot;009B1FA7&quot;/&gt;&lt;wsp:rsid wsp:val=&quot;009B2F4A&quot;/&gt;&lt;wsp:rsid wsp:val=&quot;009B35F4&quot;/&gt;&lt;wsp:rsid wsp:val=&quot;009B4D96&quot;/&gt;&lt;wsp:rsid wsp:val=&quot;009B6133&quot;/&gt;&lt;wsp:rsid wsp:val=&quot;009B643E&quot;/&gt;&lt;wsp:rsid wsp:val=&quot;009B724A&quot;/&gt;&lt;wsp:rsid wsp:val=&quot;009C02A7&quot;/&gt;&lt;wsp:rsid wsp:val=&quot;009C044D&quot;/&gt;&lt;wsp:rsid wsp:val=&quot;009C086A&quot;/&gt;&lt;wsp:rsid wsp:val=&quot;009C2016&quot;/&gt;&lt;wsp:rsid wsp:val=&quot;009C21EC&quot;/&gt;&lt;wsp:rsid wsp:val=&quot;009C3190&quot;/&gt;&lt;wsp:rsid wsp:val=&quot;009C328D&quot;/&gt;&lt;wsp:rsid wsp:val=&quot;009C3E22&quot;/&gt;&lt;wsp:rsid wsp:val=&quot;009C50CB&quot;/&gt;&lt;wsp:rsid wsp:val=&quot;009C5348&quot;/&gt;&lt;wsp:rsid wsp:val=&quot;009C6D39&quot;/&gt;&lt;wsp:rsid wsp:val=&quot;009C6F27&quot;/&gt;&lt;wsp:rsid wsp:val=&quot;009C7ACD&quot;/&gt;&lt;wsp:rsid wsp:val=&quot;009D1962&quot;/&gt;&lt;wsp:rsid wsp:val=&quot;009D20A1&quot;/&gt;&lt;wsp:rsid wsp:val=&quot;009D2297&quot;/&gt;&lt;wsp:rsid wsp:val=&quot;009D2B0E&quot;/&gt;&lt;wsp:rsid wsp:val=&quot;009D2F26&quot;/&gt;&lt;wsp:rsid wsp:val=&quot;009D31F3&quot;/&gt;&lt;wsp:rsid wsp:val=&quot;009D3B4F&quot;/&gt;&lt;wsp:rsid wsp:val=&quot;009D48A0&quot;/&gt;&lt;wsp:rsid wsp:val=&quot;009D4AC2&quot;/&gt;&lt;wsp:rsid wsp:val=&quot;009D6377&quot;/&gt;&lt;wsp:rsid wsp:val=&quot;009D69D0&quot;/&gt;&lt;wsp:rsid wsp:val=&quot;009D72C5&quot;/&gt;&lt;wsp:rsid wsp:val=&quot;009E1291&quot;/&gt;&lt;wsp:rsid wsp:val=&quot;009E1AC8&quot;/&gt;&lt;wsp:rsid wsp:val=&quot;009E1F2D&quot;/&gt;&lt;wsp:rsid wsp:val=&quot;009E2AD8&quot;/&gt;&lt;wsp:rsid wsp:val=&quot;009E3BAB&quot;/&gt;&lt;wsp:rsid wsp:val=&quot;009E40C4&quot;/&gt;&lt;wsp:rsid wsp:val=&quot;009E45FD&quot;/&gt;&lt;wsp:rsid wsp:val=&quot;009E486A&quot;/&gt;&lt;wsp:rsid wsp:val=&quot;009E6321&quot;/&gt;&lt;wsp:rsid wsp:val=&quot;009E6884&quot;/&gt;&lt;wsp:rsid wsp:val=&quot;009E689A&quot;/&gt;&lt;wsp:rsid wsp:val=&quot;009E68DA&quot;/&gt;&lt;wsp:rsid wsp:val=&quot;009E6EA8&quot;/&gt;&lt;wsp:rsid wsp:val=&quot;009E6EF9&quot;/&gt;&lt;wsp:rsid wsp:val=&quot;009E7921&quot;/&gt;&lt;wsp:rsid wsp:val=&quot;009F0676&quot;/&gt;&lt;wsp:rsid wsp:val=&quot;009F0B64&quot;/&gt;&lt;wsp:rsid wsp:val=&quot;009F0BB7&quot;/&gt;&lt;wsp:rsid wsp:val=&quot;009F112E&quot;/&gt;&lt;wsp:rsid wsp:val=&quot;009F1DC3&quot;/&gt;&lt;wsp:rsid wsp:val=&quot;009F2039&quot;/&gt;&lt;wsp:rsid wsp:val=&quot;009F4CFC&quot;/&gt;&lt;wsp:rsid wsp:val=&quot;009F4EF0&quot;/&gt;&lt;wsp:rsid wsp:val=&quot;009F55E0&quot;/&gt;&lt;wsp:rsid wsp:val=&quot;009F6E3C&quot;/&gt;&lt;wsp:rsid wsp:val=&quot;009F7008&quot;/&gt;&lt;wsp:rsid wsp:val=&quot;009F79C7&quot;/&gt;&lt;wsp:rsid wsp:val=&quot;009F7D47&quot;/&gt;&lt;wsp:rsid wsp:val=&quot;00A022FF&quot;/&gt;&lt;wsp:rsid wsp:val=&quot;00A023BC&quot;/&gt;&lt;wsp:rsid wsp:val=&quot;00A0258B&quot;/&gt;&lt;wsp:rsid wsp:val=&quot;00A054D6&quot;/&gt;&lt;wsp:rsid wsp:val=&quot;00A05D39&quot;/&gt;&lt;wsp:rsid wsp:val=&quot;00A0604B&quot;/&gt;&lt;wsp:rsid wsp:val=&quot;00A061C7&quot;/&gt;&lt;wsp:rsid wsp:val=&quot;00A06F5C&quot;/&gt;&lt;wsp:rsid wsp:val=&quot;00A077BB&quot;/&gt;&lt;wsp:rsid wsp:val=&quot;00A07917&quot;/&gt;&lt;wsp:rsid wsp:val=&quot;00A07CFC&quot;/&gt;&lt;wsp:rsid wsp:val=&quot;00A10533&quot;/&gt;&lt;wsp:rsid wsp:val=&quot;00A10DE8&quot;/&gt;&lt;wsp:rsid wsp:val=&quot;00A11573&quot;/&gt;&lt;wsp:rsid wsp:val=&quot;00A12F5C&quot;/&gt;&lt;wsp:rsid wsp:val=&quot;00A134EE&quot;/&gt;&lt;wsp:rsid wsp:val=&quot;00A13A68&quot;/&gt;&lt;wsp:rsid wsp:val=&quot;00A13B6E&quot;/&gt;&lt;wsp:rsid wsp:val=&quot;00A14381&quot;/&gt;&lt;wsp:rsid wsp:val=&quot;00A1446D&quot;/&gt;&lt;wsp:rsid wsp:val=&quot;00A161FA&quot;/&gt;&lt;wsp:rsid wsp:val=&quot;00A16476&quot;/&gt;&lt;wsp:rsid wsp:val=&quot;00A168A9&quot;/&gt;&lt;wsp:rsid wsp:val=&quot;00A16FA0&quot;/&gt;&lt;wsp:rsid wsp:val=&quot;00A17087&quot;/&gt;&lt;wsp:rsid wsp:val=&quot;00A17741&quot;/&gt;&lt;wsp:rsid wsp:val=&quot;00A1776B&quot;/&gt;&lt;wsp:rsid wsp:val=&quot;00A21843&quot;/&gt;&lt;wsp:rsid wsp:val=&quot;00A23858&quot;/&gt;&lt;wsp:rsid wsp:val=&quot;00A243EE&quot;/&gt;&lt;wsp:rsid wsp:val=&quot;00A24838&quot;/&gt;&lt;wsp:rsid wsp:val=&quot;00A24D17&quot;/&gt;&lt;wsp:rsid wsp:val=&quot;00A272BA&quot;/&gt;&lt;wsp:rsid wsp:val=&quot;00A27C16&quot;/&gt;&lt;wsp:rsid wsp:val=&quot;00A3060E&quot;/&gt;&lt;wsp:rsid wsp:val=&quot;00A30853&quot;/&gt;&lt;wsp:rsid wsp:val=&quot;00A31400&quot;/&gt;&lt;wsp:rsid wsp:val=&quot;00A31507&quot;/&gt;&lt;wsp:rsid wsp:val=&quot;00A3170F&quot;/&gt;&lt;wsp:rsid wsp:val=&quot;00A323C2&quot;/&gt;&lt;wsp:rsid wsp:val=&quot;00A33437&quot;/&gt;&lt;wsp:rsid wsp:val=&quot;00A33735&quot;/&gt;&lt;wsp:rsid wsp:val=&quot;00A36048&quot;/&gt;&lt;wsp:rsid wsp:val=&quot;00A36939&quot;/&gt;&lt;wsp:rsid wsp:val=&quot;00A36BF0&quot;/&gt;&lt;wsp:rsid wsp:val=&quot;00A37690&quot;/&gt;&lt;wsp:rsid wsp:val=&quot;00A37789&quot;/&gt;&lt;wsp:rsid wsp:val=&quot;00A37826&quot;/&gt;&lt;wsp:rsid wsp:val=&quot;00A401B4&quot;/&gt;&lt;wsp:rsid wsp:val=&quot;00A40665&quot;/&gt;&lt;wsp:rsid wsp:val=&quot;00A40686&quot;/&gt;&lt;wsp:rsid wsp:val=&quot;00A41241&quot;/&gt;&lt;wsp:rsid wsp:val=&quot;00A42BE9&quot;/&gt;&lt;wsp:rsid wsp:val=&quot;00A42C5E&quot;/&gt;&lt;wsp:rsid wsp:val=&quot;00A456D4&quot;/&gt;&lt;wsp:rsid wsp:val=&quot;00A457E7&quot;/&gt;&lt;wsp:rsid wsp:val=&quot;00A45AC9&quot;/&gt;&lt;wsp:rsid wsp:val=&quot;00A4768D&quot;/&gt;&lt;wsp:rsid wsp:val=&quot;00A47C2F&quot;/&gt;&lt;wsp:rsid wsp:val=&quot;00A47E0D&quot;/&gt;&lt;wsp:rsid wsp:val=&quot;00A51022&quot;/&gt;&lt;wsp:rsid wsp:val=&quot;00A5195F&quot;/&gt;&lt;wsp:rsid wsp:val=&quot;00A51C8C&quot;/&gt;&lt;wsp:rsid wsp:val=&quot;00A5274D&quot;/&gt;&lt;wsp:rsid wsp:val=&quot;00A52CE0&quot;/&gt;&lt;wsp:rsid wsp:val=&quot;00A52D24&quot;/&gt;&lt;wsp:rsid wsp:val=&quot;00A53A46&quot;/&gt;&lt;wsp:rsid wsp:val=&quot;00A54451&quot;/&gt;&lt;wsp:rsid wsp:val=&quot;00A605AB&quot;/&gt;&lt;wsp:rsid wsp:val=&quot;00A60703&quot;/&gt;&lt;wsp:rsid wsp:val=&quot;00A60C00&quot;/&gt;&lt;wsp:rsid wsp:val=&quot;00A618B6&quot;/&gt;&lt;wsp:rsid wsp:val=&quot;00A6280C&quot;/&gt;&lt;wsp:rsid wsp:val=&quot;00A62CFC&quot;/&gt;&lt;wsp:rsid wsp:val=&quot;00A62D1D&quot;/&gt;&lt;wsp:rsid wsp:val=&quot;00A62F21&quot;/&gt;&lt;wsp:rsid wsp:val=&quot;00A63060&quot;/&gt;&lt;wsp:rsid wsp:val=&quot;00A6342A&quot;/&gt;&lt;wsp:rsid wsp:val=&quot;00A63A15&quot;/&gt;&lt;wsp:rsid wsp:val=&quot;00A63D4C&quot;/&gt;&lt;wsp:rsid wsp:val=&quot;00A64825&quot;/&gt;&lt;wsp:rsid wsp:val=&quot;00A64DE2&quot;/&gt;&lt;wsp:rsid wsp:val=&quot;00A65CA3&quot;/&gt;&lt;wsp:rsid wsp:val=&quot;00A66499&quot;/&gt;&lt;wsp:rsid wsp:val=&quot;00A667C2&quot;/&gt;&lt;wsp:rsid wsp:val=&quot;00A72C67&quot;/&gt;&lt;wsp:rsid wsp:val=&quot;00A731EB&quot;/&gt;&lt;wsp:rsid wsp:val=&quot;00A73E9B&quot;/&gt;&lt;wsp:rsid wsp:val=&quot;00A73F05&quot;/&gt;&lt;wsp:rsid wsp:val=&quot;00A7465B&quot;/&gt;&lt;wsp:rsid wsp:val=&quot;00A74984&quot;/&gt;&lt;wsp:rsid wsp:val=&quot;00A74A17&quot;/&gt;&lt;wsp:rsid wsp:val=&quot;00A75CE7&quot;/&gt;&lt;wsp:rsid wsp:val=&quot;00A76718&quot;/&gt;&lt;wsp:rsid wsp:val=&quot;00A76D92&quot;/&gt;&lt;wsp:rsid wsp:val=&quot;00A77808&quot;/&gt;&lt;wsp:rsid wsp:val=&quot;00A80064&quot;/&gt;&lt;wsp:rsid wsp:val=&quot;00A8070F&quot;/&gt;&lt;wsp:rsid wsp:val=&quot;00A80D28&quot;/&gt;&lt;wsp:rsid wsp:val=&quot;00A80F15&quot;/&gt;&lt;wsp:rsid wsp:val=&quot;00A81398&quot;/&gt;&lt;wsp:rsid wsp:val=&quot;00A82BDB&quot;/&gt;&lt;wsp:rsid wsp:val=&quot;00A83363&quot;/&gt;&lt;wsp:rsid wsp:val=&quot;00A84976&quot;/&gt;&lt;wsp:rsid wsp:val=&quot;00A85057&quot;/&gt;&lt;wsp:rsid wsp:val=&quot;00A85792&quot;/&gt;&lt;wsp:rsid wsp:val=&quot;00A86C31&quot;/&gt;&lt;wsp:rsid wsp:val=&quot;00A86D8B&quot;/&gt;&lt;wsp:rsid wsp:val=&quot;00A87151&quot;/&gt;&lt;wsp:rsid wsp:val=&quot;00A90198&quot;/&gt;&lt;wsp:rsid wsp:val=&quot;00A90215&quot;/&gt;&lt;wsp:rsid wsp:val=&quot;00A90F4B&quot;/&gt;&lt;wsp:rsid wsp:val=&quot;00A918E4&quot;/&gt;&lt;wsp:rsid wsp:val=&quot;00A919C9&quot;/&gt;&lt;wsp:rsid wsp:val=&quot;00A91A2B&quot;/&gt;&lt;wsp:rsid wsp:val=&quot;00A91A84&quot;/&gt;&lt;wsp:rsid wsp:val=&quot;00A91BC0&quot;/&gt;&lt;wsp:rsid wsp:val=&quot;00A91CDF&quot;/&gt;&lt;wsp:rsid wsp:val=&quot;00A91E3C&quot;/&gt;&lt;wsp:rsid wsp:val=&quot;00A9206E&quot;/&gt;&lt;wsp:rsid wsp:val=&quot;00A94950&quot;/&gt;&lt;wsp:rsid wsp:val=&quot;00A94DEC&quot;/&gt;&lt;wsp:rsid wsp:val=&quot;00A95043&quot;/&gt;&lt;wsp:rsid wsp:val=&quot;00A954EE&quot;/&gt;&lt;wsp:rsid wsp:val=&quot;00A95778&quot;/&gt;&lt;wsp:rsid wsp:val=&quot;00A96831&quot;/&gt;&lt;wsp:rsid wsp:val=&quot;00A96E6B&quot;/&gt;&lt;wsp:rsid wsp:val=&quot;00A97073&quot;/&gt;&lt;wsp:rsid wsp:val=&quot;00A97831&quot;/&gt;&lt;wsp:rsid wsp:val=&quot;00AA01F7&quot;/&gt;&lt;wsp:rsid wsp:val=&quot;00AA2420&quot;/&gt;&lt;wsp:rsid wsp:val=&quot;00AA3222&quot;/&gt;&lt;wsp:rsid wsp:val=&quot;00AA34E5&quot;/&gt;&lt;wsp:rsid wsp:val=&quot;00AA3A38&quot;/&gt;&lt;wsp:rsid wsp:val=&quot;00AA3B4B&quot;/&gt;&lt;wsp:rsid wsp:val=&quot;00AA4734&quot;/&gt;&lt;wsp:rsid wsp:val=&quot;00AA4F01&quot;/&gt;&lt;wsp:rsid wsp:val=&quot;00AA50ED&quot;/&gt;&lt;wsp:rsid wsp:val=&quot;00AA5642&quot;/&gt;&lt;wsp:rsid wsp:val=&quot;00AA6341&quot;/&gt;&lt;wsp:rsid wsp:val=&quot;00AA6948&quot;/&gt;&lt;wsp:rsid wsp:val=&quot;00AA6CA9&quot;/&gt;&lt;wsp:rsid wsp:val=&quot;00AA6E3C&quot;/&gt;&lt;wsp:rsid wsp:val=&quot;00AB06DF&quot;/&gt;&lt;wsp:rsid wsp:val=&quot;00AB0F91&quot;/&gt;&lt;wsp:rsid wsp:val=&quot;00AB201A&quot;/&gt;&lt;wsp:rsid wsp:val=&quot;00AB2F43&quot;/&gt;&lt;wsp:rsid wsp:val=&quot;00AB315C&quot;/&gt;&lt;wsp:rsid wsp:val=&quot;00AB4907&quot;/&gt;&lt;wsp:rsid wsp:val=&quot;00AB499A&quot;/&gt;&lt;wsp:rsid wsp:val=&quot;00AB543D&quot;/&gt;&lt;wsp:rsid wsp:val=&quot;00AB7B6B&quot;/&gt;&lt;wsp:rsid wsp:val=&quot;00AC0180&quot;/&gt;&lt;wsp:rsid wsp:val=&quot;00AC13B9&quot;/&gt;&lt;wsp:rsid wsp:val=&quot;00AC15AC&quot;/&gt;&lt;wsp:rsid wsp:val=&quot;00AC2C4E&quot;/&gt;&lt;wsp:rsid wsp:val=&quot;00AC33C1&quot;/&gt;&lt;wsp:rsid wsp:val=&quot;00AC426E&quot;/&gt;&lt;wsp:rsid wsp:val=&quot;00AC4579&quot;/&gt;&lt;wsp:rsid wsp:val=&quot;00AC51B3&quot;/&gt;&lt;wsp:rsid wsp:val=&quot;00AC64CE&quot;/&gt;&lt;wsp:rsid wsp:val=&quot;00AC71BC&quot;/&gt;&lt;wsp:rsid wsp:val=&quot;00AC770C&quot;/&gt;&lt;wsp:rsid wsp:val=&quot;00AD0092&quot;/&gt;&lt;wsp:rsid wsp:val=&quot;00AD034D&quot;/&gt;&lt;wsp:rsid wsp:val=&quot;00AD059D&quot;/&gt;&lt;wsp:rsid wsp:val=&quot;00AD1323&quot;/&gt;&lt;wsp:rsid wsp:val=&quot;00AD1BA0&quot;/&gt;&lt;wsp:rsid wsp:val=&quot;00AD33DF&quot;/&gt;&lt;wsp:rsid wsp:val=&quot;00AD3E06&quot;/&gt;&lt;wsp:rsid wsp:val=&quot;00AD41D9&quot;/&gt;&lt;wsp:rsid wsp:val=&quot;00AD696F&quot;/&gt;&lt;wsp:rsid wsp:val=&quot;00AE01CE&quot;/&gt;&lt;wsp:rsid wsp:val=&quot;00AE1923&quot;/&gt;&lt;wsp:rsid wsp:val=&quot;00AE210E&quot;/&gt;&lt;wsp:rsid wsp:val=&quot;00AE317F&quot;/&gt;&lt;wsp:rsid wsp:val=&quot;00AE3F2D&quot;/&gt;&lt;wsp:rsid wsp:val=&quot;00AE41DD&quot;/&gt;&lt;wsp:rsid wsp:val=&quot;00AE53A3&quot;/&gt;&lt;wsp:rsid wsp:val=&quot;00AE53B5&quot;/&gt;&lt;wsp:rsid wsp:val=&quot;00AE569F&quot;/&gt;&lt;wsp:rsid wsp:val=&quot;00AE56F9&quot;/&gt;&lt;wsp:rsid wsp:val=&quot;00AE5DB1&quot;/&gt;&lt;wsp:rsid wsp:val=&quot;00AE6962&quot;/&gt;&lt;wsp:rsid wsp:val=&quot;00AF0899&quot;/&gt;&lt;wsp:rsid wsp:val=&quot;00AF0E35&quot;/&gt;&lt;wsp:rsid wsp:val=&quot;00AF1590&quot;/&gt;&lt;wsp:rsid wsp:val=&quot;00AF1E66&quot;/&gt;&lt;wsp:rsid wsp:val=&quot;00AF2490&quot;/&gt;&lt;wsp:rsid wsp:val=&quot;00AF3705&quot;/&gt;&lt;wsp:rsid wsp:val=&quot;00AF483C&quot;/&gt;&lt;wsp:rsid wsp:val=&quot;00AF4D24&quot;/&gt;&lt;wsp:rsid wsp:val=&quot;00AF5B50&quot;/&gt;&lt;wsp:rsid wsp:val=&quot;00AF5D7D&quot;/&gt;&lt;wsp:rsid wsp:val=&quot;00AF75B8&quot;/&gt;&lt;wsp:rsid wsp:val=&quot;00B00A7B&quot;/&gt;&lt;wsp:rsid wsp:val=&quot;00B01073&quot;/&gt;&lt;wsp:rsid wsp:val=&quot;00B018D8&quot;/&gt;&lt;wsp:rsid wsp:val=&quot;00B01D90&quot;/&gt;&lt;wsp:rsid wsp:val=&quot;00B02049&quot;/&gt;&lt;wsp:rsid wsp:val=&quot;00B0257A&quot;/&gt;&lt;wsp:rsid wsp:val=&quot;00B02F0E&quot;/&gt;&lt;wsp:rsid wsp:val=&quot;00B0355B&quot;/&gt;&lt;wsp:rsid wsp:val=&quot;00B03ADB&quot;/&gt;&lt;wsp:rsid wsp:val=&quot;00B04BD5&quot;/&gt;&lt;wsp:rsid wsp:val=&quot;00B059AA&quot;/&gt;&lt;wsp:rsid wsp:val=&quot;00B06963&quot;/&gt;&lt;wsp:rsid wsp:val=&quot;00B07596&quot;/&gt;&lt;wsp:rsid wsp:val=&quot;00B076CE&quot;/&gt;&lt;wsp:rsid wsp:val=&quot;00B101EF&quot;/&gt;&lt;wsp:rsid wsp:val=&quot;00B111A8&quot;/&gt;&lt;wsp:rsid wsp:val=&quot;00B11556&quot;/&gt;&lt;wsp:rsid wsp:val=&quot;00B1178D&quot;/&gt;&lt;wsp:rsid wsp:val=&quot;00B11F97&quot;/&gt;&lt;wsp:rsid wsp:val=&quot;00B120B1&quot;/&gt;&lt;wsp:rsid wsp:val=&quot;00B12861&quot;/&gt;&lt;wsp:rsid wsp:val=&quot;00B12D36&quot;/&gt;&lt;wsp:rsid wsp:val=&quot;00B13278&quot;/&gt;&lt;wsp:rsid wsp:val=&quot;00B13E93&quot;/&gt;&lt;wsp:rsid wsp:val=&quot;00B148CC&quot;/&gt;&lt;wsp:rsid wsp:val=&quot;00B15031&quot;/&gt;&lt;wsp:rsid wsp:val=&quot;00B153E2&quot;/&gt;&lt;wsp:rsid wsp:val=&quot;00B1561A&quot;/&gt;&lt;wsp:rsid wsp:val=&quot;00B15799&quot;/&gt;&lt;wsp:rsid wsp:val=&quot;00B17589&quot;/&gt;&lt;wsp:rsid wsp:val=&quot;00B20820&quot;/&gt;&lt;wsp:rsid wsp:val=&quot;00B20E7C&quot;/&gt;&lt;wsp:rsid wsp:val=&quot;00B214D9&quot;/&gt;&lt;wsp:rsid wsp:val=&quot;00B214EF&quot;/&gt;&lt;wsp:rsid wsp:val=&quot;00B21C98&quot;/&gt;&lt;wsp:rsid wsp:val=&quot;00B22240&quot;/&gt;&lt;wsp:rsid wsp:val=&quot;00B2354F&quot;/&gt;&lt;wsp:rsid wsp:val=&quot;00B2376E&quot;/&gt;&lt;wsp:rsid wsp:val=&quot;00B23787&quot;/&gt;&lt;wsp:rsid wsp:val=&quot;00B23792&quot;/&gt;&lt;wsp:rsid wsp:val=&quot;00B2396B&quot;/&gt;&lt;wsp:rsid wsp:val=&quot;00B23DAC&quot;/&gt;&lt;wsp:rsid wsp:val=&quot;00B2422A&quot;/&gt;&lt;wsp:rsid wsp:val=&quot;00B255D5&quot;/&gt;&lt;wsp:rsid wsp:val=&quot;00B2590F&quot;/&gt;&lt;wsp:rsid wsp:val=&quot;00B26080&quot;/&gt;&lt;wsp:rsid wsp:val=&quot;00B278F4&quot;/&gt;&lt;wsp:rsid wsp:val=&quot;00B3049F&quot;/&gt;&lt;wsp:rsid wsp:val=&quot;00B31149&quot;/&gt;&lt;wsp:rsid wsp:val=&quot;00B31D0D&quot;/&gt;&lt;wsp:rsid wsp:val=&quot;00B32526&quot;/&gt;&lt;wsp:rsid wsp:val=&quot;00B32AD4&quot;/&gt;&lt;wsp:rsid wsp:val=&quot;00B331D2&quot;/&gt;&lt;wsp:rsid wsp:val=&quot;00B33959&quot;/&gt;&lt;wsp:rsid wsp:val=&quot;00B3409D&quot;/&gt;&lt;wsp:rsid wsp:val=&quot;00B35328&quot;/&gt;&lt;wsp:rsid wsp:val=&quot;00B355DF&quot;/&gt;&lt;wsp:rsid wsp:val=&quot;00B36382&quot;/&gt;&lt;wsp:rsid wsp:val=&quot;00B3748B&quot;/&gt;&lt;wsp:rsid wsp:val=&quot;00B378CA&quot;/&gt;&lt;wsp:rsid wsp:val=&quot;00B37948&quot;/&gt;&lt;wsp:rsid wsp:val=&quot;00B4248D&quot;/&gt;&lt;wsp:rsid wsp:val=&quot;00B42957&quot;/&gt;&lt;wsp:rsid wsp:val=&quot;00B44E2C&quot;/&gt;&lt;wsp:rsid wsp:val=&quot;00B45D0D&quot;/&gt;&lt;wsp:rsid wsp:val=&quot;00B46680&quot;/&gt;&lt;wsp:rsid wsp:val=&quot;00B46A69&quot;/&gt;&lt;wsp:rsid wsp:val=&quot;00B507D4&quot;/&gt;&lt;wsp:rsid wsp:val=&quot;00B50973&quot;/&gt;&lt;wsp:rsid wsp:val=&quot;00B50EEB&quot;/&gt;&lt;wsp:rsid wsp:val=&quot;00B52253&quot;/&gt;&lt;wsp:rsid wsp:val=&quot;00B52334&quot;/&gt;&lt;wsp:rsid wsp:val=&quot;00B52603&quot;/&gt;&lt;wsp:rsid wsp:val=&quot;00B5273C&quot;/&gt;&lt;wsp:rsid wsp:val=&quot;00B5332D&quot;/&gt;&lt;wsp:rsid wsp:val=&quot;00B53624&quot;/&gt;&lt;wsp:rsid wsp:val=&quot;00B5379C&quot;/&gt;&lt;wsp:rsid wsp:val=&quot;00B54075&quot;/&gt;&lt;wsp:rsid wsp:val=&quot;00B54736&quot;/&gt;&lt;wsp:rsid wsp:val=&quot;00B548A0&quot;/&gt;&lt;wsp:rsid wsp:val=&quot;00B54E5A&quot;/&gt;&lt;wsp:rsid wsp:val=&quot;00B55417&quot;/&gt;&lt;wsp:rsid wsp:val=&quot;00B5581C&quot;/&gt;&lt;wsp:rsid wsp:val=&quot;00B571D1&quot;/&gt;&lt;wsp:rsid wsp:val=&quot;00B57537&quot;/&gt;&lt;wsp:rsid wsp:val=&quot;00B57BAA&quot;/&gt;&lt;wsp:rsid wsp:val=&quot;00B6016F&quot;/&gt;&lt;wsp:rsid wsp:val=&quot;00B602A2&quot;/&gt;&lt;wsp:rsid wsp:val=&quot;00B60B91&quot;/&gt;&lt;wsp:rsid wsp:val=&quot;00B61A50&quot;/&gt;&lt;wsp:rsid wsp:val=&quot;00B6211A&quot;/&gt;&lt;wsp:rsid wsp:val=&quot;00B62E4F&quot;/&gt;&lt;wsp:rsid wsp:val=&quot;00B639C8&quot;/&gt;&lt;wsp:rsid wsp:val=&quot;00B64A10&quot;/&gt;&lt;wsp:rsid wsp:val=&quot;00B6638F&quot;/&gt;&lt;wsp:rsid wsp:val=&quot;00B66D60&quot;/&gt;&lt;wsp:rsid wsp:val=&quot;00B67925&quot;/&gt;&lt;wsp:rsid wsp:val=&quot;00B7014D&quot;/&gt;&lt;wsp:rsid wsp:val=&quot;00B701CD&quot;/&gt;&lt;wsp:rsid wsp:val=&quot;00B70268&quot;/&gt;&lt;wsp:rsid wsp:val=&quot;00B70B21&quot;/&gt;&lt;wsp:rsid wsp:val=&quot;00B7184F&quot;/&gt;&lt;wsp:rsid wsp:val=&quot;00B72675&quot;/&gt;&lt;wsp:rsid wsp:val=&quot;00B72960&quot;/&gt;&lt;wsp:rsid wsp:val=&quot;00B72A23&quot;/&gt;&lt;wsp:rsid wsp:val=&quot;00B737A5&quot;/&gt;&lt;wsp:rsid wsp:val=&quot;00B73FDE&quot;/&gt;&lt;wsp:rsid wsp:val=&quot;00B7471F&quot;/&gt;&lt;wsp:rsid wsp:val=&quot;00B76E56&quot;/&gt;&lt;wsp:rsid wsp:val=&quot;00B770A2&quot;/&gt;&lt;wsp:rsid wsp:val=&quot;00B80538&quot;/&gt;&lt;wsp:rsid wsp:val=&quot;00B808F5&quot;/&gt;&lt;wsp:rsid wsp:val=&quot;00B813DB&quot;/&gt;&lt;wsp:rsid wsp:val=&quot;00B81A22&quot;/&gt;&lt;wsp:rsid wsp:val=&quot;00B825E2&quot;/&gt;&lt;wsp:rsid wsp:val=&quot;00B82892&quot;/&gt;&lt;wsp:rsid wsp:val=&quot;00B83662&quot;/&gt;&lt;wsp:rsid wsp:val=&quot;00B8406C&quot;/&gt;&lt;wsp:rsid wsp:val=&quot;00B8442A&quot;/&gt;&lt;wsp:rsid wsp:val=&quot;00B84BA6&quot;/&gt;&lt;wsp:rsid wsp:val=&quot;00B85343&quot;/&gt;&lt;wsp:rsid wsp:val=&quot;00B853E0&quot;/&gt;&lt;wsp:rsid wsp:val=&quot;00B85CEB&quot;/&gt;&lt;wsp:rsid wsp:val=&quot;00B860A8&quot;/&gt;&lt;wsp:rsid wsp:val=&quot;00B865D8&quot;/&gt;&lt;wsp:rsid wsp:val=&quot;00B867CC&quot;/&gt;&lt;wsp:rsid wsp:val=&quot;00B86A4F&quot;/&gt;&lt;wsp:rsid wsp:val=&quot;00B86B1D&quot;/&gt;&lt;wsp:rsid wsp:val=&quot;00B8708E&quot;/&gt;&lt;wsp:rsid wsp:val=&quot;00B901A9&quot;/&gt;&lt;wsp:rsid wsp:val=&quot;00B90F82&quot;/&gt;&lt;wsp:rsid wsp:val=&quot;00B91A06&quot;/&gt;&lt;wsp:rsid wsp:val=&quot;00B91ACF&quot;/&gt;&lt;wsp:rsid wsp:val=&quot;00B91ED5&quot;/&gt;&lt;wsp:rsid wsp:val=&quot;00B925AA&quot;/&gt;&lt;wsp:rsid wsp:val=&quot;00B92926&quot;/&gt;&lt;wsp:rsid wsp:val=&quot;00B929CE&quot;/&gt;&lt;wsp:rsid wsp:val=&quot;00B93168&quot;/&gt;&lt;wsp:rsid wsp:val=&quot;00B93D65&quot;/&gt;&lt;wsp:rsid wsp:val=&quot;00B93FD4&quot;/&gt;&lt;wsp:rsid wsp:val=&quot;00B94867&quot;/&gt;&lt;wsp:rsid wsp:val=&quot;00B949FB&quot;/&gt;&lt;wsp:rsid wsp:val=&quot;00B94EDE&quot;/&gt;&lt;wsp:rsid wsp:val=&quot;00B961D6&quot;/&gt;&lt;wsp:rsid wsp:val=&quot;00B96404&quot;/&gt;&lt;wsp:rsid wsp:val=&quot;00B97854&quot;/&gt;&lt;wsp:rsid wsp:val=&quot;00B97F95&quot;/&gt;&lt;wsp:rsid wsp:val=&quot;00BA0B19&quot;/&gt;&lt;wsp:rsid wsp:val=&quot;00BA1093&quot;/&gt;&lt;wsp:rsid wsp:val=&quot;00BA146B&quot;/&gt;&lt;wsp:rsid wsp:val=&quot;00BA1E7F&quot;/&gt;&lt;wsp:rsid wsp:val=&quot;00BA20AB&quot;/&gt;&lt;wsp:rsid wsp:val=&quot;00BA467F&quot;/&gt;&lt;wsp:rsid wsp:val=&quot;00BA48E4&quot;/&gt;&lt;wsp:rsid wsp:val=&quot;00BA4BB7&quot;/&gt;&lt;wsp:rsid wsp:val=&quot;00BA5523&quot;/&gt;&lt;wsp:rsid wsp:val=&quot;00BA59B7&quot;/&gt;&lt;wsp:rsid wsp:val=&quot;00BA5CF8&quot;/&gt;&lt;wsp:rsid wsp:val=&quot;00BA66E3&quot;/&gt;&lt;wsp:rsid wsp:val=&quot;00BA69E8&quot;/&gt;&lt;wsp:rsid wsp:val=&quot;00BB0403&quot;/&gt;&lt;wsp:rsid wsp:val=&quot;00BB2328&quot;/&gt;&lt;wsp:rsid wsp:val=&quot;00BB2DA1&quot;/&gt;&lt;wsp:rsid wsp:val=&quot;00BB3AAB&quot;/&gt;&lt;wsp:rsid wsp:val=&quot;00BB47A5&quot;/&gt;&lt;wsp:rsid wsp:val=&quot;00BB48AD&quot;/&gt;&lt;wsp:rsid wsp:val=&quot;00BB626B&quot;/&gt;&lt;wsp:rsid wsp:val=&quot;00BB6339&quot;/&gt;&lt;wsp:rsid wsp:val=&quot;00BB7258&quot;/&gt;&lt;wsp:rsid wsp:val=&quot;00BB7666&quot;/&gt;&lt;wsp:rsid wsp:val=&quot;00BC00AE&quot;/&gt;&lt;wsp:rsid wsp:val=&quot;00BC021D&quot;/&gt;&lt;wsp:rsid wsp:val=&quot;00BC0CA9&quot;/&gt;&lt;wsp:rsid wsp:val=&quot;00BC0E97&quot;/&gt;&lt;wsp:rsid wsp:val=&quot;00BC168A&quot;/&gt;&lt;wsp:rsid wsp:val=&quot;00BC25A8&quot;/&gt;&lt;wsp:rsid wsp:val=&quot;00BC3855&quot;/&gt;&lt;wsp:rsid wsp:val=&quot;00BC3D20&quot;/&gt;&lt;wsp:rsid wsp:val=&quot;00BC433E&quot;/&gt;&lt;wsp:rsid wsp:val=&quot;00BC5328&quot;/&gt;&lt;wsp:rsid wsp:val=&quot;00BC6728&quot;/&gt;&lt;wsp:rsid wsp:val=&quot;00BC67D3&quot;/&gt;&lt;wsp:rsid wsp:val=&quot;00BC7410&quot;/&gt;&lt;wsp:rsid wsp:val=&quot;00BC7CCE&quot;/&gt;&lt;wsp:rsid wsp:val=&quot;00BC7E5E&quot;/&gt;&lt;wsp:rsid wsp:val=&quot;00BD21A9&quot;/&gt;&lt;wsp:rsid wsp:val=&quot;00BD2EED&quot;/&gt;&lt;wsp:rsid wsp:val=&quot;00BD314D&quot;/&gt;&lt;wsp:rsid wsp:val=&quot;00BD4B52&quot;/&gt;&lt;wsp:rsid wsp:val=&quot;00BD59E3&quot;/&gt;&lt;wsp:rsid wsp:val=&quot;00BD5B28&quot;/&gt;&lt;wsp:rsid wsp:val=&quot;00BD61B9&quot;/&gt;&lt;wsp:rsid wsp:val=&quot;00BD647A&quot;/&gt;&lt;wsp:rsid wsp:val=&quot;00BE01EA&quot;/&gt;&lt;wsp:rsid wsp:val=&quot;00BE0714&quot;/&gt;&lt;wsp:rsid wsp:val=&quot;00BE0F34&quot;/&gt;&lt;wsp:rsid wsp:val=&quot;00BE153A&quot;/&gt;&lt;wsp:rsid wsp:val=&quot;00BE3C76&quot;/&gt;&lt;wsp:rsid wsp:val=&quot;00BE439F&quot;/&gt;&lt;wsp:rsid wsp:val=&quot;00BE4423&quot;/&gt;&lt;wsp:rsid wsp:val=&quot;00BE4BF7&quot;/&gt;&lt;wsp:rsid wsp:val=&quot;00BE4F27&quot;/&gt;&lt;wsp:rsid wsp:val=&quot;00BE732B&quot;/&gt;&lt;wsp:rsid wsp:val=&quot;00BF03A5&quot;/&gt;&lt;wsp:rsid wsp:val=&quot;00BF0CF8&quot;/&gt;&lt;wsp:rsid wsp:val=&quot;00BF16C8&quot;/&gt;&lt;wsp:rsid wsp:val=&quot;00BF1FED&quot;/&gt;&lt;wsp:rsid wsp:val=&quot;00BF2522&quot;/&gt;&lt;wsp:rsid wsp:val=&quot;00BF254C&quot;/&gt;&lt;wsp:rsid wsp:val=&quot;00BF37DD&quot;/&gt;&lt;wsp:rsid wsp:val=&quot;00BF3996&quot;/&gt;&lt;wsp:rsid wsp:val=&quot;00BF3E86&quot;/&gt;&lt;wsp:rsid wsp:val=&quot;00BF471D&quot;/&gt;&lt;wsp:rsid wsp:val=&quot;00BF64B7&quot;/&gt;&lt;wsp:rsid wsp:val=&quot;00BF680B&quot;/&gt;&lt;wsp:rsid wsp:val=&quot;00BF71C1&quot;/&gt;&lt;wsp:rsid wsp:val=&quot;00C01368&quot;/&gt;&lt;wsp:rsid wsp:val=&quot;00C0237F&quot;/&gt;&lt;wsp:rsid wsp:val=&quot;00C03EA2&quot;/&gt;&lt;wsp:rsid wsp:val=&quot;00C04020&quot;/&gt;&lt;wsp:rsid wsp:val=&quot;00C049D7&quot;/&gt;&lt;wsp:rsid wsp:val=&quot;00C04AB2&quot;/&gt;&lt;wsp:rsid wsp:val=&quot;00C04E35&quot;/&gt;&lt;wsp:rsid wsp:val=&quot;00C05678&quot;/&gt;&lt;wsp:rsid wsp:val=&quot;00C06B9D&quot;/&gt;&lt;wsp:rsid wsp:val=&quot;00C07994&quot;/&gt;&lt;wsp:rsid wsp:val=&quot;00C07B83&quot;/&gt;&lt;wsp:rsid wsp:val=&quot;00C10E9A&quot;/&gt;&lt;wsp:rsid wsp:val=&quot;00C114BA&quot;/&gt;&lt;wsp:rsid wsp:val=&quot;00C121DF&quot;/&gt;&lt;wsp:rsid wsp:val=&quot;00C129DC&quot;/&gt;&lt;wsp:rsid wsp:val=&quot;00C12A50&quot;/&gt;&lt;wsp:rsid wsp:val=&quot;00C1388A&quot;/&gt;&lt;wsp:rsid wsp:val=&quot;00C13E42&quot;/&gt;&lt;wsp:rsid wsp:val=&quot;00C14406&quot;/&gt;&lt;wsp:rsid wsp:val=&quot;00C14737&quot;/&gt;&lt;wsp:rsid wsp:val=&quot;00C14828&quot;/&gt;&lt;wsp:rsid wsp:val=&quot;00C14A6F&quot;/&gt;&lt;wsp:rsid wsp:val=&quot;00C158F6&quot;/&gt;&lt;wsp:rsid wsp:val=&quot;00C15D88&quot;/&gt;&lt;wsp:rsid wsp:val=&quot;00C161CC&quot;/&gt;&lt;wsp:rsid wsp:val=&quot;00C1671E&quot;/&gt;&lt;wsp:rsid wsp:val=&quot;00C167E6&quot;/&gt;&lt;wsp:rsid wsp:val=&quot;00C1680D&quot;/&gt;&lt;wsp:rsid wsp:val=&quot;00C16950&quot;/&gt;&lt;wsp:rsid wsp:val=&quot;00C16E2E&quot;/&gt;&lt;wsp:rsid wsp:val=&quot;00C1776B&quot;/&gt;&lt;wsp:rsid wsp:val=&quot;00C17D78&quot;/&gt;&lt;wsp:rsid wsp:val=&quot;00C17D7C&quot;/&gt;&lt;wsp:rsid wsp:val=&quot;00C20071&quot;/&gt;&lt;wsp:rsid wsp:val=&quot;00C201DA&quot;/&gt;&lt;wsp:rsid wsp:val=&quot;00C213F3&quot;/&gt;&lt;wsp:rsid wsp:val=&quot;00C21657&quot;/&gt;&lt;wsp:rsid wsp:val=&quot;00C21A78&quot;/&gt;&lt;wsp:rsid wsp:val=&quot;00C21D41&quot;/&gt;&lt;wsp:rsid wsp:val=&quot;00C22067&quot;/&gt;&lt;wsp:rsid wsp:val=&quot;00C2276F&quot;/&gt;&lt;wsp:rsid wsp:val=&quot;00C22991&quot;/&gt;&lt;wsp:rsid wsp:val=&quot;00C23F48&quot;/&gt;&lt;wsp:rsid wsp:val=&quot;00C24D8E&quot;/&gt;&lt;wsp:rsid wsp:val=&quot;00C25704&quot;/&gt;&lt;wsp:rsid wsp:val=&quot;00C2573C&quot;/&gt;&lt;wsp:rsid wsp:val=&quot;00C25B33&quot;/&gt;&lt;wsp:rsid wsp:val=&quot;00C25E18&quot;/&gt;&lt;wsp:rsid wsp:val=&quot;00C26579&quot;/&gt;&lt;wsp:rsid wsp:val=&quot;00C27127&quot;/&gt;&lt;wsp:rsid wsp:val=&quot;00C27F6B&quot;/&gt;&lt;wsp:rsid wsp:val=&quot;00C31C55&quot;/&gt;&lt;wsp:rsid wsp:val=&quot;00C3225C&quot;/&gt;&lt;wsp:rsid wsp:val=&quot;00C32FE5&quot;/&gt;&lt;wsp:rsid wsp:val=&quot;00C33B9A&quot;/&gt;&lt;wsp:rsid wsp:val=&quot;00C362E1&quot;/&gt;&lt;wsp:rsid wsp:val=&quot;00C3678D&quot;/&gt;&lt;wsp:rsid wsp:val=&quot;00C36D41&quot;/&gt;&lt;wsp:rsid wsp:val=&quot;00C374BC&quot;/&gt;&lt;wsp:rsid wsp:val=&quot;00C37D1A&quot;/&gt;&lt;wsp:rsid wsp:val=&quot;00C40988&quot;/&gt;&lt;wsp:rsid wsp:val=&quot;00C40BF6&quot;/&gt;&lt;wsp:rsid wsp:val=&quot;00C413E7&quot;/&gt;&lt;wsp:rsid wsp:val=&quot;00C41854&quot;/&gt;&lt;wsp:rsid wsp:val=&quot;00C43C77&quot;/&gt;&lt;wsp:rsid wsp:val=&quot;00C44165&quot;/&gt;&lt;wsp:rsid wsp:val=&quot;00C452BA&quot;/&gt;&lt;wsp:rsid wsp:val=&quot;00C454F0&quot;/&gt;&lt;wsp:rsid wsp:val=&quot;00C4570A&quot;/&gt;&lt;wsp:rsid wsp:val=&quot;00C50358&quot;/&gt;&lt;wsp:rsid wsp:val=&quot;00C50D55&quot;/&gt;&lt;wsp:rsid wsp:val=&quot;00C50FE9&quot;/&gt;&lt;wsp:rsid wsp:val=&quot;00C51B52&quot;/&gt;&lt;wsp:rsid wsp:val=&quot;00C52108&quot;/&gt;&lt;wsp:rsid wsp:val=&quot;00C52AD0&quot;/&gt;&lt;wsp:rsid wsp:val=&quot;00C5448E&quot;/&gt;&lt;wsp:rsid wsp:val=&quot;00C546A1&quot;/&gt;&lt;wsp:rsid wsp:val=&quot;00C54946&quot;/&gt;&lt;wsp:rsid wsp:val=&quot;00C567DE&quot;/&gt;&lt;wsp:rsid wsp:val=&quot;00C5764F&quot;/&gt;&lt;wsp:rsid wsp:val=&quot;00C57F81&quot;/&gt;&lt;wsp:rsid wsp:val=&quot;00C60915&quot;/&gt;&lt;wsp:rsid wsp:val=&quot;00C61E1C&quot;/&gt;&lt;wsp:rsid wsp:val=&quot;00C63AAC&quot;/&gt;&lt;wsp:rsid wsp:val=&quot;00C64ED4&quot;/&gt;&lt;wsp:rsid wsp:val=&quot;00C657FD&quot;/&gt;&lt;wsp:rsid wsp:val=&quot;00C6589A&quot;/&gt;&lt;wsp:rsid wsp:val=&quot;00C663B9&quot;/&gt;&lt;wsp:rsid wsp:val=&quot;00C678C0&quot;/&gt;&lt;wsp:rsid wsp:val=&quot;00C72E84&quot;/&gt;&lt;wsp:rsid wsp:val=&quot;00C732A8&quot;/&gt;&lt;wsp:rsid wsp:val=&quot;00C7344B&quot;/&gt;&lt;wsp:rsid wsp:val=&quot;00C743FD&quot;/&gt;&lt;wsp:rsid wsp:val=&quot;00C76243&quot;/&gt;&lt;wsp:rsid wsp:val=&quot;00C76886&quot;/&gt;&lt;wsp:rsid wsp:val=&quot;00C76E31&quot;/&gt;&lt;wsp:rsid wsp:val=&quot;00C77C8D&quot;/&gt;&lt;wsp:rsid wsp:val=&quot;00C77E17&quot;/&gt;&lt;wsp:rsid wsp:val=&quot;00C80BC5&quot;/&gt;&lt;wsp:rsid wsp:val=&quot;00C83027&quot;/&gt;&lt;wsp:rsid wsp:val=&quot;00C84F5F&quot;/&gt;&lt;wsp:rsid wsp:val=&quot;00C85468&quot;/&gt;&lt;wsp:rsid wsp:val=&quot;00C858E5&quot;/&gt;&lt;wsp:rsid wsp:val=&quot;00C85A8A&quot;/&gt;&lt;wsp:rsid wsp:val=&quot;00C869E6&quot;/&gt;&lt;wsp:rsid wsp:val=&quot;00C86ECD&quot;/&gt;&lt;wsp:rsid wsp:val=&quot;00C86F36&quot;/&gt;&lt;wsp:rsid wsp:val=&quot;00C874C4&quot;/&gt;&lt;wsp:rsid wsp:val=&quot;00C87535&quot;/&gt;&lt;wsp:rsid wsp:val=&quot;00C8791E&quot;/&gt;&lt;wsp:rsid wsp:val=&quot;00C87B21&quot;/&gt;&lt;wsp:rsid wsp:val=&quot;00C9046B&quot;/&gt;&lt;wsp:rsid wsp:val=&quot;00C905C4&quot;/&gt;&lt;wsp:rsid wsp:val=&quot;00C90C9C&quot;/&gt;&lt;wsp:rsid wsp:val=&quot;00C90E2F&quot;/&gt;&lt;wsp:rsid wsp:val=&quot;00C90F66&quot;/&gt;&lt;wsp:rsid wsp:val=&quot;00C90FB5&quot;/&gt;&lt;wsp:rsid wsp:val=&quot;00C91D87&quot;/&gt;&lt;wsp:rsid wsp:val=&quot;00C92257&quot;/&gt;&lt;wsp:rsid wsp:val=&quot;00C922B3&quot;/&gt;&lt;wsp:rsid wsp:val=&quot;00C926B1&quot;/&gt;&lt;wsp:rsid wsp:val=&quot;00C927A0&quot;/&gt;&lt;wsp:rsid wsp:val=&quot;00C92BE6&quot;/&gt;&lt;wsp:rsid wsp:val=&quot;00C94CD1&quot;/&gt;&lt;wsp:rsid wsp:val=&quot;00C95214&quot;/&gt;&lt;wsp:rsid wsp:val=&quot;00C95700&quot;/&gt;&lt;wsp:rsid wsp:val=&quot;00C95DF3&quot;/&gt;&lt;wsp:rsid wsp:val=&quot;00C966B2&quot;/&gt;&lt;wsp:rsid wsp:val=&quot;00C973A2&quot;/&gt;&lt;wsp:rsid wsp:val=&quot;00CA0450&quot;/&gt;&lt;wsp:rsid wsp:val=&quot;00CA06DD&quot;/&gt;&lt;wsp:rsid wsp:val=&quot;00CA0AE8&quot;/&gt;&lt;wsp:rsid wsp:val=&quot;00CA0EB1&quot;/&gt;&lt;wsp:rsid wsp:val=&quot;00CA189F&quot;/&gt;&lt;wsp:rsid wsp:val=&quot;00CA1EB1&quot;/&gt;&lt;wsp:rsid wsp:val=&quot;00CA3218&quot;/&gt;&lt;wsp:rsid wsp:val=&quot;00CA5D70&quot;/&gt;&lt;wsp:rsid wsp:val=&quot;00CA7447&quot;/&gt;&lt;wsp:rsid wsp:val=&quot;00CA7531&quot;/&gt;&lt;wsp:rsid wsp:val=&quot;00CB0003&quot;/&gt;&lt;wsp:rsid wsp:val=&quot;00CB02D0&quot;/&gt;&lt;wsp:rsid wsp:val=&quot;00CB04AB&quot;/&gt;&lt;wsp:rsid wsp:val=&quot;00CB0528&quot;/&gt;&lt;wsp:rsid wsp:val=&quot;00CB18B3&quot;/&gt;&lt;wsp:rsid wsp:val=&quot;00CB1AEC&quot;/&gt;&lt;wsp:rsid wsp:val=&quot;00CB2654&quot;/&gt;&lt;wsp:rsid wsp:val=&quot;00CB2DC3&quot;/&gt;&lt;wsp:rsid wsp:val=&quot;00CB3E50&quot;/&gt;&lt;wsp:rsid wsp:val=&quot;00CB4017&quot;/&gt;&lt;wsp:rsid wsp:val=&quot;00CB592F&quot;/&gt;&lt;wsp:rsid wsp:val=&quot;00CC02C1&quot;/&gt;&lt;wsp:rsid wsp:val=&quot;00CC1297&quot;/&gt;&lt;wsp:rsid wsp:val=&quot;00CC1736&quot;/&gt;&lt;wsp:rsid wsp:val=&quot;00CC1B3A&quot;/&gt;&lt;wsp:rsid wsp:val=&quot;00CC2227&quot;/&gt;&lt;wsp:rsid wsp:val=&quot;00CC2777&quot;/&gt;&lt;wsp:rsid wsp:val=&quot;00CC39CC&quot;/&gt;&lt;wsp:rsid wsp:val=&quot;00CC44D5&quot;/&gt;&lt;wsp:rsid wsp:val=&quot;00CC4BB3&quot;/&gt;&lt;wsp:rsid wsp:val=&quot;00CC520E&quot;/&gt;&lt;wsp:rsid wsp:val=&quot;00CC614D&quot;/&gt;&lt;wsp:rsid wsp:val=&quot;00CC6AD1&quot;/&gt;&lt;wsp:rsid wsp:val=&quot;00CC7AFC&quot;/&gt;&lt;wsp:rsid wsp:val=&quot;00CD05C8&quot;/&gt;&lt;wsp:rsid wsp:val=&quot;00CD0E33&quot;/&gt;&lt;wsp:rsid wsp:val=&quot;00CD0F35&quot;/&gt;&lt;wsp:rsid wsp:val=&quot;00CD1B46&quot;/&gt;&lt;wsp:rsid wsp:val=&quot;00CD1FBD&quot;/&gt;&lt;wsp:rsid wsp:val=&quot;00CD22A3&quot;/&gt;&lt;wsp:rsid wsp:val=&quot;00CD29B8&quot;/&gt;&lt;wsp:rsid wsp:val=&quot;00CD357A&quot;/&gt;&lt;wsp:rsid wsp:val=&quot;00CD475E&quot;/&gt;&lt;wsp:rsid wsp:val=&quot;00CD5089&quot;/&gt;&lt;wsp:rsid wsp:val=&quot;00CD51B5&quot;/&gt;&lt;wsp:rsid wsp:val=&quot;00CD614C&quot;/&gt;&lt;wsp:rsid wsp:val=&quot;00CD6D0F&quot;/&gt;&lt;wsp:rsid wsp:val=&quot;00CE18CC&quot;/&gt;&lt;wsp:rsid wsp:val=&quot;00CE1C42&quot;/&gt;&lt;wsp:rsid wsp:val=&quot;00CE3A03&quot;/&gt;&lt;wsp:rsid wsp:val=&quot;00CE3E4C&quot;/&gt;&lt;wsp:rsid wsp:val=&quot;00CE40B1&quot;/&gt;&lt;wsp:rsid wsp:val=&quot;00CE4E00&quot;/&gt;&lt;wsp:rsid wsp:val=&quot;00CE5B25&quot;/&gt;&lt;wsp:rsid wsp:val=&quot;00CE727E&quot;/&gt;&lt;wsp:rsid wsp:val=&quot;00CE7B23&quot;/&gt;&lt;wsp:rsid wsp:val=&quot;00CF0181&quot;/&gt;&lt;wsp:rsid wsp:val=&quot;00CF16AD&quot;/&gt;&lt;wsp:rsid wsp:val=&quot;00CF254B&quot;/&gt;&lt;wsp:rsid wsp:val=&quot;00CF2BAB&quot;/&gt;&lt;wsp:rsid wsp:val=&quot;00CF3231&quot;/&gt;&lt;wsp:rsid wsp:val=&quot;00CF478C&quot;/&gt;&lt;wsp:rsid wsp:val=&quot;00CF5198&quot;/&gt;&lt;wsp:rsid wsp:val=&quot;00CF5230&quot;/&gt;&lt;wsp:rsid wsp:val=&quot;00CF5EE1&quot;/&gt;&lt;wsp:rsid wsp:val=&quot;00CF6460&quot;/&gt;&lt;wsp:rsid wsp:val=&quot;00CF78AC&quot;/&gt;&lt;wsp:rsid wsp:val=&quot;00CF7A85&quot;/&gt;&lt;wsp:rsid wsp:val=&quot;00D000D2&quot;/&gt;&lt;wsp:rsid wsp:val=&quot;00D01104&quot;/&gt;&lt;wsp:rsid wsp:val=&quot;00D01E08&quot;/&gt;&lt;wsp:rsid wsp:val=&quot;00D026DD&quot;/&gt;&lt;wsp:rsid wsp:val=&quot;00D045DA&quot;/&gt;&lt;wsp:rsid wsp:val=&quot;00D0461E&quot;/&gt;&lt;wsp:rsid wsp:val=&quot;00D05C73&quot;/&gt;&lt;wsp:rsid wsp:val=&quot;00D06820&quot;/&gt;&lt;wsp:rsid wsp:val=&quot;00D06882&quot;/&gt;&lt;wsp:rsid wsp:val=&quot;00D07C92&quot;/&gt;&lt;wsp:rsid wsp:val=&quot;00D11295&quot;/&gt;&lt;wsp:rsid wsp:val=&quot;00D11334&quot;/&gt;&lt;wsp:rsid wsp:val=&quot;00D11553&quot;/&gt;&lt;wsp:rsid wsp:val=&quot;00D126E9&quot;/&gt;&lt;wsp:rsid wsp:val=&quot;00D1564E&quot;/&gt;&lt;wsp:rsid wsp:val=&quot;00D15908&quot;/&gt;&lt;wsp:rsid wsp:val=&quot;00D160B0&quot;/&gt;&lt;wsp:rsid wsp:val=&quot;00D16550&quot;/&gt;&lt;wsp:rsid wsp:val=&quot;00D168FD&quot;/&gt;&lt;wsp:rsid wsp:val=&quot;00D1771A&quot;/&gt;&lt;wsp:rsid wsp:val=&quot;00D178FD&quot;/&gt;&lt;wsp:rsid wsp:val=&quot;00D20466&quot;/&gt;&lt;wsp:rsid wsp:val=&quot;00D20697&quot;/&gt;&lt;wsp:rsid wsp:val=&quot;00D20EA8&quot;/&gt;&lt;wsp:rsid wsp:val=&quot;00D210CA&quot;/&gt;&lt;wsp:rsid wsp:val=&quot;00D21582&quot;/&gt;&lt;wsp:rsid wsp:val=&quot;00D21897&quot;/&gt;&lt;wsp:rsid wsp:val=&quot;00D21B00&quot;/&gt;&lt;wsp:rsid wsp:val=&quot;00D21BCE&quot;/&gt;&lt;wsp:rsid wsp:val=&quot;00D21DA8&quot;/&gt;&lt;wsp:rsid wsp:val=&quot;00D24A59&quot;/&gt;&lt;wsp:rsid wsp:val=&quot;00D24B99&quot;/&gt;&lt;wsp:rsid wsp:val=&quot;00D25538&quot;/&gt;&lt;wsp:rsid wsp:val=&quot;00D26371&quot;/&gt;&lt;wsp:rsid wsp:val=&quot;00D2735C&quot;/&gt;&lt;wsp:rsid wsp:val=&quot;00D27576&quot;/&gt;&lt;wsp:rsid wsp:val=&quot;00D27C94&quot;/&gt;&lt;wsp:rsid wsp:val=&quot;00D308CD&quot;/&gt;&lt;wsp:rsid wsp:val=&quot;00D3090F&quot;/&gt;&lt;wsp:rsid wsp:val=&quot;00D30D33&quot;/&gt;&lt;wsp:rsid wsp:val=&quot;00D318CF&quot;/&gt;&lt;wsp:rsid wsp:val=&quot;00D325CC&quot;/&gt;&lt;wsp:rsid wsp:val=&quot;00D3360C&quot;/&gt;&lt;wsp:rsid wsp:val=&quot;00D33B36&quot;/&gt;&lt;wsp:rsid wsp:val=&quot;00D34000&quot;/&gt;&lt;wsp:rsid wsp:val=&quot;00D352E9&quot;/&gt;&lt;wsp:rsid wsp:val=&quot;00D364ED&quot;/&gt;&lt;wsp:rsid wsp:val=&quot;00D36667&quot;/&gt;&lt;wsp:rsid wsp:val=&quot;00D369E9&quot;/&gt;&lt;wsp:rsid wsp:val=&quot;00D3765B&quot;/&gt;&lt;wsp:rsid wsp:val=&quot;00D413CF&quot;/&gt;&lt;wsp:rsid wsp:val=&quot;00D41E54&quot;/&gt;&lt;wsp:rsid wsp:val=&quot;00D42F14&quot;/&gt;&lt;wsp:rsid wsp:val=&quot;00D44D43&quot;/&gt;&lt;wsp:rsid wsp:val=&quot;00D44EAB&quot;/&gt;&lt;wsp:rsid wsp:val=&quot;00D45A0B&quot;/&gt;&lt;wsp:rsid wsp:val=&quot;00D45CC8&quot;/&gt;&lt;wsp:rsid wsp:val=&quot;00D45DE3&quot;/&gt;&lt;wsp:rsid wsp:val=&quot;00D4615A&quot;/&gt;&lt;wsp:rsid wsp:val=&quot;00D46595&quot;/&gt;&lt;wsp:rsid wsp:val=&quot;00D4674E&quot;/&gt;&lt;wsp:rsid wsp:val=&quot;00D47871&quot;/&gt;&lt;wsp:rsid wsp:val=&quot;00D507E2&quot;/&gt;&lt;wsp:rsid wsp:val=&quot;00D51FED&quot;/&gt;&lt;wsp:rsid wsp:val=&quot;00D53111&quot;/&gt;&lt;wsp:rsid wsp:val=&quot;00D53EC7&quot;/&gt;&lt;wsp:rsid wsp:val=&quot;00D5424C&quot;/&gt;&lt;wsp:rsid wsp:val=&quot;00D557DD&quot;/&gt;&lt;wsp:rsid wsp:val=&quot;00D558B9&quot;/&gt;&lt;wsp:rsid wsp:val=&quot;00D55A57&quot;/&gt;&lt;wsp:rsid wsp:val=&quot;00D5626A&quot;/&gt;&lt;wsp:rsid wsp:val=&quot;00D56C95&quot;/&gt;&lt;wsp:rsid wsp:val=&quot;00D573CC&quot;/&gt;&lt;wsp:rsid wsp:val=&quot;00D57C7C&quot;/&gt;&lt;wsp:rsid wsp:val=&quot;00D607AD&quot;/&gt;&lt;wsp:rsid wsp:val=&quot;00D608D6&quot;/&gt;&lt;wsp:rsid wsp:val=&quot;00D60FC8&quot;/&gt;&lt;wsp:rsid wsp:val=&quot;00D6150F&quot;/&gt;&lt;wsp:rsid wsp:val=&quot;00D6254F&quot;/&gt;&lt;wsp:rsid wsp:val=&quot;00D62804&quot;/&gt;&lt;wsp:rsid wsp:val=&quot;00D62D54&quot;/&gt;&lt;wsp:rsid wsp:val=&quot;00D63971&quot;/&gt;&lt;wsp:rsid wsp:val=&quot;00D64C0E&quot;/&gt;&lt;wsp:rsid wsp:val=&quot;00D6629D&quot;/&gt;&lt;wsp:rsid wsp:val=&quot;00D6677F&quot;/&gt;&lt;wsp:rsid wsp:val=&quot;00D669DE&quot;/&gt;&lt;wsp:rsid wsp:val=&quot;00D66E62&quot;/&gt;&lt;wsp:rsid wsp:val=&quot;00D67252&quot;/&gt;&lt;wsp:rsid wsp:val=&quot;00D7043B&quot;/&gt;&lt;wsp:rsid wsp:val=&quot;00D7141D&quot;/&gt;&lt;wsp:rsid wsp:val=&quot;00D73539&quot;/&gt;&lt;wsp:rsid wsp:val=&quot;00D748C3&quot;/&gt;&lt;wsp:rsid wsp:val=&quot;00D76E14&quot;/&gt;&lt;wsp:rsid wsp:val=&quot;00D773C1&quot;/&gt;&lt;wsp:rsid wsp:val=&quot;00D77CB2&quot;/&gt;&lt;wsp:rsid wsp:val=&quot;00D8215C&quot;/&gt;&lt;wsp:rsid wsp:val=&quot;00D84BD5&quot;/&gt;&lt;wsp:rsid wsp:val=&quot;00D869DC&quot;/&gt;&lt;wsp:rsid wsp:val=&quot;00D86C7D&quot;/&gt;&lt;wsp:rsid wsp:val=&quot;00D872FD&quot;/&gt;&lt;wsp:rsid wsp:val=&quot;00D878A0&quot;/&gt;&lt;wsp:rsid wsp:val=&quot;00D9077C&quot;/&gt;&lt;wsp:rsid wsp:val=&quot;00D9099C&quot;/&gt;&lt;wsp:rsid wsp:val=&quot;00D91545&quot;/&gt;&lt;wsp:rsid wsp:val=&quot;00D91685&quot;/&gt;&lt;wsp:rsid wsp:val=&quot;00D91B78&quot;/&gt;&lt;wsp:rsid wsp:val=&quot;00D945E8&quot;/&gt;&lt;wsp:rsid wsp:val=&quot;00D947FF&quot;/&gt;&lt;wsp:rsid wsp:val=&quot;00D94BD4&quot;/&gt;&lt;wsp:rsid wsp:val=&quot;00D95361&quot;/&gt;&lt;wsp:rsid wsp:val=&quot;00D9601C&quot;/&gt;&lt;wsp:rsid wsp:val=&quot;00D96B02&quot;/&gt;&lt;wsp:rsid wsp:val=&quot;00D96CAE&quot;/&gt;&lt;wsp:rsid wsp:val=&quot;00D97467&quot;/&gt;&lt;wsp:rsid wsp:val=&quot;00D97557&quot;/&gt;&lt;wsp:rsid wsp:val=&quot;00DA1036&quot;/&gt;&lt;wsp:rsid wsp:val=&quot;00DA10BF&quot;/&gt;&lt;wsp:rsid wsp:val=&quot;00DA1144&quot;/&gt;&lt;wsp:rsid wsp:val=&quot;00DA11BD&quot;/&gt;&lt;wsp:rsid wsp:val=&quot;00DA1816&quot;/&gt;&lt;wsp:rsid wsp:val=&quot;00DA32C1&quot;/&gt;&lt;wsp:rsid wsp:val=&quot;00DA3439&quot;/&gt;&lt;wsp:rsid wsp:val=&quot;00DA4AA2&quot;/&gt;&lt;wsp:rsid wsp:val=&quot;00DA5055&quot;/&gt;&lt;wsp:rsid wsp:val=&quot;00DA57AB&quot;/&gt;&lt;wsp:rsid wsp:val=&quot;00DA6190&quot;/&gt;&lt;wsp:rsid wsp:val=&quot;00DA6F61&quot;/&gt;&lt;wsp:rsid wsp:val=&quot;00DA7235&quot;/&gt;&lt;wsp:rsid wsp:val=&quot;00DA7676&quot;/&gt;&lt;wsp:rsid wsp:val=&quot;00DA7C34&quot;/&gt;&lt;wsp:rsid wsp:val=&quot;00DB0AAD&quot;/&gt;&lt;wsp:rsid wsp:val=&quot;00DB0C5D&quot;/&gt;&lt;wsp:rsid wsp:val=&quot;00DB1287&quot;/&gt;&lt;wsp:rsid wsp:val=&quot;00DB1797&quot;/&gt;&lt;wsp:rsid wsp:val=&quot;00DB320C&quot;/&gt;&lt;wsp:rsid wsp:val=&quot;00DB39BD&quot;/&gt;&lt;wsp:rsid wsp:val=&quot;00DB5DB8&quot;/&gt;&lt;wsp:rsid wsp:val=&quot;00DB5EAD&quot;/&gt;&lt;wsp:rsid wsp:val=&quot;00DB65AE&quot;/&gt;&lt;wsp:rsid wsp:val=&quot;00DB76CB&quot;/&gt;&lt;wsp:rsid wsp:val=&quot;00DB788C&quot;/&gt;&lt;wsp:rsid wsp:val=&quot;00DC0B2D&quot;/&gt;&lt;wsp:rsid wsp:val=&quot;00DC0FA7&quot;/&gt;&lt;wsp:rsid wsp:val=&quot;00DC19B6&quot;/&gt;&lt;wsp:rsid wsp:val=&quot;00DC1C2E&quot;/&gt;&lt;wsp:rsid wsp:val=&quot;00DC1ED9&quot;/&gt;&lt;wsp:rsid wsp:val=&quot;00DC22D3&quot;/&gt;&lt;wsp:rsid wsp:val=&quot;00DC2507&quot;/&gt;&lt;wsp:rsid wsp:val=&quot;00DC2DFB&quot;/&gt;&lt;wsp:rsid wsp:val=&quot;00DC3235&quot;/&gt;&lt;wsp:rsid wsp:val=&quot;00DC48A8&quot;/&gt;&lt;wsp:rsid wsp:val=&quot;00DC546E&quot;/&gt;&lt;wsp:rsid wsp:val=&quot;00DC58B4&quot;/&gt;&lt;wsp:rsid wsp:val=&quot;00DC5A3B&quot;/&gt;&lt;wsp:rsid wsp:val=&quot;00DC6869&quot;/&gt;&lt;wsp:rsid wsp:val=&quot;00DD09C7&quot;/&gt;&lt;wsp:rsid wsp:val=&quot;00DD1C09&quot;/&gt;&lt;wsp:rsid wsp:val=&quot;00DD2D5C&quot;/&gt;&lt;wsp:rsid wsp:val=&quot;00DD2E44&quot;/&gt;&lt;wsp:rsid wsp:val=&quot;00DD39A7&quot;/&gt;&lt;wsp:rsid wsp:val=&quot;00DD5529&quot;/&gt;&lt;wsp:rsid wsp:val=&quot;00DD56C7&quot;/&gt;&lt;wsp:rsid wsp:val=&quot;00DD679D&quot;/&gt;&lt;wsp:rsid wsp:val=&quot;00DE0365&quot;/&gt;&lt;wsp:rsid wsp:val=&quot;00DE1715&quot;/&gt;&lt;wsp:rsid wsp:val=&quot;00DE1F81&quot;/&gt;&lt;wsp:rsid wsp:val=&quot;00DE2B8D&quot;/&gt;&lt;wsp:rsid wsp:val=&quot;00DE3273&quot;/&gt;&lt;wsp:rsid wsp:val=&quot;00DE3715&quot;/&gt;&lt;wsp:rsid wsp:val=&quot;00DE58C7&quot;/&gt;&lt;wsp:rsid wsp:val=&quot;00DE5DC8&quot;/&gt;&lt;wsp:rsid wsp:val=&quot;00DE7D91&quot;/&gt;&lt;wsp:rsid wsp:val=&quot;00DF047E&quot;/&gt;&lt;wsp:rsid wsp:val=&quot;00DF051F&quot;/&gt;&lt;wsp:rsid wsp:val=&quot;00DF0586&quot;/&gt;&lt;wsp:rsid wsp:val=&quot;00DF07BF&quot;/&gt;&lt;wsp:rsid wsp:val=&quot;00DF192E&quot;/&gt;&lt;wsp:rsid wsp:val=&quot;00DF3803&quot;/&gt;&lt;wsp:rsid wsp:val=&quot;00DF3937&quot;/&gt;&lt;wsp:rsid wsp:val=&quot;00DF4168&quot;/&gt;&lt;wsp:rsid wsp:val=&quot;00DF5015&quot;/&gt;&lt;wsp:rsid wsp:val=&quot;00DF6084&quot;/&gt;&lt;wsp:rsid wsp:val=&quot;00DF6B96&quot;/&gt;&lt;wsp:rsid wsp:val=&quot;00DF705B&quot;/&gt;&lt;wsp:rsid wsp:val=&quot;00DF79B9&quot;/&gt;&lt;wsp:rsid wsp:val=&quot;00E005AF&quot;/&gt;&lt;wsp:rsid wsp:val=&quot;00E04232&quot;/&gt;&lt;wsp:rsid wsp:val=&quot;00E045C3&quot;/&gt;&lt;wsp:rsid wsp:val=&quot;00E0473E&quot;/&gt;&lt;wsp:rsid wsp:val=&quot;00E047B1&quot;/&gt;&lt;wsp:rsid wsp:val=&quot;00E051C2&quot;/&gt;&lt;wsp:rsid wsp:val=&quot;00E0532D&quot;/&gt;&lt;wsp:rsid wsp:val=&quot;00E05D14&quot;/&gt;&lt;wsp:rsid wsp:val=&quot;00E06348&quot;/&gt;&lt;wsp:rsid wsp:val=&quot;00E07142&quot;/&gt;&lt;wsp:rsid wsp:val=&quot;00E07603&quot;/&gt;&lt;wsp:rsid wsp:val=&quot;00E105C7&quot;/&gt;&lt;wsp:rsid wsp:val=&quot;00E11928&quot;/&gt;&lt;wsp:rsid wsp:val=&quot;00E1242F&quot;/&gt;&lt;wsp:rsid wsp:val=&quot;00E13BFF&quot;/&gt;&lt;wsp:rsid wsp:val=&quot;00E13C16&quot;/&gt;&lt;wsp:rsid wsp:val=&quot;00E147F3&quot;/&gt;&lt;wsp:rsid wsp:val=&quot;00E160F5&quot;/&gt;&lt;wsp:rsid wsp:val=&quot;00E165B7&quot;/&gt;&lt;wsp:rsid wsp:val=&quot;00E1761C&quot;/&gt;&lt;wsp:rsid wsp:val=&quot;00E17779&quot;/&gt;&lt;wsp:rsid wsp:val=&quot;00E209E7&quot;/&gt;&lt;wsp:rsid wsp:val=&quot;00E212A0&quot;/&gt;&lt;wsp:rsid wsp:val=&quot;00E217CC&quot;/&gt;&lt;wsp:rsid wsp:val=&quot;00E21FAD&quot;/&gt;&lt;wsp:rsid wsp:val=&quot;00E22F8F&quot;/&gt;&lt;wsp:rsid wsp:val=&quot;00E2325C&quot;/&gt;&lt;wsp:rsid wsp:val=&quot;00E23AA0&quot;/&gt;&lt;wsp:rsid wsp:val=&quot;00E23B89&quot;/&gt;&lt;wsp:rsid wsp:val=&quot;00E244B0&quot;/&gt;&lt;wsp:rsid wsp:val=&quot;00E25BB1&quot;/&gt;&lt;wsp:rsid wsp:val=&quot;00E2619B&quot;/&gt;&lt;wsp:rsid wsp:val=&quot;00E267AB&quot;/&gt;&lt;wsp:rsid wsp:val=&quot;00E27C08&quot;/&gt;&lt;wsp:rsid wsp:val=&quot;00E30613&quot;/&gt;&lt;wsp:rsid wsp:val=&quot;00E31A5A&quot;/&gt;&lt;wsp:rsid wsp:val=&quot;00E31C1A&quot;/&gt;&lt;wsp:rsid wsp:val=&quot;00E326C9&quot;/&gt;&lt;wsp:rsid wsp:val=&quot;00E32CEA&quot;/&gt;&lt;wsp:rsid wsp:val=&quot;00E3311D&quot;/&gt;&lt;wsp:rsid wsp:val=&quot;00E33A60&quot;/&gt;&lt;wsp:rsid wsp:val=&quot;00E33BAC&quot;/&gt;&lt;wsp:rsid wsp:val=&quot;00E33F65&quot;/&gt;&lt;wsp:rsid wsp:val=&quot;00E35104&quot;/&gt;&lt;wsp:rsid wsp:val=&quot;00E35884&quot;/&gt;&lt;wsp:rsid wsp:val=&quot;00E36B24&quot;/&gt;&lt;wsp:rsid wsp:val=&quot;00E3755E&quot;/&gt;&lt;wsp:rsid wsp:val=&quot;00E37B1F&quot;/&gt;&lt;wsp:rsid wsp:val=&quot;00E37D2D&quot;/&gt;&lt;wsp:rsid wsp:val=&quot;00E401B0&quot;/&gt;&lt;wsp:rsid wsp:val=&quot;00E40B4F&quot;/&gt;&lt;wsp:rsid wsp:val=&quot;00E40DE7&quot;/&gt;&lt;wsp:rsid wsp:val=&quot;00E41664&quot;/&gt;&lt;wsp:rsid wsp:val=&quot;00E41BCD&quot;/&gt;&lt;wsp:rsid wsp:val=&quot;00E43FFA&quot;/&gt;&lt;wsp:rsid wsp:val=&quot;00E4425B&quot;/&gt;&lt;wsp:rsid wsp:val=&quot;00E45DC1&quot;/&gt;&lt;wsp:rsid wsp:val=&quot;00E45F39&quot;/&gt;&lt;wsp:rsid wsp:val=&quot;00E46BFB&quot;/&gt;&lt;wsp:rsid wsp:val=&quot;00E477D5&quot;/&gt;&lt;wsp:rsid wsp:val=&quot;00E47CD9&quot;/&gt;&lt;wsp:rsid wsp:val=&quot;00E50269&quot;/&gt;&lt;wsp:rsid wsp:val=&quot;00E511D2&quot;/&gt;&lt;wsp:rsid wsp:val=&quot;00E51D0C&quot;/&gt;&lt;wsp:rsid wsp:val=&quot;00E52328&quot;/&gt;&lt;wsp:rsid wsp:val=&quot;00E524E6&quot;/&gt;&lt;wsp:rsid wsp:val=&quot;00E535B4&quot;/&gt;&lt;wsp:rsid wsp:val=&quot;00E53A35&quot;/&gt;&lt;wsp:rsid wsp:val=&quot;00E53EDA&quot;/&gt;&lt;wsp:rsid wsp:val=&quot;00E542C5&quot;/&gt;&lt;wsp:rsid wsp:val=&quot;00E54494&quot;/&gt;&lt;wsp:rsid wsp:val=&quot;00E54CB5&quot;/&gt;&lt;wsp:rsid wsp:val=&quot;00E55039&quot;/&gt;&lt;wsp:rsid wsp:val=&quot;00E55156&quot;/&gt;&lt;wsp:rsid wsp:val=&quot;00E55CC8&quot;/&gt;&lt;wsp:rsid wsp:val=&quot;00E577A9&quot;/&gt;&lt;wsp:rsid wsp:val=&quot;00E60352&quot;/&gt;&lt;wsp:rsid wsp:val=&quot;00E616AF&quot;/&gt;&lt;wsp:rsid wsp:val=&quot;00E6245F&quot;/&gt;&lt;wsp:rsid wsp:val=&quot;00E6309C&quot;/&gt;&lt;wsp:rsid wsp:val=&quot;00E633A3&quot;/&gt;&lt;wsp:rsid wsp:val=&quot;00E643E6&quot;/&gt;&lt;wsp:rsid wsp:val=&quot;00E64649&quot;/&gt;&lt;wsp:rsid wsp:val=&quot;00E6665B&quot;/&gt;&lt;wsp:rsid wsp:val=&quot;00E67C09&quot;/&gt;&lt;wsp:rsid wsp:val=&quot;00E67D7D&quot;/&gt;&lt;wsp:rsid wsp:val=&quot;00E7028F&quot;/&gt;&lt;wsp:rsid wsp:val=&quot;00E704BD&quot;/&gt;&lt;wsp:rsid wsp:val=&quot;00E73187&quot;/&gt;&lt;wsp:rsid wsp:val=&quot;00E74789&quot;/&gt;&lt;wsp:rsid wsp:val=&quot;00E749A8&quot;/&gt;&lt;wsp:rsid wsp:val=&quot;00E76924&quot;/&gt;&lt;wsp:rsid wsp:val=&quot;00E76BBE&quot;/&gt;&lt;wsp:rsid wsp:val=&quot;00E771AB&quot;/&gt;&lt;wsp:rsid wsp:val=&quot;00E779F0&quot;/&gt;&lt;wsp:rsid wsp:val=&quot;00E80DEE&quot;/&gt;&lt;wsp:rsid wsp:val=&quot;00E81636&quot;/&gt;&lt;wsp:rsid wsp:val=&quot;00E819D8&quot;/&gt;&lt;wsp:rsid wsp:val=&quot;00E829A6&quot;/&gt;&lt;wsp:rsid wsp:val=&quot;00E82EFF&quot;/&gt;&lt;wsp:rsid wsp:val=&quot;00E830CD&quot;/&gt;&lt;wsp:rsid wsp:val=&quot;00E83233&quot;/&gt;&lt;wsp:rsid wsp:val=&quot;00E833FE&quot;/&gt;&lt;wsp:rsid wsp:val=&quot;00E846B2&quot;/&gt;&lt;wsp:rsid wsp:val=&quot;00E84C10&quot;/&gt;&lt;wsp:rsid wsp:val=&quot;00E856FC&quot;/&gt;&lt;wsp:rsid wsp:val=&quot;00E85CC9&quot;/&gt;&lt;wsp:rsid wsp:val=&quot;00E85CF8&quot;/&gt;&lt;wsp:rsid wsp:val=&quot;00E86242&quot;/&gt;&lt;wsp:rsid wsp:val=&quot;00E90126&quot;/&gt;&lt;wsp:rsid wsp:val=&quot;00E90BAE&quot;/&gt;&lt;wsp:rsid wsp:val=&quot;00E91D57&quot;/&gt;&lt;wsp:rsid wsp:val=&quot;00E93045&quot;/&gt;&lt;wsp:rsid wsp:val=&quot;00E94641&quot;/&gt;&lt;wsp:rsid wsp:val=&quot;00E94993&quot;/&gt;&lt;wsp:rsid wsp:val=&quot;00E9555B&quot;/&gt;&lt;wsp:rsid wsp:val=&quot;00E958BF&quot;/&gt;&lt;wsp:rsid wsp:val=&quot;00E96B35&quot;/&gt;&lt;wsp:rsid wsp:val=&quot;00E9700A&quot;/&gt;&lt;wsp:rsid wsp:val=&quot;00E97199&quot;/&gt;&lt;wsp:rsid wsp:val=&quot;00EA0E3F&quot;/&gt;&lt;wsp:rsid wsp:val=&quot;00EA1857&quot;/&gt;&lt;wsp:rsid wsp:val=&quot;00EA193E&quot;/&gt;&lt;wsp:rsid wsp:val=&quot;00EA2923&quot;/&gt;&lt;wsp:rsid wsp:val=&quot;00EA2DA0&quot;/&gt;&lt;wsp:rsid wsp:val=&quot;00EA36D4&quot;/&gt;&lt;wsp:rsid wsp:val=&quot;00EA4209&quot;/&gt;&lt;wsp:rsid wsp:val=&quot;00EA517B&quot;/&gt;&lt;wsp:rsid wsp:val=&quot;00EA63C7&quot;/&gt;&lt;wsp:rsid wsp:val=&quot;00EA7D48&quot;/&gt;&lt;wsp:rsid wsp:val=&quot;00EA7D90&quot;/&gt;&lt;wsp:rsid wsp:val=&quot;00EB0272&quot;/&gt;&lt;wsp:rsid wsp:val=&quot;00EB0342&quot;/&gt;&lt;wsp:rsid wsp:val=&quot;00EB03C3&quot;/&gt;&lt;wsp:rsid wsp:val=&quot;00EB07A4&quot;/&gt;&lt;wsp:rsid wsp:val=&quot;00EB1130&quot;/&gt;&lt;wsp:rsid wsp:val=&quot;00EB1F12&quot;/&gt;&lt;wsp:rsid wsp:val=&quot;00EB220C&quot;/&gt;&lt;wsp:rsid wsp:val=&quot;00EB2525&quot;/&gt;&lt;wsp:rsid wsp:val=&quot;00EB3193&quot;/&gt;&lt;wsp:rsid wsp:val=&quot;00EB3369&quot;/&gt;&lt;wsp:rsid wsp:val=&quot;00EB41A6&quot;/&gt;&lt;wsp:rsid wsp:val=&quot;00EB4886&quot;/&gt;&lt;wsp:rsid wsp:val=&quot;00EB4F10&quot;/&gt;&lt;wsp:rsid wsp:val=&quot;00EB53AA&quot;/&gt;&lt;wsp:rsid wsp:val=&quot;00EB598A&quot;/&gt;&lt;wsp:rsid wsp:val=&quot;00EB6198&quot;/&gt;&lt;wsp:rsid wsp:val=&quot;00EC0396&quot;/&gt;&lt;wsp:rsid wsp:val=&quot;00EC0785&quot;/&gt;&lt;wsp:rsid wsp:val=&quot;00EC10FF&quot;/&gt;&lt;wsp:rsid wsp:val=&quot;00EC1407&quot;/&gt;&lt;wsp:rsid wsp:val=&quot;00EC15F6&quot;/&gt;&lt;wsp:rsid wsp:val=&quot;00EC2CEE&quot;/&gt;&lt;wsp:rsid wsp:val=&quot;00EC3838&quot;/&gt;&lt;wsp:rsid wsp:val=&quot;00EC3EC5&quot;/&gt;&lt;wsp:rsid wsp:val=&quot;00EC3F5C&quot;/&gt;&lt;wsp:rsid wsp:val=&quot;00EC4197&quot;/&gt;&lt;wsp:rsid wsp:val=&quot;00EC43D5&quot;/&gt;&lt;wsp:rsid wsp:val=&quot;00EC4563&quot;/&gt;&lt;wsp:rsid wsp:val=&quot;00EC64A2&quot;/&gt;&lt;wsp:rsid wsp:val=&quot;00EC6767&quot;/&gt;&lt;wsp:rsid wsp:val=&quot;00EC6B92&quot;/&gt;&lt;wsp:rsid wsp:val=&quot;00ED0536&quot;/&gt;&lt;wsp:rsid wsp:val=&quot;00ED142E&quot;/&gt;&lt;wsp:rsid wsp:val=&quot;00ED243E&quot;/&gt;&lt;wsp:rsid wsp:val=&quot;00ED3685&quot;/&gt;&lt;wsp:rsid wsp:val=&quot;00ED36A3&quot;/&gt;&lt;wsp:rsid wsp:val=&quot;00ED39C6&quot;/&gt;&lt;wsp:rsid wsp:val=&quot;00ED4A7A&quot;/&gt;&lt;wsp:rsid wsp:val=&quot;00ED4F85&quot;/&gt;&lt;wsp:rsid wsp:val=&quot;00ED5987&quot;/&gt;&lt;wsp:rsid wsp:val=&quot;00ED7F24&quot;/&gt;&lt;wsp:rsid wsp:val=&quot;00EE05C2&quot;/&gt;&lt;wsp:rsid wsp:val=&quot;00EE088C&quot;/&gt;&lt;wsp:rsid wsp:val=&quot;00EE0EB9&quot;/&gt;&lt;wsp:rsid wsp:val=&quot;00EE14CE&quot;/&gt;&lt;wsp:rsid wsp:val=&quot;00EE2443&quot;/&gt;&lt;wsp:rsid wsp:val=&quot;00EE29C0&quot;/&gt;&lt;wsp:rsid wsp:val=&quot;00EE2B52&quot;/&gt;&lt;wsp:rsid wsp:val=&quot;00EE4C36&quot;/&gt;&lt;wsp:rsid wsp:val=&quot;00EE4C3F&quot;/&gt;&lt;wsp:rsid wsp:val=&quot;00EE5823&quot;/&gt;&lt;wsp:rsid wsp:val=&quot;00EE63E0&quot;/&gt;&lt;wsp:rsid wsp:val=&quot;00EF08E1&quot;/&gt;&lt;wsp:rsid wsp:val=&quot;00EF181A&quot;/&gt;&lt;wsp:rsid wsp:val=&quot;00EF19F1&quot;/&gt;&lt;wsp:rsid wsp:val=&quot;00EF1C6F&quot;/&gt;&lt;wsp:rsid wsp:val=&quot;00EF26EF&quot;/&gt;&lt;wsp:rsid wsp:val=&quot;00EF402D&quot;/&gt;&lt;wsp:rsid wsp:val=&quot;00EF4B6D&quot;/&gt;&lt;wsp:rsid wsp:val=&quot;00EF500B&quot;/&gt;&lt;wsp:rsid wsp:val=&quot;00EF6913&quot;/&gt;&lt;wsp:rsid wsp:val=&quot;00EF696D&quot;/&gt;&lt;wsp:rsid wsp:val=&quot;00EF6AE6&quot;/&gt;&lt;wsp:rsid wsp:val=&quot;00EF6D58&quot;/&gt;&lt;wsp:rsid wsp:val=&quot;00EF7F6C&quot;/&gt;&lt;wsp:rsid wsp:val=&quot;00F01D2D&quot;/&gt;&lt;wsp:rsid wsp:val=&quot;00F020BA&quot;/&gt;&lt;wsp:rsid wsp:val=&quot;00F02203&quot;/&gt;&lt;wsp:rsid wsp:val=&quot;00F025CA&quot;/&gt;&lt;wsp:rsid wsp:val=&quot;00F05A56&quot;/&gt;&lt;wsp:rsid wsp:val=&quot;00F05B9C&quot;/&gt;&lt;wsp:rsid wsp:val=&quot;00F067A5&quot;/&gt;&lt;wsp:rsid wsp:val=&quot;00F069D0&quot;/&gt;&lt;wsp:rsid wsp:val=&quot;00F0712C&quot;/&gt;&lt;wsp:rsid wsp:val=&quot;00F079CE&quot;/&gt;&lt;wsp:rsid wsp:val=&quot;00F079FE&quot;/&gt;&lt;wsp:rsid wsp:val=&quot;00F104D6&quot;/&gt;&lt;wsp:rsid wsp:val=&quot;00F112BB&quot;/&gt;&lt;wsp:rsid wsp:val=&quot;00F1162A&quot;/&gt;&lt;wsp:rsid wsp:val=&quot;00F11F49&quot;/&gt;&lt;wsp:rsid wsp:val=&quot;00F12151&quot;/&gt;&lt;wsp:rsid wsp:val=&quot;00F13341&quot;/&gt;&lt;wsp:rsid wsp:val=&quot;00F13656&quot;/&gt;&lt;wsp:rsid wsp:val=&quot;00F137CC&quot;/&gt;&lt;wsp:rsid wsp:val=&quot;00F140F0&quot;/&gt;&lt;wsp:rsid wsp:val=&quot;00F14ADA&quot;/&gt;&lt;wsp:rsid wsp:val=&quot;00F14DE7&quot;/&gt;&lt;wsp:rsid wsp:val=&quot;00F15056&quot;/&gt;&lt;wsp:rsid wsp:val=&quot;00F1665E&quot;/&gt;&lt;wsp:rsid wsp:val=&quot;00F16696&quot;/&gt;&lt;wsp:rsid wsp:val=&quot;00F17D18&quot;/&gt;&lt;wsp:rsid wsp:val=&quot;00F20A5D&quot;/&gt;&lt;wsp:rsid wsp:val=&quot;00F20E3F&quot;/&gt;&lt;wsp:rsid wsp:val=&quot;00F21912&quot;/&gt;&lt;wsp:rsid wsp:val=&quot;00F21F21&quot;/&gt;&lt;wsp:rsid wsp:val=&quot;00F2212E&quot;/&gt;&lt;wsp:rsid wsp:val=&quot;00F22659&quot;/&gt;&lt;wsp:rsid wsp:val=&quot;00F22830&quot;/&gt;&lt;wsp:rsid wsp:val=&quot;00F2324D&quot;/&gt;&lt;wsp:rsid wsp:val=&quot;00F23CB9&quot;/&gt;&lt;wsp:rsid wsp:val=&quot;00F23DF5&quot;/&gt;&lt;wsp:rsid wsp:val=&quot;00F2430C&quot;/&gt;&lt;wsp:rsid wsp:val=&quot;00F246D0&quot;/&gt;&lt;wsp:rsid wsp:val=&quot;00F251BD&quot;/&gt;&lt;wsp:rsid wsp:val=&quot;00F26155&quot;/&gt;&lt;wsp:rsid wsp:val=&quot;00F263C6&quot;/&gt;&lt;wsp:rsid wsp:val=&quot;00F30197&quot;/&gt;&lt;wsp:rsid wsp:val=&quot;00F3313D&quot;/&gt;&lt;wsp:rsid wsp:val=&quot;00F3469A&quot;/&gt;&lt;wsp:rsid wsp:val=&quot;00F3473D&quot;/&gt;&lt;wsp:rsid wsp:val=&quot;00F34AA1&quot;/&gt;&lt;wsp:rsid wsp:val=&quot;00F35111&quot;/&gt;&lt;wsp:rsid wsp:val=&quot;00F35F7D&quot;/&gt;&lt;wsp:rsid wsp:val=&quot;00F36448&quot;/&gt;&lt;wsp:rsid wsp:val=&quot;00F36B5C&quot;/&gt;&lt;wsp:rsid wsp:val=&quot;00F3704E&quot;/&gt;&lt;wsp:rsid wsp:val=&quot;00F40113&quot;/&gt;&lt;wsp:rsid wsp:val=&quot;00F40477&quot;/&gt;&lt;wsp:rsid wsp:val=&quot;00F40BF7&quot;/&gt;&lt;wsp:rsid wsp:val=&quot;00F40CF2&quot;/&gt;&lt;wsp:rsid wsp:val=&quot;00F40FBA&quot;/&gt;&lt;wsp:rsid wsp:val=&quot;00F41D3E&quot;/&gt;&lt;wsp:rsid wsp:val=&quot;00F43088&quot;/&gt;&lt;wsp:rsid wsp:val=&quot;00F44620&quot;/&gt;&lt;wsp:rsid wsp:val=&quot;00F44850&quot;/&gt;&lt;wsp:rsid wsp:val=&quot;00F45037&quot;/&gt;&lt;wsp:rsid wsp:val=&quot;00F456EA&quot;/&gt;&lt;wsp:rsid wsp:val=&quot;00F45FB8&quot;/&gt;&lt;wsp:rsid wsp:val=&quot;00F46268&quot;/&gt;&lt;wsp:rsid wsp:val=&quot;00F4723B&quot;/&gt;&lt;wsp:rsid wsp:val=&quot;00F475D7&quot;/&gt;&lt;wsp:rsid wsp:val=&quot;00F504D5&quot;/&gt;&lt;wsp:rsid wsp:val=&quot;00F50726&quot;/&gt;&lt;wsp:rsid wsp:val=&quot;00F50C88&quot;/&gt;&lt;wsp:rsid wsp:val=&quot;00F51136&quot;/&gt;&lt;wsp:rsid wsp:val=&quot;00F517E7&quot;/&gt;&lt;wsp:rsid wsp:val=&quot;00F51B68&quot;/&gt;&lt;wsp:rsid wsp:val=&quot;00F51CD0&quot;/&gt;&lt;wsp:rsid wsp:val=&quot;00F5209B&quot;/&gt;&lt;wsp:rsid wsp:val=&quot;00F5234D&quot;/&gt;&lt;wsp:rsid wsp:val=&quot;00F52A4C&quot;/&gt;&lt;wsp:rsid wsp:val=&quot;00F53384&quot;/&gt;&lt;wsp:rsid wsp:val=&quot;00F53ADD&quot;/&gt;&lt;wsp:rsid wsp:val=&quot;00F54197&quot;/&gt;&lt;wsp:rsid wsp:val=&quot;00F541B9&quot;/&gt;&lt;wsp:rsid wsp:val=&quot;00F54A29&quot;/&gt;&lt;wsp:rsid wsp:val=&quot;00F554DE&quot;/&gt;&lt;wsp:rsid wsp:val=&quot;00F56C9C&quot;/&gt;&lt;wsp:rsid wsp:val=&quot;00F5753C&quot;/&gt;&lt;wsp:rsid wsp:val=&quot;00F57F6D&quot;/&gt;&lt;wsp:rsid wsp:val=&quot;00F60A9F&quot;/&gt;&lt;wsp:rsid wsp:val=&quot;00F60CFE&quot;/&gt;&lt;wsp:rsid wsp:val=&quot;00F613A1&quot;/&gt;&lt;wsp:rsid wsp:val=&quot;00F6210B&quot;/&gt;&lt;wsp:rsid wsp:val=&quot;00F627CC&quot;/&gt;&lt;wsp:rsid wsp:val=&quot;00F6281A&quot;/&gt;&lt;wsp:rsid wsp:val=&quot;00F62B74&quot;/&gt;&lt;wsp:rsid wsp:val=&quot;00F63BC1&quot;/&gt;&lt;wsp:rsid wsp:val=&quot;00F64143&quot;/&gt;&lt;wsp:rsid wsp:val=&quot;00F6479C&quot;/&gt;&lt;wsp:rsid wsp:val=&quot;00F65C21&quot;/&gt;&lt;wsp:rsid wsp:val=&quot;00F66664&quot;/&gt;&lt;wsp:rsid wsp:val=&quot;00F66761&quot;/&gt;&lt;wsp:rsid wsp:val=&quot;00F66D01&quot;/&gt;&lt;wsp:rsid wsp:val=&quot;00F671E2&quot;/&gt;&lt;wsp:rsid wsp:val=&quot;00F67E22&quot;/&gt;&lt;wsp:rsid wsp:val=&quot;00F70B71&quot;/&gt;&lt;wsp:rsid wsp:val=&quot;00F711F1&quot;/&gt;&lt;wsp:rsid wsp:val=&quot;00F71EA4&quot;/&gt;&lt;wsp:rsid wsp:val=&quot;00F72525&quot;/&gt;&lt;wsp:rsid wsp:val=&quot;00F72D06&quot;/&gt;&lt;wsp:rsid wsp:val=&quot;00F74C0D&quot;/&gt;&lt;wsp:rsid wsp:val=&quot;00F752D4&quot;/&gt;&lt;wsp:rsid wsp:val=&quot;00F75427&quot;/&gt;&lt;wsp:rsid wsp:val=&quot;00F76426&quot;/&gt;&lt;wsp:rsid wsp:val=&quot;00F7716D&quot;/&gt;&lt;wsp:rsid wsp:val=&quot;00F81164&quot;/&gt;&lt;wsp:rsid wsp:val=&quot;00F82E4E&quot;/&gt;&lt;wsp:rsid wsp:val=&quot;00F8356F&quot;/&gt;&lt;wsp:rsid wsp:val=&quot;00F8372B&quot;/&gt;&lt;wsp:rsid wsp:val=&quot;00F8421E&quot;/&gt;&lt;wsp:rsid wsp:val=&quot;00F84A7B&quot;/&gt;&lt;wsp:rsid wsp:val=&quot;00F84B6A&quot;/&gt;&lt;wsp:rsid wsp:val=&quot;00F8546E&quot;/&gt;&lt;wsp:rsid wsp:val=&quot;00F858E1&quot;/&gt;&lt;wsp:rsid wsp:val=&quot;00F85DCB&quot;/&gt;&lt;wsp:rsid wsp:val=&quot;00F86FF9&quot;/&gt;&lt;wsp:rsid wsp:val=&quot;00F87206&quot;/&gt;&lt;wsp:rsid wsp:val=&quot;00F906B7&quot;/&gt;&lt;wsp:rsid wsp:val=&quot;00F9116A&quot;/&gt;&lt;wsp:rsid wsp:val=&quot;00F91AC4&quot;/&gt;&lt;wsp:rsid wsp:val=&quot;00F923EB&quot;/&gt;&lt;wsp:rsid wsp:val=&quot;00F936C1&quot;/&gt;&lt;wsp:rsid wsp:val=&quot;00F93DC2&quot;/&gt;&lt;wsp:rsid wsp:val=&quot;00F93F81&quot;/&gt;&lt;wsp:rsid wsp:val=&quot;00F9592F&quot;/&gt;&lt;wsp:rsid wsp:val=&quot;00F96FAB&quot;/&gt;&lt;wsp:rsid wsp:val=&quot;00F9701A&quot;/&gt;&lt;wsp:rsid wsp:val=&quot;00F97A56&quot;/&gt;&lt;wsp:rsid wsp:val=&quot;00FA047D&quot;/&gt;&lt;wsp:rsid wsp:val=&quot;00FA1063&quot;/&gt;&lt;wsp:rsid wsp:val=&quot;00FA1461&quot;/&gt;&lt;wsp:rsid wsp:val=&quot;00FA1697&quot;/&gt;&lt;wsp:rsid wsp:val=&quot;00FA171D&quot;/&gt;&lt;wsp:rsid wsp:val=&quot;00FA17BE&quot;/&gt;&lt;wsp:rsid wsp:val=&quot;00FA1A2F&quot;/&gt;&lt;wsp:rsid wsp:val=&quot;00FA3379&quot;/&gt;&lt;wsp:rsid wsp:val=&quot;00FA3A94&quot;/&gt;&lt;wsp:rsid wsp:val=&quot;00FA3C3F&quot;/&gt;&lt;wsp:rsid wsp:val=&quot;00FA5AAE&quot;/&gt;&lt;wsp:rsid wsp:val=&quot;00FA5D8F&quot;/&gt;&lt;wsp:rsid wsp:val=&quot;00FA7D2E&quot;/&gt;&lt;wsp:rsid wsp:val=&quot;00FB09E1&quot;/&gt;&lt;wsp:rsid wsp:val=&quot;00FB158E&quot;/&gt;&lt;wsp:rsid wsp:val=&quot;00FB1CF9&quot;/&gt;&lt;wsp:rsid wsp:val=&quot;00FB20B1&quot;/&gt;&lt;wsp:rsid wsp:val=&quot;00FB23C1&quot;/&gt;&lt;wsp:rsid wsp:val=&quot;00FB4AFF&quot;/&gt;&lt;wsp:rsid wsp:val=&quot;00FB5576&quot;/&gt;&lt;wsp:rsid wsp:val=&quot;00FB56CF&quot;/&gt;&lt;wsp:rsid wsp:val=&quot;00FB636D&quot;/&gt;&lt;wsp:rsid wsp:val=&quot;00FB6629&quot;/&gt;&lt;wsp:rsid wsp:val=&quot;00FB6CFB&quot;/&gt;&lt;wsp:rsid wsp:val=&quot;00FB7945&quot;/&gt;&lt;wsp:rsid wsp:val=&quot;00FC0D58&quot;/&gt;&lt;wsp:rsid wsp:val=&quot;00FC12B0&quot;/&gt;&lt;wsp:rsid wsp:val=&quot;00FC27AA&quot;/&gt;&lt;wsp:rsid wsp:val=&quot;00FC2CE6&quot;/&gt;&lt;wsp:rsid wsp:val=&quot;00FC31B7&quot;/&gt;&lt;wsp:rsid wsp:val=&quot;00FC325F&quot;/&gt;&lt;wsp:rsid wsp:val=&quot;00FC3E54&quot;/&gt;&lt;wsp:rsid wsp:val=&quot;00FC4370&quot;/&gt;&lt;wsp:rsid wsp:val=&quot;00FC4E1E&quot;/&gt;&lt;wsp:rsid wsp:val=&quot;00FC5E51&quot;/&gt;&lt;wsp:rsid wsp:val=&quot;00FC70FB&quot;/&gt;&lt;wsp:rsid wsp:val=&quot;00FD0180&quot;/&gt;&lt;wsp:rsid wsp:val=&quot;00FD1482&quot;/&gt;&lt;wsp:rsid wsp:val=&quot;00FD171C&quot;/&gt;&lt;wsp:rsid wsp:val=&quot;00FD1B97&quot;/&gt;&lt;wsp:rsid wsp:val=&quot;00FD3507&quot;/&gt;&lt;wsp:rsid wsp:val=&quot;00FD3EBE&quot;/&gt;&lt;wsp:rsid wsp:val=&quot;00FD3F04&quot;/&gt;&lt;wsp:rsid wsp:val=&quot;00FD4604&quot;/&gt;&lt;wsp:rsid wsp:val=&quot;00FD6BD6&quot;/&gt;&lt;wsp:rsid wsp:val=&quot;00FD7C07&quot;/&gt;&lt;wsp:rsid wsp:val=&quot;00FE05F7&quot;/&gt;&lt;wsp:rsid wsp:val=&quot;00FE06AB&quot;/&gt;&lt;wsp:rsid wsp:val=&quot;00FE261C&quot;/&gt;&lt;wsp:rsid wsp:val=&quot;00FE3151&quot;/&gt;&lt;wsp:rsid wsp:val=&quot;00FE333D&quot;/&gt;&lt;wsp:rsid wsp:val=&quot;00FE36C3&quot;/&gt;&lt;wsp:rsid wsp:val=&quot;00FE44F0&quot;/&gt;&lt;wsp:rsid wsp:val=&quot;00FE5DAC&quot;/&gt;&lt;wsp:rsid wsp:val=&quot;00FE60B9&quot;/&gt;&lt;wsp:rsid wsp:val=&quot;00FE6FB2&quot;/&gt;&lt;wsp:rsid wsp:val=&quot;00FE76E0&quot;/&gt;&lt;wsp:rsid wsp:val=&quot;00FF046C&quot;/&gt;&lt;wsp:rsid wsp:val=&quot;00FF07B8&quot;/&gt;&lt;wsp:rsid wsp:val=&quot;00FF0B63&quot;/&gt;&lt;wsp:rsid wsp:val=&quot;00FF0DEB&quot;/&gt;&lt;wsp:rsid wsp:val=&quot;00FF21EB&quot;/&gt;&lt;wsp:rsid wsp:val=&quot;00FF2E08&quot;/&gt;&lt;wsp:rsid wsp:val=&quot;00FF37A1&quot;/&gt;&lt;wsp:rsid wsp:val=&quot;00FF4661&quot;/&gt;&lt;wsp:rsid wsp:val=&quot;00FF4C34&quot;/&gt;&lt;wsp:rsid wsp:val=&quot;00FF4F75&quot;/&gt;&lt;wsp:rsid wsp:val=&quot;00FF5E04&quot;/&gt;&lt;wsp:rsid wsp:val=&quot;00FF6515&quot;/&gt;&lt;wsp:rsid wsp:val=&quot;00FF669D&quot;/&gt;&lt;wsp:rsid wsp:val=&quot;00FF6979&quot;/&gt;&lt;wsp:rsid wsp:val=&quot;00FF7011&quot;/&gt;&lt;wsp:rsid wsp:val=&quot;00FF7723&quot;/&gt;&lt;wsp:rsid wsp:val=&quot;00FF79DE&quot;/&gt;&lt;wsp:rsid wsp:val=&quot;0471177E&quot;/&gt;&lt;wsp:rsid wsp:val=&quot;05E3020F&quot;/&gt;&lt;wsp:rsid wsp:val=&quot;08724604&quot;/&gt;&lt;wsp:rsid wsp:val=&quot;0C1803E3&quot;/&gt;&lt;wsp:rsid wsp:val=&quot;0C990E7C&quot;/&gt;&lt;wsp:rsid wsp:val=&quot;0CAD7F05&quot;/&gt;&lt;wsp:rsid wsp:val=&quot;11873A80&quot;/&gt;&lt;wsp:rsid wsp:val=&quot;17BC422F&quot;/&gt;&lt;wsp:rsid wsp:val=&quot;18E707A5&quot;/&gt;&lt;wsp:rsid wsp:val=&quot;1A433BB2&quot;/&gt;&lt;wsp:rsid wsp:val=&quot;23D3070A&quot;/&gt;&lt;wsp:rsid wsp:val=&quot;25350811&quot;/&gt;&lt;wsp:rsid wsp:val=&quot;289B1E8D&quot;/&gt;&lt;wsp:rsid wsp:val=&quot;2E6F0B8E&quot;/&gt;&lt;wsp:rsid wsp:val=&quot;304D5659&quot;/&gt;&lt;wsp:rsid wsp:val=&quot;317F025F&quot;/&gt;&lt;wsp:rsid wsp:val=&quot;368D0334&quot;/&gt;&lt;wsp:rsid wsp:val=&quot;40055E36&quot;/&gt;&lt;wsp:rsid wsp:val=&quot;40CE4415&quot;/&gt;&lt;wsp:rsid wsp:val=&quot;46A25A7F&quot;/&gt;&lt;wsp:rsid wsp:val=&quot;485A4EA6&quot;/&gt;&lt;wsp:rsid wsp:val=&quot;49CB60E5&quot;/&gt;&lt;wsp:rsid wsp:val=&quot;546859EB&quot;/&gt;&lt;wsp:rsid wsp:val=&quot;58D46D47&quot;/&gt;&lt;wsp:rsid wsp:val=&quot;5CD44510&quot;/&gt;&lt;wsp:rsid wsp:val=&quot;5D4516CB&quot;/&gt;&lt;wsp:rsid wsp:val=&quot;5D860F6B&quot;/&gt;&lt;wsp:rsid wsp:val=&quot;68B430FC&quot;/&gt;&lt;wsp:rsid wsp:val=&quot;6A2A4C91&quot;/&gt;&lt;wsp:rsid wsp:val=&quot;715012E2&quot;/&gt;&lt;wsp:rsid wsp:val=&quot;71DF487E&quot;/&gt;&lt;wsp:rsid wsp:val=&quot;735343C5&quot;/&gt;&lt;wsp:rsid wsp:val=&quot;78F91B53&quot;/&gt;&lt;wsp:rsid wsp:val=&quot;7C64631E&quot;/&gt;&lt;wsp:rsid wsp:val=&quot;7D423CE2&quot;/&gt;&lt;/wsp:rsids&gt;&lt;/w:docPr&gt;&lt;w:body&gt;&lt;wx:sect&gt;&lt;w:p wsp:rsidR=&quot;00000000&quot; wsp:rsidRDefault=&quot;006D18E0&quot; wsp:rsidP=&quot;006D18E0&quot;&gt;&lt;m:oMathPara&gt;&lt;m:oMath&gt;&lt;m:sSubSup&gt;&lt;m:sSubSupPr&gt;&lt;m:ctrlPr&gt;&lt;w:rPr&gt;&lt;w:rFonts w:ascii=&quot;Cambria Math&quot; w:h-ansi=&quot;Cambria Math&quot;/&gt;&lt;wx:font wx:val=&quot;Cambria Math&quot;/&gt;&lt;/w:rPr&gt;&lt;/m:ctrlPr&gt;&lt;/m:sSubSupPr&gt;&lt;m:e&gt;&lt;m:r&gt;&lt;w:rPr&gt;&lt;w:rFonts w:ascii=&quot;Cambria Math&quot; w:h-ansi=&quot;Cambria Math&quot;/&gt;&lt;wx:font wx:val=&quot;Cambria Math&quot;/&gt;&lt;w:i/&gt;&lt;/w:rPr&gt;&lt;m:t&gt;u&lt;/m:t&gt;&lt;/m:r&gt;&lt;/m:e&gt;&lt;m:sub&gt;&lt;m:r&gt;&lt;w:rPr&gt;&lt;w:rFonts w:ascii=&quot;Cambria Math&quot; w:h-ansi=&quot;Cambria Math&quot;/&gt;&lt;wx:font wx:val=&quot;Cambria Math&quot;/&gt;&lt;w:i/&gt;&lt;/w:rPr&gt;&lt;m:t&gt;t&lt;/m:t&gt;&lt;/m:r&gt;&lt;/m:sub&gt;&lt;m:sup&gt;&lt;m:r&gt;&lt;w:rPr&gt;&lt;w:rFonts w:ascii=&quot;Cambria Math&quot; w:h-ansi=&quot;Cambria Math&quot;/&gt;&lt;wx:font wx:val=&quot;Cambria Math&quot;/&gt;&lt;w:i/&gt;&lt;/w:rPr&gt;&lt;m:t&gt;*&lt;/m:t&gt;&lt;/m:r&gt;&lt;/m:sup&gt;&lt;/m:sSub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23" chromakey="#FFFFFF" o:title=""/>
                  <o:lock v:ext="edit" aspectratio="t"/>
                  <w10:wrap type="none"/>
                  <w10:anchorlock/>
                </v:shape>
              </w:pict>
            </w:r>
            <w:r>
              <w:rPr>
                <w:rFonts w:hint="default" w:ascii="Times New Roman" w:hAnsi="Times New Roman" w:eastAsia="宋体" w:cs="Times New Roman"/>
                <w:color w:val="auto"/>
                <w:sz w:val="24"/>
                <w:szCs w:val="24"/>
                <w:highlight w:val="none"/>
              </w:rPr>
              <w:instrText xml:space="preserve">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position w:val="-8"/>
                <w:sz w:val="24"/>
                <w:szCs w:val="24"/>
                <w:highlight w:val="none"/>
              </w:rPr>
              <w:pict>
                <v:shape id="_x0000_i1030" o:spt="75" type="#_x0000_t75" style="height:15.75pt;width:10.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94&quot;/&gt;&lt;w:displayBackgroundShape/&gt;&lt;w:doNotEmbedSystemFonts/&gt;&lt;w:bordersDontSurroundHeader/&gt;&lt;w:bordersDontSurroundFooter/&gt;&lt;w:hideSpellingErrors/&gt;&lt;w:defaultTabStop w:val=&quot;420&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82A5A&quot;/&gt;&lt;wsp:rsid wsp:val=&quot;00000D02&quot;/&gt;&lt;wsp:rsid wsp:val=&quot;00000F90&quot;/&gt;&lt;wsp:rsid wsp:val=&quot;00002DD6&quot;/&gt;&lt;wsp:rsid wsp:val=&quot;00003C3B&quot;/&gt;&lt;wsp:rsid wsp:val=&quot;00004137&quot;/&gt;&lt;wsp:rsid wsp:val=&quot;00004407&quot;/&gt;&lt;wsp:rsid wsp:val=&quot;000048CB&quot;/&gt;&lt;wsp:rsid wsp:val=&quot;00004FFF&quot;/&gt;&lt;wsp:rsid wsp:val=&quot;000052ED&quot;/&gt;&lt;wsp:rsid wsp:val=&quot;000068EA&quot;/&gt;&lt;wsp:rsid wsp:val=&quot;000079C0&quot;/&gt;&lt;wsp:rsid wsp:val=&quot;00010579&quot;/&gt;&lt;wsp:rsid wsp:val=&quot;000108D9&quot;/&gt;&lt;wsp:rsid wsp:val=&quot;00011409&quot;/&gt;&lt;wsp:rsid wsp:val=&quot;0001296A&quot;/&gt;&lt;wsp:rsid wsp:val=&quot;00014275&quot;/&gt;&lt;wsp:rsid wsp:val=&quot;00014351&quot;/&gt;&lt;wsp:rsid wsp:val=&quot;0001449A&quot;/&gt;&lt;wsp:rsid wsp:val=&quot;00015DD0&quot;/&gt;&lt;wsp:rsid wsp:val=&quot;0001650C&quot;/&gt;&lt;wsp:rsid wsp:val=&quot;00017297&quot;/&gt;&lt;wsp:rsid wsp:val=&quot;00017B9C&quot;/&gt;&lt;wsp:rsid wsp:val=&quot;000205C8&quot;/&gt;&lt;wsp:rsid wsp:val=&quot;000235A3&quot;/&gt;&lt;wsp:rsid wsp:val=&quot;00023D8F&quot;/&gt;&lt;wsp:rsid wsp:val=&quot;0002422E&quot;/&gt;&lt;wsp:rsid wsp:val=&quot;000243AF&quot;/&gt;&lt;wsp:rsid wsp:val=&quot;00024BAD&quot;/&gt;&lt;wsp:rsid wsp:val=&quot;00025526&quot;/&gt;&lt;wsp:rsid wsp:val=&quot;0002623A&quot;/&gt;&lt;wsp:rsid wsp:val=&quot;000262D7&quot;/&gt;&lt;wsp:rsid wsp:val=&quot;0002637C&quot;/&gt;&lt;wsp:rsid wsp:val=&quot;0002690B&quot;/&gt;&lt;wsp:rsid wsp:val=&quot;00026B3C&quot;/&gt;&lt;wsp:rsid wsp:val=&quot;0002708F&quot;/&gt;&lt;wsp:rsid wsp:val=&quot;0003165E&quot;/&gt;&lt;wsp:rsid wsp:val=&quot;0003172F&quot;/&gt;&lt;wsp:rsid wsp:val=&quot;0003188D&quot;/&gt;&lt;wsp:rsid wsp:val=&quot;00031D66&quot;/&gt;&lt;wsp:rsid wsp:val=&quot;00031F5A&quot;/&gt;&lt;wsp:rsid wsp:val=&quot;000333B7&quot;/&gt;&lt;wsp:rsid wsp:val=&quot;00034880&quot;/&gt;&lt;wsp:rsid wsp:val=&quot;00034881&quot;/&gt;&lt;wsp:rsid wsp:val=&quot;000355F3&quot;/&gt;&lt;wsp:rsid wsp:val=&quot;0003581E&quot;/&gt;&lt;wsp:rsid wsp:val=&quot;000363A7&quot;/&gt;&lt;wsp:rsid wsp:val=&quot;000368BC&quot;/&gt;&lt;wsp:rsid wsp:val=&quot;000370F0&quot;/&gt;&lt;wsp:rsid wsp:val=&quot;00037309&quot;/&gt;&lt;wsp:rsid wsp:val=&quot;00037E96&quot;/&gt;&lt;wsp:rsid wsp:val=&quot;000400F4&quot;/&gt;&lt;wsp:rsid wsp:val=&quot;000407EF&quot;/&gt;&lt;wsp:rsid wsp:val=&quot;000408A6&quot;/&gt;&lt;wsp:rsid wsp:val=&quot;000408AB&quot;/&gt;&lt;wsp:rsid wsp:val=&quot;0004180C&quot;/&gt;&lt;wsp:rsid wsp:val=&quot;00041E3C&quot;/&gt;&lt;wsp:rsid wsp:val=&quot;00042180&quot;/&gt;&lt;wsp:rsid wsp:val=&quot;00042E92&quot;/&gt;&lt;wsp:rsid wsp:val=&quot;0004360D&quot;/&gt;&lt;wsp:rsid wsp:val=&quot;0004371E&quot;/&gt;&lt;wsp:rsid wsp:val=&quot;00043952&quot;/&gt;&lt;wsp:rsid wsp:val=&quot;00044DE2&quot;/&gt;&lt;wsp:rsid wsp:val=&quot;00045662&quot;/&gt;&lt;wsp:rsid wsp:val=&quot;00046772&quot;/&gt;&lt;wsp:rsid wsp:val=&quot;0004683B&quot;/&gt;&lt;wsp:rsid wsp:val=&quot;0004701E&quot;/&gt;&lt;wsp:rsid wsp:val=&quot;00050BF0&quot;/&gt;&lt;wsp:rsid wsp:val=&quot;00051A43&quot;/&gt;&lt;wsp:rsid wsp:val=&quot;000533F2&quot;/&gt;&lt;wsp:rsid wsp:val=&quot;000535D6&quot;/&gt;&lt;wsp:rsid wsp:val=&quot;00054EE6&quot;/&gt;&lt;wsp:rsid wsp:val=&quot;0005634C&quot;/&gt;&lt;wsp:rsid wsp:val=&quot;00056B61&quot;/&gt;&lt;wsp:rsid wsp:val=&quot;00057E6E&quot;/&gt;&lt;wsp:rsid wsp:val=&quot;000607AD&quot;/&gt;&lt;wsp:rsid wsp:val=&quot;0006125E&quot;/&gt;&lt;wsp:rsid wsp:val=&quot;00061796&quot;/&gt;&lt;wsp:rsid wsp:val=&quot;00061812&quot;/&gt;&lt;wsp:rsid wsp:val=&quot;00064956&quot;/&gt;&lt;wsp:rsid wsp:val=&quot;00064F3B&quot;/&gt;&lt;wsp:rsid wsp:val=&quot;00065A8F&quot;/&gt;&lt;wsp:rsid wsp:val=&quot;00065F29&quot;/&gt;&lt;wsp:rsid wsp:val=&quot;00070A09&quot;/&gt;&lt;wsp:rsid wsp:val=&quot;00070C7F&quot;/&gt;&lt;wsp:rsid wsp:val=&quot;00073CB1&quot;/&gt;&lt;wsp:rsid wsp:val=&quot;00074058&quot;/&gt;&lt;wsp:rsid wsp:val=&quot;00074AFD&quot;/&gt;&lt;wsp:rsid wsp:val=&quot;00074E15&quot;/&gt;&lt;wsp:rsid wsp:val=&quot;00075C0B&quot;/&gt;&lt;wsp:rsid wsp:val=&quot;00075F90&quot;/&gt;&lt;wsp:rsid wsp:val=&quot;00075FF9&quot;/&gt;&lt;wsp:rsid wsp:val=&quot;000763A0&quot;/&gt;&lt;wsp:rsid wsp:val=&quot;00076760&quot;/&gt;&lt;wsp:rsid wsp:val=&quot;00077C6E&quot;/&gt;&lt;wsp:rsid wsp:val=&quot;00077EBB&quot;/&gt;&lt;wsp:rsid wsp:val=&quot;0008028D&quot;/&gt;&lt;wsp:rsid wsp:val=&quot;00080AA2&quot;/&gt;&lt;wsp:rsid wsp:val=&quot;00080BDD&quot;/&gt;&lt;wsp:rsid wsp:val=&quot;0008159D&quot;/&gt;&lt;wsp:rsid wsp:val=&quot;00082D36&quot;/&gt;&lt;wsp:rsid wsp:val=&quot;0008396F&quot;/&gt;&lt;wsp:rsid wsp:val=&quot;00083C18&quot;/&gt;&lt;wsp:rsid wsp:val=&quot;0008442F&quot;/&gt;&lt;wsp:rsid wsp:val=&quot;000864D5&quot;/&gt;&lt;wsp:rsid wsp:val=&quot;00086CF7&quot;/&gt;&lt;wsp:rsid wsp:val=&quot;00087257&quot;/&gt;&lt;wsp:rsid wsp:val=&quot;00087498&quot;/&gt;&lt;wsp:rsid wsp:val=&quot;000877C8&quot;/&gt;&lt;wsp:rsid wsp:val=&quot;00087FE8&quot;/&gt;&lt;wsp:rsid wsp:val=&quot;00090424&quot;/&gt;&lt;wsp:rsid wsp:val=&quot;000909D8&quot;/&gt;&lt;wsp:rsid wsp:val=&quot;00090C5E&quot;/&gt;&lt;wsp:rsid wsp:val=&quot;000917E6&quot;/&gt;&lt;wsp:rsid wsp:val=&quot;00091B7C&quot;/&gt;&lt;wsp:rsid wsp:val=&quot;00092B59&quot;/&gt;&lt;wsp:rsid wsp:val=&quot;000930C4&quot;/&gt;&lt;wsp:rsid wsp:val=&quot;00093812&quot;/&gt;&lt;wsp:rsid wsp:val=&quot;000964A7&quot;/&gt;&lt;wsp:rsid wsp:val=&quot;000978C5&quot;/&gt;&lt;wsp:rsid wsp:val=&quot;000A08F1&quot;/&gt;&lt;wsp:rsid wsp:val=&quot;000A1217&quot;/&gt;&lt;wsp:rsid wsp:val=&quot;000A20E0&quot;/&gt;&lt;wsp:rsid wsp:val=&quot;000A2264&quot;/&gt;&lt;wsp:rsid wsp:val=&quot;000A38FB&quot;/&gt;&lt;wsp:rsid wsp:val=&quot;000A457D&quot;/&gt;&lt;wsp:rsid wsp:val=&quot;000A4F2C&quot;/&gt;&lt;wsp:rsid wsp:val=&quot;000A589B&quot;/&gt;&lt;wsp:rsid wsp:val=&quot;000A5F49&quot;/&gt;&lt;wsp:rsid wsp:val=&quot;000A64EA&quot;/&gt;&lt;wsp:rsid wsp:val=&quot;000A7A05&quot;/&gt;&lt;wsp:rsid wsp:val=&quot;000B1DD7&quot;/&gt;&lt;wsp:rsid wsp:val=&quot;000B34F4&quot;/&gt;&lt;wsp:rsid wsp:val=&quot;000B487E&quot;/&gt;&lt;wsp:rsid wsp:val=&quot;000B4973&quot;/&gt;&lt;wsp:rsid wsp:val=&quot;000B49B2&quot;/&gt;&lt;wsp:rsid wsp:val=&quot;000B4C16&quot;/&gt;&lt;wsp:rsid wsp:val=&quot;000B4EE4&quot;/&gt;&lt;wsp:rsid wsp:val=&quot;000B56C3&quot;/&gt;&lt;wsp:rsid wsp:val=&quot;000B69BE&quot;/&gt;&lt;wsp:rsid wsp:val=&quot;000B6AF4&quot;/&gt;&lt;wsp:rsid wsp:val=&quot;000C2528&quot;/&gt;&lt;wsp:rsid wsp:val=&quot;000C2696&quot;/&gt;&lt;wsp:rsid wsp:val=&quot;000C2B0E&quot;/&gt;&lt;wsp:rsid wsp:val=&quot;000C3650&quot;/&gt;&lt;wsp:rsid wsp:val=&quot;000C366B&quot;/&gt;&lt;wsp:rsid wsp:val=&quot;000C4235&quot;/&gt;&lt;wsp:rsid wsp:val=&quot;000C54D5&quot;/&gt;&lt;wsp:rsid wsp:val=&quot;000C57FB&quot;/&gt;&lt;wsp:rsid wsp:val=&quot;000C5E64&quot;/&gt;&lt;wsp:rsid wsp:val=&quot;000C6333&quot;/&gt;&lt;wsp:rsid wsp:val=&quot;000C64F8&quot;/&gt;&lt;wsp:rsid wsp:val=&quot;000D0338&quot;/&gt;&lt;wsp:rsid wsp:val=&quot;000D07AD&quot;/&gt;&lt;wsp:rsid wsp:val=&quot;000D08DB&quot;/&gt;&lt;wsp:rsid wsp:val=&quot;000D1088&quot;/&gt;&lt;wsp:rsid wsp:val=&quot;000D168E&quot;/&gt;&lt;wsp:rsid wsp:val=&quot;000D2F3D&quot;/&gt;&lt;wsp:rsid wsp:val=&quot;000D37FA&quot;/&gt;&lt;wsp:rsid wsp:val=&quot;000D6076&quot;/&gt;&lt;wsp:rsid wsp:val=&quot;000D7188&quot;/&gt;&lt;wsp:rsid wsp:val=&quot;000D7605&quot;/&gt;&lt;wsp:rsid wsp:val=&quot;000E0759&quot;/&gt;&lt;wsp:rsid wsp:val=&quot;000E0FF9&quot;/&gt;&lt;wsp:rsid wsp:val=&quot;000E37D9&quot;/&gt;&lt;wsp:rsid wsp:val=&quot;000E401E&quot;/&gt;&lt;wsp:rsid wsp:val=&quot;000E4700&quot;/&gt;&lt;wsp:rsid wsp:val=&quot;000E4DA3&quot;/&gt;&lt;wsp:rsid wsp:val=&quot;000E55BB&quot;/&gt;&lt;wsp:rsid wsp:val=&quot;000E5840&quot;/&gt;&lt;wsp:rsid wsp:val=&quot;000E5FD7&quot;/&gt;&lt;wsp:rsid wsp:val=&quot;000E68B4&quot;/&gt;&lt;wsp:rsid wsp:val=&quot;000E72E8&quot;/&gt;&lt;wsp:rsid wsp:val=&quot;000F03AE&quot;/&gt;&lt;wsp:rsid wsp:val=&quot;000F089B&quot;/&gt;&lt;wsp:rsid wsp:val=&quot;000F106C&quot;/&gt;&lt;wsp:rsid wsp:val=&quot;000F2649&quot;/&gt;&lt;wsp:rsid wsp:val=&quot;000F28E7&quot;/&gt;&lt;wsp:rsid wsp:val=&quot;000F39C8&quot;/&gt;&lt;wsp:rsid wsp:val=&quot;000F3B35&quot;/&gt;&lt;wsp:rsid wsp:val=&quot;000F3DB3&quot;/&gt;&lt;wsp:rsid wsp:val=&quot;000F508C&quot;/&gt;&lt;wsp:rsid wsp:val=&quot;000F53E1&quot;/&gt;&lt;wsp:rsid wsp:val=&quot;000F6B60&quot;/&gt;&lt;wsp:rsid wsp:val=&quot;00100E94&quot;/&gt;&lt;wsp:rsid wsp:val=&quot;0010109B&quot;/&gt;&lt;wsp:rsid wsp:val=&quot;00101299&quot;/&gt;&lt;wsp:rsid wsp:val=&quot;00102D42&quot;/&gt;&lt;wsp:rsid wsp:val=&quot;00102DA9&quot;/&gt;&lt;wsp:rsid wsp:val=&quot;00102EE0&quot;/&gt;&lt;wsp:rsid wsp:val=&quot;00103127&quot;/&gt;&lt;wsp:rsid wsp:val=&quot;001034EA&quot;/&gt;&lt;wsp:rsid wsp:val=&quot;00103B53&quot;/&gt;&lt;wsp:rsid wsp:val=&quot;001047B2&quot;/&gt;&lt;wsp:rsid wsp:val=&quot;00104C51&quot;/&gt;&lt;wsp:rsid wsp:val=&quot;00105B91&quot;/&gt;&lt;wsp:rsid wsp:val=&quot;00105BEB&quot;/&gt;&lt;wsp:rsid wsp:val=&quot;00106601&quot;/&gt;&lt;wsp:rsid wsp:val=&quot;00107554&quot;/&gt;&lt;wsp:rsid wsp:val=&quot;00107A60&quot;/&gt;&lt;wsp:rsid wsp:val=&quot;0011031F&quot;/&gt;&lt;wsp:rsid wsp:val=&quot;001103D2&quot;/&gt;&lt;wsp:rsid wsp:val=&quot;00110EB9&quot;/&gt;&lt;wsp:rsid wsp:val=&quot;00111636&quot;/&gt;&lt;wsp:rsid wsp:val=&quot;00111AC0&quot;/&gt;&lt;wsp:rsid wsp:val=&quot;001121D8&quot;/&gt;&lt;wsp:rsid wsp:val=&quot;00112217&quot;/&gt;&lt;wsp:rsid wsp:val=&quot;00112483&quot;/&gt;&lt;wsp:rsid wsp:val=&quot;00112B6C&quot;/&gt;&lt;wsp:rsid wsp:val=&quot;00113651&quot;/&gt;&lt;wsp:rsid wsp:val=&quot;001142E5&quot;/&gt;&lt;wsp:rsid wsp:val=&quot;001146BB&quot;/&gt;&lt;wsp:rsid wsp:val=&quot;001147D9&quot;/&gt;&lt;wsp:rsid wsp:val=&quot;00115ED6&quot;/&gt;&lt;wsp:rsid wsp:val=&quot;00116BC7&quot;/&gt;&lt;wsp:rsid wsp:val=&quot;00116F50&quot;/&gt;&lt;wsp:rsid wsp:val=&quot;001173B8&quot;/&gt;&lt;wsp:rsid wsp:val=&quot;00117F73&quot;/&gt;&lt;wsp:rsid wsp:val=&quot;00120383&quot;/&gt;&lt;wsp:rsid wsp:val=&quot;00120D7C&quot;/&gt;&lt;wsp:rsid wsp:val=&quot;00121C68&quot;/&gt;&lt;wsp:rsid wsp:val=&quot;001235CF&quot;/&gt;&lt;wsp:rsid wsp:val=&quot;00123A6C&quot;/&gt;&lt;wsp:rsid wsp:val=&quot;001241CD&quot;/&gt;&lt;wsp:rsid wsp:val=&quot;00125EC7&quot;/&gt;&lt;wsp:rsid wsp:val=&quot;0012609F&quot;/&gt;&lt;wsp:rsid wsp:val=&quot;00127F2B&quot;/&gt;&lt;wsp:rsid wsp:val=&quot;00130114&quot;/&gt;&lt;wsp:rsid wsp:val=&quot;0013076E&quot;/&gt;&lt;wsp:rsid wsp:val=&quot;00130B64&quot;/&gt;&lt;wsp:rsid wsp:val=&quot;00130E8C&quot;/&gt;&lt;wsp:rsid wsp:val=&quot;00131F6C&quot;/&gt;&lt;wsp:rsid wsp:val=&quot;00132836&quot;/&gt;&lt;wsp:rsid wsp:val=&quot;00133048&quot;/&gt;&lt;wsp:rsid wsp:val=&quot;00133949&quot;/&gt;&lt;wsp:rsid wsp:val=&quot;00135197&quot;/&gt;&lt;wsp:rsid wsp:val=&quot;00135B64&quot;/&gt;&lt;wsp:rsid wsp:val=&quot;001367F1&quot;/&gt;&lt;wsp:rsid wsp:val=&quot;0013719C&quot;/&gt;&lt;wsp:rsid wsp:val=&quot;001373F3&quot;/&gt;&lt;wsp:rsid wsp:val=&quot;001374BB&quot;/&gt;&lt;wsp:rsid wsp:val=&quot;001405F0&quot;/&gt;&lt;wsp:rsid wsp:val=&quot;0014082D&quot;/&gt;&lt;wsp:rsid wsp:val=&quot;00141038&quot;/&gt;&lt;wsp:rsid wsp:val=&quot;0014154B&quot;/&gt;&lt;wsp:rsid wsp:val=&quot;00141984&quot;/&gt;&lt;wsp:rsid wsp:val=&quot;00141E17&quot;/&gt;&lt;wsp:rsid wsp:val=&quot;00141EEB&quot;/&gt;&lt;wsp:rsid wsp:val=&quot;001421EA&quot;/&gt;&lt;wsp:rsid wsp:val=&quot;00142292&quot;/&gt;&lt;wsp:rsid wsp:val=&quot;001440A1&quot;/&gt;&lt;wsp:rsid wsp:val=&quot;001466ED&quot;/&gt;&lt;wsp:rsid wsp:val=&quot;001469B7&quot;/&gt;&lt;wsp:rsid wsp:val=&quot;00147BE4&quot;/&gt;&lt;wsp:rsid wsp:val=&quot;0015061D&quot;/&gt;&lt;wsp:rsid wsp:val=&quot;001508C4&quot;/&gt;&lt;wsp:rsid wsp:val=&quot;0015197D&quot;/&gt;&lt;wsp:rsid wsp:val=&quot;001523E9&quot;/&gt;&lt;wsp:rsid wsp:val=&quot;00152768&quot;/&gt;&lt;wsp:rsid wsp:val=&quot;001528FA&quot;/&gt;&lt;wsp:rsid wsp:val=&quot;00152B6D&quot;/&gt;&lt;wsp:rsid wsp:val=&quot;001532E7&quot;/&gt;&lt;wsp:rsid wsp:val=&quot;00153366&quot;/&gt;&lt;wsp:rsid wsp:val=&quot;001554B1&quot;/&gt;&lt;wsp:rsid wsp:val=&quot;00156550&quot;/&gt;&lt;wsp:rsid wsp:val=&quot;00156AA1&quot;/&gt;&lt;wsp:rsid wsp:val=&quot;00157B3E&quot;/&gt;&lt;wsp:rsid wsp:val=&quot;001611D0&quot;/&gt;&lt;wsp:rsid wsp:val=&quot;00162183&quot;/&gt;&lt;wsp:rsid wsp:val=&quot;00162845&quot;/&gt;&lt;wsp:rsid wsp:val=&quot;00162BD5&quot;/&gt;&lt;wsp:rsid wsp:val=&quot;001635E7&quot;/&gt;&lt;wsp:rsid wsp:val=&quot;001653F7&quot;/&gt;&lt;wsp:rsid wsp:val=&quot;00165B46&quot;/&gt;&lt;wsp:rsid wsp:val=&quot;00165FD3&quot;/&gt;&lt;wsp:rsid wsp:val=&quot;0016649E&quot;/&gt;&lt;wsp:rsid wsp:val=&quot;00166847&quot;/&gt;&lt;wsp:rsid wsp:val=&quot;0016733A&quot;/&gt;&lt;wsp:rsid wsp:val=&quot;001679DC&quot;/&gt;&lt;wsp:rsid wsp:val=&quot;00167AD0&quot;/&gt;&lt;wsp:rsid wsp:val=&quot;00171430&quot;/&gt;&lt;wsp:rsid wsp:val=&quot;00172401&quot;/&gt;&lt;wsp:rsid wsp:val=&quot;00172572&quot;/&gt;&lt;wsp:rsid wsp:val=&quot;00172F0A&quot;/&gt;&lt;wsp:rsid wsp:val=&quot;00172F4C&quot;/&gt;&lt;wsp:rsid wsp:val=&quot;00175205&quot;/&gt;&lt;wsp:rsid wsp:val=&quot;001774B1&quot;/&gt;&lt;wsp:rsid wsp:val=&quot;00177B4A&quot;/&gt;&lt;wsp:rsid wsp:val=&quot;0018367F&quot;/&gt;&lt;wsp:rsid wsp:val=&quot;00183C0F&quot;/&gt;&lt;wsp:rsid wsp:val=&quot;00185D25&quot;/&gt;&lt;wsp:rsid wsp:val=&quot;001873D2&quot;/&gt;&lt;wsp:rsid wsp:val=&quot;0019016D&quot;/&gt;&lt;wsp:rsid wsp:val=&quot;0019108E&quot;/&gt;&lt;wsp:rsid wsp:val=&quot;001910EB&quot;/&gt;&lt;wsp:rsid wsp:val=&quot;001916C6&quot;/&gt;&lt;wsp:rsid wsp:val=&quot;00191B64&quot;/&gt;&lt;wsp:rsid wsp:val=&quot;0019214B&quot;/&gt;&lt;wsp:rsid wsp:val=&quot;00192A2D&quot;/&gt;&lt;wsp:rsid wsp:val=&quot;00193742&quot;/&gt;&lt;wsp:rsid wsp:val=&quot;00193A8B&quot;/&gt;&lt;wsp:rsid wsp:val=&quot;00196E2A&quot;/&gt;&lt;wsp:rsid wsp:val=&quot;00197FB3&quot;/&gt;&lt;wsp:rsid wsp:val=&quot;001A0095&quot;/&gt;&lt;wsp:rsid wsp:val=&quot;001A018C&quot;/&gt;&lt;wsp:rsid wsp:val=&quot;001A1972&quot;/&gt;&lt;wsp:rsid wsp:val=&quot;001A26F3&quot;/&gt;&lt;wsp:rsid wsp:val=&quot;001A3A52&quot;/&gt;&lt;wsp:rsid wsp:val=&quot;001A5596&quot;/&gt;&lt;wsp:rsid wsp:val=&quot;001A581B&quot;/&gt;&lt;wsp:rsid wsp:val=&quot;001A5C74&quot;/&gt;&lt;wsp:rsid wsp:val=&quot;001A5CA5&quot;/&gt;&lt;wsp:rsid wsp:val=&quot;001A6E5E&quot;/&gt;&lt;wsp:rsid wsp:val=&quot;001A717A&quot;/&gt;&lt;wsp:rsid wsp:val=&quot;001A7265&quot;/&gt;&lt;wsp:rsid wsp:val=&quot;001A7B8D&quot;/&gt;&lt;wsp:rsid wsp:val=&quot;001A7E63&quot;/&gt;&lt;wsp:rsid wsp:val=&quot;001B0085&quot;/&gt;&lt;wsp:rsid wsp:val=&quot;001B1B8D&quot;/&gt;&lt;wsp:rsid wsp:val=&quot;001B1F70&quot;/&gt;&lt;wsp:rsid wsp:val=&quot;001B25A5&quot;/&gt;&lt;wsp:rsid wsp:val=&quot;001B2BA8&quot;/&gt;&lt;wsp:rsid wsp:val=&quot;001B50BD&quot;/&gt;&lt;wsp:rsid wsp:val=&quot;001B52F8&quot;/&gt;&lt;wsp:rsid wsp:val=&quot;001B5DDC&quot;/&gt;&lt;wsp:rsid wsp:val=&quot;001B755C&quot;/&gt;&lt;wsp:rsid wsp:val=&quot;001C0920&quot;/&gt;&lt;wsp:rsid wsp:val=&quot;001C1480&quot;/&gt;&lt;wsp:rsid wsp:val=&quot;001C1736&quot;/&gt;&lt;wsp:rsid wsp:val=&quot;001C20A5&quot;/&gt;&lt;wsp:rsid wsp:val=&quot;001C290B&quot;/&gt;&lt;wsp:rsid wsp:val=&quot;001C3A0D&quot;/&gt;&lt;wsp:rsid wsp:val=&quot;001C45F0&quot;/&gt;&lt;wsp:rsid wsp:val=&quot;001C6350&quot;/&gt;&lt;wsp:rsid wsp:val=&quot;001C67E3&quot;/&gt;&lt;wsp:rsid wsp:val=&quot;001C6E45&quot;/&gt;&lt;wsp:rsid wsp:val=&quot;001C777A&quot;/&gt;&lt;wsp:rsid wsp:val=&quot;001D047E&quot;/&gt;&lt;wsp:rsid wsp:val=&quot;001D081E&quot;/&gt;&lt;wsp:rsid wsp:val=&quot;001D0838&quot;/&gt;&lt;wsp:rsid wsp:val=&quot;001D0A77&quot;/&gt;&lt;wsp:rsid wsp:val=&quot;001D0EC1&quot;/&gt;&lt;wsp:rsid wsp:val=&quot;001D3440&quot;/&gt;&lt;wsp:rsid wsp:val=&quot;001D5301&quot;/&gt;&lt;wsp:rsid wsp:val=&quot;001D6606&quot;/&gt;&lt;wsp:rsid wsp:val=&quot;001D6CD5&quot;/&gt;&lt;wsp:rsid wsp:val=&quot;001D6FB8&quot;/&gt;&lt;wsp:rsid wsp:val=&quot;001D7950&quot;/&gt;&lt;wsp:rsid wsp:val=&quot;001E08A4&quot;/&gt;&lt;wsp:rsid wsp:val=&quot;001E128E&quot;/&gt;&lt;wsp:rsid wsp:val=&quot;001E17A1&quot;/&gt;&lt;wsp:rsid wsp:val=&quot;001E2F44&quot;/&gt;&lt;wsp:rsid wsp:val=&quot;001E30B2&quot;/&gt;&lt;wsp:rsid wsp:val=&quot;001E3279&quot;/&gt;&lt;wsp:rsid wsp:val=&quot;001E3E89&quot;/&gt;&lt;wsp:rsid wsp:val=&quot;001E42C4&quot;/&gt;&lt;wsp:rsid wsp:val=&quot;001E461F&quot;/&gt;&lt;wsp:rsid wsp:val=&quot;001E5821&quot;/&gt;&lt;wsp:rsid wsp:val=&quot;001E5E98&quot;/&gt;&lt;wsp:rsid wsp:val=&quot;001E7467&quot;/&gt;&lt;wsp:rsid wsp:val=&quot;001F09DB&quot;/&gt;&lt;wsp:rsid wsp:val=&quot;001F0B3E&quot;/&gt;&lt;wsp:rsid wsp:val=&quot;001F1A1C&quot;/&gt;&lt;wsp:rsid wsp:val=&quot;001F1A81&quot;/&gt;&lt;wsp:rsid wsp:val=&quot;001F2A1B&quot;/&gt;&lt;wsp:rsid wsp:val=&quot;001F339A&quot;/&gt;&lt;wsp:rsid wsp:val=&quot;001F3AAF&quot;/&gt;&lt;wsp:rsid wsp:val=&quot;001F4401&quot;/&gt;&lt;wsp:rsid wsp:val=&quot;001F531D&quot;/&gt;&lt;wsp:rsid wsp:val=&quot;001F56AD&quot;/&gt;&lt;wsp:rsid wsp:val=&quot;001F5F9E&quot;/&gt;&lt;wsp:rsid wsp:val=&quot;001F62CD&quot;/&gt;&lt;wsp:rsid wsp:val=&quot;001F6E1D&quot;/&gt;&lt;wsp:rsid wsp:val=&quot;001F7A51&quot;/&gt;&lt;wsp:rsid wsp:val=&quot;00200114&quot;/&gt;&lt;wsp:rsid wsp:val=&quot;00202547&quot;/&gt;&lt;wsp:rsid wsp:val=&quot;0020284C&quot;/&gt;&lt;wsp:rsid wsp:val=&quot;002031A3&quot;/&gt;&lt;wsp:rsid wsp:val=&quot;002048C5&quot;/&gt;&lt;wsp:rsid wsp:val=&quot;002049B5&quot;/&gt;&lt;wsp:rsid wsp:val=&quot;00205126&quot;/&gt;&lt;wsp:rsid wsp:val=&quot;002054AF&quot;/&gt;&lt;wsp:rsid wsp:val=&quot;002069AB&quot;/&gt;&lt;wsp:rsid wsp:val=&quot;0021064F&quot;/&gt;&lt;wsp:rsid wsp:val=&quot;00210F97&quot;/&gt;&lt;wsp:rsid wsp:val=&quot;002143D5&quot;/&gt;&lt;wsp:rsid wsp:val=&quot;00214737&quot;/&gt;&lt;wsp:rsid wsp:val=&quot;00214AE9&quot;/&gt;&lt;wsp:rsid wsp:val=&quot;00214C21&quot;/&gt;&lt;wsp:rsid wsp:val=&quot;00214CBA&quot;/&gt;&lt;wsp:rsid wsp:val=&quot;00215913&quot;/&gt;&lt;wsp:rsid wsp:val=&quot;00216726&quot;/&gt;&lt;wsp:rsid wsp:val=&quot;002169F3&quot;/&gt;&lt;wsp:rsid wsp:val=&quot;0021704F&quot;/&gt;&lt;wsp:rsid wsp:val=&quot;002175FC&quot;/&gt;&lt;wsp:rsid wsp:val=&quot;002206F6&quot;/&gt;&lt;wsp:rsid wsp:val=&quot;00220B1A&quot;/&gt;&lt;wsp:rsid wsp:val=&quot;00221715&quot;/&gt;&lt;wsp:rsid wsp:val=&quot;00221927&quot;/&gt;&lt;wsp:rsid wsp:val=&quot;0022225B&quot;/&gt;&lt;wsp:rsid wsp:val=&quot;002225CE&quot;/&gt;&lt;wsp:rsid wsp:val=&quot;00222F51&quot;/&gt;&lt;wsp:rsid wsp:val=&quot;00223A7A&quot;/&gt;&lt;wsp:rsid wsp:val=&quot;00227340&quot;/&gt;&lt;wsp:rsid wsp:val=&quot;002275C6&quot;/&gt;&lt;wsp:rsid wsp:val=&quot;002313B6&quot;/&gt;&lt;wsp:rsid wsp:val=&quot;002322A3&quot;/&gt;&lt;wsp:rsid wsp:val=&quot;00232642&quot;/&gt;&lt;wsp:rsid wsp:val=&quot;00233736&quot;/&gt;&lt;wsp:rsid wsp:val=&quot;00234497&quot;/&gt;&lt;wsp:rsid wsp:val=&quot;002344D7&quot;/&gt;&lt;wsp:rsid wsp:val=&quot;00234587&quot;/&gt;&lt;wsp:rsid wsp:val=&quot;00235031&quot;/&gt;&lt;wsp:rsid wsp:val=&quot;00235121&quot;/&gt;&lt;wsp:rsid wsp:val=&quot;00235496&quot;/&gt;&lt;wsp:rsid wsp:val=&quot;0023591D&quot;/&gt;&lt;wsp:rsid wsp:val=&quot;00237D7A&quot;/&gt;&lt;wsp:rsid wsp:val=&quot;00240263&quot;/&gt;&lt;wsp:rsid wsp:val=&quot;00240582&quot;/&gt;&lt;wsp:rsid wsp:val=&quot;00240D6F&quot;/&gt;&lt;wsp:rsid wsp:val=&quot;002410A6&quot;/&gt;&lt;wsp:rsid wsp:val=&quot;00242005&quot;/&gt;&lt;wsp:rsid wsp:val=&quot;00242177&quot;/&gt;&lt;wsp:rsid wsp:val=&quot;002421F8&quot;/&gt;&lt;wsp:rsid wsp:val=&quot;002435F4&quot;/&gt;&lt;wsp:rsid wsp:val=&quot;00243A36&quot;/&gt;&lt;wsp:rsid wsp:val=&quot;00243BAF&quot;/&gt;&lt;wsp:rsid wsp:val=&quot;0024531A&quot;/&gt;&lt;wsp:rsid wsp:val=&quot;00245C9D&quot;/&gt;&lt;wsp:rsid wsp:val=&quot;00245D36&quot;/&gt;&lt;wsp:rsid wsp:val=&quot;00245E1F&quot;/&gt;&lt;wsp:rsid wsp:val=&quot;00245EF6&quot;/&gt;&lt;wsp:rsid wsp:val=&quot;002460D6&quot;/&gt;&lt;wsp:rsid wsp:val=&quot;00246770&quot;/&gt;&lt;wsp:rsid wsp:val=&quot;0024718C&quot;/&gt;&lt;wsp:rsid wsp:val=&quot;002476CB&quot;/&gt;&lt;wsp:rsid wsp:val=&quot;00251FFD&quot;/&gt;&lt;wsp:rsid wsp:val=&quot;00252503&quot;/&gt;&lt;wsp:rsid wsp:val=&quot;0025273D&quot;/&gt;&lt;wsp:rsid wsp:val=&quot;00253ED6&quot;/&gt;&lt;wsp:rsid wsp:val=&quot;00254796&quot;/&gt;&lt;wsp:rsid wsp:val=&quot;002549BE&quot;/&gt;&lt;wsp:rsid wsp:val=&quot;00254EE7&quot;/&gt;&lt;wsp:rsid wsp:val=&quot;002550F7&quot;/&gt;&lt;wsp:rsid wsp:val=&quot;002569CB&quot;/&gt;&lt;wsp:rsid wsp:val=&quot;00257338&quot;/&gt;&lt;wsp:rsid wsp:val=&quot;00257427&quot;/&gt;&lt;wsp:rsid wsp:val=&quot;0025744B&quot;/&gt;&lt;wsp:rsid wsp:val=&quot;00257C57&quot;/&gt;&lt;wsp:rsid wsp:val=&quot;00260279&quot;/&gt;&lt;wsp:rsid wsp:val=&quot;002604C1&quot;/&gt;&lt;wsp:rsid wsp:val=&quot;00260538&quot;/&gt;&lt;wsp:rsid wsp:val=&quot;00260D0A&quot;/&gt;&lt;wsp:rsid wsp:val=&quot;00262177&quot;/&gt;&lt;wsp:rsid wsp:val=&quot;00262BF8&quot;/&gt;&lt;wsp:rsid wsp:val=&quot;0026364A&quot;/&gt;&lt;wsp:rsid wsp:val=&quot;00264B7E&quot;/&gt;&lt;wsp:rsid wsp:val=&quot;00265568&quot;/&gt;&lt;wsp:rsid wsp:val=&quot;00266219&quot;/&gt;&lt;wsp:rsid wsp:val=&quot;0026645C&quot;/&gt;&lt;wsp:rsid wsp:val=&quot;002666B9&quot;/&gt;&lt;wsp:rsid wsp:val=&quot;002666CC&quot;/&gt;&lt;wsp:rsid wsp:val=&quot;002677D6&quot;/&gt;&lt;wsp:rsid wsp:val=&quot;00270172&quot;/&gt;&lt;wsp:rsid wsp:val=&quot;00270802&quot;/&gt;&lt;wsp:rsid wsp:val=&quot;00270FE3&quot;/&gt;&lt;wsp:rsid wsp:val=&quot;002715FB&quot;/&gt;&lt;wsp:rsid wsp:val=&quot;0027304F&quot;/&gt;&lt;wsp:rsid wsp:val=&quot;002732D6&quot;/&gt;&lt;wsp:rsid wsp:val=&quot;00273916&quot;/&gt;&lt;wsp:rsid wsp:val=&quot;00274080&quot;/&gt;&lt;wsp:rsid wsp:val=&quot;00275000&quot;/&gt;&lt;wsp:rsid wsp:val=&quot;0027520C&quot;/&gt;&lt;wsp:rsid wsp:val=&quot;002764BD&quot;/&gt;&lt;wsp:rsid wsp:val=&quot;00276B4E&quot;/&gt;&lt;wsp:rsid wsp:val=&quot;002772BC&quot;/&gt;&lt;wsp:rsid wsp:val=&quot;00277A25&quot;/&gt;&lt;wsp:rsid wsp:val=&quot;0028000E&quot;/&gt;&lt;wsp:rsid wsp:val=&quot;00280889&quot;/&gt;&lt;wsp:rsid wsp:val=&quot;00281B3A&quot;/&gt;&lt;wsp:rsid wsp:val=&quot;00282755&quot;/&gt;&lt;wsp:rsid wsp:val=&quot;00282A5A&quot;/&gt;&lt;wsp:rsid wsp:val=&quot;00282D41&quot;/&gt;&lt;wsp:rsid wsp:val=&quot;00282D61&quot;/&gt;&lt;wsp:rsid wsp:val=&quot;00283BAB&quot;/&gt;&lt;wsp:rsid wsp:val=&quot;00283FD5&quot;/&gt;&lt;wsp:rsid wsp:val=&quot;002857BA&quot;/&gt;&lt;wsp:rsid wsp:val=&quot;0028643E&quot;/&gt;&lt;wsp:rsid wsp:val=&quot;00286759&quot;/&gt;&lt;wsp:rsid wsp:val=&quot;002873DA&quot;/&gt;&lt;wsp:rsid wsp:val=&quot;00290F19&quot;/&gt;&lt;wsp:rsid wsp:val=&quot;00292312&quot;/&gt;&lt;wsp:rsid wsp:val=&quot;0029231B&quot;/&gt;&lt;wsp:rsid wsp:val=&quot;00293998&quot;/&gt;&lt;wsp:rsid wsp:val=&quot;00295FB0&quot;/&gt;&lt;wsp:rsid wsp:val=&quot;0029646D&quot;/&gt;&lt;wsp:rsid wsp:val=&quot;00296E97&quot;/&gt;&lt;wsp:rsid wsp:val=&quot;002978EC&quot;/&gt;&lt;wsp:rsid wsp:val=&quot;00297925&quot;/&gt;&lt;wsp:rsid wsp:val=&quot;002A0A7E&quot;/&gt;&lt;wsp:rsid wsp:val=&quot;002A0E07&quot;/&gt;&lt;wsp:rsid wsp:val=&quot;002A1D0E&quot;/&gt;&lt;wsp:rsid wsp:val=&quot;002A2CC2&quot;/&gt;&lt;wsp:rsid wsp:val=&quot;002A2D71&quot;/&gt;&lt;wsp:rsid wsp:val=&quot;002A3B7E&quot;/&gt;&lt;wsp:rsid wsp:val=&quot;002A4724&quot;/&gt;&lt;wsp:rsid wsp:val=&quot;002A4E8F&quot;/&gt;&lt;wsp:rsid wsp:val=&quot;002A56F9&quot;/&gt;&lt;wsp:rsid wsp:val=&quot;002A6069&quot;/&gt;&lt;wsp:rsid wsp:val=&quot;002A654A&quot;/&gt;&lt;wsp:rsid wsp:val=&quot;002A77B9&quot;/&gt;&lt;wsp:rsid wsp:val=&quot;002B0590&quot;/&gt;&lt;wsp:rsid wsp:val=&quot;002B3A99&quot;/&gt;&lt;wsp:rsid wsp:val=&quot;002B3F77&quot;/&gt;&lt;wsp:rsid wsp:val=&quot;002B4274&quot;/&gt;&lt;wsp:rsid wsp:val=&quot;002B428A&quot;/&gt;&lt;wsp:rsid wsp:val=&quot;002B4AE6&quot;/&gt;&lt;wsp:rsid wsp:val=&quot;002B5F10&quot;/&gt;&lt;wsp:rsid wsp:val=&quot;002B60E9&quot;/&gt;&lt;wsp:rsid wsp:val=&quot;002B64F5&quot;/&gt;&lt;wsp:rsid wsp:val=&quot;002B78C4&quot;/&gt;&lt;wsp:rsid wsp:val=&quot;002B7B67&quot;/&gt;&lt;wsp:rsid wsp:val=&quot;002C0A39&quot;/&gt;&lt;wsp:rsid wsp:val=&quot;002C2F1A&quot;/&gt;&lt;wsp:rsid wsp:val=&quot;002C37F1&quot;/&gt;&lt;wsp:rsid wsp:val=&quot;002C3A74&quot;/&gt;&lt;wsp:rsid wsp:val=&quot;002C4A0B&quot;/&gt;&lt;wsp:rsid wsp:val=&quot;002C4F40&quot;/&gt;&lt;wsp:rsid wsp:val=&quot;002C5281&quot;/&gt;&lt;wsp:rsid wsp:val=&quot;002C56F0&quot;/&gt;&lt;wsp:rsid wsp:val=&quot;002C582D&quot;/&gt;&lt;wsp:rsid wsp:val=&quot;002C5D48&quot;/&gt;&lt;wsp:rsid wsp:val=&quot;002D13D7&quot;/&gt;&lt;wsp:rsid wsp:val=&quot;002D1968&quot;/&gt;&lt;wsp:rsid wsp:val=&quot;002D27D5&quot;/&gt;&lt;wsp:rsid wsp:val=&quot;002D4110&quot;/&gt;&lt;wsp:rsid wsp:val=&quot;002D4431&quot;/&gt;&lt;wsp:rsid wsp:val=&quot;002D5946&quot;/&gt;&lt;wsp:rsid wsp:val=&quot;002D5F40&quot;/&gt;&lt;wsp:rsid wsp:val=&quot;002D5FBE&quot;/&gt;&lt;wsp:rsid wsp:val=&quot;002D7D84&quot;/&gt;&lt;wsp:rsid wsp:val=&quot;002E06A9&quot;/&gt;&lt;wsp:rsid wsp:val=&quot;002E073D&quot;/&gt;&lt;wsp:rsid wsp:val=&quot;002E1CFC&quot;/&gt;&lt;wsp:rsid wsp:val=&quot;002E3138&quot;/&gt;&lt;wsp:rsid wsp:val=&quot;002E585E&quot;/&gt;&lt;wsp:rsid wsp:val=&quot;002E5A26&quot;/&gt;&lt;wsp:rsid wsp:val=&quot;002E7317&quot;/&gt;&lt;wsp:rsid wsp:val=&quot;002E7EEE&quot;/&gt;&lt;wsp:rsid wsp:val=&quot;002F0B7D&quot;/&gt;&lt;wsp:rsid wsp:val=&quot;002F1652&quot;/&gt;&lt;wsp:rsid wsp:val=&quot;002F3446&quot;/&gt;&lt;wsp:rsid wsp:val=&quot;002F4007&quot;/&gt;&lt;wsp:rsid wsp:val=&quot;002F48BA&quot;/&gt;&lt;wsp:rsid wsp:val=&quot;002F57AA&quot;/&gt;&lt;wsp:rsid wsp:val=&quot;002F61E2&quot;/&gt;&lt;wsp:rsid wsp:val=&quot;002F6E06&quot;/&gt;&lt;wsp:rsid wsp:val=&quot;002F79B9&quot;/&gt;&lt;wsp:rsid wsp:val=&quot;002F7F8D&quot;/&gt;&lt;wsp:rsid wsp:val=&quot;0030184C&quot;/&gt;&lt;wsp:rsid wsp:val=&quot;00301BC2&quot;/&gt;&lt;wsp:rsid wsp:val=&quot;00302F7A&quot;/&gt;&lt;wsp:rsid wsp:val=&quot;00303332&quot;/&gt;&lt;wsp:rsid wsp:val=&quot;00303D87&quot;/&gt;&lt;wsp:rsid wsp:val=&quot;0030706C&quot;/&gt;&lt;wsp:rsid wsp:val=&quot;00310DF4&quot;/&gt;&lt;wsp:rsid wsp:val=&quot;0031101A&quot;/&gt;&lt;wsp:rsid wsp:val=&quot;0031283E&quot;/&gt;&lt;wsp:rsid wsp:val=&quot;0031310C&quot;/&gt;&lt;wsp:rsid wsp:val=&quot;00313A45&quot;/&gt;&lt;wsp:rsid wsp:val=&quot;00313E49&quot;/&gt;&lt;wsp:rsid wsp:val=&quot;00314123&quot;/&gt;&lt;wsp:rsid wsp:val=&quot;003142ED&quot;/&gt;&lt;wsp:rsid wsp:val=&quot;003170E0&quot;/&gt;&lt;wsp:rsid wsp:val=&quot;00317888&quot;/&gt;&lt;wsp:rsid wsp:val=&quot;00317D2E&quot;/&gt;&lt;wsp:rsid wsp:val=&quot;003207DB&quot;/&gt;&lt;wsp:rsid wsp:val=&quot;003219A7&quot;/&gt;&lt;wsp:rsid wsp:val=&quot;00321A63&quot;/&gt;&lt;wsp:rsid wsp:val=&quot;00322808&quot;/&gt;&lt;wsp:rsid wsp:val=&quot;00323791&quot;/&gt;&lt;wsp:rsid wsp:val=&quot;00323EDF&quot;/&gt;&lt;wsp:rsid wsp:val=&quot;0032417A&quot;/&gt;&lt;wsp:rsid wsp:val=&quot;003244B0&quot;/&gt;&lt;wsp:rsid wsp:val=&quot;00324B17&quot;/&gt;&lt;wsp:rsid wsp:val=&quot;003257DA&quot;/&gt;&lt;wsp:rsid wsp:val=&quot;003263BD&quot;/&gt;&lt;wsp:rsid wsp:val=&quot;003263CC&quot;/&gt;&lt;wsp:rsid wsp:val=&quot;00326638&quot;/&gt;&lt;wsp:rsid wsp:val=&quot;0032678E&quot;/&gt;&lt;wsp:rsid wsp:val=&quot;003277BE&quot;/&gt;&lt;wsp:rsid wsp:val=&quot;00327ACB&quot;/&gt;&lt;wsp:rsid wsp:val=&quot;00330E85&quot;/&gt;&lt;wsp:rsid wsp:val=&quot;00331054&quot;/&gt;&lt;wsp:rsid wsp:val=&quot;003314C1&quot;/&gt;&lt;wsp:rsid wsp:val=&quot;003317B3&quot;/&gt;&lt;wsp:rsid wsp:val=&quot;00331F83&quot;/&gt;&lt;wsp:rsid wsp:val=&quot;003332C5&quot;/&gt;&lt;wsp:rsid wsp:val=&quot;00334A0A&quot;/&gt;&lt;wsp:rsid wsp:val=&quot;00340397&quot;/&gt;&lt;wsp:rsid wsp:val=&quot;0034088C&quot;/&gt;&lt;wsp:rsid wsp:val=&quot;003420D3&quot;/&gt;&lt;wsp:rsid wsp:val=&quot;00342FDB&quot;/&gt;&lt;wsp:rsid wsp:val=&quot;00343022&quot;/&gt;&lt;wsp:rsid wsp:val=&quot;00343D1A&quot;/&gt;&lt;wsp:rsid wsp:val=&quot;00344FF9&quot;/&gt;&lt;wsp:rsid wsp:val=&quot;003465E9&quot;/&gt;&lt;wsp:rsid wsp:val=&quot;00346636&quot;/&gt;&lt;wsp:rsid wsp:val=&quot;00346BFC&quot;/&gt;&lt;wsp:rsid wsp:val=&quot;00347631&quot;/&gt;&lt;wsp:rsid wsp:val=&quot;00350446&quot;/&gt;&lt;wsp:rsid wsp:val=&quot;003506D2&quot;/&gt;&lt;wsp:rsid wsp:val=&quot;003507FE&quot;/&gt;&lt;wsp:rsid wsp:val=&quot;003509C3&quot;/&gt;&lt;wsp:rsid wsp:val=&quot;00351A52&quot;/&gt;&lt;wsp:rsid wsp:val=&quot;00351BF3&quot;/&gt;&lt;wsp:rsid wsp:val=&quot;003521CC&quot;/&gt;&lt;wsp:rsid wsp:val=&quot;00352E2D&quot;/&gt;&lt;wsp:rsid wsp:val=&quot;003537B3&quot;/&gt;&lt;wsp:rsid wsp:val=&quot;00353D32&quot;/&gt;&lt;wsp:rsid wsp:val=&quot;0035408F&quot;/&gt;&lt;wsp:rsid wsp:val=&quot;003540E8&quot;/&gt;&lt;wsp:rsid wsp:val=&quot;0035503F&quot;/&gt;&lt;wsp:rsid wsp:val=&quot;003550EF&quot;/&gt;&lt;wsp:rsid wsp:val=&quot;003571BA&quot;/&gt;&lt;wsp:rsid wsp:val=&quot;00357518&quot;/&gt;&lt;wsp:rsid wsp:val=&quot;003578D8&quot;/&gt;&lt;wsp:rsid wsp:val=&quot;00360142&quot;/&gt;&lt;wsp:rsid wsp:val=&quot;00363716&quot;/&gt;&lt;wsp:rsid wsp:val=&quot;003639E9&quot;/&gt;&lt;wsp:rsid wsp:val=&quot;003644C8&quot;/&gt;&lt;wsp:rsid wsp:val=&quot;00365D36&quot;/&gt;&lt;wsp:rsid wsp:val=&quot;00366A05&quot;/&gt;&lt;wsp:rsid wsp:val=&quot;0036750A&quot;/&gt;&lt;wsp:rsid wsp:val=&quot;00370770&quot;/&gt;&lt;wsp:rsid wsp:val=&quot;00370909&quot;/&gt;&lt;wsp:rsid wsp:val=&quot;00370FD1&quot;/&gt;&lt;wsp:rsid wsp:val=&quot;0037341F&quot;/&gt;&lt;wsp:rsid wsp:val=&quot;00374057&quot;/&gt;&lt;wsp:rsid wsp:val=&quot;0037434F&quot;/&gt;&lt;wsp:rsid wsp:val=&quot;003764B7&quot;/&gt;&lt;wsp:rsid wsp:val=&quot;00377AE0&quot;/&gt;&lt;wsp:rsid wsp:val=&quot;00377B22&quot;/&gt;&lt;wsp:rsid wsp:val=&quot;00380A43&quot;/&gt;&lt;wsp:rsid wsp:val=&quot;00380AD2&quot;/&gt;&lt;wsp:rsid wsp:val=&quot;00381804&quot;/&gt;&lt;wsp:rsid wsp:val=&quot;00381859&quot;/&gt;&lt;wsp:rsid wsp:val=&quot;00382B61&quot;/&gt;&lt;wsp:rsid wsp:val=&quot;00382F7E&quot;/&gt;&lt;wsp:rsid wsp:val=&quot;00383A42&quot;/&gt;&lt;wsp:rsid wsp:val=&quot;00384D13&quot;/&gt;&lt;wsp:rsid wsp:val=&quot;003851CC&quot;/&gt;&lt;wsp:rsid wsp:val=&quot;00385D65&quot;/&gt;&lt;wsp:rsid wsp:val=&quot;00385F07&quot;/&gt;&lt;wsp:rsid wsp:val=&quot;00386053&quot;/&gt;&lt;wsp:rsid wsp:val=&quot;00386E2B&quot;/&gt;&lt;wsp:rsid wsp:val=&quot;00387509&quot;/&gt;&lt;wsp:rsid wsp:val=&quot;0039121B&quot;/&gt;&lt;wsp:rsid wsp:val=&quot;00391507&quot;/&gt;&lt;wsp:rsid wsp:val=&quot;00391B1A&quot;/&gt;&lt;wsp:rsid wsp:val=&quot;0039272D&quot;/&gt;&lt;wsp:rsid wsp:val=&quot;003932E9&quot;/&gt;&lt;wsp:rsid wsp:val=&quot;0039336D&quot;/&gt;&lt;wsp:rsid wsp:val=&quot;00393FA9&quot;/&gt;&lt;wsp:rsid wsp:val=&quot;00394873&quot;/&gt;&lt;wsp:rsid wsp:val=&quot;00394AF3&quot;/&gt;&lt;wsp:rsid wsp:val=&quot;00394F1C&quot;/&gt;&lt;wsp:rsid wsp:val=&quot;003950C1&quot;/&gt;&lt;wsp:rsid wsp:val=&quot;00395C88&quot;/&gt;&lt;wsp:rsid wsp:val=&quot;003967DC&quot;/&gt;&lt;wsp:rsid wsp:val=&quot;003970EA&quot;/&gt;&lt;wsp:rsid wsp:val=&quot;0039743F&quot;/&gt;&lt;wsp:rsid wsp:val=&quot;00397738&quot;/&gt;&lt;wsp:rsid wsp:val=&quot;00397FA1&quot;/&gt;&lt;wsp:rsid wsp:val=&quot;003A0212&quot;/&gt;&lt;wsp:rsid wsp:val=&quot;003A09E0&quot;/&gt;&lt;wsp:rsid wsp:val=&quot;003A25E1&quot;/&gt;&lt;wsp:rsid wsp:val=&quot;003A360B&quot;/&gt;&lt;wsp:rsid wsp:val=&quot;003A4833&quot;/&gt;&lt;wsp:rsid wsp:val=&quot;003A4B29&quot;/&gt;&lt;wsp:rsid wsp:val=&quot;003A4D06&quot;/&gt;&lt;wsp:rsid wsp:val=&quot;003A572E&quot;/&gt;&lt;wsp:rsid wsp:val=&quot;003A5779&quot;/&gt;&lt;wsp:rsid wsp:val=&quot;003A6725&quot;/&gt;&lt;wsp:rsid wsp:val=&quot;003A6FFE&quot;/&gt;&lt;wsp:rsid wsp:val=&quot;003A79F4&quot;/&gt;&lt;wsp:rsid wsp:val=&quot;003B158C&quot;/&gt;&lt;wsp:rsid wsp:val=&quot;003B189D&quot;/&gt;&lt;wsp:rsid wsp:val=&quot;003B2833&quot;/&gt;&lt;wsp:rsid wsp:val=&quot;003B3B90&quot;/&gt;&lt;wsp:rsid wsp:val=&quot;003B51C5&quot;/&gt;&lt;wsp:rsid wsp:val=&quot;003B54F9&quot;/&gt;&lt;wsp:rsid wsp:val=&quot;003B609A&quot;/&gt;&lt;wsp:rsid wsp:val=&quot;003B60E9&quot;/&gt;&lt;wsp:rsid wsp:val=&quot;003B63DC&quot;/&gt;&lt;wsp:rsid wsp:val=&quot;003B693C&quot;/&gt;&lt;wsp:rsid wsp:val=&quot;003B7213&quot;/&gt;&lt;wsp:rsid wsp:val=&quot;003C0BE2&quot;/&gt;&lt;wsp:rsid wsp:val=&quot;003C1AF6&quot;/&gt;&lt;wsp:rsid wsp:val=&quot;003C1C40&quot;/&gt;&lt;wsp:rsid wsp:val=&quot;003C2147&quot;/&gt;&lt;wsp:rsid wsp:val=&quot;003C2EB8&quot;/&gt;&lt;wsp:rsid wsp:val=&quot;003C3B77&quot;/&gt;&lt;wsp:rsid wsp:val=&quot;003C40E6&quot;/&gt;&lt;wsp:rsid wsp:val=&quot;003C50BE&quot;/&gt;&lt;wsp:rsid wsp:val=&quot;003D0ACC&quot;/&gt;&lt;wsp:rsid wsp:val=&quot;003D0B08&quot;/&gt;&lt;wsp:rsid wsp:val=&quot;003D0B6D&quot;/&gt;&lt;wsp:rsid wsp:val=&quot;003D0F0E&quot;/&gt;&lt;wsp:rsid wsp:val=&quot;003D1354&quot;/&gt;&lt;wsp:rsid wsp:val=&quot;003D14C5&quot;/&gt;&lt;wsp:rsid wsp:val=&quot;003D1A4E&quot;/&gt;&lt;wsp:rsid wsp:val=&quot;003D1B55&quot;/&gt;&lt;wsp:rsid wsp:val=&quot;003D274E&quot;/&gt;&lt;wsp:rsid wsp:val=&quot;003D284F&quot;/&gt;&lt;wsp:rsid wsp:val=&quot;003D2D27&quot;/&gt;&lt;wsp:rsid wsp:val=&quot;003D3A93&quot;/&gt;&lt;wsp:rsid wsp:val=&quot;003D4752&quot;/&gt;&lt;wsp:rsid wsp:val=&quot;003D4D51&quot;/&gt;&lt;wsp:rsid wsp:val=&quot;003D5C3E&quot;/&gt;&lt;wsp:rsid wsp:val=&quot;003D623F&quot;/&gt;&lt;wsp:rsid wsp:val=&quot;003D6CDC&quot;/&gt;&lt;wsp:rsid wsp:val=&quot;003D7EFC&quot;/&gt;&lt;wsp:rsid wsp:val=&quot;003E060F&quot;/&gt;&lt;wsp:rsid wsp:val=&quot;003E1A69&quot;/&gt;&lt;wsp:rsid wsp:val=&quot;003E1A78&quot;/&gt;&lt;wsp:rsid wsp:val=&quot;003E1B2E&quot;/&gt;&lt;wsp:rsid wsp:val=&quot;003E24D3&quot;/&gt;&lt;wsp:rsid wsp:val=&quot;003E30C8&quot;/&gt;&lt;wsp:rsid wsp:val=&quot;003E3136&quot;/&gt;&lt;wsp:rsid wsp:val=&quot;003E3454&quot;/&gt;&lt;wsp:rsid wsp:val=&quot;003E38F9&quot;/&gt;&lt;wsp:rsid wsp:val=&quot;003E4288&quot;/&gt;&lt;wsp:rsid wsp:val=&quot;003E4E57&quot;/&gt;&lt;wsp:rsid wsp:val=&quot;003E4F2E&quot;/&gt;&lt;wsp:rsid wsp:val=&quot;003E533C&quot;/&gt;&lt;wsp:rsid wsp:val=&quot;003E56E7&quot;/&gt;&lt;wsp:rsid wsp:val=&quot;003E612A&quot;/&gt;&lt;wsp:rsid wsp:val=&quot;003E6CDE&quot;/&gt;&lt;wsp:rsid wsp:val=&quot;003E6D6E&quot;/&gt;&lt;wsp:rsid wsp:val=&quot;003E70A8&quot;/&gt;&lt;wsp:rsid wsp:val=&quot;003E7A02&quot;/&gt;&lt;wsp:rsid wsp:val=&quot;003E7C6D&quot;/&gt;&lt;wsp:rsid wsp:val=&quot;003F16EF&quot;/&gt;&lt;wsp:rsid wsp:val=&quot;003F2B68&quot;/&gt;&lt;wsp:rsid wsp:val=&quot;003F35A4&quot;/&gt;&lt;wsp:rsid wsp:val=&quot;003F386C&quot;/&gt;&lt;wsp:rsid wsp:val=&quot;003F3AD4&quot;/&gt;&lt;wsp:rsid wsp:val=&quot;003F434C&quot;/&gt;&lt;wsp:rsid wsp:val=&quot;003F4E8E&quot;/&gt;&lt;wsp:rsid wsp:val=&quot;003F5510&quot;/&gt;&lt;wsp:rsid wsp:val=&quot;003F5BE8&quot;/&gt;&lt;wsp:rsid wsp:val=&quot;003F74AC&quot;/&gt;&lt;wsp:rsid wsp:val=&quot;003F7869&quot;/&gt;&lt;wsp:rsid wsp:val=&quot;00400A7B&quot;/&gt;&lt;wsp:rsid wsp:val=&quot;00400B8A&quot;/&gt;&lt;wsp:rsid wsp:val=&quot;004012C2&quot;/&gt;&lt;wsp:rsid wsp:val=&quot;00402008&quot;/&gt;&lt;wsp:rsid wsp:val=&quot;00402585&quot;/&gt;&lt;wsp:rsid wsp:val=&quot;00402987&quot;/&gt;&lt;wsp:rsid wsp:val=&quot;004032B0&quot;/&gt;&lt;wsp:rsid wsp:val=&quot;00403F02&quot;/&gt;&lt;wsp:rsid wsp:val=&quot;00404569&quot;/&gt;&lt;wsp:rsid wsp:val=&quot;00404587&quot;/&gt;&lt;wsp:rsid wsp:val=&quot;00404726&quot;/&gt;&lt;wsp:rsid wsp:val=&quot;00405D43&quot;/&gt;&lt;wsp:rsid wsp:val=&quot;004061FB&quot;/&gt;&lt;wsp:rsid wsp:val=&quot;00406210&quot;/&gt;&lt;wsp:rsid wsp:val=&quot;00406481&quot;/&gt;&lt;wsp:rsid wsp:val=&quot;004120C0&quot;/&gt;&lt;wsp:rsid wsp:val=&quot;00413635&quot;/&gt;&lt;wsp:rsid wsp:val=&quot;004145CD&quot;/&gt;&lt;wsp:rsid wsp:val=&quot;00416121&quot;/&gt;&lt;wsp:rsid wsp:val=&quot;00417486&quot;/&gt;&lt;wsp:rsid wsp:val=&quot;00417AB5&quot;/&gt;&lt;wsp:rsid wsp:val=&quot;004206D0&quot;/&gt;&lt;wsp:rsid wsp:val=&quot;00420D39&quot;/&gt;&lt;wsp:rsid wsp:val=&quot;004212FF&quot;/&gt;&lt;wsp:rsid wsp:val=&quot;004216B8&quot;/&gt;&lt;wsp:rsid wsp:val=&quot;00422094&quot;/&gt;&lt;wsp:rsid wsp:val=&quot;004231CE&quot;/&gt;&lt;wsp:rsid wsp:val=&quot;00423947&quot;/&gt;&lt;wsp:rsid wsp:val=&quot;004249D3&quot;/&gt;&lt;wsp:rsid wsp:val=&quot;00424FCD&quot;/&gt;&lt;wsp:rsid wsp:val=&quot;0042514F&quot;/&gt;&lt;wsp:rsid wsp:val=&quot;0042605F&quot;/&gt;&lt;wsp:rsid wsp:val=&quot;00430C6D&quot;/&gt;&lt;wsp:rsid wsp:val=&quot;0043112E&quot;/&gt;&lt;wsp:rsid wsp:val=&quot;00431536&quot;/&gt;&lt;wsp:rsid wsp:val=&quot;00431F04&quot;/&gt;&lt;wsp:rsid wsp:val=&quot;00432862&quot;/&gt;&lt;wsp:rsid wsp:val=&quot;004334C2&quot;/&gt;&lt;wsp:rsid wsp:val=&quot;004335F4&quot;/&gt;&lt;wsp:rsid wsp:val=&quot;0043486D&quot;/&gt;&lt;wsp:rsid wsp:val=&quot;00435771&quot;/&gt;&lt;wsp:rsid wsp:val=&quot;00435DBA&quot;/&gt;&lt;wsp:rsid wsp:val=&quot;00435F22&quot;/&gt;&lt;wsp:rsid wsp:val=&quot;00436C04&quot;/&gt;&lt;wsp:rsid wsp:val=&quot;004373B5&quot;/&gt;&lt;wsp:rsid wsp:val=&quot;00440990&quot;/&gt;&lt;wsp:rsid wsp:val=&quot;00441070&quot;/&gt;&lt;wsp:rsid wsp:val=&quot;004417FD&quot;/&gt;&lt;wsp:rsid wsp:val=&quot;004419C4&quot;/&gt;&lt;wsp:rsid wsp:val=&quot;00444014&quot;/&gt;&lt;wsp:rsid wsp:val=&quot;00444A86&quot;/&gt;&lt;wsp:rsid wsp:val=&quot;00444AAD&quot;/&gt;&lt;wsp:rsid wsp:val=&quot;004452E3&quot;/&gt;&lt;wsp:rsid wsp:val=&quot;00446DC6&quot;/&gt;&lt;wsp:rsid wsp:val=&quot;0044764C&quot;/&gt;&lt;wsp:rsid wsp:val=&quot;00447689&quot;/&gt;&lt;wsp:rsid wsp:val=&quot;00447BF7&quot;/&gt;&lt;wsp:rsid wsp:val=&quot;00450023&quot;/&gt;&lt;wsp:rsid wsp:val=&quot;004517FD&quot;/&gt;&lt;wsp:rsid wsp:val=&quot;00452229&quot;/&gt;&lt;wsp:rsid wsp:val=&quot;00456146&quot;/&gt;&lt;wsp:rsid wsp:val=&quot;004574FA&quot;/&gt;&lt;wsp:rsid wsp:val=&quot;004611F5&quot;/&gt;&lt;wsp:rsid wsp:val=&quot;0046229E&quot;/&gt;&lt;wsp:rsid wsp:val=&quot;0046269A&quot;/&gt;&lt;wsp:rsid wsp:val=&quot;00463A88&quot;/&gt;&lt;wsp:rsid wsp:val=&quot;004678DA&quot;/&gt;&lt;wsp:rsid wsp:val=&quot;004679D2&quot;/&gt;&lt;wsp:rsid wsp:val=&quot;00470342&quot;/&gt;&lt;wsp:rsid wsp:val=&quot;00470D0A&quot;/&gt;&lt;wsp:rsid wsp:val=&quot;00471498&quot;/&gt;&lt;wsp:rsid wsp:val=&quot;00472CE4&quot;/&gt;&lt;wsp:rsid wsp:val=&quot;0047399E&quot;/&gt;&lt;wsp:rsid wsp:val=&quot;00474109&quot;/&gt;&lt;wsp:rsid wsp:val=&quot;004744B5&quot;/&gt;&lt;wsp:rsid wsp:val=&quot;00474FE4&quot;/&gt;&lt;wsp:rsid wsp:val=&quot;0047533E&quot;/&gt;&lt;wsp:rsid wsp:val=&quot;004757A2&quot;/&gt;&lt;wsp:rsid wsp:val=&quot;00475DC4&quot;/&gt;&lt;wsp:rsid wsp:val=&quot;00475EE5&quot;/&gt;&lt;wsp:rsid wsp:val=&quot;00477187&quot;/&gt;&lt;wsp:rsid wsp:val=&quot;004774DA&quot;/&gt;&lt;wsp:rsid wsp:val=&quot;00477983&quot;/&gt;&lt;wsp:rsid wsp:val=&quot;004800C4&quot;/&gt;&lt;wsp:rsid wsp:val=&quot;00482239&quot;/&gt;&lt;wsp:rsid wsp:val=&quot;00482B9E&quot;/&gt;&lt;wsp:rsid wsp:val=&quot;00483178&quot;/&gt;&lt;wsp:rsid wsp:val=&quot;00483187&quot;/&gt;&lt;wsp:rsid wsp:val=&quot;0048350E&quot;/&gt;&lt;wsp:rsid wsp:val=&quot;00484AB6&quot;/&gt;&lt;wsp:rsid wsp:val=&quot;004865D1&quot;/&gt;&lt;wsp:rsid wsp:val=&quot;0048662D&quot;/&gt;&lt;wsp:rsid wsp:val=&quot;00486AC3&quot;/&gt;&lt;wsp:rsid wsp:val=&quot;004908BA&quot;/&gt;&lt;wsp:rsid wsp:val=&quot;0049186D&quot;/&gt;&lt;wsp:rsid wsp:val=&quot;00491E25&quot;/&gt;&lt;wsp:rsid wsp:val=&quot;00492D2B&quot;/&gt;&lt;wsp:rsid wsp:val=&quot;00493451&quot;/&gt;&lt;wsp:rsid wsp:val=&quot;00495972&quot;/&gt;&lt;wsp:rsid wsp:val=&quot;0049675B&quot;/&gt;&lt;wsp:rsid wsp:val=&quot;00497EC8&quot;/&gt;&lt;wsp:rsid wsp:val=&quot;004A00C2&quot;/&gt;&lt;wsp:rsid wsp:val=&quot;004A0124&quot;/&gt;&lt;wsp:rsid wsp:val=&quot;004A0475&quot;/&gt;&lt;wsp:rsid wsp:val=&quot;004A08A6&quot;/&gt;&lt;wsp:rsid wsp:val=&quot;004A1158&quot;/&gt;&lt;wsp:rsid wsp:val=&quot;004A1486&quot;/&gt;&lt;wsp:rsid wsp:val=&quot;004A1836&quot;/&gt;&lt;wsp:rsid wsp:val=&quot;004A279F&quot;/&gt;&lt;wsp:rsid wsp:val=&quot;004A2C40&quot;/&gt;&lt;wsp:rsid wsp:val=&quot;004A55E7&quot;/&gt;&lt;wsp:rsid wsp:val=&quot;004A579C&quot;/&gt;&lt;wsp:rsid wsp:val=&quot;004A7FF1&quot;/&gt;&lt;wsp:rsid wsp:val=&quot;004B0B9D&quot;/&gt;&lt;wsp:rsid wsp:val=&quot;004B1B88&quot;/&gt;&lt;wsp:rsid wsp:val=&quot;004B2AEE&quot;/&gt;&lt;wsp:rsid wsp:val=&quot;004B2E1C&quot;/&gt;&lt;wsp:rsid wsp:val=&quot;004B3375&quot;/&gt;&lt;wsp:rsid wsp:val=&quot;004B3A2D&quot;/&gt;&lt;wsp:rsid wsp:val=&quot;004B3E46&quot;/&gt;&lt;wsp:rsid wsp:val=&quot;004B5DA6&quot;/&gt;&lt;wsp:rsid wsp:val=&quot;004B5E90&quot;/&gt;&lt;wsp:rsid wsp:val=&quot;004B70AC&quot;/&gt;&lt;wsp:rsid wsp:val=&quot;004B7701&quot;/&gt;&lt;wsp:rsid wsp:val=&quot;004B78B4&quot;/&gt;&lt;wsp:rsid wsp:val=&quot;004B7C8F&quot;/&gt;&lt;wsp:rsid wsp:val=&quot;004C03BF&quot;/&gt;&lt;wsp:rsid wsp:val=&quot;004C094F&quot;/&gt;&lt;wsp:rsid wsp:val=&quot;004C15AA&quot;/&gt;&lt;wsp:rsid wsp:val=&quot;004C20AE&quot;/&gt;&lt;wsp:rsid wsp:val=&quot;004C2251&quot;/&gt;&lt;wsp:rsid wsp:val=&quot;004C2459&quot;/&gt;&lt;wsp:rsid wsp:val=&quot;004C390C&quot;/&gt;&lt;wsp:rsid wsp:val=&quot;004C431E&quot;/&gt;&lt;wsp:rsid wsp:val=&quot;004C48B5&quot;/&gt;&lt;wsp:rsid wsp:val=&quot;004C5044&quot;/&gt;&lt;wsp:rsid wsp:val=&quot;004C5918&quot;/&gt;&lt;wsp:rsid wsp:val=&quot;004C6325&quot;/&gt;&lt;wsp:rsid wsp:val=&quot;004C68F6&quot;/&gt;&lt;wsp:rsid wsp:val=&quot;004C6B5B&quot;/&gt;&lt;wsp:rsid wsp:val=&quot;004C6C07&quot;/&gt;&lt;wsp:rsid wsp:val=&quot;004C6D17&quot;/&gt;&lt;wsp:rsid wsp:val=&quot;004C702A&quot;/&gt;&lt;wsp:rsid wsp:val=&quot;004C75C6&quot;/&gt;&lt;wsp:rsid wsp:val=&quot;004C7D37&quot;/&gt;&lt;wsp:rsid wsp:val=&quot;004D0846&quot;/&gt;&lt;wsp:rsid wsp:val=&quot;004D0D2D&quot;/&gt;&lt;wsp:rsid wsp:val=&quot;004D11F4&quot;/&gt;&lt;wsp:rsid wsp:val=&quot;004D3592&quot;/&gt;&lt;wsp:rsid wsp:val=&quot;004D4718&quot;/&gt;&lt;wsp:rsid wsp:val=&quot;004D7FA4&quot;/&gt;&lt;wsp:rsid wsp:val=&quot;004E08A2&quot;/&gt;&lt;wsp:rsid wsp:val=&quot;004E0C50&quot;/&gt;&lt;wsp:rsid wsp:val=&quot;004E17A4&quot;/&gt;&lt;wsp:rsid wsp:val=&quot;004E3086&quot;/&gt;&lt;wsp:rsid wsp:val=&quot;004E3712&quot;/&gt;&lt;wsp:rsid wsp:val=&quot;004E3C9A&quot;/&gt;&lt;wsp:rsid wsp:val=&quot;004F0ABC&quot;/&gt;&lt;wsp:rsid wsp:val=&quot;004F2E30&quot;/&gt;&lt;wsp:rsid wsp:val=&quot;004F3B8F&quot;/&gt;&lt;wsp:rsid wsp:val=&quot;004F4C91&quot;/&gt;&lt;wsp:rsid wsp:val=&quot;004F540D&quot;/&gt;&lt;wsp:rsid wsp:val=&quot;004F6266&quot;/&gt;&lt;wsp:rsid wsp:val=&quot;004F7F3D&quot;/&gt;&lt;wsp:rsid wsp:val=&quot;005001FF&quot;/&gt;&lt;wsp:rsid wsp:val=&quot;00500C00&quot;/&gt;&lt;wsp:rsid wsp:val=&quot;00501FB9&quot;/&gt;&lt;wsp:rsid wsp:val=&quot;0050217C&quot;/&gt;&lt;wsp:rsid wsp:val=&quot;00503A8F&quot;/&gt;&lt;wsp:rsid wsp:val=&quot;00503CDF&quot;/&gt;&lt;wsp:rsid wsp:val=&quot;00503DB0&quot;/&gt;&lt;wsp:rsid wsp:val=&quot;00504C7C&quot;/&gt;&lt;wsp:rsid wsp:val=&quot;00504CEE&quot;/&gt;&lt;wsp:rsid wsp:val=&quot;0050582C&quot;/&gt;&lt;wsp:rsid wsp:val=&quot;00506897&quot;/&gt;&lt;wsp:rsid wsp:val=&quot;005072B0&quot;/&gt;&lt;wsp:rsid wsp:val=&quot;00507B74&quot;/&gt;&lt;wsp:rsid wsp:val=&quot;00511725&quot;/&gt;&lt;wsp:rsid wsp:val=&quot;005124FF&quot;/&gt;&lt;wsp:rsid wsp:val=&quot;005127EF&quot;/&gt;&lt;wsp:rsid wsp:val=&quot;00512BF2&quot;/&gt;&lt;wsp:rsid wsp:val=&quot;005132EA&quot;/&gt;&lt;wsp:rsid wsp:val=&quot;005142DF&quot;/&gt;&lt;wsp:rsid wsp:val=&quot;00514698&quot;/&gt;&lt;wsp:rsid wsp:val=&quot;00514E77&quot;/&gt;&lt;wsp:rsid wsp:val=&quot;00514FF5&quot;/&gt;&lt;wsp:rsid wsp:val=&quot;00515035&quot;/&gt;&lt;wsp:rsid wsp:val=&quot;00520A12&quot;/&gt;&lt;wsp:rsid wsp:val=&quot;00521B73&quot;/&gt;&lt;wsp:rsid wsp:val=&quot;00522227&quot;/&gt;&lt;wsp:rsid wsp:val=&quot;00524C57&quot;/&gt;&lt;wsp:rsid wsp:val=&quot;005271A7&quot;/&gt;&lt;wsp:rsid wsp:val=&quot;00527287&quot;/&gt;&lt;wsp:rsid wsp:val=&quot;005274EF&quot;/&gt;&lt;wsp:rsid wsp:val=&quot;005274FA&quot;/&gt;&lt;wsp:rsid wsp:val=&quot;00527E29&quot;/&gt;&lt;wsp:rsid wsp:val=&quot;00527E81&quot;/&gt;&lt;wsp:rsid wsp:val=&quot;00531A0F&quot;/&gt;&lt;wsp:rsid wsp:val=&quot;00533564&quot;/&gt;&lt;wsp:rsid wsp:val=&quot;00534245&quot;/&gt;&lt;wsp:rsid wsp:val=&quot;005344B9&quot;/&gt;&lt;wsp:rsid wsp:val=&quot;00534700&quot;/&gt;&lt;wsp:rsid wsp:val=&quot;005360BF&quot;/&gt;&lt;wsp:rsid wsp:val=&quot;0053640C&quot;/&gt;&lt;wsp:rsid wsp:val=&quot;005379F1&quot;/&gt;&lt;wsp:rsid wsp:val=&quot;00540395&quot;/&gt;&lt;wsp:rsid wsp:val=&quot;00542758&quot;/&gt;&lt;wsp:rsid wsp:val=&quot;005427E0&quot;/&gt;&lt;wsp:rsid wsp:val=&quot;005431DE&quot;/&gt;&lt;wsp:rsid wsp:val=&quot;005432B8&quot;/&gt;&lt;wsp:rsid wsp:val=&quot;005433B5&quot;/&gt;&lt;wsp:rsid wsp:val=&quot;00543667&quot;/&gt;&lt;wsp:rsid wsp:val=&quot;00544431&quot;/&gt;&lt;wsp:rsid wsp:val=&quot;00546BFF&quot;/&gt;&lt;wsp:rsid wsp:val=&quot;00550B0E&quot;/&gt;&lt;wsp:rsid wsp:val=&quot;00551E57&quot;/&gt;&lt;wsp:rsid wsp:val=&quot;00553D19&quot;/&gt;&lt;wsp:rsid wsp:val=&quot;0055441F&quot;/&gt;&lt;wsp:rsid wsp:val=&quot;005556EE&quot;/&gt;&lt;wsp:rsid wsp:val=&quot;00555AF7&quot;/&gt;&lt;wsp:rsid wsp:val=&quot;00556299&quot;/&gt;&lt;wsp:rsid wsp:val=&quot;00556566&quot;/&gt;&lt;wsp:rsid wsp:val=&quot;00556A1E&quot;/&gt;&lt;wsp:rsid wsp:val=&quot;005572CB&quot;/&gt;&lt;wsp:rsid wsp:val=&quot;005600B4&quot;/&gt;&lt;wsp:rsid wsp:val=&quot;0056067C&quot;/&gt;&lt;wsp:rsid wsp:val=&quot;00562236&quot;/&gt;&lt;wsp:rsid wsp:val=&quot;00563F14&quot;/&gt;&lt;wsp:rsid wsp:val=&quot;00564667&quot;/&gt;&lt;wsp:rsid wsp:val=&quot;005649FA&quot;/&gt;&lt;wsp:rsid wsp:val=&quot;0056622F&quot;/&gt;&lt;wsp:rsid wsp:val=&quot;005676DA&quot;/&gt;&lt;wsp:rsid wsp:val=&quot;00571890&quot;/&gt;&lt;wsp:rsid wsp:val=&quot;00571E81&quot;/&gt;&lt;wsp:rsid wsp:val=&quot;005726AF&quot;/&gt;&lt;wsp:rsid wsp:val=&quot;005730D3&quot;/&gt;&lt;wsp:rsid wsp:val=&quot;00573B9B&quot;/&gt;&lt;wsp:rsid wsp:val=&quot;00573F24&quot;/&gt;&lt;wsp:rsid wsp:val=&quot;005741C6&quot;/&gt;&lt;wsp:rsid wsp:val=&quot;005744E3&quot;/&gt;&lt;wsp:rsid wsp:val=&quot;005749DD&quot;/&gt;&lt;wsp:rsid wsp:val=&quot;00576F20&quot;/&gt;&lt;wsp:rsid wsp:val=&quot;0058157A&quot;/&gt;&lt;wsp:rsid wsp:val=&quot;005815C3&quot;/&gt;&lt;wsp:rsid wsp:val=&quot;00581902&quot;/&gt;&lt;wsp:rsid wsp:val=&quot;005819AE&quot;/&gt;&lt;wsp:rsid wsp:val=&quot;00582411&quot;/&gt;&lt;wsp:rsid wsp:val=&quot;005829AE&quot;/&gt;&lt;wsp:rsid wsp:val=&quot;00582D1A&quot;/&gt;&lt;wsp:rsid wsp:val=&quot;00582D94&quot;/&gt;&lt;wsp:rsid wsp:val=&quot;0058368C&quot;/&gt;&lt;wsp:rsid wsp:val=&quot;00585DC9&quot;/&gt;&lt;wsp:rsid wsp:val=&quot;0058605B&quot;/&gt;&lt;wsp:rsid wsp:val=&quot;00586184&quot;/&gt;&lt;wsp:rsid wsp:val=&quot;00586894&quot;/&gt;&lt;wsp:rsid wsp:val=&quot;00586ACA&quot;/&gt;&lt;wsp:rsid wsp:val=&quot;00587188&quot;/&gt;&lt;wsp:rsid wsp:val=&quot;00587363&quot;/&gt;&lt;wsp:rsid wsp:val=&quot;005909F9&quot;/&gt;&lt;wsp:rsid wsp:val=&quot;00592CED&quot;/&gt;&lt;wsp:rsid wsp:val=&quot;00592E32&quot;/&gt;&lt;wsp:rsid wsp:val=&quot;00593405&quot;/&gt;&lt;wsp:rsid wsp:val=&quot;00596C4F&quot;/&gt;&lt;wsp:rsid wsp:val=&quot;00596DB3&quot;/&gt;&lt;wsp:rsid wsp:val=&quot;00596EDC&quot;/&gt;&lt;wsp:rsid wsp:val=&quot;00597770&quot;/&gt;&lt;wsp:rsid wsp:val=&quot;00597C88&quot;/&gt;&lt;wsp:rsid wsp:val=&quot;005A0093&quot;/&gt;&lt;wsp:rsid wsp:val=&quot;005A03B9&quot;/&gt;&lt;wsp:rsid wsp:val=&quot;005A0517&quot;/&gt;&lt;wsp:rsid wsp:val=&quot;005A0D23&quot;/&gt;&lt;wsp:rsid wsp:val=&quot;005A1706&quot;/&gt;&lt;wsp:rsid wsp:val=&quot;005A1B4A&quot;/&gt;&lt;wsp:rsid wsp:val=&quot;005A2345&quot;/&gt;&lt;wsp:rsid wsp:val=&quot;005A2976&quot;/&gt;&lt;wsp:rsid wsp:val=&quot;005A35D0&quot;/&gt;&lt;wsp:rsid wsp:val=&quot;005A3670&quot;/&gt;&lt;wsp:rsid wsp:val=&quot;005A37C5&quot;/&gt;&lt;wsp:rsid wsp:val=&quot;005A3C34&quot;/&gt;&lt;wsp:rsid wsp:val=&quot;005A3DAC&quot;/&gt;&lt;wsp:rsid wsp:val=&quot;005A6050&quot;/&gt;&lt;wsp:rsid wsp:val=&quot;005A6632&quot;/&gt;&lt;wsp:rsid wsp:val=&quot;005A722A&quot;/&gt;&lt;wsp:rsid wsp:val=&quot;005A7DDA&quot;/&gt;&lt;wsp:rsid wsp:val=&quot;005B0C5B&quot;/&gt;&lt;wsp:rsid wsp:val=&quot;005B0FCB&quot;/&gt;&lt;wsp:rsid wsp:val=&quot;005B1323&quot;/&gt;&lt;wsp:rsid wsp:val=&quot;005B16BA&quot;/&gt;&lt;wsp:rsid wsp:val=&quot;005B1A9F&quot;/&gt;&lt;wsp:rsid wsp:val=&quot;005B1D8A&quot;/&gt;&lt;wsp:rsid wsp:val=&quot;005B2584&quot;/&gt;&lt;wsp:rsid wsp:val=&quot;005B37D7&quot;/&gt;&lt;wsp:rsid wsp:val=&quot;005B634D&quot;/&gt;&lt;wsp:rsid wsp:val=&quot;005B73CA&quot;/&gt;&lt;wsp:rsid wsp:val=&quot;005B7EB9&quot;/&gt;&lt;wsp:rsid wsp:val=&quot;005C1448&quot;/&gt;&lt;wsp:rsid wsp:val=&quot;005C1DB3&quot;/&gt;&lt;wsp:rsid wsp:val=&quot;005C3143&quot;/&gt;&lt;wsp:rsid wsp:val=&quot;005C32AF&quot;/&gt;&lt;wsp:rsid wsp:val=&quot;005C4529&quot;/&gt;&lt;wsp:rsid wsp:val=&quot;005C4787&quot;/&gt;&lt;wsp:rsid wsp:val=&quot;005C6407&quot;/&gt;&lt;wsp:rsid wsp:val=&quot;005C7D4E&quot;/&gt;&lt;wsp:rsid wsp:val=&quot;005C7E1E&quot;/&gt;&lt;wsp:rsid wsp:val=&quot;005D11CC&quot;/&gt;&lt;wsp:rsid wsp:val=&quot;005D240E&quot;/&gt;&lt;wsp:rsid wsp:val=&quot;005D2869&quot;/&gt;&lt;wsp:rsid wsp:val=&quot;005D2F2F&quot;/&gt;&lt;wsp:rsid wsp:val=&quot;005D3327&quot;/&gt;&lt;wsp:rsid wsp:val=&quot;005D3476&quot;/&gt;&lt;wsp:rsid wsp:val=&quot;005D3F9B&quot;/&gt;&lt;wsp:rsid wsp:val=&quot;005D4BE8&quot;/&gt;&lt;wsp:rsid wsp:val=&quot;005D4E1D&quot;/&gt;&lt;wsp:rsid wsp:val=&quot;005D5BAF&quot;/&gt;&lt;wsp:rsid wsp:val=&quot;005E11D5&quot;/&gt;&lt;wsp:rsid wsp:val=&quot;005E1558&quot;/&gt;&lt;wsp:rsid wsp:val=&quot;005E1AAF&quot;/&gt;&lt;wsp:rsid wsp:val=&quot;005E286C&quot;/&gt;&lt;wsp:rsid wsp:val=&quot;005E2BAD&quot;/&gt;&lt;wsp:rsid wsp:val=&quot;005E34FA&quot;/&gt;&lt;wsp:rsid wsp:val=&quot;005E37B7&quot;/&gt;&lt;wsp:rsid wsp:val=&quot;005E388B&quot;/&gt;&lt;wsp:rsid wsp:val=&quot;005E45DB&quot;/&gt;&lt;wsp:rsid wsp:val=&quot;005E49C1&quot;/&gt;&lt;wsp:rsid wsp:val=&quot;005E4E5E&quot;/&gt;&lt;wsp:rsid wsp:val=&quot;005E56ED&quot;/&gt;&lt;wsp:rsid wsp:val=&quot;005E6608&quot;/&gt;&lt;wsp:rsid wsp:val=&quot;005E6D40&quot;/&gt;&lt;wsp:rsid wsp:val=&quot;005E7505&quot;/&gt;&lt;wsp:rsid wsp:val=&quot;005E7CE0&quot;/&gt;&lt;wsp:rsid wsp:val=&quot;005F08A7&quot;/&gt;&lt;wsp:rsid wsp:val=&quot;005F0E85&quot;/&gt;&lt;wsp:rsid wsp:val=&quot;005F130E&quot;/&gt;&lt;wsp:rsid wsp:val=&quot;005F1433&quot;/&gt;&lt;wsp:rsid wsp:val=&quot;005F1705&quot;/&gt;&lt;wsp:rsid wsp:val=&quot;005F1747&quot;/&gt;&lt;wsp:rsid wsp:val=&quot;005F2511&quot;/&gt;&lt;wsp:rsid wsp:val=&quot;005F423C&quot;/&gt;&lt;wsp:rsid wsp:val=&quot;005F4ABF&quot;/&gt;&lt;wsp:rsid wsp:val=&quot;005F5071&quot;/&gt;&lt;wsp:rsid wsp:val=&quot;005F5BD3&quot;/&gt;&lt;wsp:rsid wsp:val=&quot;005F5C9C&quot;/&gt;&lt;wsp:rsid wsp:val=&quot;005F5E07&quot;/&gt;&lt;wsp:rsid wsp:val=&quot;005F663D&quot;/&gt;&lt;wsp:rsid wsp:val=&quot;005F6B82&quot;/&gt;&lt;wsp:rsid wsp:val=&quot;005F7471&quot;/&gt;&lt;wsp:rsid wsp:val=&quot;005F7F65&quot;/&gt;&lt;wsp:rsid wsp:val=&quot;006011B9&quot;/&gt;&lt;wsp:rsid wsp:val=&quot;00602B30&quot;/&gt;&lt;wsp:rsid wsp:val=&quot;006038DB&quot;/&gt;&lt;wsp:rsid wsp:val=&quot;00603AC2&quot;/&gt;&lt;wsp:rsid wsp:val=&quot;00603DB5&quot;/&gt;&lt;wsp:rsid wsp:val=&quot;00604012&quot;/&gt;&lt;wsp:rsid wsp:val=&quot;006049C7&quot;/&gt;&lt;wsp:rsid wsp:val=&quot;00604E44&quot;/&gt;&lt;wsp:rsid wsp:val=&quot;00606312&quot;/&gt;&lt;wsp:rsid wsp:val=&quot;006066CE&quot;/&gt;&lt;wsp:rsid wsp:val=&quot;006066D6&quot;/&gt;&lt;wsp:rsid wsp:val=&quot;0060723D&quot;/&gt;&lt;wsp:rsid wsp:val=&quot;0060752E&quot;/&gt;&lt;wsp:rsid wsp:val=&quot;006077AC&quot;/&gt;&lt;wsp:rsid wsp:val=&quot;00607BD8&quot;/&gt;&lt;wsp:rsid wsp:val=&quot;006109E0&quot;/&gt;&lt;wsp:rsid wsp:val=&quot;00610A76&quot;/&gt;&lt;wsp:rsid wsp:val=&quot;00611E04&quot;/&gt;&lt;wsp:rsid wsp:val=&quot;00611F42&quot;/&gt;&lt;wsp:rsid wsp:val=&quot;00611F7A&quot;/&gt;&lt;wsp:rsid wsp:val=&quot;00612B6F&quot;/&gt;&lt;wsp:rsid wsp:val=&quot;00613B3D&quot;/&gt;&lt;wsp:rsid wsp:val=&quot;006151B1&quot;/&gt;&lt;wsp:rsid wsp:val=&quot;00616946&quot;/&gt;&lt;wsp:rsid wsp:val=&quot;00620469&quot;/&gt;&lt;wsp:rsid wsp:val=&quot;006204E1&quot;/&gt;&lt;wsp:rsid wsp:val=&quot;00620A22&quot;/&gt;&lt;wsp:rsid wsp:val=&quot;00621211&quot;/&gt;&lt;wsp:rsid wsp:val=&quot;00621BB7&quot;/&gt;&lt;wsp:rsid wsp:val=&quot;00622871&quot;/&gt;&lt;wsp:rsid wsp:val=&quot;00622FC6&quot;/&gt;&lt;wsp:rsid wsp:val=&quot;00623326&quot;/&gt;&lt;wsp:rsid wsp:val=&quot;00623A74&quot;/&gt;&lt;wsp:rsid wsp:val=&quot;00623BF5&quot;/&gt;&lt;wsp:rsid wsp:val=&quot;00623C4B&quot;/&gt;&lt;wsp:rsid wsp:val=&quot;00623EFC&quot;/&gt;&lt;wsp:rsid wsp:val=&quot;0062456B&quot;/&gt;&lt;wsp:rsid wsp:val=&quot;00624D6C&quot;/&gt;&lt;wsp:rsid wsp:val=&quot;006258AA&quot;/&gt;&lt;wsp:rsid wsp:val=&quot;00626825&quot;/&gt;&lt;wsp:rsid wsp:val=&quot;00626FA2&quot;/&gt;&lt;wsp:rsid wsp:val=&quot;006279DB&quot;/&gt;&lt;wsp:rsid wsp:val=&quot;00627B32&quot;/&gt;&lt;wsp:rsid wsp:val=&quot;00627C6C&quot;/&gt;&lt;wsp:rsid wsp:val=&quot;00627DAC&quot;/&gt;&lt;wsp:rsid wsp:val=&quot;00630C1C&quot;/&gt;&lt;wsp:rsid wsp:val=&quot;00630C75&quot;/&gt;&lt;wsp:rsid wsp:val=&quot;00630D4F&quot;/&gt;&lt;wsp:rsid wsp:val=&quot;006313D8&quot;/&gt;&lt;wsp:rsid wsp:val=&quot;0063141A&quot;/&gt;&lt;wsp:rsid wsp:val=&quot;006318F3&quot;/&gt;&lt;wsp:rsid wsp:val=&quot;00632207&quot;/&gt;&lt;wsp:rsid wsp:val=&quot;0063280A&quot;/&gt;&lt;wsp:rsid wsp:val=&quot;00634B4C&quot;/&gt;&lt;wsp:rsid wsp:val=&quot;00634C90&quot;/&gt;&lt;wsp:rsid wsp:val=&quot;00635F70&quot;/&gt;&lt;wsp:rsid wsp:val=&quot;00637122&quot;/&gt;&lt;wsp:rsid wsp:val=&quot;006400D3&quot;/&gt;&lt;wsp:rsid wsp:val=&quot;0064029A&quot;/&gt;&lt;wsp:rsid wsp:val=&quot;00640614&quot;/&gt;&lt;wsp:rsid wsp:val=&quot;006411BF&quot;/&gt;&lt;wsp:rsid wsp:val=&quot;006423CD&quot;/&gt;&lt;wsp:rsid wsp:val=&quot;00642482&quot;/&gt;&lt;wsp:rsid wsp:val=&quot;00642486&quot;/&gt;&lt;wsp:rsid wsp:val=&quot;00642975&quot;/&gt;&lt;wsp:rsid wsp:val=&quot;00642D0B&quot;/&gt;&lt;wsp:rsid wsp:val=&quot;006430B7&quot;/&gt;&lt;wsp:rsid wsp:val=&quot;00643117&quot;/&gt;&lt;wsp:rsid wsp:val=&quot;00643C86&quot;/&gt;&lt;wsp:rsid wsp:val=&quot;00644A78&quot;/&gt;&lt;wsp:rsid wsp:val=&quot;006464DC&quot;/&gt;&lt;wsp:rsid wsp:val=&quot;00646846&quot;/&gt;&lt;wsp:rsid wsp:val=&quot;00647E01&quot;/&gt;&lt;wsp:rsid wsp:val=&quot;00650B7F&quot;/&gt;&lt;wsp:rsid wsp:val=&quot;00651205&quot;/&gt;&lt;wsp:rsid wsp:val=&quot;00651210&quot;/&gt;&lt;wsp:rsid wsp:val=&quot;00651701&quot;/&gt;&lt;wsp:rsid wsp:val=&quot;0065284F&quot;/&gt;&lt;wsp:rsid wsp:val=&quot;00652DBF&quot;/&gt;&lt;wsp:rsid wsp:val=&quot;00653F91&quot;/&gt;&lt;wsp:rsid wsp:val=&quot;0065450E&quot;/&gt;&lt;wsp:rsid wsp:val=&quot;00660115&quot;/&gt;&lt;wsp:rsid wsp:val=&quot;00661DA7&quot;/&gt;&lt;wsp:rsid wsp:val=&quot;00662418&quot;/&gt;&lt;wsp:rsid wsp:val=&quot;00663DA0&quot;/&gt;&lt;wsp:rsid wsp:val=&quot;006650A2&quot;/&gt;&lt;wsp:rsid wsp:val=&quot;0066575C&quot;/&gt;&lt;wsp:rsid wsp:val=&quot;00665C8D&quot;/&gt;&lt;wsp:rsid wsp:val=&quot;00665DB7&quot;/&gt;&lt;wsp:rsid wsp:val=&quot;0066641F&quot;/&gt;&lt;wsp:rsid wsp:val=&quot;00667BF7&quot;/&gt;&lt;wsp:rsid wsp:val=&quot;00671E7A&quot;/&gt;&lt;wsp:rsid wsp:val=&quot;0067257E&quot;/&gt;&lt;wsp:rsid wsp:val=&quot;00673309&quot;/&gt;&lt;wsp:rsid wsp:val=&quot;006745F9&quot;/&gt;&lt;wsp:rsid wsp:val=&quot;00674D40&quot;/&gt;&lt;wsp:rsid wsp:val=&quot;00675943&quot;/&gt;&lt;wsp:rsid wsp:val=&quot;0067613C&quot;/&gt;&lt;wsp:rsid wsp:val=&quot;00677983&quot;/&gt;&lt;wsp:rsid wsp:val=&quot;00677BD1&quot;/&gt;&lt;wsp:rsid wsp:val=&quot;00684570&quot;/&gt;&lt;wsp:rsid wsp:val=&quot;00684C44&quot;/&gt;&lt;wsp:rsid wsp:val=&quot;006851EC&quot;/&gt;&lt;wsp:rsid wsp:val=&quot;00686847&quot;/&gt;&lt;wsp:rsid wsp:val=&quot;0069108C&quot;/&gt;&lt;wsp:rsid wsp:val=&quot;0069272A&quot;/&gt;&lt;wsp:rsid wsp:val=&quot;00692B5B&quot;/&gt;&lt;wsp:rsid wsp:val=&quot;00692D5C&quot;/&gt;&lt;wsp:rsid wsp:val=&quot;00692E7A&quot;/&gt;&lt;wsp:rsid wsp:val=&quot;00692FF9&quot;/&gt;&lt;wsp:rsid wsp:val=&quot;006934EA&quot;/&gt;&lt;wsp:rsid wsp:val=&quot;00693F0F&quot;/&gt;&lt;wsp:rsid wsp:val=&quot;00697385&quot;/&gt;&lt;wsp:rsid wsp:val=&quot;00697471&quot;/&gt;&lt;wsp:rsid wsp:val=&quot;00697521&quot;/&gt;&lt;wsp:rsid wsp:val=&quot;00697CDC&quot;/&gt;&lt;wsp:rsid wsp:val=&quot;006A02C4&quot;/&gt;&lt;wsp:rsid wsp:val=&quot;006A0EBE&quot;/&gt;&lt;wsp:rsid wsp:val=&quot;006A1922&quot;/&gt;&lt;wsp:rsid wsp:val=&quot;006A21A0&quot;/&gt;&lt;wsp:rsid wsp:val=&quot;006A32F9&quot;/&gt;&lt;wsp:rsid wsp:val=&quot;006A470B&quot;/&gt;&lt;wsp:rsid wsp:val=&quot;006A502C&quot;/&gt;&lt;wsp:rsid wsp:val=&quot;006A60CA&quot;/&gt;&lt;wsp:rsid wsp:val=&quot;006A71B5&quot;/&gt;&lt;wsp:rsid wsp:val=&quot;006A78E0&quot;/&gt;&lt;wsp:rsid wsp:val=&quot;006B0769&quot;/&gt;&lt;wsp:rsid wsp:val=&quot;006B2423&quot;/&gt;&lt;wsp:rsid wsp:val=&quot;006B2687&quot;/&gt;&lt;wsp:rsid wsp:val=&quot;006B26E7&quot;/&gt;&lt;wsp:rsid wsp:val=&quot;006B2BC9&quot;/&gt;&lt;wsp:rsid wsp:val=&quot;006B331F&quot;/&gt;&lt;wsp:rsid wsp:val=&quot;006B3EEC&quot;/&gt;&lt;wsp:rsid wsp:val=&quot;006B44F2&quot;/&gt;&lt;wsp:rsid wsp:val=&quot;006B5B97&quot;/&gt;&lt;wsp:rsid wsp:val=&quot;006B62A7&quot;/&gt;&lt;wsp:rsid wsp:val=&quot;006B6CCD&quot;/&gt;&lt;wsp:rsid wsp:val=&quot;006C0A3A&quot;/&gt;&lt;wsp:rsid wsp:val=&quot;006C148B&quot;/&gt;&lt;wsp:rsid wsp:val=&quot;006C16D5&quot;/&gt;&lt;wsp:rsid wsp:val=&quot;006C18DC&quot;/&gt;&lt;wsp:rsid wsp:val=&quot;006C2053&quot;/&gt;&lt;wsp:rsid wsp:val=&quot;006C4D6D&quot;/&gt;&lt;wsp:rsid wsp:val=&quot;006C57A7&quot;/&gt;&lt;wsp:rsid wsp:val=&quot;006C5812&quot;/&gt;&lt;wsp:rsid wsp:val=&quot;006D0FA3&quot;/&gt;&lt;wsp:rsid wsp:val=&quot;006D139E&quot;/&gt;&lt;wsp:rsid wsp:val=&quot;006D13CC&quot;/&gt;&lt;wsp:rsid wsp:val=&quot;006D18E0&quot;/&gt;&lt;wsp:rsid wsp:val=&quot;006D1AEA&quot;/&gt;&lt;wsp:rsid wsp:val=&quot;006D1FE7&quot;/&gt;&lt;wsp:rsid wsp:val=&quot;006D38E8&quot;/&gt;&lt;wsp:rsid wsp:val=&quot;006D444A&quot;/&gt;&lt;wsp:rsid wsp:val=&quot;006D45D3&quot;/&gt;&lt;wsp:rsid wsp:val=&quot;006D5E16&quot;/&gt;&lt;wsp:rsid wsp:val=&quot;006D60FE&quot;/&gt;&lt;wsp:rsid wsp:val=&quot;006D7691&quot;/&gt;&lt;wsp:rsid wsp:val=&quot;006E03A1&quot;/&gt;&lt;wsp:rsid wsp:val=&quot;006E08D7&quot;/&gt;&lt;wsp:rsid wsp:val=&quot;006E097E&quot;/&gt;&lt;wsp:rsid wsp:val=&quot;006E172D&quot;/&gt;&lt;wsp:rsid wsp:val=&quot;006E2726&quot;/&gt;&lt;wsp:rsid wsp:val=&quot;006E30A6&quot;/&gt;&lt;wsp:rsid wsp:val=&quot;006E6254&quot;/&gt;&lt;wsp:rsid wsp:val=&quot;006E7E17&quot;/&gt;&lt;wsp:rsid wsp:val=&quot;006F0017&quot;/&gt;&lt;wsp:rsid wsp:val=&quot;006F048D&quot;/&gt;&lt;wsp:rsid wsp:val=&quot;006F0994&quot;/&gt;&lt;wsp:rsid wsp:val=&quot;006F101D&quot;/&gt;&lt;wsp:rsid wsp:val=&quot;006F1325&quot;/&gt;&lt;wsp:rsid wsp:val=&quot;006F2911&quot;/&gt;&lt;wsp:rsid wsp:val=&quot;006F2A0D&quot;/&gt;&lt;wsp:rsid wsp:val=&quot;006F3653&quot;/&gt;&lt;wsp:rsid wsp:val=&quot;006F3B17&quot;/&gt;&lt;wsp:rsid wsp:val=&quot;006F476C&quot;/&gt;&lt;wsp:rsid wsp:val=&quot;006F5494&quot;/&gt;&lt;wsp:rsid wsp:val=&quot;006F5A95&quot;/&gt;&lt;wsp:rsid wsp:val=&quot;006F6D65&quot;/&gt;&lt;wsp:rsid wsp:val=&quot;006F74A7&quot;/&gt;&lt;wsp:rsid wsp:val=&quot;0070090C&quot;/&gt;&lt;wsp:rsid wsp:val=&quot;00701171&quot;/&gt;&lt;wsp:rsid wsp:val=&quot;00701955&quot;/&gt;&lt;wsp:rsid wsp:val=&quot;007045A0&quot;/&gt;&lt;wsp:rsid wsp:val=&quot;00704910&quot;/&gt;&lt;wsp:rsid wsp:val=&quot;00704933&quot;/&gt;&lt;wsp:rsid wsp:val=&quot;007049F0&quot;/&gt;&lt;wsp:rsid wsp:val=&quot;007049FE&quot;/&gt;&lt;wsp:rsid wsp:val=&quot;00704C9C&quot;/&gt;&lt;wsp:rsid wsp:val=&quot;00705C88&quot;/&gt;&lt;wsp:rsid wsp:val=&quot;00707B3A&quot;/&gt;&lt;wsp:rsid wsp:val=&quot;00710C8C&quot;/&gt;&lt;wsp:rsid wsp:val=&quot;007119E2&quot;/&gt;&lt;wsp:rsid wsp:val=&quot;00711AFB&quot;/&gt;&lt;wsp:rsid wsp:val=&quot;0071293A&quot;/&gt;&lt;wsp:rsid wsp:val=&quot;00714886&quot;/&gt;&lt;wsp:rsid wsp:val=&quot;00715133&quot;/&gt;&lt;wsp:rsid wsp:val=&quot;007158F1&quot;/&gt;&lt;wsp:rsid wsp:val=&quot;00715CEF&quot;/&gt;&lt;wsp:rsid wsp:val=&quot;00715F99&quot;/&gt;&lt;wsp:rsid wsp:val=&quot;0071604B&quot;/&gt;&lt;wsp:rsid wsp:val=&quot;0071744D&quot;/&gt;&lt;wsp:rsid wsp:val=&quot;007176F3&quot;/&gt;&lt;wsp:rsid wsp:val=&quot;00717AD1&quot;/&gt;&lt;wsp:rsid wsp:val=&quot;00717EC9&quot;/&gt;&lt;wsp:rsid wsp:val=&quot;0072137A&quot;/&gt;&lt;wsp:rsid wsp:val=&quot;007216BA&quot;/&gt;&lt;wsp:rsid wsp:val=&quot;00722202&quot;/&gt;&lt;wsp:rsid wsp:val=&quot;00723314&quot;/&gt;&lt;wsp:rsid wsp:val=&quot;007242F6&quot;/&gt;&lt;wsp:rsid wsp:val=&quot;00724B00&quot;/&gt;&lt;wsp:rsid wsp:val=&quot;00724B19&quot;/&gt;&lt;wsp:rsid wsp:val=&quot;00725517&quot;/&gt;&lt;wsp:rsid wsp:val=&quot;00725604&quot;/&gt;&lt;wsp:rsid wsp:val=&quot;007257B2&quot;/&gt;&lt;wsp:rsid wsp:val=&quot;00725A97&quot;/&gt;&lt;wsp:rsid wsp:val=&quot;00725B60&quot;/&gt;&lt;wsp:rsid wsp:val=&quot;007261AB&quot;/&gt;&lt;wsp:rsid wsp:val=&quot;00730305&quot;/&gt;&lt;wsp:rsid wsp:val=&quot;00730A72&quot;/&gt;&lt;wsp:rsid wsp:val=&quot;007314A3&quot;/&gt;&lt;wsp:rsid wsp:val=&quot;00731DC0&quot;/&gt;&lt;wsp:rsid wsp:val=&quot;00732355&quot;/&gt;&lt;wsp:rsid wsp:val=&quot;0073297C&quot;/&gt;&lt;wsp:rsid wsp:val=&quot;00733886&quot;/&gt;&lt;wsp:rsid wsp:val=&quot;00734C98&quot;/&gt;&lt;wsp:rsid wsp:val=&quot;00734E83&quot;/&gt;&lt;wsp:rsid wsp:val=&quot;00735239&quot;/&gt;&lt;wsp:rsid wsp:val=&quot;00740ED5&quot;/&gt;&lt;wsp:rsid wsp:val=&quot;00743B56&quot;/&gt;&lt;wsp:rsid wsp:val=&quot;00746828&quot;/&gt;&lt;wsp:rsid wsp:val=&quot;00747D8C&quot;/&gt;&lt;wsp:rsid wsp:val=&quot;007503C0&quot;/&gt;&lt;wsp:rsid wsp:val=&quot;00750825&quot;/&gt;&lt;wsp:rsid wsp:val=&quot;007509DA&quot;/&gt;&lt;wsp:rsid wsp:val=&quot;00750DFF&quot;/&gt;&lt;wsp:rsid wsp:val=&quot;00751A6A&quot;/&gt;&lt;wsp:rsid wsp:val=&quot;00751EF8&quot;/&gt;&lt;wsp:rsid wsp:val=&quot;0075256E&quot;/&gt;&lt;wsp:rsid wsp:val=&quot;00753240&quot;/&gt;&lt;wsp:rsid wsp:val=&quot;007536CD&quot;/&gt;&lt;wsp:rsid wsp:val=&quot;00753914&quot;/&gt;&lt;wsp:rsid wsp:val=&quot;00753C64&quot;/&gt;&lt;wsp:rsid wsp:val=&quot;007549E9&quot;/&gt;&lt;wsp:rsid wsp:val=&quot;00754F25&quot;/&gt;&lt;wsp:rsid wsp:val=&quot;00756128&quot;/&gt;&lt;wsp:rsid wsp:val=&quot;00756840&quot;/&gt;&lt;wsp:rsid wsp:val=&quot;00756E84&quot;/&gt;&lt;wsp:rsid wsp:val=&quot;00757F28&quot;/&gt;&lt;wsp:rsid wsp:val=&quot;00760394&quot;/&gt;&lt;wsp:rsid wsp:val=&quot;0076243E&quot;/&gt;&lt;wsp:rsid wsp:val=&quot;00764CAF&quot;/&gt;&lt;wsp:rsid wsp:val=&quot;00765C52&quot;/&gt;&lt;wsp:rsid wsp:val=&quot;00766AFD&quot;/&gt;&lt;wsp:rsid wsp:val=&quot;0077022D&quot;/&gt;&lt;wsp:rsid wsp:val=&quot;0077088A&quot;/&gt;&lt;wsp:rsid wsp:val=&quot;00770D88&quot;/&gt;&lt;wsp:rsid wsp:val=&quot;007712EA&quot;/&gt;&lt;wsp:rsid wsp:val=&quot;00773B4C&quot;/&gt;&lt;wsp:rsid wsp:val=&quot;00773D05&quot;/&gt;&lt;wsp:rsid wsp:val=&quot;00773DF3&quot;/&gt;&lt;wsp:rsid wsp:val=&quot;00773FA7&quot;/&gt;&lt;wsp:rsid wsp:val=&quot;00774752&quot;/&gt;&lt;wsp:rsid wsp:val=&quot;0077496E&quot;/&gt;&lt;wsp:rsid wsp:val=&quot;00774A8B&quot;/&gt;&lt;wsp:rsid wsp:val=&quot;00774D4A&quot;/&gt;&lt;wsp:rsid wsp:val=&quot;00775433&quot;/&gt;&lt;wsp:rsid wsp:val=&quot;00775D0A&quot;/&gt;&lt;wsp:rsid wsp:val=&quot;00775FDD&quot;/&gt;&lt;wsp:rsid wsp:val=&quot;00776C11&quot;/&gt;&lt;wsp:rsid wsp:val=&quot;00777B19&quot;/&gt;&lt;wsp:rsid wsp:val=&quot;00777D82&quot;/&gt;&lt;wsp:rsid wsp:val=&quot;007805BC&quot;/&gt;&lt;wsp:rsid wsp:val=&quot;0078078E&quot;/&gt;&lt;wsp:rsid wsp:val=&quot;00781611&quot;/&gt;&lt;wsp:rsid wsp:val=&quot;007818E2&quot;/&gt;&lt;wsp:rsid wsp:val=&quot;00781943&quot;/&gt;&lt;wsp:rsid wsp:val=&quot;0078218A&quot;/&gt;&lt;wsp:rsid wsp:val=&quot;00784493&quot;/&gt;&lt;wsp:rsid wsp:val=&quot;00784E74&quot;/&gt;&lt;wsp:rsid wsp:val=&quot;0078533B&quot;/&gt;&lt;wsp:rsid wsp:val=&quot;00785F22&quot;/&gt;&lt;wsp:rsid wsp:val=&quot;00786B08&quot;/&gt;&lt;wsp:rsid wsp:val=&quot;00786E28&quot;/&gt;&lt;wsp:rsid wsp:val=&quot;007918C0&quot;/&gt;&lt;wsp:rsid wsp:val=&quot;00791CD2&quot;/&gt;&lt;wsp:rsid wsp:val=&quot;00791EAC&quot;/&gt;&lt;wsp:rsid wsp:val=&quot;00792953&quot;/&gt;&lt;wsp:rsid wsp:val=&quot;007929C5&quot;/&gt;&lt;wsp:rsid wsp:val=&quot;00793B39&quot;/&gt;&lt;wsp:rsid wsp:val=&quot;00793D47&quot;/&gt;&lt;wsp:rsid wsp:val=&quot;00795C41&quot;/&gt;&lt;wsp:rsid wsp:val=&quot;00795DFF&quot;/&gt;&lt;wsp:rsid wsp:val=&quot;0079617C&quot;/&gt;&lt;wsp:rsid wsp:val=&quot;007967F3&quot;/&gt;&lt;wsp:rsid wsp:val=&quot;00797C10&quot;/&gt;&lt;wsp:rsid wsp:val=&quot;007A0D8F&quot;/&gt;&lt;wsp:rsid wsp:val=&quot;007A0EC9&quot;/&gt;&lt;wsp:rsid wsp:val=&quot;007A1108&quot;/&gt;&lt;wsp:rsid wsp:val=&quot;007A18B9&quot;/&gt;&lt;wsp:rsid wsp:val=&quot;007A2B64&quot;/&gt;&lt;wsp:rsid wsp:val=&quot;007A2BFC&quot;/&gt;&lt;wsp:rsid wsp:val=&quot;007A2FC2&quot;/&gt;&lt;wsp:rsid wsp:val=&quot;007A405E&quot;/&gt;&lt;wsp:rsid wsp:val=&quot;007A4B7D&quot;/&gt;&lt;wsp:rsid wsp:val=&quot;007A4E8E&quot;/&gt;&lt;wsp:rsid wsp:val=&quot;007A52A6&quot;/&gt;&lt;wsp:rsid wsp:val=&quot;007A52A7&quot;/&gt;&lt;wsp:rsid wsp:val=&quot;007A6151&quot;/&gt;&lt;wsp:rsid wsp:val=&quot;007A62B7&quot;/&gt;&lt;wsp:rsid wsp:val=&quot;007A637F&quot;/&gt;&lt;wsp:rsid wsp:val=&quot;007A63C8&quot;/&gt;&lt;wsp:rsid wsp:val=&quot;007A794E&quot;/&gt;&lt;wsp:rsid wsp:val=&quot;007B114D&quot;/&gt;&lt;wsp:rsid wsp:val=&quot;007B1A83&quot;/&gt;&lt;wsp:rsid wsp:val=&quot;007B204B&quot;/&gt;&lt;wsp:rsid wsp:val=&quot;007B2C5A&quot;/&gt;&lt;wsp:rsid wsp:val=&quot;007B5508&quot;/&gt;&lt;wsp:rsid wsp:val=&quot;007B5A6F&quot;/&gt;&lt;wsp:rsid wsp:val=&quot;007B6510&quot;/&gt;&lt;wsp:rsid wsp:val=&quot;007B7409&quot;/&gt;&lt;wsp:rsid wsp:val=&quot;007B7ED5&quot;/&gt;&lt;wsp:rsid wsp:val=&quot;007C04ED&quot;/&gt;&lt;wsp:rsid wsp:val=&quot;007C12BA&quot;/&gt;&lt;wsp:rsid wsp:val=&quot;007C2AFB&quot;/&gt;&lt;wsp:rsid wsp:val=&quot;007C2CCD&quot;/&gt;&lt;wsp:rsid wsp:val=&quot;007C2E01&quot;/&gt;&lt;wsp:rsid wsp:val=&quot;007C2F24&quot;/&gt;&lt;wsp:rsid wsp:val=&quot;007C303C&quot;/&gt;&lt;wsp:rsid wsp:val=&quot;007C3D46&quot;/&gt;&lt;wsp:rsid wsp:val=&quot;007C3D6B&quot;/&gt;&lt;wsp:rsid wsp:val=&quot;007C48B8&quot;/&gt;&lt;wsp:rsid wsp:val=&quot;007C5398&quot;/&gt;&lt;wsp:rsid wsp:val=&quot;007C53B7&quot;/&gt;&lt;wsp:rsid wsp:val=&quot;007C61FC&quot;/&gt;&lt;wsp:rsid wsp:val=&quot;007C64C2&quot;/&gt;&lt;wsp:rsid wsp:val=&quot;007C6B86&quot;/&gt;&lt;wsp:rsid wsp:val=&quot;007C6CC8&quot;/&gt;&lt;wsp:rsid wsp:val=&quot;007C7350&quot;/&gt;&lt;wsp:rsid wsp:val=&quot;007C76EE&quot;/&gt;&lt;wsp:rsid wsp:val=&quot;007D0294&quot;/&gt;&lt;wsp:rsid wsp:val=&quot;007D0490&quot;/&gt;&lt;wsp:rsid wsp:val=&quot;007D0F55&quot;/&gt;&lt;wsp:rsid wsp:val=&quot;007D2ADD&quot;/&gt;&lt;wsp:rsid wsp:val=&quot;007D2CAC&quot;/&gt;&lt;wsp:rsid wsp:val=&quot;007D348B&quot;/&gt;&lt;wsp:rsid wsp:val=&quot;007D3914&quot;/&gt;&lt;wsp:rsid wsp:val=&quot;007D3EFF&quot;/&gt;&lt;wsp:rsid wsp:val=&quot;007D412B&quot;/&gt;&lt;wsp:rsid wsp:val=&quot;007D502C&quot;/&gt;&lt;wsp:rsid wsp:val=&quot;007D5527&quot;/&gt;&lt;wsp:rsid wsp:val=&quot;007D5F17&quot;/&gt;&lt;wsp:rsid wsp:val=&quot;007D6FAC&quot;/&gt;&lt;wsp:rsid wsp:val=&quot;007E0391&quot;/&gt;&lt;wsp:rsid wsp:val=&quot;007E087D&quot;/&gt;&lt;wsp:rsid wsp:val=&quot;007E097B&quot;/&gt;&lt;wsp:rsid wsp:val=&quot;007E1BAF&quot;/&gt;&lt;wsp:rsid wsp:val=&quot;007E2337&quot;/&gt;&lt;wsp:rsid wsp:val=&quot;007E30A8&quot;/&gt;&lt;wsp:rsid wsp:val=&quot;007E36F1&quot;/&gt;&lt;wsp:rsid wsp:val=&quot;007E3BE2&quot;/&gt;&lt;wsp:rsid wsp:val=&quot;007E4989&quot;/&gt;&lt;wsp:rsid wsp:val=&quot;007E4F9D&quot;/&gt;&lt;wsp:rsid wsp:val=&quot;007E5215&quot;/&gt;&lt;wsp:rsid wsp:val=&quot;007E55E7&quot;/&gt;&lt;wsp:rsid wsp:val=&quot;007E7AEC&quot;/&gt;&lt;wsp:rsid wsp:val=&quot;007F29AE&quot;/&gt;&lt;wsp:rsid wsp:val=&quot;007F3053&quot;/&gt;&lt;wsp:rsid wsp:val=&quot;007F33D8&quot;/&gt;&lt;wsp:rsid wsp:val=&quot;007F444D&quot;/&gt;&lt;wsp:rsid wsp:val=&quot;007F4519&quot;/&gt;&lt;wsp:rsid wsp:val=&quot;007F4636&quot;/&gt;&lt;wsp:rsid wsp:val=&quot;007F51FE&quot;/&gt;&lt;wsp:rsid wsp:val=&quot;007F65B3&quot;/&gt;&lt;wsp:rsid wsp:val=&quot;007F6CCE&quot;/&gt;&lt;wsp:rsid wsp:val=&quot;007F79C1&quot;/&gt;&lt;wsp:rsid wsp:val=&quot;008003B9&quot;/&gt;&lt;wsp:rsid wsp:val=&quot;008004D1&quot;/&gt;&lt;wsp:rsid wsp:val=&quot;0080069D&quot;/&gt;&lt;wsp:rsid wsp:val=&quot;00801487&quot;/&gt;&lt;wsp:rsid wsp:val=&quot;00801AF6&quot;/&gt;&lt;wsp:rsid wsp:val=&quot;00802A0B&quot;/&gt;&lt;wsp:rsid wsp:val=&quot;00803F39&quot;/&gt;&lt;wsp:rsid wsp:val=&quot;008049D0&quot;/&gt;&lt;wsp:rsid wsp:val=&quot;0080633A&quot;/&gt;&lt;wsp:rsid wsp:val=&quot;00806DD8&quot;/&gt;&lt;wsp:rsid wsp:val=&quot;008071AA&quot;/&gt;&lt;wsp:rsid wsp:val=&quot;00810177&quot;/&gt;&lt;wsp:rsid wsp:val=&quot;008109BB&quot;/&gt;&lt;wsp:rsid wsp:val=&quot;00810F24&quot;/&gt;&lt;wsp:rsid wsp:val=&quot;00811E54&quot;/&gt;&lt;wsp:rsid wsp:val=&quot;00812496&quot;/&gt;&lt;wsp:rsid wsp:val=&quot;008127DD&quot;/&gt;&lt;wsp:rsid wsp:val=&quot;00812A68&quot;/&gt;&lt;wsp:rsid wsp:val=&quot;00812A69&quot;/&gt;&lt;wsp:rsid wsp:val=&quot;00812A7E&quot;/&gt;&lt;wsp:rsid wsp:val=&quot;00813473&quot;/&gt;&lt;wsp:rsid wsp:val=&quot;0081408B&quot;/&gt;&lt;wsp:rsid wsp:val=&quot;00814093&quot;/&gt;&lt;wsp:rsid wsp:val=&quot;00815C11&quot;/&gt;&lt;wsp:rsid wsp:val=&quot;00815D3F&quot;/&gt;&lt;wsp:rsid wsp:val=&quot;00816551&quot;/&gt;&lt;wsp:rsid wsp:val=&quot;008167E2&quot;/&gt;&lt;wsp:rsid wsp:val=&quot;00817A6B&quot;/&gt;&lt;wsp:rsid wsp:val=&quot;00820AC3&quot;/&gt;&lt;wsp:rsid wsp:val=&quot;00821579&quot;/&gt;&lt;wsp:rsid wsp:val=&quot;00822113&quot;/&gt;&lt;wsp:rsid wsp:val=&quot;00822AA4&quot;/&gt;&lt;wsp:rsid wsp:val=&quot;00823281&quot;/&gt;&lt;wsp:rsid wsp:val=&quot;008240CD&quot;/&gt;&lt;wsp:rsid wsp:val=&quot;008256BF&quot;/&gt;&lt;wsp:rsid wsp:val=&quot;008257A8&quot;/&gt;&lt;wsp:rsid wsp:val=&quot;00825A1E&quot;/&gt;&lt;wsp:rsid wsp:val=&quot;0082743F&quot;/&gt;&lt;wsp:rsid wsp:val=&quot;008274D0&quot;/&gt;&lt;wsp:rsid wsp:val=&quot;00827EF7&quot;/&gt;&lt;wsp:rsid wsp:val=&quot;00830BCE&quot;/&gt;&lt;wsp:rsid wsp:val=&quot;00831AF5&quot;/&gt;&lt;wsp:rsid wsp:val=&quot;00832080&quot;/&gt;&lt;wsp:rsid wsp:val=&quot;00833009&quot;/&gt;&lt;wsp:rsid wsp:val=&quot;0083373D&quot;/&gt;&lt;wsp:rsid wsp:val=&quot;0083400F&quot;/&gt;&lt;wsp:rsid wsp:val=&quot;00834C21&quot;/&gt;&lt;wsp:rsid wsp:val=&quot;00834E9D&quot;/&gt;&lt;wsp:rsid wsp:val=&quot;00835FB8&quot;/&gt;&lt;wsp:rsid wsp:val=&quot;00836440&quot;/&gt;&lt;wsp:rsid wsp:val=&quot;00836994&quot;/&gt;&lt;wsp:rsid wsp:val=&quot;00836F5E&quot;/&gt;&lt;wsp:rsid wsp:val=&quot;008372D5&quot;/&gt;&lt;wsp:rsid wsp:val=&quot;008378FF&quot;/&gt;&lt;wsp:rsid wsp:val=&quot;00837A73&quot;/&gt;&lt;wsp:rsid wsp:val=&quot;00837B45&quot;/&gt;&lt;wsp:rsid wsp:val=&quot;00837BBB&quot;/&gt;&lt;wsp:rsid wsp:val=&quot;008411D0&quot;/&gt;&lt;wsp:rsid wsp:val=&quot;008441AB&quot;/&gt;&lt;wsp:rsid wsp:val=&quot;008441C9&quot;/&gt;&lt;wsp:rsid wsp:val=&quot;008446DC&quot;/&gt;&lt;wsp:rsid wsp:val=&quot;0084591A&quot;/&gt;&lt;wsp:rsid wsp:val=&quot;00845FD9&quot;/&gt;&lt;wsp:rsid wsp:val=&quot;00846486&quot;/&gt;&lt;wsp:rsid wsp:val=&quot;00846693&quot;/&gt;&lt;wsp:rsid wsp:val=&quot;00846CD7&quot;/&gt;&lt;wsp:rsid wsp:val=&quot;008478AB&quot;/&gt;&lt;wsp:rsid wsp:val=&quot;0085169C&quot;/&gt;&lt;wsp:rsid wsp:val=&quot;00851703&quot;/&gt;&lt;wsp:rsid wsp:val=&quot;008519D4&quot;/&gt;&lt;wsp:rsid wsp:val=&quot;008533A3&quot;/&gt;&lt;wsp:rsid wsp:val=&quot;00854DE3&quot;/&gt;&lt;wsp:rsid wsp:val=&quot;00854FBD&quot;/&gt;&lt;wsp:rsid wsp:val=&quot;00855B2E&quot;/&gt;&lt;wsp:rsid wsp:val=&quot;0085607E&quot;/&gt;&lt;wsp:rsid wsp:val=&quot;00856BEE&quot;/&gt;&lt;wsp:rsid wsp:val=&quot;00856D30&quot;/&gt;&lt;wsp:rsid wsp:val=&quot;00860B8B&quot;/&gt;&lt;wsp:rsid wsp:val=&quot;00863041&quot;/&gt;&lt;wsp:rsid wsp:val=&quot;0086326E&quot;/&gt;&lt;wsp:rsid wsp:val=&quot;008634A0&quot;/&gt;&lt;wsp:rsid wsp:val=&quot;00864AE9&quot;/&gt;&lt;wsp:rsid wsp:val=&quot;00864CBB&quot;/&gt;&lt;wsp:rsid wsp:val=&quot;00864D0C&quot;/&gt;&lt;wsp:rsid wsp:val=&quot;008660E2&quot;/&gt;&lt;wsp:rsid wsp:val=&quot;00866F1F&quot;/&gt;&lt;wsp:rsid wsp:val=&quot;0086787B&quot;/&gt;&lt;wsp:rsid wsp:val=&quot;008701BC&quot;/&gt;&lt;wsp:rsid wsp:val=&quot;0087057D&quot;/&gt;&lt;wsp:rsid wsp:val=&quot;008712B5&quot;/&gt;&lt;wsp:rsid wsp:val=&quot;00871897&quot;/&gt;&lt;wsp:rsid wsp:val=&quot;008744E5&quot;/&gt;&lt;wsp:rsid wsp:val=&quot;00874964&quot;/&gt;&lt;wsp:rsid wsp:val=&quot;008755DE&quot;/&gt;&lt;wsp:rsid wsp:val=&quot;008759BE&quot;/&gt;&lt;wsp:rsid wsp:val=&quot;00875FD7&quot;/&gt;&lt;wsp:rsid wsp:val=&quot;008775C4&quot;/&gt;&lt;wsp:rsid wsp:val=&quot;00877FEC&quot;/&gt;&lt;wsp:rsid wsp:val=&quot;0088074E&quot;/&gt;&lt;wsp:rsid wsp:val=&quot;00880AB0&quot;/&gt;&lt;wsp:rsid wsp:val=&quot;008821BF&quot;/&gt;&lt;wsp:rsid wsp:val=&quot;008823C3&quot;/&gt;&lt;wsp:rsid wsp:val=&quot;00882951&quot;/&gt;&lt;wsp:rsid wsp:val=&quot;00883DD7&quot;/&gt;&lt;wsp:rsid wsp:val=&quot;008847BD&quot;/&gt;&lt;wsp:rsid wsp:val=&quot;00885415&quot;/&gt;&lt;wsp:rsid wsp:val=&quot;00886CFA&quot;/&gt;&lt;wsp:rsid wsp:val=&quot;00886E85&quot;/&gt;&lt;wsp:rsid wsp:val=&quot;0088771A&quot;/&gt;&lt;wsp:rsid wsp:val=&quot;0088779D&quot;/&gt;&lt;wsp:rsid wsp:val=&quot;008904AE&quot;/&gt;&lt;wsp:rsid wsp:val=&quot;008938F3&quot;/&gt;&lt;wsp:rsid wsp:val=&quot;008941D0&quot;/&gt;&lt;wsp:rsid wsp:val=&quot;0089716F&quot;/&gt;&lt;wsp:rsid wsp:val=&quot;00897FC8&quot;/&gt;&lt;wsp:rsid wsp:val=&quot;008A05CE&quot;/&gt;&lt;wsp:rsid wsp:val=&quot;008A067E&quot;/&gt;&lt;wsp:rsid wsp:val=&quot;008A095C&quot;/&gt;&lt;wsp:rsid wsp:val=&quot;008A1230&quot;/&gt;&lt;wsp:rsid wsp:val=&quot;008A161C&quot;/&gt;&lt;wsp:rsid wsp:val=&quot;008A1AD4&quot;/&gt;&lt;wsp:rsid wsp:val=&quot;008A26BA&quot;/&gt;&lt;wsp:rsid wsp:val=&quot;008A39EF&quot;/&gt;&lt;wsp:rsid wsp:val=&quot;008A3A2E&quot;/&gt;&lt;wsp:rsid wsp:val=&quot;008A3EA8&quot;/&gt;&lt;wsp:rsid wsp:val=&quot;008A413C&quot;/&gt;&lt;wsp:rsid wsp:val=&quot;008A451C&quot;/&gt;&lt;wsp:rsid wsp:val=&quot;008A4802&quot;/&gt;&lt;wsp:rsid wsp:val=&quot;008A4A95&quot;/&gt;&lt;wsp:rsid wsp:val=&quot;008A4B16&quot;/&gt;&lt;wsp:rsid wsp:val=&quot;008A4B30&quot;/&gt;&lt;wsp:rsid wsp:val=&quot;008A598B&quot;/&gt;&lt;wsp:rsid wsp:val=&quot;008A65E1&quot;/&gt;&lt;wsp:rsid wsp:val=&quot;008A6BD6&quot;/&gt;&lt;wsp:rsid wsp:val=&quot;008A7C36&quot;/&gt;&lt;wsp:rsid wsp:val=&quot;008B0390&quot;/&gt;&lt;wsp:rsid wsp:val=&quot;008B04ED&quot;/&gt;&lt;wsp:rsid wsp:val=&quot;008B115A&quot;/&gt;&lt;wsp:rsid wsp:val=&quot;008B1CF1&quot;/&gt;&lt;wsp:rsid wsp:val=&quot;008B255F&quot;/&gt;&lt;wsp:rsid wsp:val=&quot;008B29B4&quot;/&gt;&lt;wsp:rsid wsp:val=&quot;008B3B19&quot;/&gt;&lt;wsp:rsid wsp:val=&quot;008B4073&quot;/&gt;&lt;wsp:rsid wsp:val=&quot;008B47C7&quot;/&gt;&lt;wsp:rsid wsp:val=&quot;008B49B3&quot;/&gt;&lt;wsp:rsid wsp:val=&quot;008B6C65&quot;/&gt;&lt;wsp:rsid wsp:val=&quot;008B6F44&quot;/&gt;&lt;wsp:rsid wsp:val=&quot;008C0051&quot;/&gt;&lt;wsp:rsid wsp:val=&quot;008C01A1&quot;/&gt;&lt;wsp:rsid wsp:val=&quot;008C0BC1&quot;/&gt;&lt;wsp:rsid wsp:val=&quot;008C169D&quot;/&gt;&lt;wsp:rsid wsp:val=&quot;008C2D2B&quot;/&gt;&lt;wsp:rsid wsp:val=&quot;008C2EBA&quot;/&gt;&lt;wsp:rsid wsp:val=&quot;008C3488&quot;/&gt;&lt;wsp:rsid wsp:val=&quot;008C370C&quot;/&gt;&lt;wsp:rsid wsp:val=&quot;008C46DA&quot;/&gt;&lt;wsp:rsid wsp:val=&quot;008C49B3&quot;/&gt;&lt;wsp:rsid wsp:val=&quot;008C4CEB&quot;/&gt;&lt;wsp:rsid wsp:val=&quot;008C5B7A&quot;/&gt;&lt;wsp:rsid wsp:val=&quot;008C5FEE&quot;/&gt;&lt;wsp:rsid wsp:val=&quot;008C7566&quot;/&gt;&lt;wsp:rsid wsp:val=&quot;008D150B&quot;/&gt;&lt;wsp:rsid wsp:val=&quot;008D172C&quot;/&gt;&lt;wsp:rsid wsp:val=&quot;008D2EC7&quot;/&gt;&lt;wsp:rsid wsp:val=&quot;008D2F23&quot;/&gt;&lt;wsp:rsid wsp:val=&quot;008D3106&quot;/&gt;&lt;wsp:rsid wsp:val=&quot;008D36B0&quot;/&gt;&lt;wsp:rsid wsp:val=&quot;008D3DD9&quot;/&gt;&lt;wsp:rsid wsp:val=&quot;008D3F23&quot;/&gt;&lt;wsp:rsid wsp:val=&quot;008D459E&quot;/&gt;&lt;wsp:rsid wsp:val=&quot;008D4654&quot;/&gt;&lt;wsp:rsid wsp:val=&quot;008D4851&quot;/&gt;&lt;wsp:rsid wsp:val=&quot;008D4F68&quot;/&gt;&lt;wsp:rsid wsp:val=&quot;008D686F&quot;/&gt;&lt;wsp:rsid wsp:val=&quot;008D6B6E&quot;/&gt;&lt;wsp:rsid wsp:val=&quot;008D6F20&quot;/&gt;&lt;wsp:rsid wsp:val=&quot;008D7727&quot;/&gt;&lt;wsp:rsid wsp:val=&quot;008E0385&quot;/&gt;&lt;wsp:rsid wsp:val=&quot;008E08EE&quot;/&gt;&lt;wsp:rsid wsp:val=&quot;008E23F0&quot;/&gt;&lt;wsp:rsid wsp:val=&quot;008E3651&quot;/&gt;&lt;wsp:rsid wsp:val=&quot;008E3BDA&quot;/&gt;&lt;wsp:rsid wsp:val=&quot;008E462C&quot;/&gt;&lt;wsp:rsid wsp:val=&quot;008E5FF7&quot;/&gt;&lt;wsp:rsid wsp:val=&quot;008E62B9&quot;/&gt;&lt;wsp:rsid wsp:val=&quot;008E6389&quot;/&gt;&lt;wsp:rsid wsp:val=&quot;008E78D2&quot;/&gt;&lt;wsp:rsid wsp:val=&quot;008E7949&quot;/&gt;&lt;wsp:rsid wsp:val=&quot;008F065F&quot;/&gt;&lt;wsp:rsid wsp:val=&quot;008F184F&quot;/&gt;&lt;wsp:rsid wsp:val=&quot;008F1EA1&quot;/&gt;&lt;wsp:rsid wsp:val=&quot;008F26B2&quot;/&gt;&lt;wsp:rsid wsp:val=&quot;008F28A2&quot;/&gt;&lt;wsp:rsid wsp:val=&quot;008F37E2&quot;/&gt;&lt;wsp:rsid wsp:val=&quot;008F3AC2&quot;/&gt;&lt;wsp:rsid wsp:val=&quot;008F435E&quot;/&gt;&lt;wsp:rsid wsp:val=&quot;008F4B29&quot;/&gt;&lt;wsp:rsid wsp:val=&quot;008F59C8&quot;/&gt;&lt;wsp:rsid wsp:val=&quot;008F73F8&quot;/&gt;&lt;wsp:rsid wsp:val=&quot;008F759A&quot;/&gt;&lt;wsp:rsid wsp:val=&quot;00900BDD&quot;/&gt;&lt;wsp:rsid wsp:val=&quot;00900F3A&quot;/&gt;&lt;wsp:rsid wsp:val=&quot;00901B4B&quot;/&gt;&lt;wsp:rsid wsp:val=&quot;00901BE6&quot;/&gt;&lt;wsp:rsid wsp:val=&quot;00901FDD&quot;/&gt;&lt;wsp:rsid wsp:val=&quot;00903168&quot;/&gt;&lt;wsp:rsid wsp:val=&quot;00903624&quot;/&gt;&lt;wsp:rsid wsp:val=&quot;0090480E&quot;/&gt;&lt;wsp:rsid wsp:val=&quot;00905234&quot;/&gt;&lt;wsp:rsid wsp:val=&quot;009056EA&quot;/&gt;&lt;wsp:rsid wsp:val=&quot;009059ED&quot;/&gt;&lt;wsp:rsid wsp:val=&quot;00905B68&quot;/&gt;&lt;wsp:rsid wsp:val=&quot;0090602D&quot;/&gt;&lt;wsp:rsid wsp:val=&quot;00906818&quot;/&gt;&lt;wsp:rsid wsp:val=&quot;009069EE&quot;/&gt;&lt;wsp:rsid wsp:val=&quot;00910F8F&quot;/&gt;&lt;wsp:rsid wsp:val=&quot;0091276A&quot;/&gt;&lt;wsp:rsid wsp:val=&quot;009132CC&quot;/&gt;&lt;wsp:rsid wsp:val=&quot;00913B48&quot;/&gt;&lt;wsp:rsid wsp:val=&quot;00914A2F&quot;/&gt;&lt;wsp:rsid wsp:val=&quot;009151A9&quot;/&gt;&lt;wsp:rsid wsp:val=&quot;00915AAB&quot;/&gt;&lt;wsp:rsid wsp:val=&quot;009166A4&quot;/&gt;&lt;wsp:rsid wsp:val=&quot;00916C37&quot;/&gt;&lt;wsp:rsid wsp:val=&quot;00916D41&quot;/&gt;&lt;wsp:rsid wsp:val=&quot;00917D32&quot;/&gt;&lt;wsp:rsid wsp:val=&quot;00921B68&quot;/&gt;&lt;wsp:rsid wsp:val=&quot;00922118&quot;/&gt;&lt;wsp:rsid wsp:val=&quot;00924415&quot;/&gt;&lt;wsp:rsid wsp:val=&quot;00924DFE&quot;/&gt;&lt;wsp:rsid wsp:val=&quot;009250D5&quot;/&gt;&lt;wsp:rsid wsp:val=&quot;00926A1B&quot;/&gt;&lt;wsp:rsid wsp:val=&quot;00926BC2&quot;/&gt;&lt;wsp:rsid wsp:val=&quot;00930541&quot;/&gt;&lt;wsp:rsid wsp:val=&quot;00930CF4&quot;/&gt;&lt;wsp:rsid wsp:val=&quot;00931168&quot;/&gt;&lt;wsp:rsid wsp:val=&quot;00931411&quot;/&gt;&lt;wsp:rsid wsp:val=&quot;00931998&quot;/&gt;&lt;wsp:rsid wsp:val=&quot;00934492&quot;/&gt;&lt;wsp:rsid wsp:val=&quot;009344F7&quot;/&gt;&lt;wsp:rsid wsp:val=&quot;00935FD0&quot;/&gt;&lt;wsp:rsid wsp:val=&quot;00936E8D&quot;/&gt;&lt;wsp:rsid wsp:val=&quot;00937F75&quot;/&gt;&lt;wsp:rsid wsp:val=&quot;009408EA&quot;/&gt;&lt;wsp:rsid wsp:val=&quot;00940A6C&quot;/&gt;&lt;wsp:rsid wsp:val=&quot;00940ADD&quot;/&gt;&lt;wsp:rsid wsp:val=&quot;00940AF8&quot;/&gt;&lt;wsp:rsid wsp:val=&quot;00944384&quot;/&gt;&lt;wsp:rsid wsp:val=&quot;0094560A&quot;/&gt;&lt;wsp:rsid wsp:val=&quot;00945EFB&quot;/&gt;&lt;wsp:rsid wsp:val=&quot;0094625C&quot;/&gt;&lt;wsp:rsid wsp:val=&quot;00946DBD&quot;/&gt;&lt;wsp:rsid wsp:val=&quot;00946FE4&quot;/&gt;&lt;wsp:rsid wsp:val=&quot;00946FF9&quot;/&gt;&lt;wsp:rsid wsp:val=&quot;00947BD9&quot;/&gt;&lt;wsp:rsid wsp:val=&quot;00950082&quot;/&gt;&lt;wsp:rsid wsp:val=&quot;00950473&quot;/&gt;&lt;wsp:rsid wsp:val=&quot;009504BF&quot;/&gt;&lt;wsp:rsid wsp:val=&quot;00952275&quot;/&gt;&lt;wsp:rsid wsp:val=&quot;00952ED5&quot;/&gt;&lt;wsp:rsid wsp:val=&quot;009534DE&quot;/&gt;&lt;wsp:rsid wsp:val=&quot;00953AED&quot;/&gt;&lt;wsp:rsid wsp:val=&quot;009549B0&quot;/&gt;&lt;wsp:rsid wsp:val=&quot;00955F5D&quot;/&gt;&lt;wsp:rsid wsp:val=&quot;00956609&quot;/&gt;&lt;wsp:rsid wsp:val=&quot;00956B82&quot;/&gt;&lt;wsp:rsid wsp:val=&quot;009606BE&quot;/&gt;&lt;wsp:rsid wsp:val=&quot;009609F2&quot;/&gt;&lt;wsp:rsid wsp:val=&quot;00960D2F&quot;/&gt;&lt;wsp:rsid wsp:val=&quot;00962874&quot;/&gt;&lt;wsp:rsid wsp:val=&quot;00963897&quot;/&gt;&lt;wsp:rsid wsp:val=&quot;00964334&quot;/&gt;&lt;wsp:rsid wsp:val=&quot;00964863&quot;/&gt;&lt;wsp:rsid wsp:val=&quot;009649A0&quot;/&gt;&lt;wsp:rsid wsp:val=&quot;0096582F&quot;/&gt;&lt;wsp:rsid wsp:val=&quot;00965A0E&quot;/&gt;&lt;wsp:rsid wsp:val=&quot;00965E5B&quot;/&gt;&lt;wsp:rsid wsp:val=&quot;00966EB6&quot;/&gt;&lt;wsp:rsid wsp:val=&quot;009711C3&quot;/&gt;&lt;wsp:rsid wsp:val=&quot;0097129D&quot;/&gt;&lt;wsp:rsid wsp:val=&quot;00971E42&quot;/&gt;&lt;wsp:rsid wsp:val=&quot;00972328&quot;/&gt;&lt;wsp:rsid wsp:val=&quot;0097299B&quot;/&gt;&lt;wsp:rsid wsp:val=&quot;00973701&quot;/&gt;&lt;wsp:rsid wsp:val=&quot;00973F74&quot;/&gt;&lt;wsp:rsid wsp:val=&quot;00974A67&quot;/&gt;&lt;wsp:rsid wsp:val=&quot;00974B40&quot;/&gt;&lt;wsp:rsid wsp:val=&quot;0097685E&quot;/&gt;&lt;wsp:rsid wsp:val=&quot;0097693F&quot;/&gt;&lt;wsp:rsid wsp:val=&quot;00980BAE&quot;/&gt;&lt;wsp:rsid wsp:val=&quot;00980EE1&quot;/&gt;&lt;wsp:rsid wsp:val=&quot;009819A6&quot;/&gt;&lt;wsp:rsid wsp:val=&quot;00983D60&quot;/&gt;&lt;wsp:rsid wsp:val=&quot;00984698&quot;/&gt;&lt;wsp:rsid wsp:val=&quot;009849C8&quot;/&gt;&lt;wsp:rsid wsp:val=&quot;00984D7F&quot;/&gt;&lt;wsp:rsid wsp:val=&quot;00985680&quot;/&gt;&lt;wsp:rsid wsp:val=&quot;009860A7&quot;/&gt;&lt;wsp:rsid wsp:val=&quot;0098645E&quot;/&gt;&lt;wsp:rsid wsp:val=&quot;00990FCD&quot;/&gt;&lt;wsp:rsid wsp:val=&quot;009918A9&quot;/&gt;&lt;wsp:rsid wsp:val=&quot;00991BDA&quot;/&gt;&lt;wsp:rsid wsp:val=&quot;00993545&quot;/&gt;&lt;wsp:rsid wsp:val=&quot;009950D9&quot;/&gt;&lt;wsp:rsid wsp:val=&quot;00996A49&quot;/&gt;&lt;wsp:rsid wsp:val=&quot;009A0F59&quot;/&gt;&lt;wsp:rsid wsp:val=&quot;009A166A&quot;/&gt;&lt;wsp:rsid wsp:val=&quot;009A17CE&quot;/&gt;&lt;wsp:rsid wsp:val=&quot;009A2C51&quot;/&gt;&lt;wsp:rsid wsp:val=&quot;009A409D&quot;/&gt;&lt;wsp:rsid wsp:val=&quot;009A427F&quot;/&gt;&lt;wsp:rsid wsp:val=&quot;009A459E&quot;/&gt;&lt;wsp:rsid wsp:val=&quot;009A4ECD&quot;/&gt;&lt;wsp:rsid wsp:val=&quot;009A56A7&quot;/&gt;&lt;wsp:rsid wsp:val=&quot;009A5874&quot;/&gt;&lt;wsp:rsid wsp:val=&quot;009A734C&quot;/&gt;&lt;wsp:rsid wsp:val=&quot;009A7964&quot;/&gt;&lt;wsp:rsid wsp:val=&quot;009A7F95&quot;/&gt;&lt;wsp:rsid wsp:val=&quot;009B03E4&quot;/&gt;&lt;wsp:rsid wsp:val=&quot;009B0820&quot;/&gt;&lt;wsp:rsid wsp:val=&quot;009B11D7&quot;/&gt;&lt;wsp:rsid wsp:val=&quot;009B1952&quot;/&gt;&lt;wsp:rsid wsp:val=&quot;009B1FA7&quot;/&gt;&lt;wsp:rsid wsp:val=&quot;009B2F4A&quot;/&gt;&lt;wsp:rsid wsp:val=&quot;009B35F4&quot;/&gt;&lt;wsp:rsid wsp:val=&quot;009B4D96&quot;/&gt;&lt;wsp:rsid wsp:val=&quot;009B6133&quot;/&gt;&lt;wsp:rsid wsp:val=&quot;009B643E&quot;/&gt;&lt;wsp:rsid wsp:val=&quot;009B724A&quot;/&gt;&lt;wsp:rsid wsp:val=&quot;009C02A7&quot;/&gt;&lt;wsp:rsid wsp:val=&quot;009C044D&quot;/&gt;&lt;wsp:rsid wsp:val=&quot;009C086A&quot;/&gt;&lt;wsp:rsid wsp:val=&quot;009C2016&quot;/&gt;&lt;wsp:rsid wsp:val=&quot;009C21EC&quot;/&gt;&lt;wsp:rsid wsp:val=&quot;009C3190&quot;/&gt;&lt;wsp:rsid wsp:val=&quot;009C328D&quot;/&gt;&lt;wsp:rsid wsp:val=&quot;009C3E22&quot;/&gt;&lt;wsp:rsid wsp:val=&quot;009C50CB&quot;/&gt;&lt;wsp:rsid wsp:val=&quot;009C5348&quot;/&gt;&lt;wsp:rsid wsp:val=&quot;009C6D39&quot;/&gt;&lt;wsp:rsid wsp:val=&quot;009C6F27&quot;/&gt;&lt;wsp:rsid wsp:val=&quot;009C7ACD&quot;/&gt;&lt;wsp:rsid wsp:val=&quot;009D1962&quot;/&gt;&lt;wsp:rsid wsp:val=&quot;009D20A1&quot;/&gt;&lt;wsp:rsid wsp:val=&quot;009D2297&quot;/&gt;&lt;wsp:rsid wsp:val=&quot;009D2B0E&quot;/&gt;&lt;wsp:rsid wsp:val=&quot;009D2F26&quot;/&gt;&lt;wsp:rsid wsp:val=&quot;009D31F3&quot;/&gt;&lt;wsp:rsid wsp:val=&quot;009D3B4F&quot;/&gt;&lt;wsp:rsid wsp:val=&quot;009D48A0&quot;/&gt;&lt;wsp:rsid wsp:val=&quot;009D4AC2&quot;/&gt;&lt;wsp:rsid wsp:val=&quot;009D6377&quot;/&gt;&lt;wsp:rsid wsp:val=&quot;009D69D0&quot;/&gt;&lt;wsp:rsid wsp:val=&quot;009D72C5&quot;/&gt;&lt;wsp:rsid wsp:val=&quot;009E1291&quot;/&gt;&lt;wsp:rsid wsp:val=&quot;009E1AC8&quot;/&gt;&lt;wsp:rsid wsp:val=&quot;009E1F2D&quot;/&gt;&lt;wsp:rsid wsp:val=&quot;009E2AD8&quot;/&gt;&lt;wsp:rsid wsp:val=&quot;009E3BAB&quot;/&gt;&lt;wsp:rsid wsp:val=&quot;009E40C4&quot;/&gt;&lt;wsp:rsid wsp:val=&quot;009E45FD&quot;/&gt;&lt;wsp:rsid wsp:val=&quot;009E486A&quot;/&gt;&lt;wsp:rsid wsp:val=&quot;009E6321&quot;/&gt;&lt;wsp:rsid wsp:val=&quot;009E6884&quot;/&gt;&lt;wsp:rsid wsp:val=&quot;009E689A&quot;/&gt;&lt;wsp:rsid wsp:val=&quot;009E68DA&quot;/&gt;&lt;wsp:rsid wsp:val=&quot;009E6EA8&quot;/&gt;&lt;wsp:rsid wsp:val=&quot;009E6EF9&quot;/&gt;&lt;wsp:rsid wsp:val=&quot;009E7921&quot;/&gt;&lt;wsp:rsid wsp:val=&quot;009F0676&quot;/&gt;&lt;wsp:rsid wsp:val=&quot;009F0B64&quot;/&gt;&lt;wsp:rsid wsp:val=&quot;009F0BB7&quot;/&gt;&lt;wsp:rsid wsp:val=&quot;009F112E&quot;/&gt;&lt;wsp:rsid wsp:val=&quot;009F1DC3&quot;/&gt;&lt;wsp:rsid wsp:val=&quot;009F2039&quot;/&gt;&lt;wsp:rsid wsp:val=&quot;009F4CFC&quot;/&gt;&lt;wsp:rsid wsp:val=&quot;009F4EF0&quot;/&gt;&lt;wsp:rsid wsp:val=&quot;009F55E0&quot;/&gt;&lt;wsp:rsid wsp:val=&quot;009F6E3C&quot;/&gt;&lt;wsp:rsid wsp:val=&quot;009F7008&quot;/&gt;&lt;wsp:rsid wsp:val=&quot;009F79C7&quot;/&gt;&lt;wsp:rsid wsp:val=&quot;009F7D47&quot;/&gt;&lt;wsp:rsid wsp:val=&quot;00A022FF&quot;/&gt;&lt;wsp:rsid wsp:val=&quot;00A023BC&quot;/&gt;&lt;wsp:rsid wsp:val=&quot;00A0258B&quot;/&gt;&lt;wsp:rsid wsp:val=&quot;00A054D6&quot;/&gt;&lt;wsp:rsid wsp:val=&quot;00A05D39&quot;/&gt;&lt;wsp:rsid wsp:val=&quot;00A0604B&quot;/&gt;&lt;wsp:rsid wsp:val=&quot;00A061C7&quot;/&gt;&lt;wsp:rsid wsp:val=&quot;00A06F5C&quot;/&gt;&lt;wsp:rsid wsp:val=&quot;00A077BB&quot;/&gt;&lt;wsp:rsid wsp:val=&quot;00A07917&quot;/&gt;&lt;wsp:rsid wsp:val=&quot;00A07CFC&quot;/&gt;&lt;wsp:rsid wsp:val=&quot;00A10533&quot;/&gt;&lt;wsp:rsid wsp:val=&quot;00A10DE8&quot;/&gt;&lt;wsp:rsid wsp:val=&quot;00A11573&quot;/&gt;&lt;wsp:rsid wsp:val=&quot;00A12F5C&quot;/&gt;&lt;wsp:rsid wsp:val=&quot;00A134EE&quot;/&gt;&lt;wsp:rsid wsp:val=&quot;00A13A68&quot;/&gt;&lt;wsp:rsid wsp:val=&quot;00A13B6E&quot;/&gt;&lt;wsp:rsid wsp:val=&quot;00A14381&quot;/&gt;&lt;wsp:rsid wsp:val=&quot;00A1446D&quot;/&gt;&lt;wsp:rsid wsp:val=&quot;00A161FA&quot;/&gt;&lt;wsp:rsid wsp:val=&quot;00A16476&quot;/&gt;&lt;wsp:rsid wsp:val=&quot;00A168A9&quot;/&gt;&lt;wsp:rsid wsp:val=&quot;00A16FA0&quot;/&gt;&lt;wsp:rsid wsp:val=&quot;00A17087&quot;/&gt;&lt;wsp:rsid wsp:val=&quot;00A17741&quot;/&gt;&lt;wsp:rsid wsp:val=&quot;00A1776B&quot;/&gt;&lt;wsp:rsid wsp:val=&quot;00A21843&quot;/&gt;&lt;wsp:rsid wsp:val=&quot;00A23858&quot;/&gt;&lt;wsp:rsid wsp:val=&quot;00A243EE&quot;/&gt;&lt;wsp:rsid wsp:val=&quot;00A24838&quot;/&gt;&lt;wsp:rsid wsp:val=&quot;00A24D17&quot;/&gt;&lt;wsp:rsid wsp:val=&quot;00A272BA&quot;/&gt;&lt;wsp:rsid wsp:val=&quot;00A27C16&quot;/&gt;&lt;wsp:rsid wsp:val=&quot;00A3060E&quot;/&gt;&lt;wsp:rsid wsp:val=&quot;00A30853&quot;/&gt;&lt;wsp:rsid wsp:val=&quot;00A31400&quot;/&gt;&lt;wsp:rsid wsp:val=&quot;00A31507&quot;/&gt;&lt;wsp:rsid wsp:val=&quot;00A3170F&quot;/&gt;&lt;wsp:rsid wsp:val=&quot;00A323C2&quot;/&gt;&lt;wsp:rsid wsp:val=&quot;00A33437&quot;/&gt;&lt;wsp:rsid wsp:val=&quot;00A33735&quot;/&gt;&lt;wsp:rsid wsp:val=&quot;00A36048&quot;/&gt;&lt;wsp:rsid wsp:val=&quot;00A36939&quot;/&gt;&lt;wsp:rsid wsp:val=&quot;00A36BF0&quot;/&gt;&lt;wsp:rsid wsp:val=&quot;00A37690&quot;/&gt;&lt;wsp:rsid wsp:val=&quot;00A37789&quot;/&gt;&lt;wsp:rsid wsp:val=&quot;00A37826&quot;/&gt;&lt;wsp:rsid wsp:val=&quot;00A401B4&quot;/&gt;&lt;wsp:rsid wsp:val=&quot;00A40665&quot;/&gt;&lt;wsp:rsid wsp:val=&quot;00A40686&quot;/&gt;&lt;wsp:rsid wsp:val=&quot;00A41241&quot;/&gt;&lt;wsp:rsid wsp:val=&quot;00A42BE9&quot;/&gt;&lt;wsp:rsid wsp:val=&quot;00A42C5E&quot;/&gt;&lt;wsp:rsid wsp:val=&quot;00A456D4&quot;/&gt;&lt;wsp:rsid wsp:val=&quot;00A457E7&quot;/&gt;&lt;wsp:rsid wsp:val=&quot;00A45AC9&quot;/&gt;&lt;wsp:rsid wsp:val=&quot;00A4768D&quot;/&gt;&lt;wsp:rsid wsp:val=&quot;00A47C2F&quot;/&gt;&lt;wsp:rsid wsp:val=&quot;00A47E0D&quot;/&gt;&lt;wsp:rsid wsp:val=&quot;00A51022&quot;/&gt;&lt;wsp:rsid wsp:val=&quot;00A5195F&quot;/&gt;&lt;wsp:rsid wsp:val=&quot;00A51C8C&quot;/&gt;&lt;wsp:rsid wsp:val=&quot;00A5274D&quot;/&gt;&lt;wsp:rsid wsp:val=&quot;00A52CE0&quot;/&gt;&lt;wsp:rsid wsp:val=&quot;00A52D24&quot;/&gt;&lt;wsp:rsid wsp:val=&quot;00A53A46&quot;/&gt;&lt;wsp:rsid wsp:val=&quot;00A54451&quot;/&gt;&lt;wsp:rsid wsp:val=&quot;00A605AB&quot;/&gt;&lt;wsp:rsid wsp:val=&quot;00A60703&quot;/&gt;&lt;wsp:rsid wsp:val=&quot;00A60C00&quot;/&gt;&lt;wsp:rsid wsp:val=&quot;00A618B6&quot;/&gt;&lt;wsp:rsid wsp:val=&quot;00A6280C&quot;/&gt;&lt;wsp:rsid wsp:val=&quot;00A62CFC&quot;/&gt;&lt;wsp:rsid wsp:val=&quot;00A62D1D&quot;/&gt;&lt;wsp:rsid wsp:val=&quot;00A62F21&quot;/&gt;&lt;wsp:rsid wsp:val=&quot;00A63060&quot;/&gt;&lt;wsp:rsid wsp:val=&quot;00A6342A&quot;/&gt;&lt;wsp:rsid wsp:val=&quot;00A63A15&quot;/&gt;&lt;wsp:rsid wsp:val=&quot;00A63D4C&quot;/&gt;&lt;wsp:rsid wsp:val=&quot;00A64825&quot;/&gt;&lt;wsp:rsid wsp:val=&quot;00A64DE2&quot;/&gt;&lt;wsp:rsid wsp:val=&quot;00A65CA3&quot;/&gt;&lt;wsp:rsid wsp:val=&quot;00A66499&quot;/&gt;&lt;wsp:rsid wsp:val=&quot;00A667C2&quot;/&gt;&lt;wsp:rsid wsp:val=&quot;00A72C67&quot;/&gt;&lt;wsp:rsid wsp:val=&quot;00A731EB&quot;/&gt;&lt;wsp:rsid wsp:val=&quot;00A73E9B&quot;/&gt;&lt;wsp:rsid wsp:val=&quot;00A73F05&quot;/&gt;&lt;wsp:rsid wsp:val=&quot;00A7465B&quot;/&gt;&lt;wsp:rsid wsp:val=&quot;00A74984&quot;/&gt;&lt;wsp:rsid wsp:val=&quot;00A74A17&quot;/&gt;&lt;wsp:rsid wsp:val=&quot;00A75CE7&quot;/&gt;&lt;wsp:rsid wsp:val=&quot;00A76718&quot;/&gt;&lt;wsp:rsid wsp:val=&quot;00A76D92&quot;/&gt;&lt;wsp:rsid wsp:val=&quot;00A77808&quot;/&gt;&lt;wsp:rsid wsp:val=&quot;00A80064&quot;/&gt;&lt;wsp:rsid wsp:val=&quot;00A8070F&quot;/&gt;&lt;wsp:rsid wsp:val=&quot;00A80D28&quot;/&gt;&lt;wsp:rsid wsp:val=&quot;00A80F15&quot;/&gt;&lt;wsp:rsid wsp:val=&quot;00A81398&quot;/&gt;&lt;wsp:rsid wsp:val=&quot;00A82BDB&quot;/&gt;&lt;wsp:rsid wsp:val=&quot;00A83363&quot;/&gt;&lt;wsp:rsid wsp:val=&quot;00A84976&quot;/&gt;&lt;wsp:rsid wsp:val=&quot;00A85057&quot;/&gt;&lt;wsp:rsid wsp:val=&quot;00A85792&quot;/&gt;&lt;wsp:rsid wsp:val=&quot;00A86C31&quot;/&gt;&lt;wsp:rsid wsp:val=&quot;00A86D8B&quot;/&gt;&lt;wsp:rsid wsp:val=&quot;00A87151&quot;/&gt;&lt;wsp:rsid wsp:val=&quot;00A90198&quot;/&gt;&lt;wsp:rsid wsp:val=&quot;00A90215&quot;/&gt;&lt;wsp:rsid wsp:val=&quot;00A90F4B&quot;/&gt;&lt;wsp:rsid wsp:val=&quot;00A918E4&quot;/&gt;&lt;wsp:rsid wsp:val=&quot;00A919C9&quot;/&gt;&lt;wsp:rsid wsp:val=&quot;00A91A2B&quot;/&gt;&lt;wsp:rsid wsp:val=&quot;00A91A84&quot;/&gt;&lt;wsp:rsid wsp:val=&quot;00A91BC0&quot;/&gt;&lt;wsp:rsid wsp:val=&quot;00A91CDF&quot;/&gt;&lt;wsp:rsid wsp:val=&quot;00A91E3C&quot;/&gt;&lt;wsp:rsid wsp:val=&quot;00A9206E&quot;/&gt;&lt;wsp:rsid wsp:val=&quot;00A94950&quot;/&gt;&lt;wsp:rsid wsp:val=&quot;00A94DEC&quot;/&gt;&lt;wsp:rsid wsp:val=&quot;00A95043&quot;/&gt;&lt;wsp:rsid wsp:val=&quot;00A954EE&quot;/&gt;&lt;wsp:rsid wsp:val=&quot;00A95778&quot;/&gt;&lt;wsp:rsid wsp:val=&quot;00A96831&quot;/&gt;&lt;wsp:rsid wsp:val=&quot;00A96E6B&quot;/&gt;&lt;wsp:rsid wsp:val=&quot;00A97073&quot;/&gt;&lt;wsp:rsid wsp:val=&quot;00A97831&quot;/&gt;&lt;wsp:rsid wsp:val=&quot;00AA01F7&quot;/&gt;&lt;wsp:rsid wsp:val=&quot;00AA2420&quot;/&gt;&lt;wsp:rsid wsp:val=&quot;00AA3222&quot;/&gt;&lt;wsp:rsid wsp:val=&quot;00AA34E5&quot;/&gt;&lt;wsp:rsid wsp:val=&quot;00AA3A38&quot;/&gt;&lt;wsp:rsid wsp:val=&quot;00AA3B4B&quot;/&gt;&lt;wsp:rsid wsp:val=&quot;00AA4734&quot;/&gt;&lt;wsp:rsid wsp:val=&quot;00AA4F01&quot;/&gt;&lt;wsp:rsid wsp:val=&quot;00AA50ED&quot;/&gt;&lt;wsp:rsid wsp:val=&quot;00AA5642&quot;/&gt;&lt;wsp:rsid wsp:val=&quot;00AA6341&quot;/&gt;&lt;wsp:rsid wsp:val=&quot;00AA6948&quot;/&gt;&lt;wsp:rsid wsp:val=&quot;00AA6CA9&quot;/&gt;&lt;wsp:rsid wsp:val=&quot;00AA6E3C&quot;/&gt;&lt;wsp:rsid wsp:val=&quot;00AB06DF&quot;/&gt;&lt;wsp:rsid wsp:val=&quot;00AB0F91&quot;/&gt;&lt;wsp:rsid wsp:val=&quot;00AB201A&quot;/&gt;&lt;wsp:rsid wsp:val=&quot;00AB2F43&quot;/&gt;&lt;wsp:rsid wsp:val=&quot;00AB315C&quot;/&gt;&lt;wsp:rsid wsp:val=&quot;00AB4907&quot;/&gt;&lt;wsp:rsid wsp:val=&quot;00AB499A&quot;/&gt;&lt;wsp:rsid wsp:val=&quot;00AB543D&quot;/&gt;&lt;wsp:rsid wsp:val=&quot;00AB7B6B&quot;/&gt;&lt;wsp:rsid wsp:val=&quot;00AC0180&quot;/&gt;&lt;wsp:rsid wsp:val=&quot;00AC13B9&quot;/&gt;&lt;wsp:rsid wsp:val=&quot;00AC15AC&quot;/&gt;&lt;wsp:rsid wsp:val=&quot;00AC2C4E&quot;/&gt;&lt;wsp:rsid wsp:val=&quot;00AC33C1&quot;/&gt;&lt;wsp:rsid wsp:val=&quot;00AC426E&quot;/&gt;&lt;wsp:rsid wsp:val=&quot;00AC4579&quot;/&gt;&lt;wsp:rsid wsp:val=&quot;00AC51B3&quot;/&gt;&lt;wsp:rsid wsp:val=&quot;00AC64CE&quot;/&gt;&lt;wsp:rsid wsp:val=&quot;00AC71BC&quot;/&gt;&lt;wsp:rsid wsp:val=&quot;00AC770C&quot;/&gt;&lt;wsp:rsid wsp:val=&quot;00AD0092&quot;/&gt;&lt;wsp:rsid wsp:val=&quot;00AD034D&quot;/&gt;&lt;wsp:rsid wsp:val=&quot;00AD059D&quot;/&gt;&lt;wsp:rsid wsp:val=&quot;00AD1323&quot;/&gt;&lt;wsp:rsid wsp:val=&quot;00AD1BA0&quot;/&gt;&lt;wsp:rsid wsp:val=&quot;00AD33DF&quot;/&gt;&lt;wsp:rsid wsp:val=&quot;00AD3E06&quot;/&gt;&lt;wsp:rsid wsp:val=&quot;00AD41D9&quot;/&gt;&lt;wsp:rsid wsp:val=&quot;00AD696F&quot;/&gt;&lt;wsp:rsid wsp:val=&quot;00AE01CE&quot;/&gt;&lt;wsp:rsid wsp:val=&quot;00AE1923&quot;/&gt;&lt;wsp:rsid wsp:val=&quot;00AE210E&quot;/&gt;&lt;wsp:rsid wsp:val=&quot;00AE317F&quot;/&gt;&lt;wsp:rsid wsp:val=&quot;00AE3F2D&quot;/&gt;&lt;wsp:rsid wsp:val=&quot;00AE41DD&quot;/&gt;&lt;wsp:rsid wsp:val=&quot;00AE53A3&quot;/&gt;&lt;wsp:rsid wsp:val=&quot;00AE53B5&quot;/&gt;&lt;wsp:rsid wsp:val=&quot;00AE569F&quot;/&gt;&lt;wsp:rsid wsp:val=&quot;00AE56F9&quot;/&gt;&lt;wsp:rsid wsp:val=&quot;00AE5DB1&quot;/&gt;&lt;wsp:rsid wsp:val=&quot;00AE6962&quot;/&gt;&lt;wsp:rsid wsp:val=&quot;00AF0899&quot;/&gt;&lt;wsp:rsid wsp:val=&quot;00AF0E35&quot;/&gt;&lt;wsp:rsid wsp:val=&quot;00AF1590&quot;/&gt;&lt;wsp:rsid wsp:val=&quot;00AF1E66&quot;/&gt;&lt;wsp:rsid wsp:val=&quot;00AF2490&quot;/&gt;&lt;wsp:rsid wsp:val=&quot;00AF3705&quot;/&gt;&lt;wsp:rsid wsp:val=&quot;00AF483C&quot;/&gt;&lt;wsp:rsid wsp:val=&quot;00AF4D24&quot;/&gt;&lt;wsp:rsid wsp:val=&quot;00AF5B50&quot;/&gt;&lt;wsp:rsid wsp:val=&quot;00AF5D7D&quot;/&gt;&lt;wsp:rsid wsp:val=&quot;00AF75B8&quot;/&gt;&lt;wsp:rsid wsp:val=&quot;00B00A7B&quot;/&gt;&lt;wsp:rsid wsp:val=&quot;00B01073&quot;/&gt;&lt;wsp:rsid wsp:val=&quot;00B018D8&quot;/&gt;&lt;wsp:rsid wsp:val=&quot;00B01D90&quot;/&gt;&lt;wsp:rsid wsp:val=&quot;00B02049&quot;/&gt;&lt;wsp:rsid wsp:val=&quot;00B0257A&quot;/&gt;&lt;wsp:rsid wsp:val=&quot;00B02F0E&quot;/&gt;&lt;wsp:rsid wsp:val=&quot;00B0355B&quot;/&gt;&lt;wsp:rsid wsp:val=&quot;00B03ADB&quot;/&gt;&lt;wsp:rsid wsp:val=&quot;00B04BD5&quot;/&gt;&lt;wsp:rsid wsp:val=&quot;00B059AA&quot;/&gt;&lt;wsp:rsid wsp:val=&quot;00B06963&quot;/&gt;&lt;wsp:rsid wsp:val=&quot;00B07596&quot;/&gt;&lt;wsp:rsid wsp:val=&quot;00B076CE&quot;/&gt;&lt;wsp:rsid wsp:val=&quot;00B101EF&quot;/&gt;&lt;wsp:rsid wsp:val=&quot;00B111A8&quot;/&gt;&lt;wsp:rsid wsp:val=&quot;00B11556&quot;/&gt;&lt;wsp:rsid wsp:val=&quot;00B1178D&quot;/&gt;&lt;wsp:rsid wsp:val=&quot;00B11F97&quot;/&gt;&lt;wsp:rsid wsp:val=&quot;00B120B1&quot;/&gt;&lt;wsp:rsid wsp:val=&quot;00B12861&quot;/&gt;&lt;wsp:rsid wsp:val=&quot;00B12D36&quot;/&gt;&lt;wsp:rsid wsp:val=&quot;00B13278&quot;/&gt;&lt;wsp:rsid wsp:val=&quot;00B13E93&quot;/&gt;&lt;wsp:rsid wsp:val=&quot;00B148CC&quot;/&gt;&lt;wsp:rsid wsp:val=&quot;00B15031&quot;/&gt;&lt;wsp:rsid wsp:val=&quot;00B153E2&quot;/&gt;&lt;wsp:rsid wsp:val=&quot;00B1561A&quot;/&gt;&lt;wsp:rsid wsp:val=&quot;00B15799&quot;/&gt;&lt;wsp:rsid wsp:val=&quot;00B17589&quot;/&gt;&lt;wsp:rsid wsp:val=&quot;00B20820&quot;/&gt;&lt;wsp:rsid wsp:val=&quot;00B20E7C&quot;/&gt;&lt;wsp:rsid wsp:val=&quot;00B214D9&quot;/&gt;&lt;wsp:rsid wsp:val=&quot;00B214EF&quot;/&gt;&lt;wsp:rsid wsp:val=&quot;00B21C98&quot;/&gt;&lt;wsp:rsid wsp:val=&quot;00B22240&quot;/&gt;&lt;wsp:rsid wsp:val=&quot;00B2354F&quot;/&gt;&lt;wsp:rsid wsp:val=&quot;00B2376E&quot;/&gt;&lt;wsp:rsid wsp:val=&quot;00B23787&quot;/&gt;&lt;wsp:rsid wsp:val=&quot;00B23792&quot;/&gt;&lt;wsp:rsid wsp:val=&quot;00B2396B&quot;/&gt;&lt;wsp:rsid wsp:val=&quot;00B23DAC&quot;/&gt;&lt;wsp:rsid wsp:val=&quot;00B2422A&quot;/&gt;&lt;wsp:rsid wsp:val=&quot;00B255D5&quot;/&gt;&lt;wsp:rsid wsp:val=&quot;00B2590F&quot;/&gt;&lt;wsp:rsid wsp:val=&quot;00B26080&quot;/&gt;&lt;wsp:rsid wsp:val=&quot;00B278F4&quot;/&gt;&lt;wsp:rsid wsp:val=&quot;00B3049F&quot;/&gt;&lt;wsp:rsid wsp:val=&quot;00B31149&quot;/&gt;&lt;wsp:rsid wsp:val=&quot;00B31D0D&quot;/&gt;&lt;wsp:rsid wsp:val=&quot;00B32526&quot;/&gt;&lt;wsp:rsid wsp:val=&quot;00B32AD4&quot;/&gt;&lt;wsp:rsid wsp:val=&quot;00B331D2&quot;/&gt;&lt;wsp:rsid wsp:val=&quot;00B33959&quot;/&gt;&lt;wsp:rsid wsp:val=&quot;00B3409D&quot;/&gt;&lt;wsp:rsid wsp:val=&quot;00B35328&quot;/&gt;&lt;wsp:rsid wsp:val=&quot;00B355DF&quot;/&gt;&lt;wsp:rsid wsp:val=&quot;00B36382&quot;/&gt;&lt;wsp:rsid wsp:val=&quot;00B3748B&quot;/&gt;&lt;wsp:rsid wsp:val=&quot;00B378CA&quot;/&gt;&lt;wsp:rsid wsp:val=&quot;00B37948&quot;/&gt;&lt;wsp:rsid wsp:val=&quot;00B4248D&quot;/&gt;&lt;wsp:rsid wsp:val=&quot;00B42957&quot;/&gt;&lt;wsp:rsid wsp:val=&quot;00B44E2C&quot;/&gt;&lt;wsp:rsid wsp:val=&quot;00B45D0D&quot;/&gt;&lt;wsp:rsid wsp:val=&quot;00B46680&quot;/&gt;&lt;wsp:rsid wsp:val=&quot;00B46A69&quot;/&gt;&lt;wsp:rsid wsp:val=&quot;00B507D4&quot;/&gt;&lt;wsp:rsid wsp:val=&quot;00B50973&quot;/&gt;&lt;wsp:rsid wsp:val=&quot;00B50EEB&quot;/&gt;&lt;wsp:rsid wsp:val=&quot;00B52253&quot;/&gt;&lt;wsp:rsid wsp:val=&quot;00B52334&quot;/&gt;&lt;wsp:rsid wsp:val=&quot;00B52603&quot;/&gt;&lt;wsp:rsid wsp:val=&quot;00B5273C&quot;/&gt;&lt;wsp:rsid wsp:val=&quot;00B5332D&quot;/&gt;&lt;wsp:rsid wsp:val=&quot;00B53624&quot;/&gt;&lt;wsp:rsid wsp:val=&quot;00B5379C&quot;/&gt;&lt;wsp:rsid wsp:val=&quot;00B54075&quot;/&gt;&lt;wsp:rsid wsp:val=&quot;00B54736&quot;/&gt;&lt;wsp:rsid wsp:val=&quot;00B548A0&quot;/&gt;&lt;wsp:rsid wsp:val=&quot;00B54E5A&quot;/&gt;&lt;wsp:rsid wsp:val=&quot;00B55417&quot;/&gt;&lt;wsp:rsid wsp:val=&quot;00B5581C&quot;/&gt;&lt;wsp:rsid wsp:val=&quot;00B571D1&quot;/&gt;&lt;wsp:rsid wsp:val=&quot;00B57537&quot;/&gt;&lt;wsp:rsid wsp:val=&quot;00B57BAA&quot;/&gt;&lt;wsp:rsid wsp:val=&quot;00B6016F&quot;/&gt;&lt;wsp:rsid wsp:val=&quot;00B602A2&quot;/&gt;&lt;wsp:rsid wsp:val=&quot;00B60B91&quot;/&gt;&lt;wsp:rsid wsp:val=&quot;00B61A50&quot;/&gt;&lt;wsp:rsid wsp:val=&quot;00B6211A&quot;/&gt;&lt;wsp:rsid wsp:val=&quot;00B62E4F&quot;/&gt;&lt;wsp:rsid wsp:val=&quot;00B639C8&quot;/&gt;&lt;wsp:rsid wsp:val=&quot;00B64A10&quot;/&gt;&lt;wsp:rsid wsp:val=&quot;00B6638F&quot;/&gt;&lt;wsp:rsid wsp:val=&quot;00B66D60&quot;/&gt;&lt;wsp:rsid wsp:val=&quot;00B67925&quot;/&gt;&lt;wsp:rsid wsp:val=&quot;00B7014D&quot;/&gt;&lt;wsp:rsid wsp:val=&quot;00B701CD&quot;/&gt;&lt;wsp:rsid wsp:val=&quot;00B70268&quot;/&gt;&lt;wsp:rsid wsp:val=&quot;00B70B21&quot;/&gt;&lt;wsp:rsid wsp:val=&quot;00B7184F&quot;/&gt;&lt;wsp:rsid wsp:val=&quot;00B72675&quot;/&gt;&lt;wsp:rsid wsp:val=&quot;00B72960&quot;/&gt;&lt;wsp:rsid wsp:val=&quot;00B72A23&quot;/&gt;&lt;wsp:rsid wsp:val=&quot;00B737A5&quot;/&gt;&lt;wsp:rsid wsp:val=&quot;00B73FDE&quot;/&gt;&lt;wsp:rsid wsp:val=&quot;00B7471F&quot;/&gt;&lt;wsp:rsid wsp:val=&quot;00B76E56&quot;/&gt;&lt;wsp:rsid wsp:val=&quot;00B770A2&quot;/&gt;&lt;wsp:rsid wsp:val=&quot;00B80538&quot;/&gt;&lt;wsp:rsid wsp:val=&quot;00B808F5&quot;/&gt;&lt;wsp:rsid wsp:val=&quot;00B813DB&quot;/&gt;&lt;wsp:rsid wsp:val=&quot;00B81A22&quot;/&gt;&lt;wsp:rsid wsp:val=&quot;00B825E2&quot;/&gt;&lt;wsp:rsid wsp:val=&quot;00B82892&quot;/&gt;&lt;wsp:rsid wsp:val=&quot;00B83662&quot;/&gt;&lt;wsp:rsid wsp:val=&quot;00B8406C&quot;/&gt;&lt;wsp:rsid wsp:val=&quot;00B8442A&quot;/&gt;&lt;wsp:rsid wsp:val=&quot;00B84BA6&quot;/&gt;&lt;wsp:rsid wsp:val=&quot;00B85343&quot;/&gt;&lt;wsp:rsid wsp:val=&quot;00B853E0&quot;/&gt;&lt;wsp:rsid wsp:val=&quot;00B85CEB&quot;/&gt;&lt;wsp:rsid wsp:val=&quot;00B860A8&quot;/&gt;&lt;wsp:rsid wsp:val=&quot;00B865D8&quot;/&gt;&lt;wsp:rsid wsp:val=&quot;00B867CC&quot;/&gt;&lt;wsp:rsid wsp:val=&quot;00B86A4F&quot;/&gt;&lt;wsp:rsid wsp:val=&quot;00B86B1D&quot;/&gt;&lt;wsp:rsid wsp:val=&quot;00B8708E&quot;/&gt;&lt;wsp:rsid wsp:val=&quot;00B901A9&quot;/&gt;&lt;wsp:rsid wsp:val=&quot;00B90F82&quot;/&gt;&lt;wsp:rsid wsp:val=&quot;00B91A06&quot;/&gt;&lt;wsp:rsid wsp:val=&quot;00B91ACF&quot;/&gt;&lt;wsp:rsid wsp:val=&quot;00B91ED5&quot;/&gt;&lt;wsp:rsid wsp:val=&quot;00B925AA&quot;/&gt;&lt;wsp:rsid wsp:val=&quot;00B92926&quot;/&gt;&lt;wsp:rsid wsp:val=&quot;00B929CE&quot;/&gt;&lt;wsp:rsid wsp:val=&quot;00B93168&quot;/&gt;&lt;wsp:rsid wsp:val=&quot;00B93D65&quot;/&gt;&lt;wsp:rsid wsp:val=&quot;00B93FD4&quot;/&gt;&lt;wsp:rsid wsp:val=&quot;00B94867&quot;/&gt;&lt;wsp:rsid wsp:val=&quot;00B949FB&quot;/&gt;&lt;wsp:rsid wsp:val=&quot;00B94EDE&quot;/&gt;&lt;wsp:rsid wsp:val=&quot;00B961D6&quot;/&gt;&lt;wsp:rsid wsp:val=&quot;00B96404&quot;/&gt;&lt;wsp:rsid wsp:val=&quot;00B97854&quot;/&gt;&lt;wsp:rsid wsp:val=&quot;00B97F95&quot;/&gt;&lt;wsp:rsid wsp:val=&quot;00BA0B19&quot;/&gt;&lt;wsp:rsid wsp:val=&quot;00BA1093&quot;/&gt;&lt;wsp:rsid wsp:val=&quot;00BA146B&quot;/&gt;&lt;wsp:rsid wsp:val=&quot;00BA1E7F&quot;/&gt;&lt;wsp:rsid wsp:val=&quot;00BA20AB&quot;/&gt;&lt;wsp:rsid wsp:val=&quot;00BA467F&quot;/&gt;&lt;wsp:rsid wsp:val=&quot;00BA48E4&quot;/&gt;&lt;wsp:rsid wsp:val=&quot;00BA4BB7&quot;/&gt;&lt;wsp:rsid wsp:val=&quot;00BA5523&quot;/&gt;&lt;wsp:rsid wsp:val=&quot;00BA59B7&quot;/&gt;&lt;wsp:rsid wsp:val=&quot;00BA5CF8&quot;/&gt;&lt;wsp:rsid wsp:val=&quot;00BA66E3&quot;/&gt;&lt;wsp:rsid wsp:val=&quot;00BA69E8&quot;/&gt;&lt;wsp:rsid wsp:val=&quot;00BB0403&quot;/&gt;&lt;wsp:rsid wsp:val=&quot;00BB2328&quot;/&gt;&lt;wsp:rsid wsp:val=&quot;00BB2DA1&quot;/&gt;&lt;wsp:rsid wsp:val=&quot;00BB3AAB&quot;/&gt;&lt;wsp:rsid wsp:val=&quot;00BB47A5&quot;/&gt;&lt;wsp:rsid wsp:val=&quot;00BB48AD&quot;/&gt;&lt;wsp:rsid wsp:val=&quot;00BB626B&quot;/&gt;&lt;wsp:rsid wsp:val=&quot;00BB6339&quot;/&gt;&lt;wsp:rsid wsp:val=&quot;00BB7258&quot;/&gt;&lt;wsp:rsid wsp:val=&quot;00BB7666&quot;/&gt;&lt;wsp:rsid wsp:val=&quot;00BC00AE&quot;/&gt;&lt;wsp:rsid wsp:val=&quot;00BC021D&quot;/&gt;&lt;wsp:rsid wsp:val=&quot;00BC0CA9&quot;/&gt;&lt;wsp:rsid wsp:val=&quot;00BC0E97&quot;/&gt;&lt;wsp:rsid wsp:val=&quot;00BC168A&quot;/&gt;&lt;wsp:rsid wsp:val=&quot;00BC25A8&quot;/&gt;&lt;wsp:rsid wsp:val=&quot;00BC3855&quot;/&gt;&lt;wsp:rsid wsp:val=&quot;00BC3D20&quot;/&gt;&lt;wsp:rsid wsp:val=&quot;00BC433E&quot;/&gt;&lt;wsp:rsid wsp:val=&quot;00BC5328&quot;/&gt;&lt;wsp:rsid wsp:val=&quot;00BC6728&quot;/&gt;&lt;wsp:rsid wsp:val=&quot;00BC67D3&quot;/&gt;&lt;wsp:rsid wsp:val=&quot;00BC7410&quot;/&gt;&lt;wsp:rsid wsp:val=&quot;00BC7CCE&quot;/&gt;&lt;wsp:rsid wsp:val=&quot;00BC7E5E&quot;/&gt;&lt;wsp:rsid wsp:val=&quot;00BD21A9&quot;/&gt;&lt;wsp:rsid wsp:val=&quot;00BD2EED&quot;/&gt;&lt;wsp:rsid wsp:val=&quot;00BD314D&quot;/&gt;&lt;wsp:rsid wsp:val=&quot;00BD4B52&quot;/&gt;&lt;wsp:rsid wsp:val=&quot;00BD59E3&quot;/&gt;&lt;wsp:rsid wsp:val=&quot;00BD5B28&quot;/&gt;&lt;wsp:rsid wsp:val=&quot;00BD61B9&quot;/&gt;&lt;wsp:rsid wsp:val=&quot;00BD647A&quot;/&gt;&lt;wsp:rsid wsp:val=&quot;00BE01EA&quot;/&gt;&lt;wsp:rsid wsp:val=&quot;00BE0714&quot;/&gt;&lt;wsp:rsid wsp:val=&quot;00BE0F34&quot;/&gt;&lt;wsp:rsid wsp:val=&quot;00BE153A&quot;/&gt;&lt;wsp:rsid wsp:val=&quot;00BE3C76&quot;/&gt;&lt;wsp:rsid wsp:val=&quot;00BE439F&quot;/&gt;&lt;wsp:rsid wsp:val=&quot;00BE4423&quot;/&gt;&lt;wsp:rsid wsp:val=&quot;00BE4BF7&quot;/&gt;&lt;wsp:rsid wsp:val=&quot;00BE4F27&quot;/&gt;&lt;wsp:rsid wsp:val=&quot;00BE732B&quot;/&gt;&lt;wsp:rsid wsp:val=&quot;00BF03A5&quot;/&gt;&lt;wsp:rsid wsp:val=&quot;00BF0CF8&quot;/&gt;&lt;wsp:rsid wsp:val=&quot;00BF16C8&quot;/&gt;&lt;wsp:rsid wsp:val=&quot;00BF1FED&quot;/&gt;&lt;wsp:rsid wsp:val=&quot;00BF2522&quot;/&gt;&lt;wsp:rsid wsp:val=&quot;00BF254C&quot;/&gt;&lt;wsp:rsid wsp:val=&quot;00BF37DD&quot;/&gt;&lt;wsp:rsid wsp:val=&quot;00BF3996&quot;/&gt;&lt;wsp:rsid wsp:val=&quot;00BF3E86&quot;/&gt;&lt;wsp:rsid wsp:val=&quot;00BF471D&quot;/&gt;&lt;wsp:rsid wsp:val=&quot;00BF64B7&quot;/&gt;&lt;wsp:rsid wsp:val=&quot;00BF680B&quot;/&gt;&lt;wsp:rsid wsp:val=&quot;00BF71C1&quot;/&gt;&lt;wsp:rsid wsp:val=&quot;00C01368&quot;/&gt;&lt;wsp:rsid wsp:val=&quot;00C0237F&quot;/&gt;&lt;wsp:rsid wsp:val=&quot;00C03EA2&quot;/&gt;&lt;wsp:rsid wsp:val=&quot;00C04020&quot;/&gt;&lt;wsp:rsid wsp:val=&quot;00C049D7&quot;/&gt;&lt;wsp:rsid wsp:val=&quot;00C04AB2&quot;/&gt;&lt;wsp:rsid wsp:val=&quot;00C04E35&quot;/&gt;&lt;wsp:rsid wsp:val=&quot;00C05678&quot;/&gt;&lt;wsp:rsid wsp:val=&quot;00C06B9D&quot;/&gt;&lt;wsp:rsid wsp:val=&quot;00C07994&quot;/&gt;&lt;wsp:rsid wsp:val=&quot;00C07B83&quot;/&gt;&lt;wsp:rsid wsp:val=&quot;00C10E9A&quot;/&gt;&lt;wsp:rsid wsp:val=&quot;00C114BA&quot;/&gt;&lt;wsp:rsid wsp:val=&quot;00C121DF&quot;/&gt;&lt;wsp:rsid wsp:val=&quot;00C129DC&quot;/&gt;&lt;wsp:rsid wsp:val=&quot;00C12A50&quot;/&gt;&lt;wsp:rsid wsp:val=&quot;00C1388A&quot;/&gt;&lt;wsp:rsid wsp:val=&quot;00C13E42&quot;/&gt;&lt;wsp:rsid wsp:val=&quot;00C14406&quot;/&gt;&lt;wsp:rsid wsp:val=&quot;00C14737&quot;/&gt;&lt;wsp:rsid wsp:val=&quot;00C14828&quot;/&gt;&lt;wsp:rsid wsp:val=&quot;00C14A6F&quot;/&gt;&lt;wsp:rsid wsp:val=&quot;00C158F6&quot;/&gt;&lt;wsp:rsid wsp:val=&quot;00C15D88&quot;/&gt;&lt;wsp:rsid wsp:val=&quot;00C161CC&quot;/&gt;&lt;wsp:rsid wsp:val=&quot;00C1671E&quot;/&gt;&lt;wsp:rsid wsp:val=&quot;00C167E6&quot;/&gt;&lt;wsp:rsid wsp:val=&quot;00C1680D&quot;/&gt;&lt;wsp:rsid wsp:val=&quot;00C16950&quot;/&gt;&lt;wsp:rsid wsp:val=&quot;00C16E2E&quot;/&gt;&lt;wsp:rsid wsp:val=&quot;00C1776B&quot;/&gt;&lt;wsp:rsid wsp:val=&quot;00C17D78&quot;/&gt;&lt;wsp:rsid wsp:val=&quot;00C17D7C&quot;/&gt;&lt;wsp:rsid wsp:val=&quot;00C20071&quot;/&gt;&lt;wsp:rsid wsp:val=&quot;00C201DA&quot;/&gt;&lt;wsp:rsid wsp:val=&quot;00C213F3&quot;/&gt;&lt;wsp:rsid wsp:val=&quot;00C21657&quot;/&gt;&lt;wsp:rsid wsp:val=&quot;00C21A78&quot;/&gt;&lt;wsp:rsid wsp:val=&quot;00C21D41&quot;/&gt;&lt;wsp:rsid wsp:val=&quot;00C22067&quot;/&gt;&lt;wsp:rsid wsp:val=&quot;00C2276F&quot;/&gt;&lt;wsp:rsid wsp:val=&quot;00C22991&quot;/&gt;&lt;wsp:rsid wsp:val=&quot;00C23F48&quot;/&gt;&lt;wsp:rsid wsp:val=&quot;00C24D8E&quot;/&gt;&lt;wsp:rsid wsp:val=&quot;00C25704&quot;/&gt;&lt;wsp:rsid wsp:val=&quot;00C2573C&quot;/&gt;&lt;wsp:rsid wsp:val=&quot;00C25B33&quot;/&gt;&lt;wsp:rsid wsp:val=&quot;00C25E18&quot;/&gt;&lt;wsp:rsid wsp:val=&quot;00C26579&quot;/&gt;&lt;wsp:rsid wsp:val=&quot;00C27127&quot;/&gt;&lt;wsp:rsid wsp:val=&quot;00C27F6B&quot;/&gt;&lt;wsp:rsid wsp:val=&quot;00C31C55&quot;/&gt;&lt;wsp:rsid wsp:val=&quot;00C3225C&quot;/&gt;&lt;wsp:rsid wsp:val=&quot;00C32FE5&quot;/&gt;&lt;wsp:rsid wsp:val=&quot;00C33B9A&quot;/&gt;&lt;wsp:rsid wsp:val=&quot;00C362E1&quot;/&gt;&lt;wsp:rsid wsp:val=&quot;00C3678D&quot;/&gt;&lt;wsp:rsid wsp:val=&quot;00C36D41&quot;/&gt;&lt;wsp:rsid wsp:val=&quot;00C374BC&quot;/&gt;&lt;wsp:rsid wsp:val=&quot;00C37D1A&quot;/&gt;&lt;wsp:rsid wsp:val=&quot;00C40988&quot;/&gt;&lt;wsp:rsid wsp:val=&quot;00C40BF6&quot;/&gt;&lt;wsp:rsid wsp:val=&quot;00C413E7&quot;/&gt;&lt;wsp:rsid wsp:val=&quot;00C41854&quot;/&gt;&lt;wsp:rsid wsp:val=&quot;00C43C77&quot;/&gt;&lt;wsp:rsid wsp:val=&quot;00C44165&quot;/&gt;&lt;wsp:rsid wsp:val=&quot;00C452BA&quot;/&gt;&lt;wsp:rsid wsp:val=&quot;00C454F0&quot;/&gt;&lt;wsp:rsid wsp:val=&quot;00C4570A&quot;/&gt;&lt;wsp:rsid wsp:val=&quot;00C50358&quot;/&gt;&lt;wsp:rsid wsp:val=&quot;00C50D55&quot;/&gt;&lt;wsp:rsid wsp:val=&quot;00C50FE9&quot;/&gt;&lt;wsp:rsid wsp:val=&quot;00C51B52&quot;/&gt;&lt;wsp:rsid wsp:val=&quot;00C52108&quot;/&gt;&lt;wsp:rsid wsp:val=&quot;00C52AD0&quot;/&gt;&lt;wsp:rsid wsp:val=&quot;00C5448E&quot;/&gt;&lt;wsp:rsid wsp:val=&quot;00C546A1&quot;/&gt;&lt;wsp:rsid wsp:val=&quot;00C54946&quot;/&gt;&lt;wsp:rsid wsp:val=&quot;00C567DE&quot;/&gt;&lt;wsp:rsid wsp:val=&quot;00C5764F&quot;/&gt;&lt;wsp:rsid wsp:val=&quot;00C57F81&quot;/&gt;&lt;wsp:rsid wsp:val=&quot;00C60915&quot;/&gt;&lt;wsp:rsid wsp:val=&quot;00C61E1C&quot;/&gt;&lt;wsp:rsid wsp:val=&quot;00C63AAC&quot;/&gt;&lt;wsp:rsid wsp:val=&quot;00C64ED4&quot;/&gt;&lt;wsp:rsid wsp:val=&quot;00C657FD&quot;/&gt;&lt;wsp:rsid wsp:val=&quot;00C6589A&quot;/&gt;&lt;wsp:rsid wsp:val=&quot;00C663B9&quot;/&gt;&lt;wsp:rsid wsp:val=&quot;00C678C0&quot;/&gt;&lt;wsp:rsid wsp:val=&quot;00C72E84&quot;/&gt;&lt;wsp:rsid wsp:val=&quot;00C732A8&quot;/&gt;&lt;wsp:rsid wsp:val=&quot;00C7344B&quot;/&gt;&lt;wsp:rsid wsp:val=&quot;00C743FD&quot;/&gt;&lt;wsp:rsid wsp:val=&quot;00C76243&quot;/&gt;&lt;wsp:rsid wsp:val=&quot;00C76886&quot;/&gt;&lt;wsp:rsid wsp:val=&quot;00C76E31&quot;/&gt;&lt;wsp:rsid wsp:val=&quot;00C77C8D&quot;/&gt;&lt;wsp:rsid wsp:val=&quot;00C77E17&quot;/&gt;&lt;wsp:rsid wsp:val=&quot;00C80BC5&quot;/&gt;&lt;wsp:rsid wsp:val=&quot;00C83027&quot;/&gt;&lt;wsp:rsid wsp:val=&quot;00C84F5F&quot;/&gt;&lt;wsp:rsid wsp:val=&quot;00C85468&quot;/&gt;&lt;wsp:rsid wsp:val=&quot;00C858E5&quot;/&gt;&lt;wsp:rsid wsp:val=&quot;00C85A8A&quot;/&gt;&lt;wsp:rsid wsp:val=&quot;00C869E6&quot;/&gt;&lt;wsp:rsid wsp:val=&quot;00C86ECD&quot;/&gt;&lt;wsp:rsid wsp:val=&quot;00C86F36&quot;/&gt;&lt;wsp:rsid wsp:val=&quot;00C874C4&quot;/&gt;&lt;wsp:rsid wsp:val=&quot;00C87535&quot;/&gt;&lt;wsp:rsid wsp:val=&quot;00C8791E&quot;/&gt;&lt;wsp:rsid wsp:val=&quot;00C87B21&quot;/&gt;&lt;wsp:rsid wsp:val=&quot;00C9046B&quot;/&gt;&lt;wsp:rsid wsp:val=&quot;00C905C4&quot;/&gt;&lt;wsp:rsid wsp:val=&quot;00C90C9C&quot;/&gt;&lt;wsp:rsid wsp:val=&quot;00C90E2F&quot;/&gt;&lt;wsp:rsid wsp:val=&quot;00C90F66&quot;/&gt;&lt;wsp:rsid wsp:val=&quot;00C90FB5&quot;/&gt;&lt;wsp:rsid wsp:val=&quot;00C91D87&quot;/&gt;&lt;wsp:rsid wsp:val=&quot;00C92257&quot;/&gt;&lt;wsp:rsid wsp:val=&quot;00C922B3&quot;/&gt;&lt;wsp:rsid wsp:val=&quot;00C926B1&quot;/&gt;&lt;wsp:rsid wsp:val=&quot;00C927A0&quot;/&gt;&lt;wsp:rsid wsp:val=&quot;00C92BE6&quot;/&gt;&lt;wsp:rsid wsp:val=&quot;00C94CD1&quot;/&gt;&lt;wsp:rsid wsp:val=&quot;00C95214&quot;/&gt;&lt;wsp:rsid wsp:val=&quot;00C95700&quot;/&gt;&lt;wsp:rsid wsp:val=&quot;00C95DF3&quot;/&gt;&lt;wsp:rsid wsp:val=&quot;00C966B2&quot;/&gt;&lt;wsp:rsid wsp:val=&quot;00C973A2&quot;/&gt;&lt;wsp:rsid wsp:val=&quot;00CA0450&quot;/&gt;&lt;wsp:rsid wsp:val=&quot;00CA06DD&quot;/&gt;&lt;wsp:rsid wsp:val=&quot;00CA0AE8&quot;/&gt;&lt;wsp:rsid wsp:val=&quot;00CA0EB1&quot;/&gt;&lt;wsp:rsid wsp:val=&quot;00CA189F&quot;/&gt;&lt;wsp:rsid wsp:val=&quot;00CA1EB1&quot;/&gt;&lt;wsp:rsid wsp:val=&quot;00CA3218&quot;/&gt;&lt;wsp:rsid wsp:val=&quot;00CA5D70&quot;/&gt;&lt;wsp:rsid wsp:val=&quot;00CA7447&quot;/&gt;&lt;wsp:rsid wsp:val=&quot;00CA7531&quot;/&gt;&lt;wsp:rsid wsp:val=&quot;00CB0003&quot;/&gt;&lt;wsp:rsid wsp:val=&quot;00CB02D0&quot;/&gt;&lt;wsp:rsid wsp:val=&quot;00CB04AB&quot;/&gt;&lt;wsp:rsid wsp:val=&quot;00CB0528&quot;/&gt;&lt;wsp:rsid wsp:val=&quot;00CB18B3&quot;/&gt;&lt;wsp:rsid wsp:val=&quot;00CB1AEC&quot;/&gt;&lt;wsp:rsid wsp:val=&quot;00CB2654&quot;/&gt;&lt;wsp:rsid wsp:val=&quot;00CB2DC3&quot;/&gt;&lt;wsp:rsid wsp:val=&quot;00CB3E50&quot;/&gt;&lt;wsp:rsid wsp:val=&quot;00CB4017&quot;/&gt;&lt;wsp:rsid wsp:val=&quot;00CB592F&quot;/&gt;&lt;wsp:rsid wsp:val=&quot;00CC02C1&quot;/&gt;&lt;wsp:rsid wsp:val=&quot;00CC1297&quot;/&gt;&lt;wsp:rsid wsp:val=&quot;00CC1736&quot;/&gt;&lt;wsp:rsid wsp:val=&quot;00CC1B3A&quot;/&gt;&lt;wsp:rsid wsp:val=&quot;00CC2227&quot;/&gt;&lt;wsp:rsid wsp:val=&quot;00CC2777&quot;/&gt;&lt;wsp:rsid wsp:val=&quot;00CC39CC&quot;/&gt;&lt;wsp:rsid wsp:val=&quot;00CC44D5&quot;/&gt;&lt;wsp:rsid wsp:val=&quot;00CC4BB3&quot;/&gt;&lt;wsp:rsid wsp:val=&quot;00CC520E&quot;/&gt;&lt;wsp:rsid wsp:val=&quot;00CC614D&quot;/&gt;&lt;wsp:rsid wsp:val=&quot;00CC6AD1&quot;/&gt;&lt;wsp:rsid wsp:val=&quot;00CC7AFC&quot;/&gt;&lt;wsp:rsid wsp:val=&quot;00CD05C8&quot;/&gt;&lt;wsp:rsid wsp:val=&quot;00CD0E33&quot;/&gt;&lt;wsp:rsid wsp:val=&quot;00CD0F35&quot;/&gt;&lt;wsp:rsid wsp:val=&quot;00CD1B46&quot;/&gt;&lt;wsp:rsid wsp:val=&quot;00CD1FBD&quot;/&gt;&lt;wsp:rsid wsp:val=&quot;00CD22A3&quot;/&gt;&lt;wsp:rsid wsp:val=&quot;00CD29B8&quot;/&gt;&lt;wsp:rsid wsp:val=&quot;00CD357A&quot;/&gt;&lt;wsp:rsid wsp:val=&quot;00CD475E&quot;/&gt;&lt;wsp:rsid wsp:val=&quot;00CD5089&quot;/&gt;&lt;wsp:rsid wsp:val=&quot;00CD51B5&quot;/&gt;&lt;wsp:rsid wsp:val=&quot;00CD614C&quot;/&gt;&lt;wsp:rsid wsp:val=&quot;00CD6D0F&quot;/&gt;&lt;wsp:rsid wsp:val=&quot;00CE18CC&quot;/&gt;&lt;wsp:rsid wsp:val=&quot;00CE1C42&quot;/&gt;&lt;wsp:rsid wsp:val=&quot;00CE3A03&quot;/&gt;&lt;wsp:rsid wsp:val=&quot;00CE3E4C&quot;/&gt;&lt;wsp:rsid wsp:val=&quot;00CE40B1&quot;/&gt;&lt;wsp:rsid wsp:val=&quot;00CE4E00&quot;/&gt;&lt;wsp:rsid wsp:val=&quot;00CE5B25&quot;/&gt;&lt;wsp:rsid wsp:val=&quot;00CE727E&quot;/&gt;&lt;wsp:rsid wsp:val=&quot;00CE7B23&quot;/&gt;&lt;wsp:rsid wsp:val=&quot;00CF0181&quot;/&gt;&lt;wsp:rsid wsp:val=&quot;00CF16AD&quot;/&gt;&lt;wsp:rsid wsp:val=&quot;00CF254B&quot;/&gt;&lt;wsp:rsid wsp:val=&quot;00CF2BAB&quot;/&gt;&lt;wsp:rsid wsp:val=&quot;00CF3231&quot;/&gt;&lt;wsp:rsid wsp:val=&quot;00CF478C&quot;/&gt;&lt;wsp:rsid wsp:val=&quot;00CF5198&quot;/&gt;&lt;wsp:rsid wsp:val=&quot;00CF5230&quot;/&gt;&lt;wsp:rsid wsp:val=&quot;00CF5EE1&quot;/&gt;&lt;wsp:rsid wsp:val=&quot;00CF6460&quot;/&gt;&lt;wsp:rsid wsp:val=&quot;00CF78AC&quot;/&gt;&lt;wsp:rsid wsp:val=&quot;00CF7A85&quot;/&gt;&lt;wsp:rsid wsp:val=&quot;00D000D2&quot;/&gt;&lt;wsp:rsid wsp:val=&quot;00D01104&quot;/&gt;&lt;wsp:rsid wsp:val=&quot;00D01E08&quot;/&gt;&lt;wsp:rsid wsp:val=&quot;00D026DD&quot;/&gt;&lt;wsp:rsid wsp:val=&quot;00D045DA&quot;/&gt;&lt;wsp:rsid wsp:val=&quot;00D0461E&quot;/&gt;&lt;wsp:rsid wsp:val=&quot;00D05C73&quot;/&gt;&lt;wsp:rsid wsp:val=&quot;00D06820&quot;/&gt;&lt;wsp:rsid wsp:val=&quot;00D06882&quot;/&gt;&lt;wsp:rsid wsp:val=&quot;00D07C92&quot;/&gt;&lt;wsp:rsid wsp:val=&quot;00D11295&quot;/&gt;&lt;wsp:rsid wsp:val=&quot;00D11334&quot;/&gt;&lt;wsp:rsid wsp:val=&quot;00D11553&quot;/&gt;&lt;wsp:rsid wsp:val=&quot;00D126E9&quot;/&gt;&lt;wsp:rsid wsp:val=&quot;00D1564E&quot;/&gt;&lt;wsp:rsid wsp:val=&quot;00D15908&quot;/&gt;&lt;wsp:rsid wsp:val=&quot;00D160B0&quot;/&gt;&lt;wsp:rsid wsp:val=&quot;00D16550&quot;/&gt;&lt;wsp:rsid wsp:val=&quot;00D168FD&quot;/&gt;&lt;wsp:rsid wsp:val=&quot;00D1771A&quot;/&gt;&lt;wsp:rsid wsp:val=&quot;00D178FD&quot;/&gt;&lt;wsp:rsid wsp:val=&quot;00D20466&quot;/&gt;&lt;wsp:rsid wsp:val=&quot;00D20697&quot;/&gt;&lt;wsp:rsid wsp:val=&quot;00D20EA8&quot;/&gt;&lt;wsp:rsid wsp:val=&quot;00D210CA&quot;/&gt;&lt;wsp:rsid wsp:val=&quot;00D21582&quot;/&gt;&lt;wsp:rsid wsp:val=&quot;00D21897&quot;/&gt;&lt;wsp:rsid wsp:val=&quot;00D21B00&quot;/&gt;&lt;wsp:rsid wsp:val=&quot;00D21BCE&quot;/&gt;&lt;wsp:rsid wsp:val=&quot;00D21DA8&quot;/&gt;&lt;wsp:rsid wsp:val=&quot;00D24A59&quot;/&gt;&lt;wsp:rsid wsp:val=&quot;00D24B99&quot;/&gt;&lt;wsp:rsid wsp:val=&quot;00D25538&quot;/&gt;&lt;wsp:rsid wsp:val=&quot;00D26371&quot;/&gt;&lt;wsp:rsid wsp:val=&quot;00D2735C&quot;/&gt;&lt;wsp:rsid wsp:val=&quot;00D27576&quot;/&gt;&lt;wsp:rsid wsp:val=&quot;00D27C94&quot;/&gt;&lt;wsp:rsid wsp:val=&quot;00D308CD&quot;/&gt;&lt;wsp:rsid wsp:val=&quot;00D3090F&quot;/&gt;&lt;wsp:rsid wsp:val=&quot;00D30D33&quot;/&gt;&lt;wsp:rsid wsp:val=&quot;00D318CF&quot;/&gt;&lt;wsp:rsid wsp:val=&quot;00D325CC&quot;/&gt;&lt;wsp:rsid wsp:val=&quot;00D3360C&quot;/&gt;&lt;wsp:rsid wsp:val=&quot;00D33B36&quot;/&gt;&lt;wsp:rsid wsp:val=&quot;00D34000&quot;/&gt;&lt;wsp:rsid wsp:val=&quot;00D352E9&quot;/&gt;&lt;wsp:rsid wsp:val=&quot;00D364ED&quot;/&gt;&lt;wsp:rsid wsp:val=&quot;00D36667&quot;/&gt;&lt;wsp:rsid wsp:val=&quot;00D369E9&quot;/&gt;&lt;wsp:rsid wsp:val=&quot;00D3765B&quot;/&gt;&lt;wsp:rsid wsp:val=&quot;00D413CF&quot;/&gt;&lt;wsp:rsid wsp:val=&quot;00D41E54&quot;/&gt;&lt;wsp:rsid wsp:val=&quot;00D42F14&quot;/&gt;&lt;wsp:rsid wsp:val=&quot;00D44D43&quot;/&gt;&lt;wsp:rsid wsp:val=&quot;00D44EAB&quot;/&gt;&lt;wsp:rsid wsp:val=&quot;00D45A0B&quot;/&gt;&lt;wsp:rsid wsp:val=&quot;00D45CC8&quot;/&gt;&lt;wsp:rsid wsp:val=&quot;00D45DE3&quot;/&gt;&lt;wsp:rsid wsp:val=&quot;00D4615A&quot;/&gt;&lt;wsp:rsid wsp:val=&quot;00D46595&quot;/&gt;&lt;wsp:rsid wsp:val=&quot;00D4674E&quot;/&gt;&lt;wsp:rsid wsp:val=&quot;00D47871&quot;/&gt;&lt;wsp:rsid wsp:val=&quot;00D507E2&quot;/&gt;&lt;wsp:rsid wsp:val=&quot;00D51FED&quot;/&gt;&lt;wsp:rsid wsp:val=&quot;00D53111&quot;/&gt;&lt;wsp:rsid wsp:val=&quot;00D53EC7&quot;/&gt;&lt;wsp:rsid wsp:val=&quot;00D5424C&quot;/&gt;&lt;wsp:rsid wsp:val=&quot;00D557DD&quot;/&gt;&lt;wsp:rsid wsp:val=&quot;00D558B9&quot;/&gt;&lt;wsp:rsid wsp:val=&quot;00D55A57&quot;/&gt;&lt;wsp:rsid wsp:val=&quot;00D5626A&quot;/&gt;&lt;wsp:rsid wsp:val=&quot;00D56C95&quot;/&gt;&lt;wsp:rsid wsp:val=&quot;00D573CC&quot;/&gt;&lt;wsp:rsid wsp:val=&quot;00D57C7C&quot;/&gt;&lt;wsp:rsid wsp:val=&quot;00D607AD&quot;/&gt;&lt;wsp:rsid wsp:val=&quot;00D608D6&quot;/&gt;&lt;wsp:rsid wsp:val=&quot;00D60FC8&quot;/&gt;&lt;wsp:rsid wsp:val=&quot;00D6150F&quot;/&gt;&lt;wsp:rsid wsp:val=&quot;00D6254F&quot;/&gt;&lt;wsp:rsid wsp:val=&quot;00D62804&quot;/&gt;&lt;wsp:rsid wsp:val=&quot;00D62D54&quot;/&gt;&lt;wsp:rsid wsp:val=&quot;00D63971&quot;/&gt;&lt;wsp:rsid wsp:val=&quot;00D64C0E&quot;/&gt;&lt;wsp:rsid wsp:val=&quot;00D6629D&quot;/&gt;&lt;wsp:rsid wsp:val=&quot;00D6677F&quot;/&gt;&lt;wsp:rsid wsp:val=&quot;00D669DE&quot;/&gt;&lt;wsp:rsid wsp:val=&quot;00D66E62&quot;/&gt;&lt;wsp:rsid wsp:val=&quot;00D67252&quot;/&gt;&lt;wsp:rsid wsp:val=&quot;00D7043B&quot;/&gt;&lt;wsp:rsid wsp:val=&quot;00D7141D&quot;/&gt;&lt;wsp:rsid wsp:val=&quot;00D73539&quot;/&gt;&lt;wsp:rsid wsp:val=&quot;00D748C3&quot;/&gt;&lt;wsp:rsid wsp:val=&quot;00D76E14&quot;/&gt;&lt;wsp:rsid wsp:val=&quot;00D773C1&quot;/&gt;&lt;wsp:rsid wsp:val=&quot;00D77CB2&quot;/&gt;&lt;wsp:rsid wsp:val=&quot;00D8215C&quot;/&gt;&lt;wsp:rsid wsp:val=&quot;00D84BD5&quot;/&gt;&lt;wsp:rsid wsp:val=&quot;00D869DC&quot;/&gt;&lt;wsp:rsid wsp:val=&quot;00D86C7D&quot;/&gt;&lt;wsp:rsid wsp:val=&quot;00D872FD&quot;/&gt;&lt;wsp:rsid wsp:val=&quot;00D878A0&quot;/&gt;&lt;wsp:rsid wsp:val=&quot;00D9077C&quot;/&gt;&lt;wsp:rsid wsp:val=&quot;00D9099C&quot;/&gt;&lt;wsp:rsid wsp:val=&quot;00D91545&quot;/&gt;&lt;wsp:rsid wsp:val=&quot;00D91685&quot;/&gt;&lt;wsp:rsid wsp:val=&quot;00D91B78&quot;/&gt;&lt;wsp:rsid wsp:val=&quot;00D945E8&quot;/&gt;&lt;wsp:rsid wsp:val=&quot;00D947FF&quot;/&gt;&lt;wsp:rsid wsp:val=&quot;00D94BD4&quot;/&gt;&lt;wsp:rsid wsp:val=&quot;00D95361&quot;/&gt;&lt;wsp:rsid wsp:val=&quot;00D9601C&quot;/&gt;&lt;wsp:rsid wsp:val=&quot;00D96B02&quot;/&gt;&lt;wsp:rsid wsp:val=&quot;00D96CAE&quot;/&gt;&lt;wsp:rsid wsp:val=&quot;00D97467&quot;/&gt;&lt;wsp:rsid wsp:val=&quot;00D97557&quot;/&gt;&lt;wsp:rsid wsp:val=&quot;00DA1036&quot;/&gt;&lt;wsp:rsid wsp:val=&quot;00DA10BF&quot;/&gt;&lt;wsp:rsid wsp:val=&quot;00DA1144&quot;/&gt;&lt;wsp:rsid wsp:val=&quot;00DA11BD&quot;/&gt;&lt;wsp:rsid wsp:val=&quot;00DA1816&quot;/&gt;&lt;wsp:rsid wsp:val=&quot;00DA32C1&quot;/&gt;&lt;wsp:rsid wsp:val=&quot;00DA3439&quot;/&gt;&lt;wsp:rsid wsp:val=&quot;00DA4AA2&quot;/&gt;&lt;wsp:rsid wsp:val=&quot;00DA5055&quot;/&gt;&lt;wsp:rsid wsp:val=&quot;00DA57AB&quot;/&gt;&lt;wsp:rsid wsp:val=&quot;00DA6190&quot;/&gt;&lt;wsp:rsid wsp:val=&quot;00DA6F61&quot;/&gt;&lt;wsp:rsid wsp:val=&quot;00DA7235&quot;/&gt;&lt;wsp:rsid wsp:val=&quot;00DA7676&quot;/&gt;&lt;wsp:rsid wsp:val=&quot;00DA7C34&quot;/&gt;&lt;wsp:rsid wsp:val=&quot;00DB0AAD&quot;/&gt;&lt;wsp:rsid wsp:val=&quot;00DB0C5D&quot;/&gt;&lt;wsp:rsid wsp:val=&quot;00DB1287&quot;/&gt;&lt;wsp:rsid wsp:val=&quot;00DB1797&quot;/&gt;&lt;wsp:rsid wsp:val=&quot;00DB320C&quot;/&gt;&lt;wsp:rsid wsp:val=&quot;00DB39BD&quot;/&gt;&lt;wsp:rsid wsp:val=&quot;00DB5DB8&quot;/&gt;&lt;wsp:rsid wsp:val=&quot;00DB5EAD&quot;/&gt;&lt;wsp:rsid wsp:val=&quot;00DB65AE&quot;/&gt;&lt;wsp:rsid wsp:val=&quot;00DB76CB&quot;/&gt;&lt;wsp:rsid wsp:val=&quot;00DB788C&quot;/&gt;&lt;wsp:rsid wsp:val=&quot;00DC0B2D&quot;/&gt;&lt;wsp:rsid wsp:val=&quot;00DC0FA7&quot;/&gt;&lt;wsp:rsid wsp:val=&quot;00DC19B6&quot;/&gt;&lt;wsp:rsid wsp:val=&quot;00DC1C2E&quot;/&gt;&lt;wsp:rsid wsp:val=&quot;00DC1ED9&quot;/&gt;&lt;wsp:rsid wsp:val=&quot;00DC22D3&quot;/&gt;&lt;wsp:rsid wsp:val=&quot;00DC2507&quot;/&gt;&lt;wsp:rsid wsp:val=&quot;00DC2DFB&quot;/&gt;&lt;wsp:rsid wsp:val=&quot;00DC3235&quot;/&gt;&lt;wsp:rsid wsp:val=&quot;00DC48A8&quot;/&gt;&lt;wsp:rsid wsp:val=&quot;00DC546E&quot;/&gt;&lt;wsp:rsid wsp:val=&quot;00DC58B4&quot;/&gt;&lt;wsp:rsid wsp:val=&quot;00DC5A3B&quot;/&gt;&lt;wsp:rsid wsp:val=&quot;00DC6869&quot;/&gt;&lt;wsp:rsid wsp:val=&quot;00DD09C7&quot;/&gt;&lt;wsp:rsid wsp:val=&quot;00DD1C09&quot;/&gt;&lt;wsp:rsid wsp:val=&quot;00DD2D5C&quot;/&gt;&lt;wsp:rsid wsp:val=&quot;00DD2E44&quot;/&gt;&lt;wsp:rsid wsp:val=&quot;00DD39A7&quot;/&gt;&lt;wsp:rsid wsp:val=&quot;00DD5529&quot;/&gt;&lt;wsp:rsid wsp:val=&quot;00DD56C7&quot;/&gt;&lt;wsp:rsid wsp:val=&quot;00DD679D&quot;/&gt;&lt;wsp:rsid wsp:val=&quot;00DE0365&quot;/&gt;&lt;wsp:rsid wsp:val=&quot;00DE1715&quot;/&gt;&lt;wsp:rsid wsp:val=&quot;00DE1F81&quot;/&gt;&lt;wsp:rsid wsp:val=&quot;00DE2B8D&quot;/&gt;&lt;wsp:rsid wsp:val=&quot;00DE3273&quot;/&gt;&lt;wsp:rsid wsp:val=&quot;00DE3715&quot;/&gt;&lt;wsp:rsid wsp:val=&quot;00DE58C7&quot;/&gt;&lt;wsp:rsid wsp:val=&quot;00DE5DC8&quot;/&gt;&lt;wsp:rsid wsp:val=&quot;00DE7D91&quot;/&gt;&lt;wsp:rsid wsp:val=&quot;00DF047E&quot;/&gt;&lt;wsp:rsid wsp:val=&quot;00DF051F&quot;/&gt;&lt;wsp:rsid wsp:val=&quot;00DF0586&quot;/&gt;&lt;wsp:rsid wsp:val=&quot;00DF07BF&quot;/&gt;&lt;wsp:rsid wsp:val=&quot;00DF192E&quot;/&gt;&lt;wsp:rsid wsp:val=&quot;00DF3803&quot;/&gt;&lt;wsp:rsid wsp:val=&quot;00DF3937&quot;/&gt;&lt;wsp:rsid wsp:val=&quot;00DF4168&quot;/&gt;&lt;wsp:rsid wsp:val=&quot;00DF5015&quot;/&gt;&lt;wsp:rsid wsp:val=&quot;00DF6084&quot;/&gt;&lt;wsp:rsid wsp:val=&quot;00DF6B96&quot;/&gt;&lt;wsp:rsid wsp:val=&quot;00DF705B&quot;/&gt;&lt;wsp:rsid wsp:val=&quot;00DF79B9&quot;/&gt;&lt;wsp:rsid wsp:val=&quot;00E005AF&quot;/&gt;&lt;wsp:rsid wsp:val=&quot;00E04232&quot;/&gt;&lt;wsp:rsid wsp:val=&quot;00E045C3&quot;/&gt;&lt;wsp:rsid wsp:val=&quot;00E0473E&quot;/&gt;&lt;wsp:rsid wsp:val=&quot;00E047B1&quot;/&gt;&lt;wsp:rsid wsp:val=&quot;00E051C2&quot;/&gt;&lt;wsp:rsid wsp:val=&quot;00E0532D&quot;/&gt;&lt;wsp:rsid wsp:val=&quot;00E05D14&quot;/&gt;&lt;wsp:rsid wsp:val=&quot;00E06348&quot;/&gt;&lt;wsp:rsid wsp:val=&quot;00E07142&quot;/&gt;&lt;wsp:rsid wsp:val=&quot;00E07603&quot;/&gt;&lt;wsp:rsid wsp:val=&quot;00E105C7&quot;/&gt;&lt;wsp:rsid wsp:val=&quot;00E11928&quot;/&gt;&lt;wsp:rsid wsp:val=&quot;00E1242F&quot;/&gt;&lt;wsp:rsid wsp:val=&quot;00E13BFF&quot;/&gt;&lt;wsp:rsid wsp:val=&quot;00E13C16&quot;/&gt;&lt;wsp:rsid wsp:val=&quot;00E147F3&quot;/&gt;&lt;wsp:rsid wsp:val=&quot;00E160F5&quot;/&gt;&lt;wsp:rsid wsp:val=&quot;00E165B7&quot;/&gt;&lt;wsp:rsid wsp:val=&quot;00E1761C&quot;/&gt;&lt;wsp:rsid wsp:val=&quot;00E17779&quot;/&gt;&lt;wsp:rsid wsp:val=&quot;00E209E7&quot;/&gt;&lt;wsp:rsid wsp:val=&quot;00E212A0&quot;/&gt;&lt;wsp:rsid wsp:val=&quot;00E217CC&quot;/&gt;&lt;wsp:rsid wsp:val=&quot;00E21FAD&quot;/&gt;&lt;wsp:rsid wsp:val=&quot;00E22F8F&quot;/&gt;&lt;wsp:rsid wsp:val=&quot;00E2325C&quot;/&gt;&lt;wsp:rsid wsp:val=&quot;00E23AA0&quot;/&gt;&lt;wsp:rsid wsp:val=&quot;00E23B89&quot;/&gt;&lt;wsp:rsid wsp:val=&quot;00E244B0&quot;/&gt;&lt;wsp:rsid wsp:val=&quot;00E25BB1&quot;/&gt;&lt;wsp:rsid wsp:val=&quot;00E2619B&quot;/&gt;&lt;wsp:rsid wsp:val=&quot;00E267AB&quot;/&gt;&lt;wsp:rsid wsp:val=&quot;00E27C08&quot;/&gt;&lt;wsp:rsid wsp:val=&quot;00E30613&quot;/&gt;&lt;wsp:rsid wsp:val=&quot;00E31A5A&quot;/&gt;&lt;wsp:rsid wsp:val=&quot;00E31C1A&quot;/&gt;&lt;wsp:rsid wsp:val=&quot;00E326C9&quot;/&gt;&lt;wsp:rsid wsp:val=&quot;00E32CEA&quot;/&gt;&lt;wsp:rsid wsp:val=&quot;00E3311D&quot;/&gt;&lt;wsp:rsid wsp:val=&quot;00E33A60&quot;/&gt;&lt;wsp:rsid wsp:val=&quot;00E33BAC&quot;/&gt;&lt;wsp:rsid wsp:val=&quot;00E33F65&quot;/&gt;&lt;wsp:rsid wsp:val=&quot;00E35104&quot;/&gt;&lt;wsp:rsid wsp:val=&quot;00E35884&quot;/&gt;&lt;wsp:rsid wsp:val=&quot;00E36B24&quot;/&gt;&lt;wsp:rsid wsp:val=&quot;00E3755E&quot;/&gt;&lt;wsp:rsid wsp:val=&quot;00E37B1F&quot;/&gt;&lt;wsp:rsid wsp:val=&quot;00E37D2D&quot;/&gt;&lt;wsp:rsid wsp:val=&quot;00E401B0&quot;/&gt;&lt;wsp:rsid wsp:val=&quot;00E40B4F&quot;/&gt;&lt;wsp:rsid wsp:val=&quot;00E40DE7&quot;/&gt;&lt;wsp:rsid wsp:val=&quot;00E41664&quot;/&gt;&lt;wsp:rsid wsp:val=&quot;00E41BCD&quot;/&gt;&lt;wsp:rsid wsp:val=&quot;00E43FFA&quot;/&gt;&lt;wsp:rsid wsp:val=&quot;00E4425B&quot;/&gt;&lt;wsp:rsid wsp:val=&quot;00E45DC1&quot;/&gt;&lt;wsp:rsid wsp:val=&quot;00E45F39&quot;/&gt;&lt;wsp:rsid wsp:val=&quot;00E46BFB&quot;/&gt;&lt;wsp:rsid wsp:val=&quot;00E477D5&quot;/&gt;&lt;wsp:rsid wsp:val=&quot;00E47CD9&quot;/&gt;&lt;wsp:rsid wsp:val=&quot;00E50269&quot;/&gt;&lt;wsp:rsid wsp:val=&quot;00E511D2&quot;/&gt;&lt;wsp:rsid wsp:val=&quot;00E51D0C&quot;/&gt;&lt;wsp:rsid wsp:val=&quot;00E52328&quot;/&gt;&lt;wsp:rsid wsp:val=&quot;00E524E6&quot;/&gt;&lt;wsp:rsid wsp:val=&quot;00E535B4&quot;/&gt;&lt;wsp:rsid wsp:val=&quot;00E53A35&quot;/&gt;&lt;wsp:rsid wsp:val=&quot;00E53EDA&quot;/&gt;&lt;wsp:rsid wsp:val=&quot;00E542C5&quot;/&gt;&lt;wsp:rsid wsp:val=&quot;00E54494&quot;/&gt;&lt;wsp:rsid wsp:val=&quot;00E54CB5&quot;/&gt;&lt;wsp:rsid wsp:val=&quot;00E55039&quot;/&gt;&lt;wsp:rsid wsp:val=&quot;00E55156&quot;/&gt;&lt;wsp:rsid wsp:val=&quot;00E55CC8&quot;/&gt;&lt;wsp:rsid wsp:val=&quot;00E577A9&quot;/&gt;&lt;wsp:rsid wsp:val=&quot;00E60352&quot;/&gt;&lt;wsp:rsid wsp:val=&quot;00E616AF&quot;/&gt;&lt;wsp:rsid wsp:val=&quot;00E6245F&quot;/&gt;&lt;wsp:rsid wsp:val=&quot;00E6309C&quot;/&gt;&lt;wsp:rsid wsp:val=&quot;00E633A3&quot;/&gt;&lt;wsp:rsid wsp:val=&quot;00E643E6&quot;/&gt;&lt;wsp:rsid wsp:val=&quot;00E64649&quot;/&gt;&lt;wsp:rsid wsp:val=&quot;00E6665B&quot;/&gt;&lt;wsp:rsid wsp:val=&quot;00E67C09&quot;/&gt;&lt;wsp:rsid wsp:val=&quot;00E67D7D&quot;/&gt;&lt;wsp:rsid wsp:val=&quot;00E7028F&quot;/&gt;&lt;wsp:rsid wsp:val=&quot;00E704BD&quot;/&gt;&lt;wsp:rsid wsp:val=&quot;00E73187&quot;/&gt;&lt;wsp:rsid wsp:val=&quot;00E74789&quot;/&gt;&lt;wsp:rsid wsp:val=&quot;00E749A8&quot;/&gt;&lt;wsp:rsid wsp:val=&quot;00E76924&quot;/&gt;&lt;wsp:rsid wsp:val=&quot;00E76BBE&quot;/&gt;&lt;wsp:rsid wsp:val=&quot;00E771AB&quot;/&gt;&lt;wsp:rsid wsp:val=&quot;00E779F0&quot;/&gt;&lt;wsp:rsid wsp:val=&quot;00E80DEE&quot;/&gt;&lt;wsp:rsid wsp:val=&quot;00E81636&quot;/&gt;&lt;wsp:rsid wsp:val=&quot;00E819D8&quot;/&gt;&lt;wsp:rsid wsp:val=&quot;00E829A6&quot;/&gt;&lt;wsp:rsid wsp:val=&quot;00E82EFF&quot;/&gt;&lt;wsp:rsid wsp:val=&quot;00E830CD&quot;/&gt;&lt;wsp:rsid wsp:val=&quot;00E83233&quot;/&gt;&lt;wsp:rsid wsp:val=&quot;00E833FE&quot;/&gt;&lt;wsp:rsid wsp:val=&quot;00E846B2&quot;/&gt;&lt;wsp:rsid wsp:val=&quot;00E84C10&quot;/&gt;&lt;wsp:rsid wsp:val=&quot;00E856FC&quot;/&gt;&lt;wsp:rsid wsp:val=&quot;00E85CC9&quot;/&gt;&lt;wsp:rsid wsp:val=&quot;00E85CF8&quot;/&gt;&lt;wsp:rsid wsp:val=&quot;00E86242&quot;/&gt;&lt;wsp:rsid wsp:val=&quot;00E90126&quot;/&gt;&lt;wsp:rsid wsp:val=&quot;00E90BAE&quot;/&gt;&lt;wsp:rsid wsp:val=&quot;00E91D57&quot;/&gt;&lt;wsp:rsid wsp:val=&quot;00E93045&quot;/&gt;&lt;wsp:rsid wsp:val=&quot;00E94641&quot;/&gt;&lt;wsp:rsid wsp:val=&quot;00E94993&quot;/&gt;&lt;wsp:rsid wsp:val=&quot;00E9555B&quot;/&gt;&lt;wsp:rsid wsp:val=&quot;00E958BF&quot;/&gt;&lt;wsp:rsid wsp:val=&quot;00E96B35&quot;/&gt;&lt;wsp:rsid wsp:val=&quot;00E9700A&quot;/&gt;&lt;wsp:rsid wsp:val=&quot;00E97199&quot;/&gt;&lt;wsp:rsid wsp:val=&quot;00EA0E3F&quot;/&gt;&lt;wsp:rsid wsp:val=&quot;00EA1857&quot;/&gt;&lt;wsp:rsid wsp:val=&quot;00EA193E&quot;/&gt;&lt;wsp:rsid wsp:val=&quot;00EA2923&quot;/&gt;&lt;wsp:rsid wsp:val=&quot;00EA2DA0&quot;/&gt;&lt;wsp:rsid wsp:val=&quot;00EA36D4&quot;/&gt;&lt;wsp:rsid wsp:val=&quot;00EA4209&quot;/&gt;&lt;wsp:rsid wsp:val=&quot;00EA517B&quot;/&gt;&lt;wsp:rsid wsp:val=&quot;00EA63C7&quot;/&gt;&lt;wsp:rsid wsp:val=&quot;00EA7D48&quot;/&gt;&lt;wsp:rsid wsp:val=&quot;00EA7D90&quot;/&gt;&lt;wsp:rsid wsp:val=&quot;00EB0272&quot;/&gt;&lt;wsp:rsid wsp:val=&quot;00EB0342&quot;/&gt;&lt;wsp:rsid wsp:val=&quot;00EB03C3&quot;/&gt;&lt;wsp:rsid wsp:val=&quot;00EB07A4&quot;/&gt;&lt;wsp:rsid wsp:val=&quot;00EB1130&quot;/&gt;&lt;wsp:rsid wsp:val=&quot;00EB1F12&quot;/&gt;&lt;wsp:rsid wsp:val=&quot;00EB220C&quot;/&gt;&lt;wsp:rsid wsp:val=&quot;00EB2525&quot;/&gt;&lt;wsp:rsid wsp:val=&quot;00EB3193&quot;/&gt;&lt;wsp:rsid wsp:val=&quot;00EB3369&quot;/&gt;&lt;wsp:rsid wsp:val=&quot;00EB41A6&quot;/&gt;&lt;wsp:rsid wsp:val=&quot;00EB4886&quot;/&gt;&lt;wsp:rsid wsp:val=&quot;00EB4F10&quot;/&gt;&lt;wsp:rsid wsp:val=&quot;00EB53AA&quot;/&gt;&lt;wsp:rsid wsp:val=&quot;00EB598A&quot;/&gt;&lt;wsp:rsid wsp:val=&quot;00EB6198&quot;/&gt;&lt;wsp:rsid wsp:val=&quot;00EC0396&quot;/&gt;&lt;wsp:rsid wsp:val=&quot;00EC0785&quot;/&gt;&lt;wsp:rsid wsp:val=&quot;00EC10FF&quot;/&gt;&lt;wsp:rsid wsp:val=&quot;00EC1407&quot;/&gt;&lt;wsp:rsid wsp:val=&quot;00EC15F6&quot;/&gt;&lt;wsp:rsid wsp:val=&quot;00EC2CEE&quot;/&gt;&lt;wsp:rsid wsp:val=&quot;00EC3838&quot;/&gt;&lt;wsp:rsid wsp:val=&quot;00EC3EC5&quot;/&gt;&lt;wsp:rsid wsp:val=&quot;00EC3F5C&quot;/&gt;&lt;wsp:rsid wsp:val=&quot;00EC4197&quot;/&gt;&lt;wsp:rsid wsp:val=&quot;00EC43D5&quot;/&gt;&lt;wsp:rsid wsp:val=&quot;00EC4563&quot;/&gt;&lt;wsp:rsid wsp:val=&quot;00EC64A2&quot;/&gt;&lt;wsp:rsid wsp:val=&quot;00EC6767&quot;/&gt;&lt;wsp:rsid wsp:val=&quot;00EC6B92&quot;/&gt;&lt;wsp:rsid wsp:val=&quot;00ED0536&quot;/&gt;&lt;wsp:rsid wsp:val=&quot;00ED142E&quot;/&gt;&lt;wsp:rsid wsp:val=&quot;00ED243E&quot;/&gt;&lt;wsp:rsid wsp:val=&quot;00ED3685&quot;/&gt;&lt;wsp:rsid wsp:val=&quot;00ED36A3&quot;/&gt;&lt;wsp:rsid wsp:val=&quot;00ED39C6&quot;/&gt;&lt;wsp:rsid wsp:val=&quot;00ED4A7A&quot;/&gt;&lt;wsp:rsid wsp:val=&quot;00ED4F85&quot;/&gt;&lt;wsp:rsid wsp:val=&quot;00ED5987&quot;/&gt;&lt;wsp:rsid wsp:val=&quot;00ED7F24&quot;/&gt;&lt;wsp:rsid wsp:val=&quot;00EE05C2&quot;/&gt;&lt;wsp:rsid wsp:val=&quot;00EE088C&quot;/&gt;&lt;wsp:rsid wsp:val=&quot;00EE0EB9&quot;/&gt;&lt;wsp:rsid wsp:val=&quot;00EE14CE&quot;/&gt;&lt;wsp:rsid wsp:val=&quot;00EE2443&quot;/&gt;&lt;wsp:rsid wsp:val=&quot;00EE29C0&quot;/&gt;&lt;wsp:rsid wsp:val=&quot;00EE2B52&quot;/&gt;&lt;wsp:rsid wsp:val=&quot;00EE4C36&quot;/&gt;&lt;wsp:rsid wsp:val=&quot;00EE4C3F&quot;/&gt;&lt;wsp:rsid wsp:val=&quot;00EE5823&quot;/&gt;&lt;wsp:rsid wsp:val=&quot;00EE63E0&quot;/&gt;&lt;wsp:rsid wsp:val=&quot;00EF08E1&quot;/&gt;&lt;wsp:rsid wsp:val=&quot;00EF181A&quot;/&gt;&lt;wsp:rsid wsp:val=&quot;00EF19F1&quot;/&gt;&lt;wsp:rsid wsp:val=&quot;00EF1C6F&quot;/&gt;&lt;wsp:rsid wsp:val=&quot;00EF26EF&quot;/&gt;&lt;wsp:rsid wsp:val=&quot;00EF402D&quot;/&gt;&lt;wsp:rsid wsp:val=&quot;00EF4B6D&quot;/&gt;&lt;wsp:rsid wsp:val=&quot;00EF500B&quot;/&gt;&lt;wsp:rsid wsp:val=&quot;00EF6913&quot;/&gt;&lt;wsp:rsid wsp:val=&quot;00EF696D&quot;/&gt;&lt;wsp:rsid wsp:val=&quot;00EF6AE6&quot;/&gt;&lt;wsp:rsid wsp:val=&quot;00EF6D58&quot;/&gt;&lt;wsp:rsid wsp:val=&quot;00EF7F6C&quot;/&gt;&lt;wsp:rsid wsp:val=&quot;00F01D2D&quot;/&gt;&lt;wsp:rsid wsp:val=&quot;00F020BA&quot;/&gt;&lt;wsp:rsid wsp:val=&quot;00F02203&quot;/&gt;&lt;wsp:rsid wsp:val=&quot;00F025CA&quot;/&gt;&lt;wsp:rsid wsp:val=&quot;00F05A56&quot;/&gt;&lt;wsp:rsid wsp:val=&quot;00F05B9C&quot;/&gt;&lt;wsp:rsid wsp:val=&quot;00F067A5&quot;/&gt;&lt;wsp:rsid wsp:val=&quot;00F069D0&quot;/&gt;&lt;wsp:rsid wsp:val=&quot;00F0712C&quot;/&gt;&lt;wsp:rsid wsp:val=&quot;00F079CE&quot;/&gt;&lt;wsp:rsid wsp:val=&quot;00F079FE&quot;/&gt;&lt;wsp:rsid wsp:val=&quot;00F104D6&quot;/&gt;&lt;wsp:rsid wsp:val=&quot;00F112BB&quot;/&gt;&lt;wsp:rsid wsp:val=&quot;00F1162A&quot;/&gt;&lt;wsp:rsid wsp:val=&quot;00F11F49&quot;/&gt;&lt;wsp:rsid wsp:val=&quot;00F12151&quot;/&gt;&lt;wsp:rsid wsp:val=&quot;00F13341&quot;/&gt;&lt;wsp:rsid wsp:val=&quot;00F13656&quot;/&gt;&lt;wsp:rsid wsp:val=&quot;00F137CC&quot;/&gt;&lt;wsp:rsid wsp:val=&quot;00F140F0&quot;/&gt;&lt;wsp:rsid wsp:val=&quot;00F14ADA&quot;/&gt;&lt;wsp:rsid wsp:val=&quot;00F14DE7&quot;/&gt;&lt;wsp:rsid wsp:val=&quot;00F15056&quot;/&gt;&lt;wsp:rsid wsp:val=&quot;00F1665E&quot;/&gt;&lt;wsp:rsid wsp:val=&quot;00F16696&quot;/&gt;&lt;wsp:rsid wsp:val=&quot;00F17D18&quot;/&gt;&lt;wsp:rsid wsp:val=&quot;00F20A5D&quot;/&gt;&lt;wsp:rsid wsp:val=&quot;00F20E3F&quot;/&gt;&lt;wsp:rsid wsp:val=&quot;00F21912&quot;/&gt;&lt;wsp:rsid wsp:val=&quot;00F21F21&quot;/&gt;&lt;wsp:rsid wsp:val=&quot;00F2212E&quot;/&gt;&lt;wsp:rsid wsp:val=&quot;00F22659&quot;/&gt;&lt;wsp:rsid wsp:val=&quot;00F22830&quot;/&gt;&lt;wsp:rsid wsp:val=&quot;00F2324D&quot;/&gt;&lt;wsp:rsid wsp:val=&quot;00F23CB9&quot;/&gt;&lt;wsp:rsid wsp:val=&quot;00F23DF5&quot;/&gt;&lt;wsp:rsid wsp:val=&quot;00F2430C&quot;/&gt;&lt;wsp:rsid wsp:val=&quot;00F246D0&quot;/&gt;&lt;wsp:rsid wsp:val=&quot;00F251BD&quot;/&gt;&lt;wsp:rsid wsp:val=&quot;00F26155&quot;/&gt;&lt;wsp:rsid wsp:val=&quot;00F263C6&quot;/&gt;&lt;wsp:rsid wsp:val=&quot;00F30197&quot;/&gt;&lt;wsp:rsid wsp:val=&quot;00F3313D&quot;/&gt;&lt;wsp:rsid wsp:val=&quot;00F3469A&quot;/&gt;&lt;wsp:rsid wsp:val=&quot;00F3473D&quot;/&gt;&lt;wsp:rsid wsp:val=&quot;00F34AA1&quot;/&gt;&lt;wsp:rsid wsp:val=&quot;00F35111&quot;/&gt;&lt;wsp:rsid wsp:val=&quot;00F35F7D&quot;/&gt;&lt;wsp:rsid wsp:val=&quot;00F36448&quot;/&gt;&lt;wsp:rsid wsp:val=&quot;00F36B5C&quot;/&gt;&lt;wsp:rsid wsp:val=&quot;00F3704E&quot;/&gt;&lt;wsp:rsid wsp:val=&quot;00F40113&quot;/&gt;&lt;wsp:rsid wsp:val=&quot;00F40477&quot;/&gt;&lt;wsp:rsid wsp:val=&quot;00F40BF7&quot;/&gt;&lt;wsp:rsid wsp:val=&quot;00F40CF2&quot;/&gt;&lt;wsp:rsid wsp:val=&quot;00F40FBA&quot;/&gt;&lt;wsp:rsid wsp:val=&quot;00F41D3E&quot;/&gt;&lt;wsp:rsid wsp:val=&quot;00F43088&quot;/&gt;&lt;wsp:rsid wsp:val=&quot;00F44620&quot;/&gt;&lt;wsp:rsid wsp:val=&quot;00F44850&quot;/&gt;&lt;wsp:rsid wsp:val=&quot;00F45037&quot;/&gt;&lt;wsp:rsid wsp:val=&quot;00F456EA&quot;/&gt;&lt;wsp:rsid wsp:val=&quot;00F45FB8&quot;/&gt;&lt;wsp:rsid wsp:val=&quot;00F46268&quot;/&gt;&lt;wsp:rsid wsp:val=&quot;00F4723B&quot;/&gt;&lt;wsp:rsid wsp:val=&quot;00F475D7&quot;/&gt;&lt;wsp:rsid wsp:val=&quot;00F504D5&quot;/&gt;&lt;wsp:rsid wsp:val=&quot;00F50726&quot;/&gt;&lt;wsp:rsid wsp:val=&quot;00F50C88&quot;/&gt;&lt;wsp:rsid wsp:val=&quot;00F51136&quot;/&gt;&lt;wsp:rsid wsp:val=&quot;00F517E7&quot;/&gt;&lt;wsp:rsid wsp:val=&quot;00F51B68&quot;/&gt;&lt;wsp:rsid wsp:val=&quot;00F51CD0&quot;/&gt;&lt;wsp:rsid wsp:val=&quot;00F5209B&quot;/&gt;&lt;wsp:rsid wsp:val=&quot;00F5234D&quot;/&gt;&lt;wsp:rsid wsp:val=&quot;00F52A4C&quot;/&gt;&lt;wsp:rsid wsp:val=&quot;00F53384&quot;/&gt;&lt;wsp:rsid wsp:val=&quot;00F53ADD&quot;/&gt;&lt;wsp:rsid wsp:val=&quot;00F54197&quot;/&gt;&lt;wsp:rsid wsp:val=&quot;00F541B9&quot;/&gt;&lt;wsp:rsid wsp:val=&quot;00F54A29&quot;/&gt;&lt;wsp:rsid wsp:val=&quot;00F554DE&quot;/&gt;&lt;wsp:rsid wsp:val=&quot;00F56C9C&quot;/&gt;&lt;wsp:rsid wsp:val=&quot;00F5753C&quot;/&gt;&lt;wsp:rsid wsp:val=&quot;00F57F6D&quot;/&gt;&lt;wsp:rsid wsp:val=&quot;00F60A9F&quot;/&gt;&lt;wsp:rsid wsp:val=&quot;00F60CFE&quot;/&gt;&lt;wsp:rsid wsp:val=&quot;00F613A1&quot;/&gt;&lt;wsp:rsid wsp:val=&quot;00F6210B&quot;/&gt;&lt;wsp:rsid wsp:val=&quot;00F627CC&quot;/&gt;&lt;wsp:rsid wsp:val=&quot;00F6281A&quot;/&gt;&lt;wsp:rsid wsp:val=&quot;00F62B74&quot;/&gt;&lt;wsp:rsid wsp:val=&quot;00F63BC1&quot;/&gt;&lt;wsp:rsid wsp:val=&quot;00F64143&quot;/&gt;&lt;wsp:rsid wsp:val=&quot;00F6479C&quot;/&gt;&lt;wsp:rsid wsp:val=&quot;00F65C21&quot;/&gt;&lt;wsp:rsid wsp:val=&quot;00F66664&quot;/&gt;&lt;wsp:rsid wsp:val=&quot;00F66761&quot;/&gt;&lt;wsp:rsid wsp:val=&quot;00F66D01&quot;/&gt;&lt;wsp:rsid wsp:val=&quot;00F671E2&quot;/&gt;&lt;wsp:rsid wsp:val=&quot;00F67E22&quot;/&gt;&lt;wsp:rsid wsp:val=&quot;00F70B71&quot;/&gt;&lt;wsp:rsid wsp:val=&quot;00F711F1&quot;/&gt;&lt;wsp:rsid wsp:val=&quot;00F71EA4&quot;/&gt;&lt;wsp:rsid wsp:val=&quot;00F72525&quot;/&gt;&lt;wsp:rsid wsp:val=&quot;00F72D06&quot;/&gt;&lt;wsp:rsid wsp:val=&quot;00F74C0D&quot;/&gt;&lt;wsp:rsid wsp:val=&quot;00F752D4&quot;/&gt;&lt;wsp:rsid wsp:val=&quot;00F75427&quot;/&gt;&lt;wsp:rsid wsp:val=&quot;00F76426&quot;/&gt;&lt;wsp:rsid wsp:val=&quot;00F7716D&quot;/&gt;&lt;wsp:rsid wsp:val=&quot;00F81164&quot;/&gt;&lt;wsp:rsid wsp:val=&quot;00F82E4E&quot;/&gt;&lt;wsp:rsid wsp:val=&quot;00F8356F&quot;/&gt;&lt;wsp:rsid wsp:val=&quot;00F8372B&quot;/&gt;&lt;wsp:rsid wsp:val=&quot;00F8421E&quot;/&gt;&lt;wsp:rsid wsp:val=&quot;00F84A7B&quot;/&gt;&lt;wsp:rsid wsp:val=&quot;00F84B6A&quot;/&gt;&lt;wsp:rsid wsp:val=&quot;00F8546E&quot;/&gt;&lt;wsp:rsid wsp:val=&quot;00F858E1&quot;/&gt;&lt;wsp:rsid wsp:val=&quot;00F85DCB&quot;/&gt;&lt;wsp:rsid wsp:val=&quot;00F86FF9&quot;/&gt;&lt;wsp:rsid wsp:val=&quot;00F87206&quot;/&gt;&lt;wsp:rsid wsp:val=&quot;00F906B7&quot;/&gt;&lt;wsp:rsid wsp:val=&quot;00F9116A&quot;/&gt;&lt;wsp:rsid wsp:val=&quot;00F91AC4&quot;/&gt;&lt;wsp:rsid wsp:val=&quot;00F923EB&quot;/&gt;&lt;wsp:rsid wsp:val=&quot;00F936C1&quot;/&gt;&lt;wsp:rsid wsp:val=&quot;00F93DC2&quot;/&gt;&lt;wsp:rsid wsp:val=&quot;00F93F81&quot;/&gt;&lt;wsp:rsid wsp:val=&quot;00F9592F&quot;/&gt;&lt;wsp:rsid wsp:val=&quot;00F96FAB&quot;/&gt;&lt;wsp:rsid wsp:val=&quot;00F9701A&quot;/&gt;&lt;wsp:rsid wsp:val=&quot;00F97A56&quot;/&gt;&lt;wsp:rsid wsp:val=&quot;00FA047D&quot;/&gt;&lt;wsp:rsid wsp:val=&quot;00FA1063&quot;/&gt;&lt;wsp:rsid wsp:val=&quot;00FA1461&quot;/&gt;&lt;wsp:rsid wsp:val=&quot;00FA1697&quot;/&gt;&lt;wsp:rsid wsp:val=&quot;00FA171D&quot;/&gt;&lt;wsp:rsid wsp:val=&quot;00FA17BE&quot;/&gt;&lt;wsp:rsid wsp:val=&quot;00FA1A2F&quot;/&gt;&lt;wsp:rsid wsp:val=&quot;00FA3379&quot;/&gt;&lt;wsp:rsid wsp:val=&quot;00FA3A94&quot;/&gt;&lt;wsp:rsid wsp:val=&quot;00FA3C3F&quot;/&gt;&lt;wsp:rsid wsp:val=&quot;00FA5AAE&quot;/&gt;&lt;wsp:rsid wsp:val=&quot;00FA5D8F&quot;/&gt;&lt;wsp:rsid wsp:val=&quot;00FA7D2E&quot;/&gt;&lt;wsp:rsid wsp:val=&quot;00FB09E1&quot;/&gt;&lt;wsp:rsid wsp:val=&quot;00FB158E&quot;/&gt;&lt;wsp:rsid wsp:val=&quot;00FB1CF9&quot;/&gt;&lt;wsp:rsid wsp:val=&quot;00FB20B1&quot;/&gt;&lt;wsp:rsid wsp:val=&quot;00FB23C1&quot;/&gt;&lt;wsp:rsid wsp:val=&quot;00FB4AFF&quot;/&gt;&lt;wsp:rsid wsp:val=&quot;00FB5576&quot;/&gt;&lt;wsp:rsid wsp:val=&quot;00FB56CF&quot;/&gt;&lt;wsp:rsid wsp:val=&quot;00FB636D&quot;/&gt;&lt;wsp:rsid wsp:val=&quot;00FB6629&quot;/&gt;&lt;wsp:rsid wsp:val=&quot;00FB6CFB&quot;/&gt;&lt;wsp:rsid wsp:val=&quot;00FB7945&quot;/&gt;&lt;wsp:rsid wsp:val=&quot;00FC0D58&quot;/&gt;&lt;wsp:rsid wsp:val=&quot;00FC12B0&quot;/&gt;&lt;wsp:rsid wsp:val=&quot;00FC27AA&quot;/&gt;&lt;wsp:rsid wsp:val=&quot;00FC2CE6&quot;/&gt;&lt;wsp:rsid wsp:val=&quot;00FC31B7&quot;/&gt;&lt;wsp:rsid wsp:val=&quot;00FC325F&quot;/&gt;&lt;wsp:rsid wsp:val=&quot;00FC3E54&quot;/&gt;&lt;wsp:rsid wsp:val=&quot;00FC4370&quot;/&gt;&lt;wsp:rsid wsp:val=&quot;00FC4E1E&quot;/&gt;&lt;wsp:rsid wsp:val=&quot;00FC5E51&quot;/&gt;&lt;wsp:rsid wsp:val=&quot;00FC70FB&quot;/&gt;&lt;wsp:rsid wsp:val=&quot;00FD0180&quot;/&gt;&lt;wsp:rsid wsp:val=&quot;00FD1482&quot;/&gt;&lt;wsp:rsid wsp:val=&quot;00FD171C&quot;/&gt;&lt;wsp:rsid wsp:val=&quot;00FD1B97&quot;/&gt;&lt;wsp:rsid wsp:val=&quot;00FD3507&quot;/&gt;&lt;wsp:rsid wsp:val=&quot;00FD3EBE&quot;/&gt;&lt;wsp:rsid wsp:val=&quot;00FD3F04&quot;/&gt;&lt;wsp:rsid wsp:val=&quot;00FD4604&quot;/&gt;&lt;wsp:rsid wsp:val=&quot;00FD6BD6&quot;/&gt;&lt;wsp:rsid wsp:val=&quot;00FD7C07&quot;/&gt;&lt;wsp:rsid wsp:val=&quot;00FE05F7&quot;/&gt;&lt;wsp:rsid wsp:val=&quot;00FE06AB&quot;/&gt;&lt;wsp:rsid wsp:val=&quot;00FE261C&quot;/&gt;&lt;wsp:rsid wsp:val=&quot;00FE3151&quot;/&gt;&lt;wsp:rsid wsp:val=&quot;00FE333D&quot;/&gt;&lt;wsp:rsid wsp:val=&quot;00FE36C3&quot;/&gt;&lt;wsp:rsid wsp:val=&quot;00FE44F0&quot;/&gt;&lt;wsp:rsid wsp:val=&quot;00FE5DAC&quot;/&gt;&lt;wsp:rsid wsp:val=&quot;00FE60B9&quot;/&gt;&lt;wsp:rsid wsp:val=&quot;00FE6FB2&quot;/&gt;&lt;wsp:rsid wsp:val=&quot;00FE76E0&quot;/&gt;&lt;wsp:rsid wsp:val=&quot;00FF046C&quot;/&gt;&lt;wsp:rsid wsp:val=&quot;00FF07B8&quot;/&gt;&lt;wsp:rsid wsp:val=&quot;00FF0B63&quot;/&gt;&lt;wsp:rsid wsp:val=&quot;00FF0DEB&quot;/&gt;&lt;wsp:rsid wsp:val=&quot;00FF21EB&quot;/&gt;&lt;wsp:rsid wsp:val=&quot;00FF2E08&quot;/&gt;&lt;wsp:rsid wsp:val=&quot;00FF37A1&quot;/&gt;&lt;wsp:rsid wsp:val=&quot;00FF4661&quot;/&gt;&lt;wsp:rsid wsp:val=&quot;00FF4C34&quot;/&gt;&lt;wsp:rsid wsp:val=&quot;00FF4F75&quot;/&gt;&lt;wsp:rsid wsp:val=&quot;00FF5E04&quot;/&gt;&lt;wsp:rsid wsp:val=&quot;00FF6515&quot;/&gt;&lt;wsp:rsid wsp:val=&quot;00FF669D&quot;/&gt;&lt;wsp:rsid wsp:val=&quot;00FF6979&quot;/&gt;&lt;wsp:rsid wsp:val=&quot;00FF7011&quot;/&gt;&lt;wsp:rsid wsp:val=&quot;00FF7723&quot;/&gt;&lt;wsp:rsid wsp:val=&quot;00FF79DE&quot;/&gt;&lt;wsp:rsid wsp:val=&quot;0471177E&quot;/&gt;&lt;wsp:rsid wsp:val=&quot;05E3020F&quot;/&gt;&lt;wsp:rsid wsp:val=&quot;08724604&quot;/&gt;&lt;wsp:rsid wsp:val=&quot;0C1803E3&quot;/&gt;&lt;wsp:rsid wsp:val=&quot;0C990E7C&quot;/&gt;&lt;wsp:rsid wsp:val=&quot;0CAD7F05&quot;/&gt;&lt;wsp:rsid wsp:val=&quot;11873A80&quot;/&gt;&lt;wsp:rsid wsp:val=&quot;17BC422F&quot;/&gt;&lt;wsp:rsid wsp:val=&quot;18E707A5&quot;/&gt;&lt;wsp:rsid wsp:val=&quot;1A433BB2&quot;/&gt;&lt;wsp:rsid wsp:val=&quot;23D3070A&quot;/&gt;&lt;wsp:rsid wsp:val=&quot;25350811&quot;/&gt;&lt;wsp:rsid wsp:val=&quot;289B1E8D&quot;/&gt;&lt;wsp:rsid wsp:val=&quot;2E6F0B8E&quot;/&gt;&lt;wsp:rsid wsp:val=&quot;304D5659&quot;/&gt;&lt;wsp:rsid wsp:val=&quot;317F025F&quot;/&gt;&lt;wsp:rsid wsp:val=&quot;368D0334&quot;/&gt;&lt;wsp:rsid wsp:val=&quot;40055E36&quot;/&gt;&lt;wsp:rsid wsp:val=&quot;40CE4415&quot;/&gt;&lt;wsp:rsid wsp:val=&quot;46A25A7F&quot;/&gt;&lt;wsp:rsid wsp:val=&quot;485A4EA6&quot;/&gt;&lt;wsp:rsid wsp:val=&quot;49CB60E5&quot;/&gt;&lt;wsp:rsid wsp:val=&quot;546859EB&quot;/&gt;&lt;wsp:rsid wsp:val=&quot;58D46D47&quot;/&gt;&lt;wsp:rsid wsp:val=&quot;5CD44510&quot;/&gt;&lt;wsp:rsid wsp:val=&quot;5D4516CB&quot;/&gt;&lt;wsp:rsid wsp:val=&quot;5D860F6B&quot;/&gt;&lt;wsp:rsid wsp:val=&quot;68B430FC&quot;/&gt;&lt;wsp:rsid wsp:val=&quot;6A2A4C91&quot;/&gt;&lt;wsp:rsid wsp:val=&quot;715012E2&quot;/&gt;&lt;wsp:rsid wsp:val=&quot;71DF487E&quot;/&gt;&lt;wsp:rsid wsp:val=&quot;735343C5&quot;/&gt;&lt;wsp:rsid wsp:val=&quot;78F91B53&quot;/&gt;&lt;wsp:rsid wsp:val=&quot;7C64631E&quot;/&gt;&lt;wsp:rsid wsp:val=&quot;7D423CE2&quot;/&gt;&lt;/wsp:rsids&gt;&lt;/w:docPr&gt;&lt;w:body&gt;&lt;wx:sect&gt;&lt;w:p wsp:rsidR=&quot;00000000&quot; wsp:rsidRDefault=&quot;006D18E0&quot; wsp:rsidP=&quot;006D18E0&quot;&gt;&lt;m:oMathPara&gt;&lt;m:oMath&gt;&lt;m:sSubSup&gt;&lt;m:sSubSupPr&gt;&lt;m:ctrlPr&gt;&lt;w:rPr&gt;&lt;w:rFonts w:ascii=&quot;Cambria Math&quot; w:h-ansi=&quot;Cambria Math&quot;/&gt;&lt;wx:font wx:val=&quot;Cambria Math&quot;/&gt;&lt;/w:rPr&gt;&lt;/m:ctrlPr&gt;&lt;/m:sSubSupPr&gt;&lt;m:e&gt;&lt;m:r&gt;&lt;w:rPr&gt;&lt;w:rFonts w:ascii=&quot;Cambria Math&quot; w:h-ansi=&quot;Cambria Math&quot;/&gt;&lt;wx:font wx:val=&quot;Cambria Math&quot;/&gt;&lt;w:i/&gt;&lt;/w:rPr&gt;&lt;m:t&gt;u&lt;/m:t&gt;&lt;/m:r&gt;&lt;/m:e&gt;&lt;m:sub&gt;&lt;m:r&gt;&lt;w:rPr&gt;&lt;w:rFonts w:ascii=&quot;Cambria Math&quot; w:h-ansi=&quot;Cambria Math&quot;/&gt;&lt;wx:font wx:val=&quot;Cambria Math&quot;/&gt;&lt;w:i/&gt;&lt;/w:rPr&gt;&lt;m:t&gt;t&lt;/m:t&gt;&lt;/m:r&gt;&lt;/m:sub&gt;&lt;m:sup&gt;&lt;m:r&gt;&lt;w:rPr&gt;&lt;w:rFonts w:ascii=&quot;Cambria Math&quot; w:h-ansi=&quot;Cambria Math&quot;/&gt;&lt;wx:font wx:val=&quot;Cambria Math&quot;/&gt;&lt;w:i/&gt;&lt;/w:rPr&gt;&lt;m:t&gt;*&lt;/m:t&gt;&lt;/m:r&gt;&lt;/m:sup&gt;&lt;/m:sSub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23" chromakey="#FFFFFF" o:title=""/>
                  <o:lock v:ext="edit" aspectratio="t"/>
                  <w10:wrap type="none"/>
                  <w10:anchorlock/>
                </v:shape>
              </w:pic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olor w:val="auto"/>
                <w:sz w:val="24"/>
                <w:szCs w:val="24"/>
                <w:highlight w:val="none"/>
              </w:rPr>
              <w:t>为阈值摩擦风速，即起尘的临界摩擦风速，6.3m/s。</w:t>
            </w:r>
          </w:p>
          <w:p>
            <w:pPr>
              <w:keepNext w:val="0"/>
              <w:keepLines w:val="0"/>
              <w:pageBreakBefore w:val="0"/>
              <w:kinsoku/>
              <w:wordWrap/>
              <w:overflowPunct/>
              <w:topLinePunct w:val="0"/>
              <w:autoSpaceDE/>
              <w:autoSpaceDN/>
              <w:bidi w:val="0"/>
              <w:adjustRightInd/>
              <w:snapToGrid/>
              <w:spacing w:line="360" w:lineRule="auto"/>
              <w:jc w:val="righ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highlight w:val="none"/>
              </w:rPr>
              <w:drawing>
                <wp:inline distT="0" distB="0" distL="114300" distR="114300">
                  <wp:extent cx="2248535" cy="296545"/>
                  <wp:effectExtent l="0" t="0" r="18415" b="8255"/>
                  <wp:docPr id="99" name="图片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469"/>
                          <pic:cNvPicPr>
                            <a:picLocks noChangeAspect="1"/>
                          </pic:cNvPicPr>
                        </pic:nvPicPr>
                        <pic:blipFill>
                          <a:blip r:embed="rId24"/>
                          <a:stretch>
                            <a:fillRect/>
                          </a:stretch>
                        </pic:blipFill>
                        <pic:spPr>
                          <a:xfrm>
                            <a:off x="0" y="0"/>
                            <a:ext cx="2248535" cy="296545"/>
                          </a:xfrm>
                          <a:prstGeom prst="rect">
                            <a:avLst/>
                          </a:prstGeom>
                          <a:noFill/>
                          <a:ln>
                            <a:noFill/>
                          </a:ln>
                        </pic:spPr>
                      </pic:pic>
                    </a:graphicData>
                  </a:graphic>
                </wp:inline>
              </w:drawing>
            </w: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rPr>
              <w:t xml:space="preserve">         式</w:t>
            </w:r>
            <w:r>
              <w:rPr>
                <w:rFonts w:hint="default" w:ascii="Times New Roman" w:hAnsi="Times New Roman" w:cs="Times New Roman"/>
                <w:color w:val="auto"/>
                <w:sz w:val="24"/>
                <w:szCs w:val="24"/>
                <w:highlight w:val="none"/>
                <w:lang w:val="en-US" w:eastAsia="zh-CN"/>
              </w:rPr>
              <w:t>4.1</w:t>
            </w:r>
            <w:r>
              <w:rPr>
                <w:rFonts w:hint="default" w:ascii="Times New Roman" w:hAnsi="Times New Roman" w:eastAsia="宋体" w:cs="Times New Roman"/>
                <w:color w:val="auto"/>
                <w:sz w:val="24"/>
                <w:szCs w:val="24"/>
                <w:highlight w:val="none"/>
              </w:rPr>
              <w:t>-5</w:t>
            </w:r>
          </w:p>
          <w:p>
            <w:pPr>
              <w:pStyle w:val="78"/>
              <w:bidi w:val="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u（z）为地面风速，</w:t>
            </w:r>
            <w:r>
              <w:rPr>
                <w:rFonts w:hint="default" w:ascii="Times New Roman" w:hAnsi="Times New Roman" w:eastAsia="宋体" w:cs="Times New Roman"/>
                <w:color w:val="auto"/>
                <w:sz w:val="24"/>
                <w:szCs w:val="24"/>
                <w:highlight w:val="none"/>
                <w:lang w:val="en-US" w:eastAsia="zh-CN"/>
              </w:rPr>
              <w:t>1.5</w:t>
            </w:r>
            <w:r>
              <w:rPr>
                <w:rFonts w:hint="default" w:ascii="Times New Roman" w:hAnsi="Times New Roman" w:eastAsia="宋体" w:cs="Times New Roman"/>
                <w:color w:val="auto"/>
                <w:sz w:val="24"/>
                <w:szCs w:val="24"/>
                <w:highlight w:val="none"/>
              </w:rPr>
              <w:t>m/s。</w:t>
            </w:r>
          </w:p>
          <w:p>
            <w:pPr>
              <w:pStyle w:val="78"/>
              <w:bidi w:val="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z为地面风速检测高度，10m。</w:t>
            </w:r>
          </w:p>
          <w:p>
            <w:pPr>
              <w:pStyle w:val="78"/>
              <w:bidi w:val="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z</w:t>
            </w:r>
            <w:r>
              <w:rPr>
                <w:rFonts w:hint="default" w:ascii="Times New Roman" w:hAnsi="Times New Roman" w:eastAsia="宋体" w:cs="Times New Roman"/>
                <w:color w:val="auto"/>
                <w:sz w:val="24"/>
                <w:szCs w:val="24"/>
                <w:highlight w:val="none"/>
                <w:vertAlign w:val="subscript"/>
              </w:rPr>
              <w:t>0</w:t>
            </w:r>
            <w:r>
              <w:rPr>
                <w:rFonts w:hint="default" w:ascii="Times New Roman" w:hAnsi="Times New Roman" w:eastAsia="宋体" w:cs="Times New Roman"/>
                <w:color w:val="auto"/>
                <w:sz w:val="24"/>
                <w:szCs w:val="24"/>
                <w:highlight w:val="none"/>
              </w:rPr>
              <w:t>为地面粗糙度，m，城市取值0.6，郊区取值0.2</w:t>
            </w:r>
            <w:r>
              <w:rPr>
                <w:rFonts w:hint="default" w:ascii="Times New Roman" w:hAnsi="Times New Roman" w:eastAsia="宋体" w:cs="Times New Roman"/>
                <w:color w:val="auto"/>
                <w:sz w:val="24"/>
                <w:szCs w:val="24"/>
                <w:highlight w:val="none"/>
                <w:lang w:eastAsia="zh-CN"/>
              </w:rPr>
              <w:t>。</w:t>
            </w:r>
          </w:p>
          <w:p>
            <w:pPr>
              <w:pStyle w:val="78"/>
              <w:bidi w:val="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0.4为冯卡门常数，无量纲。</w:t>
            </w:r>
          </w:p>
          <w:p>
            <w:pPr>
              <w:pStyle w:val="78"/>
              <w:bidi w:val="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计算出</w:t>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QUOTE </w:instrText>
            </w:r>
            <w:r>
              <w:rPr>
                <w:rFonts w:hint="default" w:ascii="Times New Roman" w:hAnsi="Times New Roman" w:eastAsia="宋体" w:cs="Times New Roman"/>
                <w:color w:val="auto"/>
                <w:position w:val="-8"/>
                <w:sz w:val="24"/>
                <w:szCs w:val="24"/>
                <w:highlight w:val="none"/>
              </w:rPr>
              <w:pict>
                <v:shape id="_x0000_i1031" o:spt="75" type="#_x0000_t75" style="height:15.75pt;width:10.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94&quot;/&gt;&lt;w:displayBackgroundShape/&gt;&lt;w:doNotEmbedSystemFonts/&gt;&lt;w:bordersDontSurroundHeader/&gt;&lt;w:bordersDontSurroundFooter/&gt;&lt;w:hideSpellingErrors/&gt;&lt;w:defaultTabStop w:val=&quot;420&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82A5A&quot;/&gt;&lt;wsp:rsid wsp:val=&quot;00000D02&quot;/&gt;&lt;wsp:rsid wsp:val=&quot;00000F90&quot;/&gt;&lt;wsp:rsid wsp:val=&quot;00002DD6&quot;/&gt;&lt;wsp:rsid wsp:val=&quot;00003C3B&quot;/&gt;&lt;wsp:rsid wsp:val=&quot;00004137&quot;/&gt;&lt;wsp:rsid wsp:val=&quot;00004407&quot;/&gt;&lt;wsp:rsid wsp:val=&quot;000048CB&quot;/&gt;&lt;wsp:rsid wsp:val=&quot;00004FFF&quot;/&gt;&lt;wsp:rsid wsp:val=&quot;000052ED&quot;/&gt;&lt;wsp:rsid wsp:val=&quot;000068EA&quot;/&gt;&lt;wsp:rsid wsp:val=&quot;000079C0&quot;/&gt;&lt;wsp:rsid wsp:val=&quot;00010579&quot;/&gt;&lt;wsp:rsid wsp:val=&quot;000108D9&quot;/&gt;&lt;wsp:rsid wsp:val=&quot;00011409&quot;/&gt;&lt;wsp:rsid wsp:val=&quot;0001296A&quot;/&gt;&lt;wsp:rsid wsp:val=&quot;00014275&quot;/&gt;&lt;wsp:rsid wsp:val=&quot;00014351&quot;/&gt;&lt;wsp:rsid wsp:val=&quot;0001449A&quot;/&gt;&lt;wsp:rsid wsp:val=&quot;00015DD0&quot;/&gt;&lt;wsp:rsid wsp:val=&quot;0001650C&quot;/&gt;&lt;wsp:rsid wsp:val=&quot;00017297&quot;/&gt;&lt;wsp:rsid wsp:val=&quot;00017B9C&quot;/&gt;&lt;wsp:rsid wsp:val=&quot;000205C8&quot;/&gt;&lt;wsp:rsid wsp:val=&quot;000235A3&quot;/&gt;&lt;wsp:rsid wsp:val=&quot;00023D8F&quot;/&gt;&lt;wsp:rsid wsp:val=&quot;0002422E&quot;/&gt;&lt;wsp:rsid wsp:val=&quot;000243AF&quot;/&gt;&lt;wsp:rsid wsp:val=&quot;00024BAD&quot;/&gt;&lt;wsp:rsid wsp:val=&quot;00025526&quot;/&gt;&lt;wsp:rsid wsp:val=&quot;0002623A&quot;/&gt;&lt;wsp:rsid wsp:val=&quot;000262D7&quot;/&gt;&lt;wsp:rsid wsp:val=&quot;0002637C&quot;/&gt;&lt;wsp:rsid wsp:val=&quot;0002690B&quot;/&gt;&lt;wsp:rsid wsp:val=&quot;00026B3C&quot;/&gt;&lt;wsp:rsid wsp:val=&quot;0002708F&quot;/&gt;&lt;wsp:rsid wsp:val=&quot;0003165E&quot;/&gt;&lt;wsp:rsid wsp:val=&quot;0003172F&quot;/&gt;&lt;wsp:rsid wsp:val=&quot;0003188D&quot;/&gt;&lt;wsp:rsid wsp:val=&quot;00031D66&quot;/&gt;&lt;wsp:rsid wsp:val=&quot;00031F5A&quot;/&gt;&lt;wsp:rsid wsp:val=&quot;000333B7&quot;/&gt;&lt;wsp:rsid wsp:val=&quot;00034880&quot;/&gt;&lt;wsp:rsid wsp:val=&quot;00034881&quot;/&gt;&lt;wsp:rsid wsp:val=&quot;000355F3&quot;/&gt;&lt;wsp:rsid wsp:val=&quot;0003581E&quot;/&gt;&lt;wsp:rsid wsp:val=&quot;000363A7&quot;/&gt;&lt;wsp:rsid wsp:val=&quot;000368BC&quot;/&gt;&lt;wsp:rsid wsp:val=&quot;000370F0&quot;/&gt;&lt;wsp:rsid wsp:val=&quot;00037309&quot;/&gt;&lt;wsp:rsid wsp:val=&quot;00037E96&quot;/&gt;&lt;wsp:rsid wsp:val=&quot;000400F4&quot;/&gt;&lt;wsp:rsid wsp:val=&quot;000407EF&quot;/&gt;&lt;wsp:rsid wsp:val=&quot;000408A6&quot;/&gt;&lt;wsp:rsid wsp:val=&quot;000408AB&quot;/&gt;&lt;wsp:rsid wsp:val=&quot;0004180C&quot;/&gt;&lt;wsp:rsid wsp:val=&quot;00041E3C&quot;/&gt;&lt;wsp:rsid wsp:val=&quot;00042180&quot;/&gt;&lt;wsp:rsid wsp:val=&quot;00042E92&quot;/&gt;&lt;wsp:rsid wsp:val=&quot;0004360D&quot;/&gt;&lt;wsp:rsid wsp:val=&quot;0004371E&quot;/&gt;&lt;wsp:rsid wsp:val=&quot;00043952&quot;/&gt;&lt;wsp:rsid wsp:val=&quot;00044DE2&quot;/&gt;&lt;wsp:rsid wsp:val=&quot;00045662&quot;/&gt;&lt;wsp:rsid wsp:val=&quot;00046772&quot;/&gt;&lt;wsp:rsid wsp:val=&quot;0004683B&quot;/&gt;&lt;wsp:rsid wsp:val=&quot;0004701E&quot;/&gt;&lt;wsp:rsid wsp:val=&quot;00050BF0&quot;/&gt;&lt;wsp:rsid wsp:val=&quot;00051A43&quot;/&gt;&lt;wsp:rsid wsp:val=&quot;000533F2&quot;/&gt;&lt;wsp:rsid wsp:val=&quot;000535D6&quot;/&gt;&lt;wsp:rsid wsp:val=&quot;00054EE6&quot;/&gt;&lt;wsp:rsid wsp:val=&quot;0005634C&quot;/&gt;&lt;wsp:rsid wsp:val=&quot;00056B61&quot;/&gt;&lt;wsp:rsid wsp:val=&quot;00057E6E&quot;/&gt;&lt;wsp:rsid wsp:val=&quot;000607AD&quot;/&gt;&lt;wsp:rsid wsp:val=&quot;0006125E&quot;/&gt;&lt;wsp:rsid wsp:val=&quot;00061796&quot;/&gt;&lt;wsp:rsid wsp:val=&quot;00061812&quot;/&gt;&lt;wsp:rsid wsp:val=&quot;00064956&quot;/&gt;&lt;wsp:rsid wsp:val=&quot;00064F3B&quot;/&gt;&lt;wsp:rsid wsp:val=&quot;00065A8F&quot;/&gt;&lt;wsp:rsid wsp:val=&quot;00065F29&quot;/&gt;&lt;wsp:rsid wsp:val=&quot;00070A09&quot;/&gt;&lt;wsp:rsid wsp:val=&quot;00070C7F&quot;/&gt;&lt;wsp:rsid wsp:val=&quot;00073CB1&quot;/&gt;&lt;wsp:rsid wsp:val=&quot;00074058&quot;/&gt;&lt;wsp:rsid wsp:val=&quot;00074AFD&quot;/&gt;&lt;wsp:rsid wsp:val=&quot;00074E15&quot;/&gt;&lt;wsp:rsid wsp:val=&quot;00075C0B&quot;/&gt;&lt;wsp:rsid wsp:val=&quot;00075F90&quot;/&gt;&lt;wsp:rsid wsp:val=&quot;00075FF9&quot;/&gt;&lt;wsp:rsid wsp:val=&quot;000763A0&quot;/&gt;&lt;wsp:rsid wsp:val=&quot;00076760&quot;/&gt;&lt;wsp:rsid wsp:val=&quot;00077C6E&quot;/&gt;&lt;wsp:rsid wsp:val=&quot;00077EBB&quot;/&gt;&lt;wsp:rsid wsp:val=&quot;0008028D&quot;/&gt;&lt;wsp:rsid wsp:val=&quot;00080AA2&quot;/&gt;&lt;wsp:rsid wsp:val=&quot;00080BDD&quot;/&gt;&lt;wsp:rsid wsp:val=&quot;0008159D&quot;/&gt;&lt;wsp:rsid wsp:val=&quot;00082D36&quot;/&gt;&lt;wsp:rsid wsp:val=&quot;0008396F&quot;/&gt;&lt;wsp:rsid wsp:val=&quot;00083C18&quot;/&gt;&lt;wsp:rsid wsp:val=&quot;0008442F&quot;/&gt;&lt;wsp:rsid wsp:val=&quot;000864D5&quot;/&gt;&lt;wsp:rsid wsp:val=&quot;00086CF7&quot;/&gt;&lt;wsp:rsid wsp:val=&quot;00087257&quot;/&gt;&lt;wsp:rsid wsp:val=&quot;00087498&quot;/&gt;&lt;wsp:rsid wsp:val=&quot;000877C8&quot;/&gt;&lt;wsp:rsid wsp:val=&quot;00087FE8&quot;/&gt;&lt;wsp:rsid wsp:val=&quot;00090424&quot;/&gt;&lt;wsp:rsid wsp:val=&quot;000909D8&quot;/&gt;&lt;wsp:rsid wsp:val=&quot;00090C5E&quot;/&gt;&lt;wsp:rsid wsp:val=&quot;000917E6&quot;/&gt;&lt;wsp:rsid wsp:val=&quot;00091B7C&quot;/&gt;&lt;wsp:rsid wsp:val=&quot;00092B59&quot;/&gt;&lt;wsp:rsid wsp:val=&quot;000930C4&quot;/&gt;&lt;wsp:rsid wsp:val=&quot;00093812&quot;/&gt;&lt;wsp:rsid wsp:val=&quot;000964A7&quot;/&gt;&lt;wsp:rsid wsp:val=&quot;000978C5&quot;/&gt;&lt;wsp:rsid wsp:val=&quot;000A08F1&quot;/&gt;&lt;wsp:rsid wsp:val=&quot;000A1217&quot;/&gt;&lt;wsp:rsid wsp:val=&quot;000A20E0&quot;/&gt;&lt;wsp:rsid wsp:val=&quot;000A2264&quot;/&gt;&lt;wsp:rsid wsp:val=&quot;000A38FB&quot;/&gt;&lt;wsp:rsid wsp:val=&quot;000A457D&quot;/&gt;&lt;wsp:rsid wsp:val=&quot;000A4F2C&quot;/&gt;&lt;wsp:rsid wsp:val=&quot;000A589B&quot;/&gt;&lt;wsp:rsid wsp:val=&quot;000A5F49&quot;/&gt;&lt;wsp:rsid wsp:val=&quot;000A64EA&quot;/&gt;&lt;wsp:rsid wsp:val=&quot;000A7A05&quot;/&gt;&lt;wsp:rsid wsp:val=&quot;000B1DD7&quot;/&gt;&lt;wsp:rsid wsp:val=&quot;000B34F4&quot;/&gt;&lt;wsp:rsid wsp:val=&quot;000B487E&quot;/&gt;&lt;wsp:rsid wsp:val=&quot;000B4973&quot;/&gt;&lt;wsp:rsid wsp:val=&quot;000B49B2&quot;/&gt;&lt;wsp:rsid wsp:val=&quot;000B4C16&quot;/&gt;&lt;wsp:rsid wsp:val=&quot;000B4EE4&quot;/&gt;&lt;wsp:rsid wsp:val=&quot;000B56C3&quot;/&gt;&lt;wsp:rsid wsp:val=&quot;000B69BE&quot;/&gt;&lt;wsp:rsid wsp:val=&quot;000B6AF4&quot;/&gt;&lt;wsp:rsid wsp:val=&quot;000C2528&quot;/&gt;&lt;wsp:rsid wsp:val=&quot;000C2696&quot;/&gt;&lt;wsp:rsid wsp:val=&quot;000C2B0E&quot;/&gt;&lt;wsp:rsid wsp:val=&quot;000C3650&quot;/&gt;&lt;wsp:rsid wsp:val=&quot;000C366B&quot;/&gt;&lt;wsp:rsid wsp:val=&quot;000C4235&quot;/&gt;&lt;wsp:rsid wsp:val=&quot;000C54D5&quot;/&gt;&lt;wsp:rsid wsp:val=&quot;000C57FB&quot;/&gt;&lt;wsp:rsid wsp:val=&quot;000C5E64&quot;/&gt;&lt;wsp:rsid wsp:val=&quot;000C6333&quot;/&gt;&lt;wsp:rsid wsp:val=&quot;000C64F8&quot;/&gt;&lt;wsp:rsid wsp:val=&quot;000D0338&quot;/&gt;&lt;wsp:rsid wsp:val=&quot;000D07AD&quot;/&gt;&lt;wsp:rsid wsp:val=&quot;000D08DB&quot;/&gt;&lt;wsp:rsid wsp:val=&quot;000D1088&quot;/&gt;&lt;wsp:rsid wsp:val=&quot;000D168E&quot;/&gt;&lt;wsp:rsid wsp:val=&quot;000D2F3D&quot;/&gt;&lt;wsp:rsid wsp:val=&quot;000D37FA&quot;/&gt;&lt;wsp:rsid wsp:val=&quot;000D6076&quot;/&gt;&lt;wsp:rsid wsp:val=&quot;000D7188&quot;/&gt;&lt;wsp:rsid wsp:val=&quot;000D7605&quot;/&gt;&lt;wsp:rsid wsp:val=&quot;000E0759&quot;/&gt;&lt;wsp:rsid wsp:val=&quot;000E0FF9&quot;/&gt;&lt;wsp:rsid wsp:val=&quot;000E37D9&quot;/&gt;&lt;wsp:rsid wsp:val=&quot;000E401E&quot;/&gt;&lt;wsp:rsid wsp:val=&quot;000E4700&quot;/&gt;&lt;wsp:rsid wsp:val=&quot;000E4DA3&quot;/&gt;&lt;wsp:rsid wsp:val=&quot;000E55BB&quot;/&gt;&lt;wsp:rsid wsp:val=&quot;000E5840&quot;/&gt;&lt;wsp:rsid wsp:val=&quot;000E5FD7&quot;/&gt;&lt;wsp:rsid wsp:val=&quot;000E68B4&quot;/&gt;&lt;wsp:rsid wsp:val=&quot;000E72E8&quot;/&gt;&lt;wsp:rsid wsp:val=&quot;000F03AE&quot;/&gt;&lt;wsp:rsid wsp:val=&quot;000F089B&quot;/&gt;&lt;wsp:rsid wsp:val=&quot;000F106C&quot;/&gt;&lt;wsp:rsid wsp:val=&quot;000F2649&quot;/&gt;&lt;wsp:rsid wsp:val=&quot;000F28E7&quot;/&gt;&lt;wsp:rsid wsp:val=&quot;000F39C8&quot;/&gt;&lt;wsp:rsid wsp:val=&quot;000F3B35&quot;/&gt;&lt;wsp:rsid wsp:val=&quot;000F3DB3&quot;/&gt;&lt;wsp:rsid wsp:val=&quot;000F508C&quot;/&gt;&lt;wsp:rsid wsp:val=&quot;000F53E1&quot;/&gt;&lt;wsp:rsid wsp:val=&quot;000F6B60&quot;/&gt;&lt;wsp:rsid wsp:val=&quot;00100E94&quot;/&gt;&lt;wsp:rsid wsp:val=&quot;0010109B&quot;/&gt;&lt;wsp:rsid wsp:val=&quot;00101299&quot;/&gt;&lt;wsp:rsid wsp:val=&quot;00102D42&quot;/&gt;&lt;wsp:rsid wsp:val=&quot;00102DA9&quot;/&gt;&lt;wsp:rsid wsp:val=&quot;00102EE0&quot;/&gt;&lt;wsp:rsid wsp:val=&quot;00103127&quot;/&gt;&lt;wsp:rsid wsp:val=&quot;001034EA&quot;/&gt;&lt;wsp:rsid wsp:val=&quot;00103B53&quot;/&gt;&lt;wsp:rsid wsp:val=&quot;001047B2&quot;/&gt;&lt;wsp:rsid wsp:val=&quot;00104C51&quot;/&gt;&lt;wsp:rsid wsp:val=&quot;00105B91&quot;/&gt;&lt;wsp:rsid wsp:val=&quot;00105BEB&quot;/&gt;&lt;wsp:rsid wsp:val=&quot;00106601&quot;/&gt;&lt;wsp:rsid wsp:val=&quot;00107554&quot;/&gt;&lt;wsp:rsid wsp:val=&quot;00107A60&quot;/&gt;&lt;wsp:rsid wsp:val=&quot;0011031F&quot;/&gt;&lt;wsp:rsid wsp:val=&quot;001103D2&quot;/&gt;&lt;wsp:rsid wsp:val=&quot;00110EB9&quot;/&gt;&lt;wsp:rsid wsp:val=&quot;00111636&quot;/&gt;&lt;wsp:rsid wsp:val=&quot;00111AC0&quot;/&gt;&lt;wsp:rsid wsp:val=&quot;001121D8&quot;/&gt;&lt;wsp:rsid wsp:val=&quot;00112217&quot;/&gt;&lt;wsp:rsid wsp:val=&quot;00112483&quot;/&gt;&lt;wsp:rsid wsp:val=&quot;00112B6C&quot;/&gt;&lt;wsp:rsid wsp:val=&quot;00113651&quot;/&gt;&lt;wsp:rsid wsp:val=&quot;001142E5&quot;/&gt;&lt;wsp:rsid wsp:val=&quot;001146BB&quot;/&gt;&lt;wsp:rsid wsp:val=&quot;001147D9&quot;/&gt;&lt;wsp:rsid wsp:val=&quot;00115ED6&quot;/&gt;&lt;wsp:rsid wsp:val=&quot;00116BC7&quot;/&gt;&lt;wsp:rsid wsp:val=&quot;00116F50&quot;/&gt;&lt;wsp:rsid wsp:val=&quot;001173B8&quot;/&gt;&lt;wsp:rsid wsp:val=&quot;00117F73&quot;/&gt;&lt;wsp:rsid wsp:val=&quot;00120383&quot;/&gt;&lt;wsp:rsid wsp:val=&quot;00120D7C&quot;/&gt;&lt;wsp:rsid wsp:val=&quot;00121C68&quot;/&gt;&lt;wsp:rsid wsp:val=&quot;001235CF&quot;/&gt;&lt;wsp:rsid wsp:val=&quot;00123A6C&quot;/&gt;&lt;wsp:rsid wsp:val=&quot;001241CD&quot;/&gt;&lt;wsp:rsid wsp:val=&quot;00125EC7&quot;/&gt;&lt;wsp:rsid wsp:val=&quot;0012609F&quot;/&gt;&lt;wsp:rsid wsp:val=&quot;00127F2B&quot;/&gt;&lt;wsp:rsid wsp:val=&quot;00130114&quot;/&gt;&lt;wsp:rsid wsp:val=&quot;0013076E&quot;/&gt;&lt;wsp:rsid wsp:val=&quot;00130B64&quot;/&gt;&lt;wsp:rsid wsp:val=&quot;00130E8C&quot;/&gt;&lt;wsp:rsid wsp:val=&quot;00131F6C&quot;/&gt;&lt;wsp:rsid wsp:val=&quot;00132836&quot;/&gt;&lt;wsp:rsid wsp:val=&quot;00133048&quot;/&gt;&lt;wsp:rsid wsp:val=&quot;00133949&quot;/&gt;&lt;wsp:rsid wsp:val=&quot;00135197&quot;/&gt;&lt;wsp:rsid wsp:val=&quot;00135B64&quot;/&gt;&lt;wsp:rsid wsp:val=&quot;001367F1&quot;/&gt;&lt;wsp:rsid wsp:val=&quot;0013719C&quot;/&gt;&lt;wsp:rsid wsp:val=&quot;001373F3&quot;/&gt;&lt;wsp:rsid wsp:val=&quot;001374BB&quot;/&gt;&lt;wsp:rsid wsp:val=&quot;001405F0&quot;/&gt;&lt;wsp:rsid wsp:val=&quot;0014082D&quot;/&gt;&lt;wsp:rsid wsp:val=&quot;00141038&quot;/&gt;&lt;wsp:rsid wsp:val=&quot;0014154B&quot;/&gt;&lt;wsp:rsid wsp:val=&quot;00141984&quot;/&gt;&lt;wsp:rsid wsp:val=&quot;00141E17&quot;/&gt;&lt;wsp:rsid wsp:val=&quot;00141EEB&quot;/&gt;&lt;wsp:rsid wsp:val=&quot;001421EA&quot;/&gt;&lt;wsp:rsid wsp:val=&quot;00142292&quot;/&gt;&lt;wsp:rsid wsp:val=&quot;001440A1&quot;/&gt;&lt;wsp:rsid wsp:val=&quot;001466ED&quot;/&gt;&lt;wsp:rsid wsp:val=&quot;001469B7&quot;/&gt;&lt;wsp:rsid wsp:val=&quot;00147BE4&quot;/&gt;&lt;wsp:rsid wsp:val=&quot;0015061D&quot;/&gt;&lt;wsp:rsid wsp:val=&quot;001508C4&quot;/&gt;&lt;wsp:rsid wsp:val=&quot;0015197D&quot;/&gt;&lt;wsp:rsid wsp:val=&quot;001523E9&quot;/&gt;&lt;wsp:rsid wsp:val=&quot;00152768&quot;/&gt;&lt;wsp:rsid wsp:val=&quot;001528FA&quot;/&gt;&lt;wsp:rsid wsp:val=&quot;00152B6D&quot;/&gt;&lt;wsp:rsid wsp:val=&quot;001532E7&quot;/&gt;&lt;wsp:rsid wsp:val=&quot;00153366&quot;/&gt;&lt;wsp:rsid wsp:val=&quot;001554B1&quot;/&gt;&lt;wsp:rsid wsp:val=&quot;00156550&quot;/&gt;&lt;wsp:rsid wsp:val=&quot;00156AA1&quot;/&gt;&lt;wsp:rsid wsp:val=&quot;00157B3E&quot;/&gt;&lt;wsp:rsid wsp:val=&quot;001611D0&quot;/&gt;&lt;wsp:rsid wsp:val=&quot;00162183&quot;/&gt;&lt;wsp:rsid wsp:val=&quot;00162845&quot;/&gt;&lt;wsp:rsid wsp:val=&quot;00162BD5&quot;/&gt;&lt;wsp:rsid wsp:val=&quot;001635E7&quot;/&gt;&lt;wsp:rsid wsp:val=&quot;001653F7&quot;/&gt;&lt;wsp:rsid wsp:val=&quot;00165B46&quot;/&gt;&lt;wsp:rsid wsp:val=&quot;00165FD3&quot;/&gt;&lt;wsp:rsid wsp:val=&quot;0016649E&quot;/&gt;&lt;wsp:rsid wsp:val=&quot;00166847&quot;/&gt;&lt;wsp:rsid wsp:val=&quot;0016733A&quot;/&gt;&lt;wsp:rsid wsp:val=&quot;001679DC&quot;/&gt;&lt;wsp:rsid wsp:val=&quot;00167AD0&quot;/&gt;&lt;wsp:rsid wsp:val=&quot;00171430&quot;/&gt;&lt;wsp:rsid wsp:val=&quot;00172401&quot;/&gt;&lt;wsp:rsid wsp:val=&quot;00172572&quot;/&gt;&lt;wsp:rsid wsp:val=&quot;00172F0A&quot;/&gt;&lt;wsp:rsid wsp:val=&quot;00172F4C&quot;/&gt;&lt;wsp:rsid wsp:val=&quot;00175205&quot;/&gt;&lt;wsp:rsid wsp:val=&quot;001774B1&quot;/&gt;&lt;wsp:rsid wsp:val=&quot;00177B4A&quot;/&gt;&lt;wsp:rsid wsp:val=&quot;0018367F&quot;/&gt;&lt;wsp:rsid wsp:val=&quot;00183C0F&quot;/&gt;&lt;wsp:rsid wsp:val=&quot;00185D25&quot;/&gt;&lt;wsp:rsid wsp:val=&quot;001873D2&quot;/&gt;&lt;wsp:rsid wsp:val=&quot;0019016D&quot;/&gt;&lt;wsp:rsid wsp:val=&quot;0019108E&quot;/&gt;&lt;wsp:rsid wsp:val=&quot;001910EB&quot;/&gt;&lt;wsp:rsid wsp:val=&quot;001916C6&quot;/&gt;&lt;wsp:rsid wsp:val=&quot;00191B64&quot;/&gt;&lt;wsp:rsid wsp:val=&quot;0019214B&quot;/&gt;&lt;wsp:rsid wsp:val=&quot;00192A2D&quot;/&gt;&lt;wsp:rsid wsp:val=&quot;00193742&quot;/&gt;&lt;wsp:rsid wsp:val=&quot;00193A8B&quot;/&gt;&lt;wsp:rsid wsp:val=&quot;00196E2A&quot;/&gt;&lt;wsp:rsid wsp:val=&quot;00197FB3&quot;/&gt;&lt;wsp:rsid wsp:val=&quot;001A0095&quot;/&gt;&lt;wsp:rsid wsp:val=&quot;001A018C&quot;/&gt;&lt;wsp:rsid wsp:val=&quot;001A1972&quot;/&gt;&lt;wsp:rsid wsp:val=&quot;001A26F3&quot;/&gt;&lt;wsp:rsid wsp:val=&quot;001A3A52&quot;/&gt;&lt;wsp:rsid wsp:val=&quot;001A5596&quot;/&gt;&lt;wsp:rsid wsp:val=&quot;001A581B&quot;/&gt;&lt;wsp:rsid wsp:val=&quot;001A5C74&quot;/&gt;&lt;wsp:rsid wsp:val=&quot;001A5CA5&quot;/&gt;&lt;wsp:rsid wsp:val=&quot;001A6E5E&quot;/&gt;&lt;wsp:rsid wsp:val=&quot;001A717A&quot;/&gt;&lt;wsp:rsid wsp:val=&quot;001A7265&quot;/&gt;&lt;wsp:rsid wsp:val=&quot;001A7B8D&quot;/&gt;&lt;wsp:rsid wsp:val=&quot;001A7E63&quot;/&gt;&lt;wsp:rsid wsp:val=&quot;001B0085&quot;/&gt;&lt;wsp:rsid wsp:val=&quot;001B1B8D&quot;/&gt;&lt;wsp:rsid wsp:val=&quot;001B1F70&quot;/&gt;&lt;wsp:rsid wsp:val=&quot;001B25A5&quot;/&gt;&lt;wsp:rsid wsp:val=&quot;001B2BA8&quot;/&gt;&lt;wsp:rsid wsp:val=&quot;001B50BD&quot;/&gt;&lt;wsp:rsid wsp:val=&quot;001B52F8&quot;/&gt;&lt;wsp:rsid wsp:val=&quot;001B5DDC&quot;/&gt;&lt;wsp:rsid wsp:val=&quot;001B755C&quot;/&gt;&lt;wsp:rsid wsp:val=&quot;001C0920&quot;/&gt;&lt;wsp:rsid wsp:val=&quot;001C1480&quot;/&gt;&lt;wsp:rsid wsp:val=&quot;001C1736&quot;/&gt;&lt;wsp:rsid wsp:val=&quot;001C20A5&quot;/&gt;&lt;wsp:rsid wsp:val=&quot;001C290B&quot;/&gt;&lt;wsp:rsid wsp:val=&quot;001C3A0D&quot;/&gt;&lt;wsp:rsid wsp:val=&quot;001C45F0&quot;/&gt;&lt;wsp:rsid wsp:val=&quot;001C6350&quot;/&gt;&lt;wsp:rsid wsp:val=&quot;001C67E3&quot;/&gt;&lt;wsp:rsid wsp:val=&quot;001C6E45&quot;/&gt;&lt;wsp:rsid wsp:val=&quot;001C777A&quot;/&gt;&lt;wsp:rsid wsp:val=&quot;001D047E&quot;/&gt;&lt;wsp:rsid wsp:val=&quot;001D081E&quot;/&gt;&lt;wsp:rsid wsp:val=&quot;001D0838&quot;/&gt;&lt;wsp:rsid wsp:val=&quot;001D0A77&quot;/&gt;&lt;wsp:rsid wsp:val=&quot;001D0EC1&quot;/&gt;&lt;wsp:rsid wsp:val=&quot;001D3440&quot;/&gt;&lt;wsp:rsid wsp:val=&quot;001D5301&quot;/&gt;&lt;wsp:rsid wsp:val=&quot;001D6606&quot;/&gt;&lt;wsp:rsid wsp:val=&quot;001D6CD5&quot;/&gt;&lt;wsp:rsid wsp:val=&quot;001D6FB8&quot;/&gt;&lt;wsp:rsid wsp:val=&quot;001D7950&quot;/&gt;&lt;wsp:rsid wsp:val=&quot;001E08A4&quot;/&gt;&lt;wsp:rsid wsp:val=&quot;001E128E&quot;/&gt;&lt;wsp:rsid wsp:val=&quot;001E17A1&quot;/&gt;&lt;wsp:rsid wsp:val=&quot;001E2F44&quot;/&gt;&lt;wsp:rsid wsp:val=&quot;001E30B2&quot;/&gt;&lt;wsp:rsid wsp:val=&quot;001E3279&quot;/&gt;&lt;wsp:rsid wsp:val=&quot;001E3E89&quot;/&gt;&lt;wsp:rsid wsp:val=&quot;001E42C4&quot;/&gt;&lt;wsp:rsid wsp:val=&quot;001E461F&quot;/&gt;&lt;wsp:rsid wsp:val=&quot;001E5821&quot;/&gt;&lt;wsp:rsid wsp:val=&quot;001E5E98&quot;/&gt;&lt;wsp:rsid wsp:val=&quot;001E7467&quot;/&gt;&lt;wsp:rsid wsp:val=&quot;001F09DB&quot;/&gt;&lt;wsp:rsid wsp:val=&quot;001F0B3E&quot;/&gt;&lt;wsp:rsid wsp:val=&quot;001F1A1C&quot;/&gt;&lt;wsp:rsid wsp:val=&quot;001F1A81&quot;/&gt;&lt;wsp:rsid wsp:val=&quot;001F2A1B&quot;/&gt;&lt;wsp:rsid wsp:val=&quot;001F339A&quot;/&gt;&lt;wsp:rsid wsp:val=&quot;001F3AAF&quot;/&gt;&lt;wsp:rsid wsp:val=&quot;001F4401&quot;/&gt;&lt;wsp:rsid wsp:val=&quot;001F531D&quot;/&gt;&lt;wsp:rsid wsp:val=&quot;001F56AD&quot;/&gt;&lt;wsp:rsid wsp:val=&quot;001F5F9E&quot;/&gt;&lt;wsp:rsid wsp:val=&quot;001F62CD&quot;/&gt;&lt;wsp:rsid wsp:val=&quot;001F6E1D&quot;/&gt;&lt;wsp:rsid wsp:val=&quot;001F7A51&quot;/&gt;&lt;wsp:rsid wsp:val=&quot;00200114&quot;/&gt;&lt;wsp:rsid wsp:val=&quot;00202547&quot;/&gt;&lt;wsp:rsid wsp:val=&quot;0020284C&quot;/&gt;&lt;wsp:rsid wsp:val=&quot;002031A3&quot;/&gt;&lt;wsp:rsid wsp:val=&quot;002048C5&quot;/&gt;&lt;wsp:rsid wsp:val=&quot;002049B5&quot;/&gt;&lt;wsp:rsid wsp:val=&quot;00205126&quot;/&gt;&lt;wsp:rsid wsp:val=&quot;002054AF&quot;/&gt;&lt;wsp:rsid wsp:val=&quot;002069AB&quot;/&gt;&lt;wsp:rsid wsp:val=&quot;0021064F&quot;/&gt;&lt;wsp:rsid wsp:val=&quot;00210F97&quot;/&gt;&lt;wsp:rsid wsp:val=&quot;002143D5&quot;/&gt;&lt;wsp:rsid wsp:val=&quot;00214737&quot;/&gt;&lt;wsp:rsid wsp:val=&quot;00214AE9&quot;/&gt;&lt;wsp:rsid wsp:val=&quot;00214C21&quot;/&gt;&lt;wsp:rsid wsp:val=&quot;00214CBA&quot;/&gt;&lt;wsp:rsid wsp:val=&quot;00215913&quot;/&gt;&lt;wsp:rsid wsp:val=&quot;00216726&quot;/&gt;&lt;wsp:rsid wsp:val=&quot;002169F3&quot;/&gt;&lt;wsp:rsid wsp:val=&quot;0021704F&quot;/&gt;&lt;wsp:rsid wsp:val=&quot;002175FC&quot;/&gt;&lt;wsp:rsid wsp:val=&quot;002206F6&quot;/&gt;&lt;wsp:rsid wsp:val=&quot;00220B1A&quot;/&gt;&lt;wsp:rsid wsp:val=&quot;00221715&quot;/&gt;&lt;wsp:rsid wsp:val=&quot;00221927&quot;/&gt;&lt;wsp:rsid wsp:val=&quot;0022225B&quot;/&gt;&lt;wsp:rsid wsp:val=&quot;002225CE&quot;/&gt;&lt;wsp:rsid wsp:val=&quot;00222F51&quot;/&gt;&lt;wsp:rsid wsp:val=&quot;00223A7A&quot;/&gt;&lt;wsp:rsid wsp:val=&quot;00227340&quot;/&gt;&lt;wsp:rsid wsp:val=&quot;002275C6&quot;/&gt;&lt;wsp:rsid wsp:val=&quot;002313B6&quot;/&gt;&lt;wsp:rsid wsp:val=&quot;002322A3&quot;/&gt;&lt;wsp:rsid wsp:val=&quot;00232642&quot;/&gt;&lt;wsp:rsid wsp:val=&quot;00233736&quot;/&gt;&lt;wsp:rsid wsp:val=&quot;00234497&quot;/&gt;&lt;wsp:rsid wsp:val=&quot;002344D7&quot;/&gt;&lt;wsp:rsid wsp:val=&quot;00234587&quot;/&gt;&lt;wsp:rsid wsp:val=&quot;00235031&quot;/&gt;&lt;wsp:rsid wsp:val=&quot;00235121&quot;/&gt;&lt;wsp:rsid wsp:val=&quot;00235496&quot;/&gt;&lt;wsp:rsid wsp:val=&quot;0023591D&quot;/&gt;&lt;wsp:rsid wsp:val=&quot;00237D7A&quot;/&gt;&lt;wsp:rsid wsp:val=&quot;00240263&quot;/&gt;&lt;wsp:rsid wsp:val=&quot;00240582&quot;/&gt;&lt;wsp:rsid wsp:val=&quot;00240D6F&quot;/&gt;&lt;wsp:rsid wsp:val=&quot;002410A6&quot;/&gt;&lt;wsp:rsid wsp:val=&quot;00242005&quot;/&gt;&lt;wsp:rsid wsp:val=&quot;00242177&quot;/&gt;&lt;wsp:rsid wsp:val=&quot;002421F8&quot;/&gt;&lt;wsp:rsid wsp:val=&quot;002435F4&quot;/&gt;&lt;wsp:rsid wsp:val=&quot;00243A36&quot;/&gt;&lt;wsp:rsid wsp:val=&quot;00243BAF&quot;/&gt;&lt;wsp:rsid wsp:val=&quot;0024531A&quot;/&gt;&lt;wsp:rsid wsp:val=&quot;00245C9D&quot;/&gt;&lt;wsp:rsid wsp:val=&quot;00245D36&quot;/&gt;&lt;wsp:rsid wsp:val=&quot;00245E1F&quot;/&gt;&lt;wsp:rsid wsp:val=&quot;00245EF6&quot;/&gt;&lt;wsp:rsid wsp:val=&quot;002460D6&quot;/&gt;&lt;wsp:rsid wsp:val=&quot;00246770&quot;/&gt;&lt;wsp:rsid wsp:val=&quot;0024718C&quot;/&gt;&lt;wsp:rsid wsp:val=&quot;002476CB&quot;/&gt;&lt;wsp:rsid wsp:val=&quot;00251FFD&quot;/&gt;&lt;wsp:rsid wsp:val=&quot;00252503&quot;/&gt;&lt;wsp:rsid wsp:val=&quot;0025273D&quot;/&gt;&lt;wsp:rsid wsp:val=&quot;00253ED6&quot;/&gt;&lt;wsp:rsid wsp:val=&quot;00254796&quot;/&gt;&lt;wsp:rsid wsp:val=&quot;002549BE&quot;/&gt;&lt;wsp:rsid wsp:val=&quot;00254EE7&quot;/&gt;&lt;wsp:rsid wsp:val=&quot;002550F7&quot;/&gt;&lt;wsp:rsid wsp:val=&quot;002569CB&quot;/&gt;&lt;wsp:rsid wsp:val=&quot;00257338&quot;/&gt;&lt;wsp:rsid wsp:val=&quot;00257427&quot;/&gt;&lt;wsp:rsid wsp:val=&quot;0025744B&quot;/&gt;&lt;wsp:rsid wsp:val=&quot;00257C57&quot;/&gt;&lt;wsp:rsid wsp:val=&quot;00260279&quot;/&gt;&lt;wsp:rsid wsp:val=&quot;002604C1&quot;/&gt;&lt;wsp:rsid wsp:val=&quot;00260538&quot;/&gt;&lt;wsp:rsid wsp:val=&quot;00260D0A&quot;/&gt;&lt;wsp:rsid wsp:val=&quot;00262177&quot;/&gt;&lt;wsp:rsid wsp:val=&quot;00262BF8&quot;/&gt;&lt;wsp:rsid wsp:val=&quot;0026364A&quot;/&gt;&lt;wsp:rsid wsp:val=&quot;00264B7E&quot;/&gt;&lt;wsp:rsid wsp:val=&quot;00265568&quot;/&gt;&lt;wsp:rsid wsp:val=&quot;00266219&quot;/&gt;&lt;wsp:rsid wsp:val=&quot;0026645C&quot;/&gt;&lt;wsp:rsid wsp:val=&quot;002666B9&quot;/&gt;&lt;wsp:rsid wsp:val=&quot;002666CC&quot;/&gt;&lt;wsp:rsid wsp:val=&quot;002677D6&quot;/&gt;&lt;wsp:rsid wsp:val=&quot;00270172&quot;/&gt;&lt;wsp:rsid wsp:val=&quot;00270802&quot;/&gt;&lt;wsp:rsid wsp:val=&quot;00270FE3&quot;/&gt;&lt;wsp:rsid wsp:val=&quot;002715FB&quot;/&gt;&lt;wsp:rsid wsp:val=&quot;0027304F&quot;/&gt;&lt;wsp:rsid wsp:val=&quot;002732D6&quot;/&gt;&lt;wsp:rsid wsp:val=&quot;00273916&quot;/&gt;&lt;wsp:rsid wsp:val=&quot;00274080&quot;/&gt;&lt;wsp:rsid wsp:val=&quot;00275000&quot;/&gt;&lt;wsp:rsid wsp:val=&quot;0027520C&quot;/&gt;&lt;wsp:rsid wsp:val=&quot;002764BD&quot;/&gt;&lt;wsp:rsid wsp:val=&quot;00276B4E&quot;/&gt;&lt;wsp:rsid wsp:val=&quot;002772BC&quot;/&gt;&lt;wsp:rsid wsp:val=&quot;00277A25&quot;/&gt;&lt;wsp:rsid wsp:val=&quot;0028000E&quot;/&gt;&lt;wsp:rsid wsp:val=&quot;00280889&quot;/&gt;&lt;wsp:rsid wsp:val=&quot;00281B3A&quot;/&gt;&lt;wsp:rsid wsp:val=&quot;00282755&quot;/&gt;&lt;wsp:rsid wsp:val=&quot;00282A5A&quot;/&gt;&lt;wsp:rsid wsp:val=&quot;00282D41&quot;/&gt;&lt;wsp:rsid wsp:val=&quot;00282D61&quot;/&gt;&lt;wsp:rsid wsp:val=&quot;00283BAB&quot;/&gt;&lt;wsp:rsid wsp:val=&quot;00283FD5&quot;/&gt;&lt;wsp:rsid wsp:val=&quot;002857BA&quot;/&gt;&lt;wsp:rsid wsp:val=&quot;0028643E&quot;/&gt;&lt;wsp:rsid wsp:val=&quot;00286759&quot;/&gt;&lt;wsp:rsid wsp:val=&quot;002873DA&quot;/&gt;&lt;wsp:rsid wsp:val=&quot;00290F19&quot;/&gt;&lt;wsp:rsid wsp:val=&quot;00292312&quot;/&gt;&lt;wsp:rsid wsp:val=&quot;0029231B&quot;/&gt;&lt;wsp:rsid wsp:val=&quot;00293998&quot;/&gt;&lt;wsp:rsid wsp:val=&quot;00295FB0&quot;/&gt;&lt;wsp:rsid wsp:val=&quot;0029646D&quot;/&gt;&lt;wsp:rsid wsp:val=&quot;00296E97&quot;/&gt;&lt;wsp:rsid wsp:val=&quot;002978EC&quot;/&gt;&lt;wsp:rsid wsp:val=&quot;00297925&quot;/&gt;&lt;wsp:rsid wsp:val=&quot;002A0A7E&quot;/&gt;&lt;wsp:rsid wsp:val=&quot;002A0E07&quot;/&gt;&lt;wsp:rsid wsp:val=&quot;002A1D0E&quot;/&gt;&lt;wsp:rsid wsp:val=&quot;002A2CC2&quot;/&gt;&lt;wsp:rsid wsp:val=&quot;002A2D71&quot;/&gt;&lt;wsp:rsid wsp:val=&quot;002A3B7E&quot;/&gt;&lt;wsp:rsid wsp:val=&quot;002A4724&quot;/&gt;&lt;wsp:rsid wsp:val=&quot;002A4E8F&quot;/&gt;&lt;wsp:rsid wsp:val=&quot;002A56F9&quot;/&gt;&lt;wsp:rsid wsp:val=&quot;002A6069&quot;/&gt;&lt;wsp:rsid wsp:val=&quot;002A654A&quot;/&gt;&lt;wsp:rsid wsp:val=&quot;002A77B9&quot;/&gt;&lt;wsp:rsid wsp:val=&quot;002B0590&quot;/&gt;&lt;wsp:rsid wsp:val=&quot;002B3A99&quot;/&gt;&lt;wsp:rsid wsp:val=&quot;002B3F77&quot;/&gt;&lt;wsp:rsid wsp:val=&quot;002B4274&quot;/&gt;&lt;wsp:rsid wsp:val=&quot;002B428A&quot;/&gt;&lt;wsp:rsid wsp:val=&quot;002B4AE6&quot;/&gt;&lt;wsp:rsid wsp:val=&quot;002B5F10&quot;/&gt;&lt;wsp:rsid wsp:val=&quot;002B60E9&quot;/&gt;&lt;wsp:rsid wsp:val=&quot;002B64F5&quot;/&gt;&lt;wsp:rsid wsp:val=&quot;002B78C4&quot;/&gt;&lt;wsp:rsid wsp:val=&quot;002B7B67&quot;/&gt;&lt;wsp:rsid wsp:val=&quot;002C0A39&quot;/&gt;&lt;wsp:rsid wsp:val=&quot;002C2F1A&quot;/&gt;&lt;wsp:rsid wsp:val=&quot;002C37F1&quot;/&gt;&lt;wsp:rsid wsp:val=&quot;002C3A74&quot;/&gt;&lt;wsp:rsid wsp:val=&quot;002C4A0B&quot;/&gt;&lt;wsp:rsid wsp:val=&quot;002C4F40&quot;/&gt;&lt;wsp:rsid wsp:val=&quot;002C5281&quot;/&gt;&lt;wsp:rsid wsp:val=&quot;002C56F0&quot;/&gt;&lt;wsp:rsid wsp:val=&quot;002C582D&quot;/&gt;&lt;wsp:rsid wsp:val=&quot;002C5D48&quot;/&gt;&lt;wsp:rsid wsp:val=&quot;002D13D7&quot;/&gt;&lt;wsp:rsid wsp:val=&quot;002D1968&quot;/&gt;&lt;wsp:rsid wsp:val=&quot;002D27D5&quot;/&gt;&lt;wsp:rsid wsp:val=&quot;002D4110&quot;/&gt;&lt;wsp:rsid wsp:val=&quot;002D4431&quot;/&gt;&lt;wsp:rsid wsp:val=&quot;002D5946&quot;/&gt;&lt;wsp:rsid wsp:val=&quot;002D5F40&quot;/&gt;&lt;wsp:rsid wsp:val=&quot;002D5FBE&quot;/&gt;&lt;wsp:rsid wsp:val=&quot;002D7D84&quot;/&gt;&lt;wsp:rsid wsp:val=&quot;002E06A9&quot;/&gt;&lt;wsp:rsid wsp:val=&quot;002E073D&quot;/&gt;&lt;wsp:rsid wsp:val=&quot;002E1CFC&quot;/&gt;&lt;wsp:rsid wsp:val=&quot;002E3138&quot;/&gt;&lt;wsp:rsid wsp:val=&quot;002E585E&quot;/&gt;&lt;wsp:rsid wsp:val=&quot;002E5A26&quot;/&gt;&lt;wsp:rsid wsp:val=&quot;002E7317&quot;/&gt;&lt;wsp:rsid wsp:val=&quot;002E7EEE&quot;/&gt;&lt;wsp:rsid wsp:val=&quot;002F0B7D&quot;/&gt;&lt;wsp:rsid wsp:val=&quot;002F1652&quot;/&gt;&lt;wsp:rsid wsp:val=&quot;002F3446&quot;/&gt;&lt;wsp:rsid wsp:val=&quot;002F4007&quot;/&gt;&lt;wsp:rsid wsp:val=&quot;002F48BA&quot;/&gt;&lt;wsp:rsid wsp:val=&quot;002F57AA&quot;/&gt;&lt;wsp:rsid wsp:val=&quot;002F61E2&quot;/&gt;&lt;wsp:rsid wsp:val=&quot;002F6E06&quot;/&gt;&lt;wsp:rsid wsp:val=&quot;002F79B9&quot;/&gt;&lt;wsp:rsid wsp:val=&quot;002F7F8D&quot;/&gt;&lt;wsp:rsid wsp:val=&quot;0030184C&quot;/&gt;&lt;wsp:rsid wsp:val=&quot;00301BC2&quot;/&gt;&lt;wsp:rsid wsp:val=&quot;00302F7A&quot;/&gt;&lt;wsp:rsid wsp:val=&quot;00303332&quot;/&gt;&lt;wsp:rsid wsp:val=&quot;00303D87&quot;/&gt;&lt;wsp:rsid wsp:val=&quot;0030706C&quot;/&gt;&lt;wsp:rsid wsp:val=&quot;00310DF4&quot;/&gt;&lt;wsp:rsid wsp:val=&quot;0031101A&quot;/&gt;&lt;wsp:rsid wsp:val=&quot;0031283E&quot;/&gt;&lt;wsp:rsid wsp:val=&quot;0031310C&quot;/&gt;&lt;wsp:rsid wsp:val=&quot;00313A45&quot;/&gt;&lt;wsp:rsid wsp:val=&quot;00313E49&quot;/&gt;&lt;wsp:rsid wsp:val=&quot;00314123&quot;/&gt;&lt;wsp:rsid wsp:val=&quot;003142ED&quot;/&gt;&lt;wsp:rsid wsp:val=&quot;003170E0&quot;/&gt;&lt;wsp:rsid wsp:val=&quot;00317888&quot;/&gt;&lt;wsp:rsid wsp:val=&quot;00317D2E&quot;/&gt;&lt;wsp:rsid wsp:val=&quot;003207DB&quot;/&gt;&lt;wsp:rsid wsp:val=&quot;003219A7&quot;/&gt;&lt;wsp:rsid wsp:val=&quot;00321A63&quot;/&gt;&lt;wsp:rsid wsp:val=&quot;00322808&quot;/&gt;&lt;wsp:rsid wsp:val=&quot;00323791&quot;/&gt;&lt;wsp:rsid wsp:val=&quot;00323EDF&quot;/&gt;&lt;wsp:rsid wsp:val=&quot;0032417A&quot;/&gt;&lt;wsp:rsid wsp:val=&quot;003244B0&quot;/&gt;&lt;wsp:rsid wsp:val=&quot;00324B17&quot;/&gt;&lt;wsp:rsid wsp:val=&quot;003257DA&quot;/&gt;&lt;wsp:rsid wsp:val=&quot;003263BD&quot;/&gt;&lt;wsp:rsid wsp:val=&quot;003263CC&quot;/&gt;&lt;wsp:rsid wsp:val=&quot;00326638&quot;/&gt;&lt;wsp:rsid wsp:val=&quot;0032678E&quot;/&gt;&lt;wsp:rsid wsp:val=&quot;003277BE&quot;/&gt;&lt;wsp:rsid wsp:val=&quot;00327ACB&quot;/&gt;&lt;wsp:rsid wsp:val=&quot;00330E85&quot;/&gt;&lt;wsp:rsid wsp:val=&quot;00331054&quot;/&gt;&lt;wsp:rsid wsp:val=&quot;003314C1&quot;/&gt;&lt;wsp:rsid wsp:val=&quot;003317B3&quot;/&gt;&lt;wsp:rsid wsp:val=&quot;00331F83&quot;/&gt;&lt;wsp:rsid wsp:val=&quot;003332C5&quot;/&gt;&lt;wsp:rsid wsp:val=&quot;00334A0A&quot;/&gt;&lt;wsp:rsid wsp:val=&quot;00340397&quot;/&gt;&lt;wsp:rsid wsp:val=&quot;0034088C&quot;/&gt;&lt;wsp:rsid wsp:val=&quot;003420D3&quot;/&gt;&lt;wsp:rsid wsp:val=&quot;00342FDB&quot;/&gt;&lt;wsp:rsid wsp:val=&quot;00343022&quot;/&gt;&lt;wsp:rsid wsp:val=&quot;00343D1A&quot;/&gt;&lt;wsp:rsid wsp:val=&quot;00344FF9&quot;/&gt;&lt;wsp:rsid wsp:val=&quot;003465E9&quot;/&gt;&lt;wsp:rsid wsp:val=&quot;00346636&quot;/&gt;&lt;wsp:rsid wsp:val=&quot;00346BFC&quot;/&gt;&lt;wsp:rsid wsp:val=&quot;00347631&quot;/&gt;&lt;wsp:rsid wsp:val=&quot;00350446&quot;/&gt;&lt;wsp:rsid wsp:val=&quot;003506D2&quot;/&gt;&lt;wsp:rsid wsp:val=&quot;003507FE&quot;/&gt;&lt;wsp:rsid wsp:val=&quot;003509C3&quot;/&gt;&lt;wsp:rsid wsp:val=&quot;00351A52&quot;/&gt;&lt;wsp:rsid wsp:val=&quot;00351BF3&quot;/&gt;&lt;wsp:rsid wsp:val=&quot;003521CC&quot;/&gt;&lt;wsp:rsid wsp:val=&quot;00352E2D&quot;/&gt;&lt;wsp:rsid wsp:val=&quot;003537B3&quot;/&gt;&lt;wsp:rsid wsp:val=&quot;00353D32&quot;/&gt;&lt;wsp:rsid wsp:val=&quot;0035408F&quot;/&gt;&lt;wsp:rsid wsp:val=&quot;003540E8&quot;/&gt;&lt;wsp:rsid wsp:val=&quot;0035503F&quot;/&gt;&lt;wsp:rsid wsp:val=&quot;003550EF&quot;/&gt;&lt;wsp:rsid wsp:val=&quot;003571BA&quot;/&gt;&lt;wsp:rsid wsp:val=&quot;00357518&quot;/&gt;&lt;wsp:rsid wsp:val=&quot;003578D8&quot;/&gt;&lt;wsp:rsid wsp:val=&quot;00360142&quot;/&gt;&lt;wsp:rsid wsp:val=&quot;00363716&quot;/&gt;&lt;wsp:rsid wsp:val=&quot;003639E9&quot;/&gt;&lt;wsp:rsid wsp:val=&quot;003644C8&quot;/&gt;&lt;wsp:rsid wsp:val=&quot;00365D36&quot;/&gt;&lt;wsp:rsid wsp:val=&quot;00366A05&quot;/&gt;&lt;wsp:rsid wsp:val=&quot;0036750A&quot;/&gt;&lt;wsp:rsid wsp:val=&quot;00370770&quot;/&gt;&lt;wsp:rsid wsp:val=&quot;00370909&quot;/&gt;&lt;wsp:rsid wsp:val=&quot;00370FD1&quot;/&gt;&lt;wsp:rsid wsp:val=&quot;0037341F&quot;/&gt;&lt;wsp:rsid wsp:val=&quot;00374057&quot;/&gt;&lt;wsp:rsid wsp:val=&quot;0037434F&quot;/&gt;&lt;wsp:rsid wsp:val=&quot;003764B7&quot;/&gt;&lt;wsp:rsid wsp:val=&quot;00377AE0&quot;/&gt;&lt;wsp:rsid wsp:val=&quot;00377B22&quot;/&gt;&lt;wsp:rsid wsp:val=&quot;00380A43&quot;/&gt;&lt;wsp:rsid wsp:val=&quot;00380AD2&quot;/&gt;&lt;wsp:rsid wsp:val=&quot;00381804&quot;/&gt;&lt;wsp:rsid wsp:val=&quot;00381859&quot;/&gt;&lt;wsp:rsid wsp:val=&quot;00382B61&quot;/&gt;&lt;wsp:rsid wsp:val=&quot;00382F7E&quot;/&gt;&lt;wsp:rsid wsp:val=&quot;00383A42&quot;/&gt;&lt;wsp:rsid wsp:val=&quot;00384D13&quot;/&gt;&lt;wsp:rsid wsp:val=&quot;003851CC&quot;/&gt;&lt;wsp:rsid wsp:val=&quot;00385D65&quot;/&gt;&lt;wsp:rsid wsp:val=&quot;00385F07&quot;/&gt;&lt;wsp:rsid wsp:val=&quot;00386053&quot;/&gt;&lt;wsp:rsid wsp:val=&quot;00386E2B&quot;/&gt;&lt;wsp:rsid wsp:val=&quot;00387509&quot;/&gt;&lt;wsp:rsid wsp:val=&quot;0039121B&quot;/&gt;&lt;wsp:rsid wsp:val=&quot;00391507&quot;/&gt;&lt;wsp:rsid wsp:val=&quot;00391B1A&quot;/&gt;&lt;wsp:rsid wsp:val=&quot;0039272D&quot;/&gt;&lt;wsp:rsid wsp:val=&quot;003932E9&quot;/&gt;&lt;wsp:rsid wsp:val=&quot;0039336D&quot;/&gt;&lt;wsp:rsid wsp:val=&quot;00393FA9&quot;/&gt;&lt;wsp:rsid wsp:val=&quot;00394873&quot;/&gt;&lt;wsp:rsid wsp:val=&quot;00394AF3&quot;/&gt;&lt;wsp:rsid wsp:val=&quot;00394F1C&quot;/&gt;&lt;wsp:rsid wsp:val=&quot;003950C1&quot;/&gt;&lt;wsp:rsid wsp:val=&quot;00395C88&quot;/&gt;&lt;wsp:rsid wsp:val=&quot;003967DC&quot;/&gt;&lt;wsp:rsid wsp:val=&quot;003970EA&quot;/&gt;&lt;wsp:rsid wsp:val=&quot;0039743F&quot;/&gt;&lt;wsp:rsid wsp:val=&quot;00397738&quot;/&gt;&lt;wsp:rsid wsp:val=&quot;00397FA1&quot;/&gt;&lt;wsp:rsid wsp:val=&quot;003A0212&quot;/&gt;&lt;wsp:rsid wsp:val=&quot;003A09E0&quot;/&gt;&lt;wsp:rsid wsp:val=&quot;003A25E1&quot;/&gt;&lt;wsp:rsid wsp:val=&quot;003A360B&quot;/&gt;&lt;wsp:rsid wsp:val=&quot;003A4833&quot;/&gt;&lt;wsp:rsid wsp:val=&quot;003A4B29&quot;/&gt;&lt;wsp:rsid wsp:val=&quot;003A4D06&quot;/&gt;&lt;wsp:rsid wsp:val=&quot;003A572E&quot;/&gt;&lt;wsp:rsid wsp:val=&quot;003A5779&quot;/&gt;&lt;wsp:rsid wsp:val=&quot;003A6725&quot;/&gt;&lt;wsp:rsid wsp:val=&quot;003A6FFE&quot;/&gt;&lt;wsp:rsid wsp:val=&quot;003A79F4&quot;/&gt;&lt;wsp:rsid wsp:val=&quot;003B158C&quot;/&gt;&lt;wsp:rsid wsp:val=&quot;003B189D&quot;/&gt;&lt;wsp:rsid wsp:val=&quot;003B2833&quot;/&gt;&lt;wsp:rsid wsp:val=&quot;003B3B90&quot;/&gt;&lt;wsp:rsid wsp:val=&quot;003B51C5&quot;/&gt;&lt;wsp:rsid wsp:val=&quot;003B54F9&quot;/&gt;&lt;wsp:rsid wsp:val=&quot;003B609A&quot;/&gt;&lt;wsp:rsid wsp:val=&quot;003B60E9&quot;/&gt;&lt;wsp:rsid wsp:val=&quot;003B63DC&quot;/&gt;&lt;wsp:rsid wsp:val=&quot;003B693C&quot;/&gt;&lt;wsp:rsid wsp:val=&quot;003B7213&quot;/&gt;&lt;wsp:rsid wsp:val=&quot;003C0BE2&quot;/&gt;&lt;wsp:rsid wsp:val=&quot;003C1AF6&quot;/&gt;&lt;wsp:rsid wsp:val=&quot;003C1C40&quot;/&gt;&lt;wsp:rsid wsp:val=&quot;003C2147&quot;/&gt;&lt;wsp:rsid wsp:val=&quot;003C2EB8&quot;/&gt;&lt;wsp:rsid wsp:val=&quot;003C3B77&quot;/&gt;&lt;wsp:rsid wsp:val=&quot;003C40E6&quot;/&gt;&lt;wsp:rsid wsp:val=&quot;003C50BE&quot;/&gt;&lt;wsp:rsid wsp:val=&quot;003D0ACC&quot;/&gt;&lt;wsp:rsid wsp:val=&quot;003D0B08&quot;/&gt;&lt;wsp:rsid wsp:val=&quot;003D0B6D&quot;/&gt;&lt;wsp:rsid wsp:val=&quot;003D0F0E&quot;/&gt;&lt;wsp:rsid wsp:val=&quot;003D1354&quot;/&gt;&lt;wsp:rsid wsp:val=&quot;003D14C5&quot;/&gt;&lt;wsp:rsid wsp:val=&quot;003D1A4E&quot;/&gt;&lt;wsp:rsid wsp:val=&quot;003D1B55&quot;/&gt;&lt;wsp:rsid wsp:val=&quot;003D274E&quot;/&gt;&lt;wsp:rsid wsp:val=&quot;003D284F&quot;/&gt;&lt;wsp:rsid wsp:val=&quot;003D2D27&quot;/&gt;&lt;wsp:rsid wsp:val=&quot;003D3A93&quot;/&gt;&lt;wsp:rsid wsp:val=&quot;003D4752&quot;/&gt;&lt;wsp:rsid wsp:val=&quot;003D4D51&quot;/&gt;&lt;wsp:rsid wsp:val=&quot;003D5C3E&quot;/&gt;&lt;wsp:rsid wsp:val=&quot;003D623F&quot;/&gt;&lt;wsp:rsid wsp:val=&quot;003D6CDC&quot;/&gt;&lt;wsp:rsid wsp:val=&quot;003D7EFC&quot;/&gt;&lt;wsp:rsid wsp:val=&quot;003E060F&quot;/&gt;&lt;wsp:rsid wsp:val=&quot;003E1A69&quot;/&gt;&lt;wsp:rsid wsp:val=&quot;003E1A78&quot;/&gt;&lt;wsp:rsid wsp:val=&quot;003E1B2E&quot;/&gt;&lt;wsp:rsid wsp:val=&quot;003E24D3&quot;/&gt;&lt;wsp:rsid wsp:val=&quot;003E30C8&quot;/&gt;&lt;wsp:rsid wsp:val=&quot;003E3136&quot;/&gt;&lt;wsp:rsid wsp:val=&quot;003E3454&quot;/&gt;&lt;wsp:rsid wsp:val=&quot;003E38F9&quot;/&gt;&lt;wsp:rsid wsp:val=&quot;003E4288&quot;/&gt;&lt;wsp:rsid wsp:val=&quot;003E4E57&quot;/&gt;&lt;wsp:rsid wsp:val=&quot;003E4F2E&quot;/&gt;&lt;wsp:rsid wsp:val=&quot;003E533C&quot;/&gt;&lt;wsp:rsid wsp:val=&quot;003E56E7&quot;/&gt;&lt;wsp:rsid wsp:val=&quot;003E612A&quot;/&gt;&lt;wsp:rsid wsp:val=&quot;003E6CDE&quot;/&gt;&lt;wsp:rsid wsp:val=&quot;003E6D6E&quot;/&gt;&lt;wsp:rsid wsp:val=&quot;003E70A8&quot;/&gt;&lt;wsp:rsid wsp:val=&quot;003E7A02&quot;/&gt;&lt;wsp:rsid wsp:val=&quot;003E7C6D&quot;/&gt;&lt;wsp:rsid wsp:val=&quot;003F16EF&quot;/&gt;&lt;wsp:rsid wsp:val=&quot;003F2B68&quot;/&gt;&lt;wsp:rsid wsp:val=&quot;003F35A4&quot;/&gt;&lt;wsp:rsid wsp:val=&quot;003F386C&quot;/&gt;&lt;wsp:rsid wsp:val=&quot;003F3AD4&quot;/&gt;&lt;wsp:rsid wsp:val=&quot;003F434C&quot;/&gt;&lt;wsp:rsid wsp:val=&quot;003F4E8E&quot;/&gt;&lt;wsp:rsid wsp:val=&quot;003F5510&quot;/&gt;&lt;wsp:rsid wsp:val=&quot;003F5BE8&quot;/&gt;&lt;wsp:rsid wsp:val=&quot;003F74AC&quot;/&gt;&lt;wsp:rsid wsp:val=&quot;003F7869&quot;/&gt;&lt;wsp:rsid wsp:val=&quot;00400A7B&quot;/&gt;&lt;wsp:rsid wsp:val=&quot;00400B8A&quot;/&gt;&lt;wsp:rsid wsp:val=&quot;004012C2&quot;/&gt;&lt;wsp:rsid wsp:val=&quot;00402008&quot;/&gt;&lt;wsp:rsid wsp:val=&quot;00402585&quot;/&gt;&lt;wsp:rsid wsp:val=&quot;00402987&quot;/&gt;&lt;wsp:rsid wsp:val=&quot;004032B0&quot;/&gt;&lt;wsp:rsid wsp:val=&quot;00403F02&quot;/&gt;&lt;wsp:rsid wsp:val=&quot;00404569&quot;/&gt;&lt;wsp:rsid wsp:val=&quot;00404587&quot;/&gt;&lt;wsp:rsid wsp:val=&quot;00404726&quot;/&gt;&lt;wsp:rsid wsp:val=&quot;00405D43&quot;/&gt;&lt;wsp:rsid wsp:val=&quot;004061FB&quot;/&gt;&lt;wsp:rsid wsp:val=&quot;00406210&quot;/&gt;&lt;wsp:rsid wsp:val=&quot;00406481&quot;/&gt;&lt;wsp:rsid wsp:val=&quot;004120C0&quot;/&gt;&lt;wsp:rsid wsp:val=&quot;00413635&quot;/&gt;&lt;wsp:rsid wsp:val=&quot;004145CD&quot;/&gt;&lt;wsp:rsid wsp:val=&quot;00416121&quot;/&gt;&lt;wsp:rsid wsp:val=&quot;00417486&quot;/&gt;&lt;wsp:rsid wsp:val=&quot;00417AB5&quot;/&gt;&lt;wsp:rsid wsp:val=&quot;004206D0&quot;/&gt;&lt;wsp:rsid wsp:val=&quot;00420D39&quot;/&gt;&lt;wsp:rsid wsp:val=&quot;004212FF&quot;/&gt;&lt;wsp:rsid wsp:val=&quot;004216B8&quot;/&gt;&lt;wsp:rsid wsp:val=&quot;00422094&quot;/&gt;&lt;wsp:rsid wsp:val=&quot;004231CE&quot;/&gt;&lt;wsp:rsid wsp:val=&quot;00423947&quot;/&gt;&lt;wsp:rsid wsp:val=&quot;004249D3&quot;/&gt;&lt;wsp:rsid wsp:val=&quot;00424FCD&quot;/&gt;&lt;wsp:rsid wsp:val=&quot;0042514F&quot;/&gt;&lt;wsp:rsid wsp:val=&quot;0042605F&quot;/&gt;&lt;wsp:rsid wsp:val=&quot;00430C6D&quot;/&gt;&lt;wsp:rsid wsp:val=&quot;0043112E&quot;/&gt;&lt;wsp:rsid wsp:val=&quot;00431536&quot;/&gt;&lt;wsp:rsid wsp:val=&quot;00431F04&quot;/&gt;&lt;wsp:rsid wsp:val=&quot;00432862&quot;/&gt;&lt;wsp:rsid wsp:val=&quot;004334C2&quot;/&gt;&lt;wsp:rsid wsp:val=&quot;004335F4&quot;/&gt;&lt;wsp:rsid wsp:val=&quot;0043486D&quot;/&gt;&lt;wsp:rsid wsp:val=&quot;00435771&quot;/&gt;&lt;wsp:rsid wsp:val=&quot;00435DBA&quot;/&gt;&lt;wsp:rsid wsp:val=&quot;00435F22&quot;/&gt;&lt;wsp:rsid wsp:val=&quot;00436C04&quot;/&gt;&lt;wsp:rsid wsp:val=&quot;004373B5&quot;/&gt;&lt;wsp:rsid wsp:val=&quot;00440990&quot;/&gt;&lt;wsp:rsid wsp:val=&quot;00441070&quot;/&gt;&lt;wsp:rsid wsp:val=&quot;004417FD&quot;/&gt;&lt;wsp:rsid wsp:val=&quot;004419C4&quot;/&gt;&lt;wsp:rsid wsp:val=&quot;00444014&quot;/&gt;&lt;wsp:rsid wsp:val=&quot;00444A86&quot;/&gt;&lt;wsp:rsid wsp:val=&quot;00444AAD&quot;/&gt;&lt;wsp:rsid wsp:val=&quot;004452E3&quot;/&gt;&lt;wsp:rsid wsp:val=&quot;00446DC6&quot;/&gt;&lt;wsp:rsid wsp:val=&quot;0044764C&quot;/&gt;&lt;wsp:rsid wsp:val=&quot;00447689&quot;/&gt;&lt;wsp:rsid wsp:val=&quot;00447BF7&quot;/&gt;&lt;wsp:rsid wsp:val=&quot;00450023&quot;/&gt;&lt;wsp:rsid wsp:val=&quot;004517FD&quot;/&gt;&lt;wsp:rsid wsp:val=&quot;00452229&quot;/&gt;&lt;wsp:rsid wsp:val=&quot;00456146&quot;/&gt;&lt;wsp:rsid wsp:val=&quot;004574FA&quot;/&gt;&lt;wsp:rsid wsp:val=&quot;004611F5&quot;/&gt;&lt;wsp:rsid wsp:val=&quot;0046229E&quot;/&gt;&lt;wsp:rsid wsp:val=&quot;0046269A&quot;/&gt;&lt;wsp:rsid wsp:val=&quot;00463A88&quot;/&gt;&lt;wsp:rsid wsp:val=&quot;004678DA&quot;/&gt;&lt;wsp:rsid wsp:val=&quot;004679D2&quot;/&gt;&lt;wsp:rsid wsp:val=&quot;00470342&quot;/&gt;&lt;wsp:rsid wsp:val=&quot;00470D0A&quot;/&gt;&lt;wsp:rsid wsp:val=&quot;00471498&quot;/&gt;&lt;wsp:rsid wsp:val=&quot;00472CE4&quot;/&gt;&lt;wsp:rsid wsp:val=&quot;0047399E&quot;/&gt;&lt;wsp:rsid wsp:val=&quot;00474109&quot;/&gt;&lt;wsp:rsid wsp:val=&quot;004744B5&quot;/&gt;&lt;wsp:rsid wsp:val=&quot;00474FE4&quot;/&gt;&lt;wsp:rsid wsp:val=&quot;0047533E&quot;/&gt;&lt;wsp:rsid wsp:val=&quot;004757A2&quot;/&gt;&lt;wsp:rsid wsp:val=&quot;00475DC4&quot;/&gt;&lt;wsp:rsid wsp:val=&quot;00475EE5&quot;/&gt;&lt;wsp:rsid wsp:val=&quot;00477187&quot;/&gt;&lt;wsp:rsid wsp:val=&quot;004774DA&quot;/&gt;&lt;wsp:rsid wsp:val=&quot;00477983&quot;/&gt;&lt;wsp:rsid wsp:val=&quot;004800C4&quot;/&gt;&lt;wsp:rsid wsp:val=&quot;00482239&quot;/&gt;&lt;wsp:rsid wsp:val=&quot;00482B9E&quot;/&gt;&lt;wsp:rsid wsp:val=&quot;00483178&quot;/&gt;&lt;wsp:rsid wsp:val=&quot;00483187&quot;/&gt;&lt;wsp:rsid wsp:val=&quot;0048350E&quot;/&gt;&lt;wsp:rsid wsp:val=&quot;00484AB6&quot;/&gt;&lt;wsp:rsid wsp:val=&quot;004865D1&quot;/&gt;&lt;wsp:rsid wsp:val=&quot;0048662D&quot;/&gt;&lt;wsp:rsid wsp:val=&quot;00486AC3&quot;/&gt;&lt;wsp:rsid wsp:val=&quot;004908BA&quot;/&gt;&lt;wsp:rsid wsp:val=&quot;0049186D&quot;/&gt;&lt;wsp:rsid wsp:val=&quot;00491E25&quot;/&gt;&lt;wsp:rsid wsp:val=&quot;00492D2B&quot;/&gt;&lt;wsp:rsid wsp:val=&quot;00493451&quot;/&gt;&lt;wsp:rsid wsp:val=&quot;00495972&quot;/&gt;&lt;wsp:rsid wsp:val=&quot;0049675B&quot;/&gt;&lt;wsp:rsid wsp:val=&quot;00497EC8&quot;/&gt;&lt;wsp:rsid wsp:val=&quot;004A00C2&quot;/&gt;&lt;wsp:rsid wsp:val=&quot;004A0124&quot;/&gt;&lt;wsp:rsid wsp:val=&quot;004A0475&quot;/&gt;&lt;wsp:rsid wsp:val=&quot;004A08A6&quot;/&gt;&lt;wsp:rsid wsp:val=&quot;004A1158&quot;/&gt;&lt;wsp:rsid wsp:val=&quot;004A1486&quot;/&gt;&lt;wsp:rsid wsp:val=&quot;004A1836&quot;/&gt;&lt;wsp:rsid wsp:val=&quot;004A279F&quot;/&gt;&lt;wsp:rsid wsp:val=&quot;004A2C40&quot;/&gt;&lt;wsp:rsid wsp:val=&quot;004A55E7&quot;/&gt;&lt;wsp:rsid wsp:val=&quot;004A579C&quot;/&gt;&lt;wsp:rsid wsp:val=&quot;004A7FF1&quot;/&gt;&lt;wsp:rsid wsp:val=&quot;004B0B9D&quot;/&gt;&lt;wsp:rsid wsp:val=&quot;004B1B88&quot;/&gt;&lt;wsp:rsid wsp:val=&quot;004B2AEE&quot;/&gt;&lt;wsp:rsid wsp:val=&quot;004B2E1C&quot;/&gt;&lt;wsp:rsid wsp:val=&quot;004B3375&quot;/&gt;&lt;wsp:rsid wsp:val=&quot;004B3A2D&quot;/&gt;&lt;wsp:rsid wsp:val=&quot;004B3E46&quot;/&gt;&lt;wsp:rsid wsp:val=&quot;004B5DA6&quot;/&gt;&lt;wsp:rsid wsp:val=&quot;004B5E90&quot;/&gt;&lt;wsp:rsid wsp:val=&quot;004B70AC&quot;/&gt;&lt;wsp:rsid wsp:val=&quot;004B7701&quot;/&gt;&lt;wsp:rsid wsp:val=&quot;004B78B4&quot;/&gt;&lt;wsp:rsid wsp:val=&quot;004B7C8F&quot;/&gt;&lt;wsp:rsid wsp:val=&quot;004C03BF&quot;/&gt;&lt;wsp:rsid wsp:val=&quot;004C094F&quot;/&gt;&lt;wsp:rsid wsp:val=&quot;004C15AA&quot;/&gt;&lt;wsp:rsid wsp:val=&quot;004C20AE&quot;/&gt;&lt;wsp:rsid wsp:val=&quot;004C2251&quot;/&gt;&lt;wsp:rsid wsp:val=&quot;004C2459&quot;/&gt;&lt;wsp:rsid wsp:val=&quot;004C390C&quot;/&gt;&lt;wsp:rsid wsp:val=&quot;004C431E&quot;/&gt;&lt;wsp:rsid wsp:val=&quot;004C48B5&quot;/&gt;&lt;wsp:rsid wsp:val=&quot;004C5044&quot;/&gt;&lt;wsp:rsid wsp:val=&quot;004C5918&quot;/&gt;&lt;wsp:rsid wsp:val=&quot;004C6325&quot;/&gt;&lt;wsp:rsid wsp:val=&quot;004C68F6&quot;/&gt;&lt;wsp:rsid wsp:val=&quot;004C6B5B&quot;/&gt;&lt;wsp:rsid wsp:val=&quot;004C6C07&quot;/&gt;&lt;wsp:rsid wsp:val=&quot;004C6D17&quot;/&gt;&lt;wsp:rsid wsp:val=&quot;004C702A&quot;/&gt;&lt;wsp:rsid wsp:val=&quot;004C75C6&quot;/&gt;&lt;wsp:rsid wsp:val=&quot;004C7D37&quot;/&gt;&lt;wsp:rsid wsp:val=&quot;004D0846&quot;/&gt;&lt;wsp:rsid wsp:val=&quot;004D0D2D&quot;/&gt;&lt;wsp:rsid wsp:val=&quot;004D11F4&quot;/&gt;&lt;wsp:rsid wsp:val=&quot;004D3592&quot;/&gt;&lt;wsp:rsid wsp:val=&quot;004D4718&quot;/&gt;&lt;wsp:rsid wsp:val=&quot;004D7FA4&quot;/&gt;&lt;wsp:rsid wsp:val=&quot;004E08A2&quot;/&gt;&lt;wsp:rsid wsp:val=&quot;004E0C50&quot;/&gt;&lt;wsp:rsid wsp:val=&quot;004E17A4&quot;/&gt;&lt;wsp:rsid wsp:val=&quot;004E3086&quot;/&gt;&lt;wsp:rsid wsp:val=&quot;004E3712&quot;/&gt;&lt;wsp:rsid wsp:val=&quot;004E3C9A&quot;/&gt;&lt;wsp:rsid wsp:val=&quot;004F0ABC&quot;/&gt;&lt;wsp:rsid wsp:val=&quot;004F2E30&quot;/&gt;&lt;wsp:rsid wsp:val=&quot;004F3B8F&quot;/&gt;&lt;wsp:rsid wsp:val=&quot;004F4C91&quot;/&gt;&lt;wsp:rsid wsp:val=&quot;004F540D&quot;/&gt;&lt;wsp:rsid wsp:val=&quot;004F6266&quot;/&gt;&lt;wsp:rsid wsp:val=&quot;004F7F3D&quot;/&gt;&lt;wsp:rsid wsp:val=&quot;005001FF&quot;/&gt;&lt;wsp:rsid wsp:val=&quot;00500C00&quot;/&gt;&lt;wsp:rsid wsp:val=&quot;00501FB9&quot;/&gt;&lt;wsp:rsid wsp:val=&quot;0050217C&quot;/&gt;&lt;wsp:rsid wsp:val=&quot;00503A8F&quot;/&gt;&lt;wsp:rsid wsp:val=&quot;00503CDF&quot;/&gt;&lt;wsp:rsid wsp:val=&quot;00503DB0&quot;/&gt;&lt;wsp:rsid wsp:val=&quot;00504C7C&quot;/&gt;&lt;wsp:rsid wsp:val=&quot;00504CEE&quot;/&gt;&lt;wsp:rsid wsp:val=&quot;0050582C&quot;/&gt;&lt;wsp:rsid wsp:val=&quot;00506897&quot;/&gt;&lt;wsp:rsid wsp:val=&quot;005072B0&quot;/&gt;&lt;wsp:rsid wsp:val=&quot;00507B74&quot;/&gt;&lt;wsp:rsid wsp:val=&quot;00511725&quot;/&gt;&lt;wsp:rsid wsp:val=&quot;005124FF&quot;/&gt;&lt;wsp:rsid wsp:val=&quot;005127EF&quot;/&gt;&lt;wsp:rsid wsp:val=&quot;00512BF2&quot;/&gt;&lt;wsp:rsid wsp:val=&quot;005132EA&quot;/&gt;&lt;wsp:rsid wsp:val=&quot;005142DF&quot;/&gt;&lt;wsp:rsid wsp:val=&quot;00514698&quot;/&gt;&lt;wsp:rsid wsp:val=&quot;00514E77&quot;/&gt;&lt;wsp:rsid wsp:val=&quot;00514FF5&quot;/&gt;&lt;wsp:rsid wsp:val=&quot;00515035&quot;/&gt;&lt;wsp:rsid wsp:val=&quot;00520A12&quot;/&gt;&lt;wsp:rsid wsp:val=&quot;00521B73&quot;/&gt;&lt;wsp:rsid wsp:val=&quot;00522227&quot;/&gt;&lt;wsp:rsid wsp:val=&quot;00524C57&quot;/&gt;&lt;wsp:rsid wsp:val=&quot;005271A7&quot;/&gt;&lt;wsp:rsid wsp:val=&quot;00527287&quot;/&gt;&lt;wsp:rsid wsp:val=&quot;005274EF&quot;/&gt;&lt;wsp:rsid wsp:val=&quot;005274FA&quot;/&gt;&lt;wsp:rsid wsp:val=&quot;00527E29&quot;/&gt;&lt;wsp:rsid wsp:val=&quot;00527E81&quot;/&gt;&lt;wsp:rsid wsp:val=&quot;00531A0F&quot;/&gt;&lt;wsp:rsid wsp:val=&quot;00533564&quot;/&gt;&lt;wsp:rsid wsp:val=&quot;00534245&quot;/&gt;&lt;wsp:rsid wsp:val=&quot;005344B9&quot;/&gt;&lt;wsp:rsid wsp:val=&quot;00534700&quot;/&gt;&lt;wsp:rsid wsp:val=&quot;005360BF&quot;/&gt;&lt;wsp:rsid wsp:val=&quot;0053640C&quot;/&gt;&lt;wsp:rsid wsp:val=&quot;005379F1&quot;/&gt;&lt;wsp:rsid wsp:val=&quot;00540395&quot;/&gt;&lt;wsp:rsid wsp:val=&quot;00542758&quot;/&gt;&lt;wsp:rsid wsp:val=&quot;005427E0&quot;/&gt;&lt;wsp:rsid wsp:val=&quot;005431DE&quot;/&gt;&lt;wsp:rsid wsp:val=&quot;005432B8&quot;/&gt;&lt;wsp:rsid wsp:val=&quot;005433B5&quot;/&gt;&lt;wsp:rsid wsp:val=&quot;00543667&quot;/&gt;&lt;wsp:rsid wsp:val=&quot;00544431&quot;/&gt;&lt;wsp:rsid wsp:val=&quot;00546BFF&quot;/&gt;&lt;wsp:rsid wsp:val=&quot;00550B0E&quot;/&gt;&lt;wsp:rsid wsp:val=&quot;00551E57&quot;/&gt;&lt;wsp:rsid wsp:val=&quot;00553D19&quot;/&gt;&lt;wsp:rsid wsp:val=&quot;0055441F&quot;/&gt;&lt;wsp:rsid wsp:val=&quot;005556EE&quot;/&gt;&lt;wsp:rsid wsp:val=&quot;00555AF7&quot;/&gt;&lt;wsp:rsid wsp:val=&quot;00556299&quot;/&gt;&lt;wsp:rsid wsp:val=&quot;00556566&quot;/&gt;&lt;wsp:rsid wsp:val=&quot;00556A1E&quot;/&gt;&lt;wsp:rsid wsp:val=&quot;005572CB&quot;/&gt;&lt;wsp:rsid wsp:val=&quot;005600B4&quot;/&gt;&lt;wsp:rsid wsp:val=&quot;0056067C&quot;/&gt;&lt;wsp:rsid wsp:val=&quot;00562236&quot;/&gt;&lt;wsp:rsid wsp:val=&quot;00563F14&quot;/&gt;&lt;wsp:rsid wsp:val=&quot;00564667&quot;/&gt;&lt;wsp:rsid wsp:val=&quot;005649FA&quot;/&gt;&lt;wsp:rsid wsp:val=&quot;0056622F&quot;/&gt;&lt;wsp:rsid wsp:val=&quot;005676DA&quot;/&gt;&lt;wsp:rsid wsp:val=&quot;00571890&quot;/&gt;&lt;wsp:rsid wsp:val=&quot;00571E81&quot;/&gt;&lt;wsp:rsid wsp:val=&quot;005726AF&quot;/&gt;&lt;wsp:rsid wsp:val=&quot;005730D3&quot;/&gt;&lt;wsp:rsid wsp:val=&quot;00573B9B&quot;/&gt;&lt;wsp:rsid wsp:val=&quot;00573F24&quot;/&gt;&lt;wsp:rsid wsp:val=&quot;005741C6&quot;/&gt;&lt;wsp:rsid wsp:val=&quot;005744E3&quot;/&gt;&lt;wsp:rsid wsp:val=&quot;005749DD&quot;/&gt;&lt;wsp:rsid wsp:val=&quot;00576F20&quot;/&gt;&lt;wsp:rsid wsp:val=&quot;0058157A&quot;/&gt;&lt;wsp:rsid wsp:val=&quot;005815C3&quot;/&gt;&lt;wsp:rsid wsp:val=&quot;00581902&quot;/&gt;&lt;wsp:rsid wsp:val=&quot;005819AE&quot;/&gt;&lt;wsp:rsid wsp:val=&quot;00582411&quot;/&gt;&lt;wsp:rsid wsp:val=&quot;005829AE&quot;/&gt;&lt;wsp:rsid wsp:val=&quot;00582D1A&quot;/&gt;&lt;wsp:rsid wsp:val=&quot;00582D94&quot;/&gt;&lt;wsp:rsid wsp:val=&quot;0058368C&quot;/&gt;&lt;wsp:rsid wsp:val=&quot;00585DC9&quot;/&gt;&lt;wsp:rsid wsp:val=&quot;0058605B&quot;/&gt;&lt;wsp:rsid wsp:val=&quot;00586184&quot;/&gt;&lt;wsp:rsid wsp:val=&quot;00586894&quot;/&gt;&lt;wsp:rsid wsp:val=&quot;00586ACA&quot;/&gt;&lt;wsp:rsid wsp:val=&quot;00587188&quot;/&gt;&lt;wsp:rsid wsp:val=&quot;00587363&quot;/&gt;&lt;wsp:rsid wsp:val=&quot;005909F9&quot;/&gt;&lt;wsp:rsid wsp:val=&quot;00592CED&quot;/&gt;&lt;wsp:rsid wsp:val=&quot;00592E32&quot;/&gt;&lt;wsp:rsid wsp:val=&quot;00593405&quot;/&gt;&lt;wsp:rsid wsp:val=&quot;00596C4F&quot;/&gt;&lt;wsp:rsid wsp:val=&quot;00596DB3&quot;/&gt;&lt;wsp:rsid wsp:val=&quot;00596EDC&quot;/&gt;&lt;wsp:rsid wsp:val=&quot;00597770&quot;/&gt;&lt;wsp:rsid wsp:val=&quot;00597C88&quot;/&gt;&lt;wsp:rsid wsp:val=&quot;005A0093&quot;/&gt;&lt;wsp:rsid wsp:val=&quot;005A03B9&quot;/&gt;&lt;wsp:rsid wsp:val=&quot;005A0517&quot;/&gt;&lt;wsp:rsid wsp:val=&quot;005A0D23&quot;/&gt;&lt;wsp:rsid wsp:val=&quot;005A1706&quot;/&gt;&lt;wsp:rsid wsp:val=&quot;005A1B4A&quot;/&gt;&lt;wsp:rsid wsp:val=&quot;005A2345&quot;/&gt;&lt;wsp:rsid wsp:val=&quot;005A2976&quot;/&gt;&lt;wsp:rsid wsp:val=&quot;005A35D0&quot;/&gt;&lt;wsp:rsid wsp:val=&quot;005A3670&quot;/&gt;&lt;wsp:rsid wsp:val=&quot;005A37C5&quot;/&gt;&lt;wsp:rsid wsp:val=&quot;005A3C34&quot;/&gt;&lt;wsp:rsid wsp:val=&quot;005A3DAC&quot;/&gt;&lt;wsp:rsid wsp:val=&quot;005A6050&quot;/&gt;&lt;wsp:rsid wsp:val=&quot;005A6632&quot;/&gt;&lt;wsp:rsid wsp:val=&quot;005A722A&quot;/&gt;&lt;wsp:rsid wsp:val=&quot;005A7DDA&quot;/&gt;&lt;wsp:rsid wsp:val=&quot;005B0C5B&quot;/&gt;&lt;wsp:rsid wsp:val=&quot;005B0FCB&quot;/&gt;&lt;wsp:rsid wsp:val=&quot;005B1323&quot;/&gt;&lt;wsp:rsid wsp:val=&quot;005B16BA&quot;/&gt;&lt;wsp:rsid wsp:val=&quot;005B1A9F&quot;/&gt;&lt;wsp:rsid wsp:val=&quot;005B1D8A&quot;/&gt;&lt;wsp:rsid wsp:val=&quot;005B2584&quot;/&gt;&lt;wsp:rsid wsp:val=&quot;005B37D7&quot;/&gt;&lt;wsp:rsid wsp:val=&quot;005B634D&quot;/&gt;&lt;wsp:rsid wsp:val=&quot;005B73CA&quot;/&gt;&lt;wsp:rsid wsp:val=&quot;005B7EB9&quot;/&gt;&lt;wsp:rsid wsp:val=&quot;005C1448&quot;/&gt;&lt;wsp:rsid wsp:val=&quot;005C1DB3&quot;/&gt;&lt;wsp:rsid wsp:val=&quot;005C3143&quot;/&gt;&lt;wsp:rsid wsp:val=&quot;005C32AF&quot;/&gt;&lt;wsp:rsid wsp:val=&quot;005C4529&quot;/&gt;&lt;wsp:rsid wsp:val=&quot;005C4787&quot;/&gt;&lt;wsp:rsid wsp:val=&quot;005C6407&quot;/&gt;&lt;wsp:rsid wsp:val=&quot;005C7D4E&quot;/&gt;&lt;wsp:rsid wsp:val=&quot;005C7E1E&quot;/&gt;&lt;wsp:rsid wsp:val=&quot;005D11CC&quot;/&gt;&lt;wsp:rsid wsp:val=&quot;005D240E&quot;/&gt;&lt;wsp:rsid wsp:val=&quot;005D2869&quot;/&gt;&lt;wsp:rsid wsp:val=&quot;005D2F2F&quot;/&gt;&lt;wsp:rsid wsp:val=&quot;005D3327&quot;/&gt;&lt;wsp:rsid wsp:val=&quot;005D3476&quot;/&gt;&lt;wsp:rsid wsp:val=&quot;005D3F9B&quot;/&gt;&lt;wsp:rsid wsp:val=&quot;005D4BE8&quot;/&gt;&lt;wsp:rsid wsp:val=&quot;005D4E1D&quot;/&gt;&lt;wsp:rsid wsp:val=&quot;005D5BAF&quot;/&gt;&lt;wsp:rsid wsp:val=&quot;005E11D5&quot;/&gt;&lt;wsp:rsid wsp:val=&quot;005E1558&quot;/&gt;&lt;wsp:rsid wsp:val=&quot;005E1AAF&quot;/&gt;&lt;wsp:rsid wsp:val=&quot;005E286C&quot;/&gt;&lt;wsp:rsid wsp:val=&quot;005E2BAD&quot;/&gt;&lt;wsp:rsid wsp:val=&quot;005E34FA&quot;/&gt;&lt;wsp:rsid wsp:val=&quot;005E37B7&quot;/&gt;&lt;wsp:rsid wsp:val=&quot;005E388B&quot;/&gt;&lt;wsp:rsid wsp:val=&quot;005E45DB&quot;/&gt;&lt;wsp:rsid wsp:val=&quot;005E49C1&quot;/&gt;&lt;wsp:rsid wsp:val=&quot;005E4E5E&quot;/&gt;&lt;wsp:rsid wsp:val=&quot;005E56ED&quot;/&gt;&lt;wsp:rsid wsp:val=&quot;005E6608&quot;/&gt;&lt;wsp:rsid wsp:val=&quot;005E6D40&quot;/&gt;&lt;wsp:rsid wsp:val=&quot;005E7505&quot;/&gt;&lt;wsp:rsid wsp:val=&quot;005E7CE0&quot;/&gt;&lt;wsp:rsid wsp:val=&quot;005F08A7&quot;/&gt;&lt;wsp:rsid wsp:val=&quot;005F0E85&quot;/&gt;&lt;wsp:rsid wsp:val=&quot;005F130E&quot;/&gt;&lt;wsp:rsid wsp:val=&quot;005F1433&quot;/&gt;&lt;wsp:rsid wsp:val=&quot;005F1705&quot;/&gt;&lt;wsp:rsid wsp:val=&quot;005F1747&quot;/&gt;&lt;wsp:rsid wsp:val=&quot;005F2511&quot;/&gt;&lt;wsp:rsid wsp:val=&quot;005F423C&quot;/&gt;&lt;wsp:rsid wsp:val=&quot;005F4ABF&quot;/&gt;&lt;wsp:rsid wsp:val=&quot;005F5071&quot;/&gt;&lt;wsp:rsid wsp:val=&quot;005F5BD3&quot;/&gt;&lt;wsp:rsid wsp:val=&quot;005F5C9C&quot;/&gt;&lt;wsp:rsid wsp:val=&quot;005F5E07&quot;/&gt;&lt;wsp:rsid wsp:val=&quot;005F663D&quot;/&gt;&lt;wsp:rsid wsp:val=&quot;005F6B82&quot;/&gt;&lt;wsp:rsid wsp:val=&quot;005F7471&quot;/&gt;&lt;wsp:rsid wsp:val=&quot;005F7F65&quot;/&gt;&lt;wsp:rsid wsp:val=&quot;006011B9&quot;/&gt;&lt;wsp:rsid wsp:val=&quot;00602B30&quot;/&gt;&lt;wsp:rsid wsp:val=&quot;006038DB&quot;/&gt;&lt;wsp:rsid wsp:val=&quot;00603AC2&quot;/&gt;&lt;wsp:rsid wsp:val=&quot;00603DB5&quot;/&gt;&lt;wsp:rsid wsp:val=&quot;00604012&quot;/&gt;&lt;wsp:rsid wsp:val=&quot;006049C7&quot;/&gt;&lt;wsp:rsid wsp:val=&quot;00604E44&quot;/&gt;&lt;wsp:rsid wsp:val=&quot;00606312&quot;/&gt;&lt;wsp:rsid wsp:val=&quot;006066CE&quot;/&gt;&lt;wsp:rsid wsp:val=&quot;006066D6&quot;/&gt;&lt;wsp:rsid wsp:val=&quot;0060723D&quot;/&gt;&lt;wsp:rsid wsp:val=&quot;0060752E&quot;/&gt;&lt;wsp:rsid wsp:val=&quot;006077AC&quot;/&gt;&lt;wsp:rsid wsp:val=&quot;00607BD8&quot;/&gt;&lt;wsp:rsid wsp:val=&quot;006109E0&quot;/&gt;&lt;wsp:rsid wsp:val=&quot;00610A76&quot;/&gt;&lt;wsp:rsid wsp:val=&quot;00611E04&quot;/&gt;&lt;wsp:rsid wsp:val=&quot;00611F42&quot;/&gt;&lt;wsp:rsid wsp:val=&quot;00611F7A&quot;/&gt;&lt;wsp:rsid wsp:val=&quot;00612B6F&quot;/&gt;&lt;wsp:rsid wsp:val=&quot;00613B3D&quot;/&gt;&lt;wsp:rsid wsp:val=&quot;006151B1&quot;/&gt;&lt;wsp:rsid wsp:val=&quot;00616946&quot;/&gt;&lt;wsp:rsid wsp:val=&quot;00620469&quot;/&gt;&lt;wsp:rsid wsp:val=&quot;006204E1&quot;/&gt;&lt;wsp:rsid wsp:val=&quot;00620A22&quot;/&gt;&lt;wsp:rsid wsp:val=&quot;00621211&quot;/&gt;&lt;wsp:rsid wsp:val=&quot;00621BB7&quot;/&gt;&lt;wsp:rsid wsp:val=&quot;00622871&quot;/&gt;&lt;wsp:rsid wsp:val=&quot;00622FC6&quot;/&gt;&lt;wsp:rsid wsp:val=&quot;00623326&quot;/&gt;&lt;wsp:rsid wsp:val=&quot;00623A74&quot;/&gt;&lt;wsp:rsid wsp:val=&quot;00623BF5&quot;/&gt;&lt;wsp:rsid wsp:val=&quot;00623C4B&quot;/&gt;&lt;wsp:rsid wsp:val=&quot;00623EFC&quot;/&gt;&lt;wsp:rsid wsp:val=&quot;0062456B&quot;/&gt;&lt;wsp:rsid wsp:val=&quot;00624D6C&quot;/&gt;&lt;wsp:rsid wsp:val=&quot;006258AA&quot;/&gt;&lt;wsp:rsid wsp:val=&quot;00626825&quot;/&gt;&lt;wsp:rsid wsp:val=&quot;00626FA2&quot;/&gt;&lt;wsp:rsid wsp:val=&quot;006279DB&quot;/&gt;&lt;wsp:rsid wsp:val=&quot;00627B32&quot;/&gt;&lt;wsp:rsid wsp:val=&quot;00627C6C&quot;/&gt;&lt;wsp:rsid wsp:val=&quot;00627DAC&quot;/&gt;&lt;wsp:rsid wsp:val=&quot;00630C1C&quot;/&gt;&lt;wsp:rsid wsp:val=&quot;00630C75&quot;/&gt;&lt;wsp:rsid wsp:val=&quot;00630D4F&quot;/&gt;&lt;wsp:rsid wsp:val=&quot;006313D8&quot;/&gt;&lt;wsp:rsid wsp:val=&quot;0063141A&quot;/&gt;&lt;wsp:rsid wsp:val=&quot;006318F3&quot;/&gt;&lt;wsp:rsid wsp:val=&quot;00632207&quot;/&gt;&lt;wsp:rsid wsp:val=&quot;0063280A&quot;/&gt;&lt;wsp:rsid wsp:val=&quot;00634B4C&quot;/&gt;&lt;wsp:rsid wsp:val=&quot;00634C90&quot;/&gt;&lt;wsp:rsid wsp:val=&quot;00635F70&quot;/&gt;&lt;wsp:rsid wsp:val=&quot;00637122&quot;/&gt;&lt;wsp:rsid wsp:val=&quot;006400D3&quot;/&gt;&lt;wsp:rsid wsp:val=&quot;0064029A&quot;/&gt;&lt;wsp:rsid wsp:val=&quot;00640614&quot;/&gt;&lt;wsp:rsid wsp:val=&quot;006411BF&quot;/&gt;&lt;wsp:rsid wsp:val=&quot;006423CD&quot;/&gt;&lt;wsp:rsid wsp:val=&quot;00642482&quot;/&gt;&lt;wsp:rsid wsp:val=&quot;00642486&quot;/&gt;&lt;wsp:rsid wsp:val=&quot;00642975&quot;/&gt;&lt;wsp:rsid wsp:val=&quot;00642D0B&quot;/&gt;&lt;wsp:rsid wsp:val=&quot;006430B7&quot;/&gt;&lt;wsp:rsid wsp:val=&quot;00643117&quot;/&gt;&lt;wsp:rsid wsp:val=&quot;00643C86&quot;/&gt;&lt;wsp:rsid wsp:val=&quot;00644A78&quot;/&gt;&lt;wsp:rsid wsp:val=&quot;006464DC&quot;/&gt;&lt;wsp:rsid wsp:val=&quot;00646846&quot;/&gt;&lt;wsp:rsid wsp:val=&quot;00647E01&quot;/&gt;&lt;wsp:rsid wsp:val=&quot;00650B7F&quot;/&gt;&lt;wsp:rsid wsp:val=&quot;00651205&quot;/&gt;&lt;wsp:rsid wsp:val=&quot;00651210&quot;/&gt;&lt;wsp:rsid wsp:val=&quot;00651701&quot;/&gt;&lt;wsp:rsid wsp:val=&quot;0065284F&quot;/&gt;&lt;wsp:rsid wsp:val=&quot;00652DBF&quot;/&gt;&lt;wsp:rsid wsp:val=&quot;00653F91&quot;/&gt;&lt;wsp:rsid wsp:val=&quot;0065450E&quot;/&gt;&lt;wsp:rsid wsp:val=&quot;00660115&quot;/&gt;&lt;wsp:rsid wsp:val=&quot;00661DA7&quot;/&gt;&lt;wsp:rsid wsp:val=&quot;00662418&quot;/&gt;&lt;wsp:rsid wsp:val=&quot;00663DA0&quot;/&gt;&lt;wsp:rsid wsp:val=&quot;006650A2&quot;/&gt;&lt;wsp:rsid wsp:val=&quot;0066575C&quot;/&gt;&lt;wsp:rsid wsp:val=&quot;00665C8D&quot;/&gt;&lt;wsp:rsid wsp:val=&quot;00665DB7&quot;/&gt;&lt;wsp:rsid wsp:val=&quot;0066641F&quot;/&gt;&lt;wsp:rsid wsp:val=&quot;00667BF7&quot;/&gt;&lt;wsp:rsid wsp:val=&quot;00671E7A&quot;/&gt;&lt;wsp:rsid wsp:val=&quot;0067257E&quot;/&gt;&lt;wsp:rsid wsp:val=&quot;00673309&quot;/&gt;&lt;wsp:rsid wsp:val=&quot;006745F9&quot;/&gt;&lt;wsp:rsid wsp:val=&quot;00674D40&quot;/&gt;&lt;wsp:rsid wsp:val=&quot;00675943&quot;/&gt;&lt;wsp:rsid wsp:val=&quot;0067613C&quot;/&gt;&lt;wsp:rsid wsp:val=&quot;00677983&quot;/&gt;&lt;wsp:rsid wsp:val=&quot;00677BD1&quot;/&gt;&lt;wsp:rsid wsp:val=&quot;00684570&quot;/&gt;&lt;wsp:rsid wsp:val=&quot;00684C44&quot;/&gt;&lt;wsp:rsid wsp:val=&quot;006851EC&quot;/&gt;&lt;wsp:rsid wsp:val=&quot;00686847&quot;/&gt;&lt;wsp:rsid wsp:val=&quot;0069108C&quot;/&gt;&lt;wsp:rsid wsp:val=&quot;0069272A&quot;/&gt;&lt;wsp:rsid wsp:val=&quot;00692B5B&quot;/&gt;&lt;wsp:rsid wsp:val=&quot;00692D5C&quot;/&gt;&lt;wsp:rsid wsp:val=&quot;00692E7A&quot;/&gt;&lt;wsp:rsid wsp:val=&quot;00692FF9&quot;/&gt;&lt;wsp:rsid wsp:val=&quot;006934EA&quot;/&gt;&lt;wsp:rsid wsp:val=&quot;00693F0F&quot;/&gt;&lt;wsp:rsid wsp:val=&quot;00697385&quot;/&gt;&lt;wsp:rsid wsp:val=&quot;00697471&quot;/&gt;&lt;wsp:rsid wsp:val=&quot;00697521&quot;/&gt;&lt;wsp:rsid wsp:val=&quot;00697CDC&quot;/&gt;&lt;wsp:rsid wsp:val=&quot;006A02C4&quot;/&gt;&lt;wsp:rsid wsp:val=&quot;006A0EBE&quot;/&gt;&lt;wsp:rsid wsp:val=&quot;006A1922&quot;/&gt;&lt;wsp:rsid wsp:val=&quot;006A21A0&quot;/&gt;&lt;wsp:rsid wsp:val=&quot;006A32F9&quot;/&gt;&lt;wsp:rsid wsp:val=&quot;006A470B&quot;/&gt;&lt;wsp:rsid wsp:val=&quot;006A502C&quot;/&gt;&lt;wsp:rsid wsp:val=&quot;006A60CA&quot;/&gt;&lt;wsp:rsid wsp:val=&quot;006A71B5&quot;/&gt;&lt;wsp:rsid wsp:val=&quot;006A78E0&quot;/&gt;&lt;wsp:rsid wsp:val=&quot;006B0769&quot;/&gt;&lt;wsp:rsid wsp:val=&quot;006B2423&quot;/&gt;&lt;wsp:rsid wsp:val=&quot;006B2687&quot;/&gt;&lt;wsp:rsid wsp:val=&quot;006B26E7&quot;/&gt;&lt;wsp:rsid wsp:val=&quot;006B2BC9&quot;/&gt;&lt;wsp:rsid wsp:val=&quot;006B331F&quot;/&gt;&lt;wsp:rsid wsp:val=&quot;006B3EEC&quot;/&gt;&lt;wsp:rsid wsp:val=&quot;006B44F2&quot;/&gt;&lt;wsp:rsid wsp:val=&quot;006B5B97&quot;/&gt;&lt;wsp:rsid wsp:val=&quot;006B62A7&quot;/&gt;&lt;wsp:rsid wsp:val=&quot;006B6CCD&quot;/&gt;&lt;wsp:rsid wsp:val=&quot;006C0A3A&quot;/&gt;&lt;wsp:rsid wsp:val=&quot;006C148B&quot;/&gt;&lt;wsp:rsid wsp:val=&quot;006C16D5&quot;/&gt;&lt;wsp:rsid wsp:val=&quot;006C18DC&quot;/&gt;&lt;wsp:rsid wsp:val=&quot;006C2053&quot;/&gt;&lt;wsp:rsid wsp:val=&quot;006C4D6D&quot;/&gt;&lt;wsp:rsid wsp:val=&quot;006C57A7&quot;/&gt;&lt;wsp:rsid wsp:val=&quot;006C5812&quot;/&gt;&lt;wsp:rsid wsp:val=&quot;006D0FA3&quot;/&gt;&lt;wsp:rsid wsp:val=&quot;006D139E&quot;/&gt;&lt;wsp:rsid wsp:val=&quot;006D13CC&quot;/&gt;&lt;wsp:rsid wsp:val=&quot;006D1AEA&quot;/&gt;&lt;wsp:rsid wsp:val=&quot;006D1FE7&quot;/&gt;&lt;wsp:rsid wsp:val=&quot;006D38E8&quot;/&gt;&lt;wsp:rsid wsp:val=&quot;006D444A&quot;/&gt;&lt;wsp:rsid wsp:val=&quot;006D45D3&quot;/&gt;&lt;wsp:rsid wsp:val=&quot;006D5E16&quot;/&gt;&lt;wsp:rsid wsp:val=&quot;006D60FE&quot;/&gt;&lt;wsp:rsid wsp:val=&quot;006D7691&quot;/&gt;&lt;wsp:rsid wsp:val=&quot;006E03A1&quot;/&gt;&lt;wsp:rsid wsp:val=&quot;006E08D7&quot;/&gt;&lt;wsp:rsid wsp:val=&quot;006E097E&quot;/&gt;&lt;wsp:rsid wsp:val=&quot;006E172D&quot;/&gt;&lt;wsp:rsid wsp:val=&quot;006E2726&quot;/&gt;&lt;wsp:rsid wsp:val=&quot;006E30A6&quot;/&gt;&lt;wsp:rsid wsp:val=&quot;006E6254&quot;/&gt;&lt;wsp:rsid wsp:val=&quot;006E7E17&quot;/&gt;&lt;wsp:rsid wsp:val=&quot;006F0017&quot;/&gt;&lt;wsp:rsid wsp:val=&quot;006F048D&quot;/&gt;&lt;wsp:rsid wsp:val=&quot;006F0994&quot;/&gt;&lt;wsp:rsid wsp:val=&quot;006F101D&quot;/&gt;&lt;wsp:rsid wsp:val=&quot;006F1325&quot;/&gt;&lt;wsp:rsid wsp:val=&quot;006F2911&quot;/&gt;&lt;wsp:rsid wsp:val=&quot;006F2A0D&quot;/&gt;&lt;wsp:rsid wsp:val=&quot;006F3653&quot;/&gt;&lt;wsp:rsid wsp:val=&quot;006F3B17&quot;/&gt;&lt;wsp:rsid wsp:val=&quot;006F476C&quot;/&gt;&lt;wsp:rsid wsp:val=&quot;006F5494&quot;/&gt;&lt;wsp:rsid wsp:val=&quot;006F5A95&quot;/&gt;&lt;wsp:rsid wsp:val=&quot;006F6D65&quot;/&gt;&lt;wsp:rsid wsp:val=&quot;006F74A7&quot;/&gt;&lt;wsp:rsid wsp:val=&quot;0070090C&quot;/&gt;&lt;wsp:rsid wsp:val=&quot;00701171&quot;/&gt;&lt;wsp:rsid wsp:val=&quot;00701955&quot;/&gt;&lt;wsp:rsid wsp:val=&quot;007045A0&quot;/&gt;&lt;wsp:rsid wsp:val=&quot;00704910&quot;/&gt;&lt;wsp:rsid wsp:val=&quot;00704933&quot;/&gt;&lt;wsp:rsid wsp:val=&quot;007049F0&quot;/&gt;&lt;wsp:rsid wsp:val=&quot;007049FE&quot;/&gt;&lt;wsp:rsid wsp:val=&quot;00704C9C&quot;/&gt;&lt;wsp:rsid wsp:val=&quot;00705C88&quot;/&gt;&lt;wsp:rsid wsp:val=&quot;00707B3A&quot;/&gt;&lt;wsp:rsid wsp:val=&quot;00710C8C&quot;/&gt;&lt;wsp:rsid wsp:val=&quot;007119E2&quot;/&gt;&lt;wsp:rsid wsp:val=&quot;00711AFB&quot;/&gt;&lt;wsp:rsid wsp:val=&quot;0071293A&quot;/&gt;&lt;wsp:rsid wsp:val=&quot;00714886&quot;/&gt;&lt;wsp:rsid wsp:val=&quot;00715133&quot;/&gt;&lt;wsp:rsid wsp:val=&quot;007158F1&quot;/&gt;&lt;wsp:rsid wsp:val=&quot;00715CEF&quot;/&gt;&lt;wsp:rsid wsp:val=&quot;00715F99&quot;/&gt;&lt;wsp:rsid wsp:val=&quot;0071604B&quot;/&gt;&lt;wsp:rsid wsp:val=&quot;0071744D&quot;/&gt;&lt;wsp:rsid wsp:val=&quot;007176F3&quot;/&gt;&lt;wsp:rsid wsp:val=&quot;00717AD1&quot;/&gt;&lt;wsp:rsid wsp:val=&quot;00717EC9&quot;/&gt;&lt;wsp:rsid wsp:val=&quot;0072137A&quot;/&gt;&lt;wsp:rsid wsp:val=&quot;007216BA&quot;/&gt;&lt;wsp:rsid wsp:val=&quot;00722202&quot;/&gt;&lt;wsp:rsid wsp:val=&quot;00723314&quot;/&gt;&lt;wsp:rsid wsp:val=&quot;007242F6&quot;/&gt;&lt;wsp:rsid wsp:val=&quot;00724B00&quot;/&gt;&lt;wsp:rsid wsp:val=&quot;00724B19&quot;/&gt;&lt;wsp:rsid wsp:val=&quot;00725517&quot;/&gt;&lt;wsp:rsid wsp:val=&quot;00725604&quot;/&gt;&lt;wsp:rsid wsp:val=&quot;007257B2&quot;/&gt;&lt;wsp:rsid wsp:val=&quot;00725A97&quot;/&gt;&lt;wsp:rsid wsp:val=&quot;00725B60&quot;/&gt;&lt;wsp:rsid wsp:val=&quot;007261AB&quot;/&gt;&lt;wsp:rsid wsp:val=&quot;00730305&quot;/&gt;&lt;wsp:rsid wsp:val=&quot;00730A72&quot;/&gt;&lt;wsp:rsid wsp:val=&quot;007314A3&quot;/&gt;&lt;wsp:rsid wsp:val=&quot;00731DC0&quot;/&gt;&lt;wsp:rsid wsp:val=&quot;00732355&quot;/&gt;&lt;wsp:rsid wsp:val=&quot;0073297C&quot;/&gt;&lt;wsp:rsid wsp:val=&quot;00733886&quot;/&gt;&lt;wsp:rsid wsp:val=&quot;00734C98&quot;/&gt;&lt;wsp:rsid wsp:val=&quot;00734E83&quot;/&gt;&lt;wsp:rsid wsp:val=&quot;00735239&quot;/&gt;&lt;wsp:rsid wsp:val=&quot;00740ED5&quot;/&gt;&lt;wsp:rsid wsp:val=&quot;00743B56&quot;/&gt;&lt;wsp:rsid wsp:val=&quot;00746828&quot;/&gt;&lt;wsp:rsid wsp:val=&quot;00747D8C&quot;/&gt;&lt;wsp:rsid wsp:val=&quot;007503C0&quot;/&gt;&lt;wsp:rsid wsp:val=&quot;00750825&quot;/&gt;&lt;wsp:rsid wsp:val=&quot;007509DA&quot;/&gt;&lt;wsp:rsid wsp:val=&quot;00750DFF&quot;/&gt;&lt;wsp:rsid wsp:val=&quot;00751A6A&quot;/&gt;&lt;wsp:rsid wsp:val=&quot;00751EF8&quot;/&gt;&lt;wsp:rsid wsp:val=&quot;0075256E&quot;/&gt;&lt;wsp:rsid wsp:val=&quot;00753240&quot;/&gt;&lt;wsp:rsid wsp:val=&quot;007536CD&quot;/&gt;&lt;wsp:rsid wsp:val=&quot;00753914&quot;/&gt;&lt;wsp:rsid wsp:val=&quot;00753C64&quot;/&gt;&lt;wsp:rsid wsp:val=&quot;007549E9&quot;/&gt;&lt;wsp:rsid wsp:val=&quot;00754F25&quot;/&gt;&lt;wsp:rsid wsp:val=&quot;00756128&quot;/&gt;&lt;wsp:rsid wsp:val=&quot;00756840&quot;/&gt;&lt;wsp:rsid wsp:val=&quot;00756E84&quot;/&gt;&lt;wsp:rsid wsp:val=&quot;00757F28&quot;/&gt;&lt;wsp:rsid wsp:val=&quot;00760394&quot;/&gt;&lt;wsp:rsid wsp:val=&quot;0076243E&quot;/&gt;&lt;wsp:rsid wsp:val=&quot;00764CAF&quot;/&gt;&lt;wsp:rsid wsp:val=&quot;00765C52&quot;/&gt;&lt;wsp:rsid wsp:val=&quot;00766AFD&quot;/&gt;&lt;wsp:rsid wsp:val=&quot;0077022D&quot;/&gt;&lt;wsp:rsid wsp:val=&quot;0077088A&quot;/&gt;&lt;wsp:rsid wsp:val=&quot;00770D88&quot;/&gt;&lt;wsp:rsid wsp:val=&quot;007712EA&quot;/&gt;&lt;wsp:rsid wsp:val=&quot;00773B4C&quot;/&gt;&lt;wsp:rsid wsp:val=&quot;00773D05&quot;/&gt;&lt;wsp:rsid wsp:val=&quot;00773DF3&quot;/&gt;&lt;wsp:rsid wsp:val=&quot;00773FA7&quot;/&gt;&lt;wsp:rsid wsp:val=&quot;00774752&quot;/&gt;&lt;wsp:rsid wsp:val=&quot;0077496E&quot;/&gt;&lt;wsp:rsid wsp:val=&quot;00774A8B&quot;/&gt;&lt;wsp:rsid wsp:val=&quot;00774D4A&quot;/&gt;&lt;wsp:rsid wsp:val=&quot;00775433&quot;/&gt;&lt;wsp:rsid wsp:val=&quot;00775D0A&quot;/&gt;&lt;wsp:rsid wsp:val=&quot;00775FDD&quot;/&gt;&lt;wsp:rsid wsp:val=&quot;00776C11&quot;/&gt;&lt;wsp:rsid wsp:val=&quot;00777B19&quot;/&gt;&lt;wsp:rsid wsp:val=&quot;00777D82&quot;/&gt;&lt;wsp:rsid wsp:val=&quot;007805BC&quot;/&gt;&lt;wsp:rsid wsp:val=&quot;0078078E&quot;/&gt;&lt;wsp:rsid wsp:val=&quot;00781611&quot;/&gt;&lt;wsp:rsid wsp:val=&quot;007818E2&quot;/&gt;&lt;wsp:rsid wsp:val=&quot;00781943&quot;/&gt;&lt;wsp:rsid wsp:val=&quot;0078218A&quot;/&gt;&lt;wsp:rsid wsp:val=&quot;00784493&quot;/&gt;&lt;wsp:rsid wsp:val=&quot;00784E74&quot;/&gt;&lt;wsp:rsid wsp:val=&quot;0078533B&quot;/&gt;&lt;wsp:rsid wsp:val=&quot;00785F22&quot;/&gt;&lt;wsp:rsid wsp:val=&quot;00786B08&quot;/&gt;&lt;wsp:rsid wsp:val=&quot;00786E28&quot;/&gt;&lt;wsp:rsid wsp:val=&quot;007918C0&quot;/&gt;&lt;wsp:rsid wsp:val=&quot;00791CD2&quot;/&gt;&lt;wsp:rsid wsp:val=&quot;00791EAC&quot;/&gt;&lt;wsp:rsid wsp:val=&quot;00792953&quot;/&gt;&lt;wsp:rsid wsp:val=&quot;007929C5&quot;/&gt;&lt;wsp:rsid wsp:val=&quot;00793B39&quot;/&gt;&lt;wsp:rsid wsp:val=&quot;00793D47&quot;/&gt;&lt;wsp:rsid wsp:val=&quot;00795C41&quot;/&gt;&lt;wsp:rsid wsp:val=&quot;00795DFF&quot;/&gt;&lt;wsp:rsid wsp:val=&quot;0079617C&quot;/&gt;&lt;wsp:rsid wsp:val=&quot;007967F3&quot;/&gt;&lt;wsp:rsid wsp:val=&quot;00797C10&quot;/&gt;&lt;wsp:rsid wsp:val=&quot;007A0D8F&quot;/&gt;&lt;wsp:rsid wsp:val=&quot;007A0EC9&quot;/&gt;&lt;wsp:rsid wsp:val=&quot;007A1108&quot;/&gt;&lt;wsp:rsid wsp:val=&quot;007A18B9&quot;/&gt;&lt;wsp:rsid wsp:val=&quot;007A2B64&quot;/&gt;&lt;wsp:rsid wsp:val=&quot;007A2BFC&quot;/&gt;&lt;wsp:rsid wsp:val=&quot;007A2FC2&quot;/&gt;&lt;wsp:rsid wsp:val=&quot;007A405E&quot;/&gt;&lt;wsp:rsid wsp:val=&quot;007A4B7D&quot;/&gt;&lt;wsp:rsid wsp:val=&quot;007A4E8E&quot;/&gt;&lt;wsp:rsid wsp:val=&quot;007A52A6&quot;/&gt;&lt;wsp:rsid wsp:val=&quot;007A52A7&quot;/&gt;&lt;wsp:rsid wsp:val=&quot;007A6151&quot;/&gt;&lt;wsp:rsid wsp:val=&quot;007A62B7&quot;/&gt;&lt;wsp:rsid wsp:val=&quot;007A637F&quot;/&gt;&lt;wsp:rsid wsp:val=&quot;007A63C8&quot;/&gt;&lt;wsp:rsid wsp:val=&quot;007A794E&quot;/&gt;&lt;wsp:rsid wsp:val=&quot;007B114D&quot;/&gt;&lt;wsp:rsid wsp:val=&quot;007B1A83&quot;/&gt;&lt;wsp:rsid wsp:val=&quot;007B204B&quot;/&gt;&lt;wsp:rsid wsp:val=&quot;007B2C5A&quot;/&gt;&lt;wsp:rsid wsp:val=&quot;007B5508&quot;/&gt;&lt;wsp:rsid wsp:val=&quot;007B5A6F&quot;/&gt;&lt;wsp:rsid wsp:val=&quot;007B6510&quot;/&gt;&lt;wsp:rsid wsp:val=&quot;007B7409&quot;/&gt;&lt;wsp:rsid wsp:val=&quot;007B7ED5&quot;/&gt;&lt;wsp:rsid wsp:val=&quot;007C04ED&quot;/&gt;&lt;wsp:rsid wsp:val=&quot;007C12BA&quot;/&gt;&lt;wsp:rsid wsp:val=&quot;007C2AFB&quot;/&gt;&lt;wsp:rsid wsp:val=&quot;007C2CCD&quot;/&gt;&lt;wsp:rsid wsp:val=&quot;007C2E01&quot;/&gt;&lt;wsp:rsid wsp:val=&quot;007C2F24&quot;/&gt;&lt;wsp:rsid wsp:val=&quot;007C303C&quot;/&gt;&lt;wsp:rsid wsp:val=&quot;007C3D46&quot;/&gt;&lt;wsp:rsid wsp:val=&quot;007C3D6B&quot;/&gt;&lt;wsp:rsid wsp:val=&quot;007C48B8&quot;/&gt;&lt;wsp:rsid wsp:val=&quot;007C5398&quot;/&gt;&lt;wsp:rsid wsp:val=&quot;007C53B7&quot;/&gt;&lt;wsp:rsid wsp:val=&quot;007C61FC&quot;/&gt;&lt;wsp:rsid wsp:val=&quot;007C64C2&quot;/&gt;&lt;wsp:rsid wsp:val=&quot;007C6B86&quot;/&gt;&lt;wsp:rsid wsp:val=&quot;007C6CC8&quot;/&gt;&lt;wsp:rsid wsp:val=&quot;007C7350&quot;/&gt;&lt;wsp:rsid wsp:val=&quot;007C76EE&quot;/&gt;&lt;wsp:rsid wsp:val=&quot;007D0294&quot;/&gt;&lt;wsp:rsid wsp:val=&quot;007D0490&quot;/&gt;&lt;wsp:rsid wsp:val=&quot;007D0F55&quot;/&gt;&lt;wsp:rsid wsp:val=&quot;007D2ADD&quot;/&gt;&lt;wsp:rsid wsp:val=&quot;007D2CAC&quot;/&gt;&lt;wsp:rsid wsp:val=&quot;007D348B&quot;/&gt;&lt;wsp:rsid wsp:val=&quot;007D3914&quot;/&gt;&lt;wsp:rsid wsp:val=&quot;007D3EFF&quot;/&gt;&lt;wsp:rsid wsp:val=&quot;007D412B&quot;/&gt;&lt;wsp:rsid wsp:val=&quot;007D502C&quot;/&gt;&lt;wsp:rsid wsp:val=&quot;007D5527&quot;/&gt;&lt;wsp:rsid wsp:val=&quot;007D5F17&quot;/&gt;&lt;wsp:rsid wsp:val=&quot;007D6FAC&quot;/&gt;&lt;wsp:rsid wsp:val=&quot;007E0391&quot;/&gt;&lt;wsp:rsid wsp:val=&quot;007E087D&quot;/&gt;&lt;wsp:rsid wsp:val=&quot;007E097B&quot;/&gt;&lt;wsp:rsid wsp:val=&quot;007E1BAF&quot;/&gt;&lt;wsp:rsid wsp:val=&quot;007E2337&quot;/&gt;&lt;wsp:rsid wsp:val=&quot;007E30A8&quot;/&gt;&lt;wsp:rsid wsp:val=&quot;007E36F1&quot;/&gt;&lt;wsp:rsid wsp:val=&quot;007E3BE2&quot;/&gt;&lt;wsp:rsid wsp:val=&quot;007E4989&quot;/&gt;&lt;wsp:rsid wsp:val=&quot;007E4F9D&quot;/&gt;&lt;wsp:rsid wsp:val=&quot;007E5215&quot;/&gt;&lt;wsp:rsid wsp:val=&quot;007E55E7&quot;/&gt;&lt;wsp:rsid wsp:val=&quot;007E7AEC&quot;/&gt;&lt;wsp:rsid wsp:val=&quot;007F29AE&quot;/&gt;&lt;wsp:rsid wsp:val=&quot;007F3053&quot;/&gt;&lt;wsp:rsid wsp:val=&quot;007F33D8&quot;/&gt;&lt;wsp:rsid wsp:val=&quot;007F444D&quot;/&gt;&lt;wsp:rsid wsp:val=&quot;007F4519&quot;/&gt;&lt;wsp:rsid wsp:val=&quot;007F4636&quot;/&gt;&lt;wsp:rsid wsp:val=&quot;007F51FE&quot;/&gt;&lt;wsp:rsid wsp:val=&quot;007F65B3&quot;/&gt;&lt;wsp:rsid wsp:val=&quot;007F6CCE&quot;/&gt;&lt;wsp:rsid wsp:val=&quot;007F79C1&quot;/&gt;&lt;wsp:rsid wsp:val=&quot;008003B9&quot;/&gt;&lt;wsp:rsid wsp:val=&quot;008004D1&quot;/&gt;&lt;wsp:rsid wsp:val=&quot;0080069D&quot;/&gt;&lt;wsp:rsid wsp:val=&quot;00801487&quot;/&gt;&lt;wsp:rsid wsp:val=&quot;00801AF6&quot;/&gt;&lt;wsp:rsid wsp:val=&quot;00802A0B&quot;/&gt;&lt;wsp:rsid wsp:val=&quot;00803F39&quot;/&gt;&lt;wsp:rsid wsp:val=&quot;008049D0&quot;/&gt;&lt;wsp:rsid wsp:val=&quot;0080633A&quot;/&gt;&lt;wsp:rsid wsp:val=&quot;00806DD8&quot;/&gt;&lt;wsp:rsid wsp:val=&quot;008071AA&quot;/&gt;&lt;wsp:rsid wsp:val=&quot;00810177&quot;/&gt;&lt;wsp:rsid wsp:val=&quot;008109BB&quot;/&gt;&lt;wsp:rsid wsp:val=&quot;00810F24&quot;/&gt;&lt;wsp:rsid wsp:val=&quot;00811E54&quot;/&gt;&lt;wsp:rsid wsp:val=&quot;00812496&quot;/&gt;&lt;wsp:rsid wsp:val=&quot;008127DD&quot;/&gt;&lt;wsp:rsid wsp:val=&quot;00812A68&quot;/&gt;&lt;wsp:rsid wsp:val=&quot;00812A69&quot;/&gt;&lt;wsp:rsid wsp:val=&quot;00812A7E&quot;/&gt;&lt;wsp:rsid wsp:val=&quot;00813473&quot;/&gt;&lt;wsp:rsid wsp:val=&quot;0081408B&quot;/&gt;&lt;wsp:rsid wsp:val=&quot;00814093&quot;/&gt;&lt;wsp:rsid wsp:val=&quot;00815C11&quot;/&gt;&lt;wsp:rsid wsp:val=&quot;00815D3F&quot;/&gt;&lt;wsp:rsid wsp:val=&quot;00816551&quot;/&gt;&lt;wsp:rsid wsp:val=&quot;008167E2&quot;/&gt;&lt;wsp:rsid wsp:val=&quot;00817A6B&quot;/&gt;&lt;wsp:rsid wsp:val=&quot;00820AC3&quot;/&gt;&lt;wsp:rsid wsp:val=&quot;00821579&quot;/&gt;&lt;wsp:rsid wsp:val=&quot;00822113&quot;/&gt;&lt;wsp:rsid wsp:val=&quot;00822AA4&quot;/&gt;&lt;wsp:rsid wsp:val=&quot;00823281&quot;/&gt;&lt;wsp:rsid wsp:val=&quot;008240CD&quot;/&gt;&lt;wsp:rsid wsp:val=&quot;008256BF&quot;/&gt;&lt;wsp:rsid wsp:val=&quot;008257A8&quot;/&gt;&lt;wsp:rsid wsp:val=&quot;00825A1E&quot;/&gt;&lt;wsp:rsid wsp:val=&quot;0082743F&quot;/&gt;&lt;wsp:rsid wsp:val=&quot;008274D0&quot;/&gt;&lt;wsp:rsid wsp:val=&quot;00827EF7&quot;/&gt;&lt;wsp:rsid wsp:val=&quot;00830BCE&quot;/&gt;&lt;wsp:rsid wsp:val=&quot;00831AF5&quot;/&gt;&lt;wsp:rsid wsp:val=&quot;00832080&quot;/&gt;&lt;wsp:rsid wsp:val=&quot;00833009&quot;/&gt;&lt;wsp:rsid wsp:val=&quot;0083373D&quot;/&gt;&lt;wsp:rsid wsp:val=&quot;0083400F&quot;/&gt;&lt;wsp:rsid wsp:val=&quot;00834C21&quot;/&gt;&lt;wsp:rsid wsp:val=&quot;00834E9D&quot;/&gt;&lt;wsp:rsid wsp:val=&quot;00835FB8&quot;/&gt;&lt;wsp:rsid wsp:val=&quot;00836440&quot;/&gt;&lt;wsp:rsid wsp:val=&quot;00836994&quot;/&gt;&lt;wsp:rsid wsp:val=&quot;00836F5E&quot;/&gt;&lt;wsp:rsid wsp:val=&quot;008372D5&quot;/&gt;&lt;wsp:rsid wsp:val=&quot;008378FF&quot;/&gt;&lt;wsp:rsid wsp:val=&quot;00837A73&quot;/&gt;&lt;wsp:rsid wsp:val=&quot;00837B45&quot;/&gt;&lt;wsp:rsid wsp:val=&quot;00837BBB&quot;/&gt;&lt;wsp:rsid wsp:val=&quot;008411D0&quot;/&gt;&lt;wsp:rsid wsp:val=&quot;008441AB&quot;/&gt;&lt;wsp:rsid wsp:val=&quot;008441C9&quot;/&gt;&lt;wsp:rsid wsp:val=&quot;008446DC&quot;/&gt;&lt;wsp:rsid wsp:val=&quot;0084591A&quot;/&gt;&lt;wsp:rsid wsp:val=&quot;00845FD9&quot;/&gt;&lt;wsp:rsid wsp:val=&quot;00846486&quot;/&gt;&lt;wsp:rsid wsp:val=&quot;00846693&quot;/&gt;&lt;wsp:rsid wsp:val=&quot;00846CD7&quot;/&gt;&lt;wsp:rsid wsp:val=&quot;008478AB&quot;/&gt;&lt;wsp:rsid wsp:val=&quot;0085169C&quot;/&gt;&lt;wsp:rsid wsp:val=&quot;00851703&quot;/&gt;&lt;wsp:rsid wsp:val=&quot;008519D4&quot;/&gt;&lt;wsp:rsid wsp:val=&quot;008533A3&quot;/&gt;&lt;wsp:rsid wsp:val=&quot;00854DE3&quot;/&gt;&lt;wsp:rsid wsp:val=&quot;00854FBD&quot;/&gt;&lt;wsp:rsid wsp:val=&quot;00855B2E&quot;/&gt;&lt;wsp:rsid wsp:val=&quot;0085607E&quot;/&gt;&lt;wsp:rsid wsp:val=&quot;00856BEE&quot;/&gt;&lt;wsp:rsid wsp:val=&quot;00856D30&quot;/&gt;&lt;wsp:rsid wsp:val=&quot;00860B8B&quot;/&gt;&lt;wsp:rsid wsp:val=&quot;00863041&quot;/&gt;&lt;wsp:rsid wsp:val=&quot;0086326E&quot;/&gt;&lt;wsp:rsid wsp:val=&quot;008634A0&quot;/&gt;&lt;wsp:rsid wsp:val=&quot;00864AE9&quot;/&gt;&lt;wsp:rsid wsp:val=&quot;00864CBB&quot;/&gt;&lt;wsp:rsid wsp:val=&quot;00864D0C&quot;/&gt;&lt;wsp:rsid wsp:val=&quot;008660E2&quot;/&gt;&lt;wsp:rsid wsp:val=&quot;00866F1F&quot;/&gt;&lt;wsp:rsid wsp:val=&quot;0086787B&quot;/&gt;&lt;wsp:rsid wsp:val=&quot;008701BC&quot;/&gt;&lt;wsp:rsid wsp:val=&quot;0087057D&quot;/&gt;&lt;wsp:rsid wsp:val=&quot;008712B5&quot;/&gt;&lt;wsp:rsid wsp:val=&quot;00871897&quot;/&gt;&lt;wsp:rsid wsp:val=&quot;008744E5&quot;/&gt;&lt;wsp:rsid wsp:val=&quot;00874964&quot;/&gt;&lt;wsp:rsid wsp:val=&quot;008755DE&quot;/&gt;&lt;wsp:rsid wsp:val=&quot;008759BE&quot;/&gt;&lt;wsp:rsid wsp:val=&quot;00875FD7&quot;/&gt;&lt;wsp:rsid wsp:val=&quot;008775C4&quot;/&gt;&lt;wsp:rsid wsp:val=&quot;00877FEC&quot;/&gt;&lt;wsp:rsid wsp:val=&quot;0088074E&quot;/&gt;&lt;wsp:rsid wsp:val=&quot;00880AB0&quot;/&gt;&lt;wsp:rsid wsp:val=&quot;008821BF&quot;/&gt;&lt;wsp:rsid wsp:val=&quot;008823C3&quot;/&gt;&lt;wsp:rsid wsp:val=&quot;00882951&quot;/&gt;&lt;wsp:rsid wsp:val=&quot;00883DD7&quot;/&gt;&lt;wsp:rsid wsp:val=&quot;008847BD&quot;/&gt;&lt;wsp:rsid wsp:val=&quot;00885415&quot;/&gt;&lt;wsp:rsid wsp:val=&quot;00886CFA&quot;/&gt;&lt;wsp:rsid wsp:val=&quot;00886E85&quot;/&gt;&lt;wsp:rsid wsp:val=&quot;0088771A&quot;/&gt;&lt;wsp:rsid wsp:val=&quot;0088779D&quot;/&gt;&lt;wsp:rsid wsp:val=&quot;008904AE&quot;/&gt;&lt;wsp:rsid wsp:val=&quot;008938F3&quot;/&gt;&lt;wsp:rsid wsp:val=&quot;008941D0&quot;/&gt;&lt;wsp:rsid wsp:val=&quot;0089716F&quot;/&gt;&lt;wsp:rsid wsp:val=&quot;00897FC8&quot;/&gt;&lt;wsp:rsid wsp:val=&quot;008A05CE&quot;/&gt;&lt;wsp:rsid wsp:val=&quot;008A067E&quot;/&gt;&lt;wsp:rsid wsp:val=&quot;008A095C&quot;/&gt;&lt;wsp:rsid wsp:val=&quot;008A1230&quot;/&gt;&lt;wsp:rsid wsp:val=&quot;008A161C&quot;/&gt;&lt;wsp:rsid wsp:val=&quot;008A1AD4&quot;/&gt;&lt;wsp:rsid wsp:val=&quot;008A26BA&quot;/&gt;&lt;wsp:rsid wsp:val=&quot;008A39EF&quot;/&gt;&lt;wsp:rsid wsp:val=&quot;008A3A2E&quot;/&gt;&lt;wsp:rsid wsp:val=&quot;008A3EA8&quot;/&gt;&lt;wsp:rsid wsp:val=&quot;008A413C&quot;/&gt;&lt;wsp:rsid wsp:val=&quot;008A451C&quot;/&gt;&lt;wsp:rsid wsp:val=&quot;008A4802&quot;/&gt;&lt;wsp:rsid wsp:val=&quot;008A4A95&quot;/&gt;&lt;wsp:rsid wsp:val=&quot;008A4B16&quot;/&gt;&lt;wsp:rsid wsp:val=&quot;008A4B30&quot;/&gt;&lt;wsp:rsid wsp:val=&quot;008A598B&quot;/&gt;&lt;wsp:rsid wsp:val=&quot;008A65E1&quot;/&gt;&lt;wsp:rsid wsp:val=&quot;008A6BD6&quot;/&gt;&lt;wsp:rsid wsp:val=&quot;008A7C36&quot;/&gt;&lt;wsp:rsid wsp:val=&quot;008B0390&quot;/&gt;&lt;wsp:rsid wsp:val=&quot;008B04ED&quot;/&gt;&lt;wsp:rsid wsp:val=&quot;008B115A&quot;/&gt;&lt;wsp:rsid wsp:val=&quot;008B1CF1&quot;/&gt;&lt;wsp:rsid wsp:val=&quot;008B255F&quot;/&gt;&lt;wsp:rsid wsp:val=&quot;008B29B4&quot;/&gt;&lt;wsp:rsid wsp:val=&quot;008B3B19&quot;/&gt;&lt;wsp:rsid wsp:val=&quot;008B4073&quot;/&gt;&lt;wsp:rsid wsp:val=&quot;008B47C7&quot;/&gt;&lt;wsp:rsid wsp:val=&quot;008B49B3&quot;/&gt;&lt;wsp:rsid wsp:val=&quot;008B6C65&quot;/&gt;&lt;wsp:rsid wsp:val=&quot;008B6F44&quot;/&gt;&lt;wsp:rsid wsp:val=&quot;008C0051&quot;/&gt;&lt;wsp:rsid wsp:val=&quot;008C01A1&quot;/&gt;&lt;wsp:rsid wsp:val=&quot;008C0BC1&quot;/&gt;&lt;wsp:rsid wsp:val=&quot;008C169D&quot;/&gt;&lt;wsp:rsid wsp:val=&quot;008C2D2B&quot;/&gt;&lt;wsp:rsid wsp:val=&quot;008C2EBA&quot;/&gt;&lt;wsp:rsid wsp:val=&quot;008C3488&quot;/&gt;&lt;wsp:rsid wsp:val=&quot;008C370C&quot;/&gt;&lt;wsp:rsid wsp:val=&quot;008C46DA&quot;/&gt;&lt;wsp:rsid wsp:val=&quot;008C49B3&quot;/&gt;&lt;wsp:rsid wsp:val=&quot;008C4CEB&quot;/&gt;&lt;wsp:rsid wsp:val=&quot;008C5B7A&quot;/&gt;&lt;wsp:rsid wsp:val=&quot;008C5FEE&quot;/&gt;&lt;wsp:rsid wsp:val=&quot;008C7566&quot;/&gt;&lt;wsp:rsid wsp:val=&quot;008D150B&quot;/&gt;&lt;wsp:rsid wsp:val=&quot;008D172C&quot;/&gt;&lt;wsp:rsid wsp:val=&quot;008D2EC7&quot;/&gt;&lt;wsp:rsid wsp:val=&quot;008D2F23&quot;/&gt;&lt;wsp:rsid wsp:val=&quot;008D3106&quot;/&gt;&lt;wsp:rsid wsp:val=&quot;008D36B0&quot;/&gt;&lt;wsp:rsid wsp:val=&quot;008D3DD9&quot;/&gt;&lt;wsp:rsid wsp:val=&quot;008D3F23&quot;/&gt;&lt;wsp:rsid wsp:val=&quot;008D459E&quot;/&gt;&lt;wsp:rsid wsp:val=&quot;008D4654&quot;/&gt;&lt;wsp:rsid wsp:val=&quot;008D4851&quot;/&gt;&lt;wsp:rsid wsp:val=&quot;008D4F68&quot;/&gt;&lt;wsp:rsid wsp:val=&quot;008D686F&quot;/&gt;&lt;wsp:rsid wsp:val=&quot;008D6B6E&quot;/&gt;&lt;wsp:rsid wsp:val=&quot;008D6F20&quot;/&gt;&lt;wsp:rsid wsp:val=&quot;008D7727&quot;/&gt;&lt;wsp:rsid wsp:val=&quot;008E0385&quot;/&gt;&lt;wsp:rsid wsp:val=&quot;008E08EE&quot;/&gt;&lt;wsp:rsid wsp:val=&quot;008E23F0&quot;/&gt;&lt;wsp:rsid wsp:val=&quot;008E3651&quot;/&gt;&lt;wsp:rsid wsp:val=&quot;008E3BDA&quot;/&gt;&lt;wsp:rsid wsp:val=&quot;008E462C&quot;/&gt;&lt;wsp:rsid wsp:val=&quot;008E5FF7&quot;/&gt;&lt;wsp:rsid wsp:val=&quot;008E62B9&quot;/&gt;&lt;wsp:rsid wsp:val=&quot;008E6389&quot;/&gt;&lt;wsp:rsid wsp:val=&quot;008E78D2&quot;/&gt;&lt;wsp:rsid wsp:val=&quot;008E7949&quot;/&gt;&lt;wsp:rsid wsp:val=&quot;008F065F&quot;/&gt;&lt;wsp:rsid wsp:val=&quot;008F184F&quot;/&gt;&lt;wsp:rsid wsp:val=&quot;008F1EA1&quot;/&gt;&lt;wsp:rsid wsp:val=&quot;008F26B2&quot;/&gt;&lt;wsp:rsid wsp:val=&quot;008F28A2&quot;/&gt;&lt;wsp:rsid wsp:val=&quot;008F37E2&quot;/&gt;&lt;wsp:rsid wsp:val=&quot;008F3AC2&quot;/&gt;&lt;wsp:rsid wsp:val=&quot;008F435E&quot;/&gt;&lt;wsp:rsid wsp:val=&quot;008F4B29&quot;/&gt;&lt;wsp:rsid wsp:val=&quot;008F59C8&quot;/&gt;&lt;wsp:rsid wsp:val=&quot;008F73F8&quot;/&gt;&lt;wsp:rsid wsp:val=&quot;008F759A&quot;/&gt;&lt;wsp:rsid wsp:val=&quot;00900BDD&quot;/&gt;&lt;wsp:rsid wsp:val=&quot;00900F3A&quot;/&gt;&lt;wsp:rsid wsp:val=&quot;00901B4B&quot;/&gt;&lt;wsp:rsid wsp:val=&quot;00901BE6&quot;/&gt;&lt;wsp:rsid wsp:val=&quot;00901FDD&quot;/&gt;&lt;wsp:rsid wsp:val=&quot;00903168&quot;/&gt;&lt;wsp:rsid wsp:val=&quot;00903624&quot;/&gt;&lt;wsp:rsid wsp:val=&quot;0090480E&quot;/&gt;&lt;wsp:rsid wsp:val=&quot;00905234&quot;/&gt;&lt;wsp:rsid wsp:val=&quot;009056EA&quot;/&gt;&lt;wsp:rsid wsp:val=&quot;009059ED&quot;/&gt;&lt;wsp:rsid wsp:val=&quot;00905B68&quot;/&gt;&lt;wsp:rsid wsp:val=&quot;0090602D&quot;/&gt;&lt;wsp:rsid wsp:val=&quot;00906818&quot;/&gt;&lt;wsp:rsid wsp:val=&quot;009069EE&quot;/&gt;&lt;wsp:rsid wsp:val=&quot;00910F8F&quot;/&gt;&lt;wsp:rsid wsp:val=&quot;0091276A&quot;/&gt;&lt;wsp:rsid wsp:val=&quot;009132CC&quot;/&gt;&lt;wsp:rsid wsp:val=&quot;00913B48&quot;/&gt;&lt;wsp:rsid wsp:val=&quot;00914A2F&quot;/&gt;&lt;wsp:rsid wsp:val=&quot;009151A9&quot;/&gt;&lt;wsp:rsid wsp:val=&quot;00915AAB&quot;/&gt;&lt;wsp:rsid wsp:val=&quot;009166A4&quot;/&gt;&lt;wsp:rsid wsp:val=&quot;00916C37&quot;/&gt;&lt;wsp:rsid wsp:val=&quot;00916D41&quot;/&gt;&lt;wsp:rsid wsp:val=&quot;00917D32&quot;/&gt;&lt;wsp:rsid wsp:val=&quot;00921B68&quot;/&gt;&lt;wsp:rsid wsp:val=&quot;00922118&quot;/&gt;&lt;wsp:rsid wsp:val=&quot;00924415&quot;/&gt;&lt;wsp:rsid wsp:val=&quot;00924DFE&quot;/&gt;&lt;wsp:rsid wsp:val=&quot;009250D5&quot;/&gt;&lt;wsp:rsid wsp:val=&quot;00926A1B&quot;/&gt;&lt;wsp:rsid wsp:val=&quot;00926BC2&quot;/&gt;&lt;wsp:rsid wsp:val=&quot;00930541&quot;/&gt;&lt;wsp:rsid wsp:val=&quot;00930CF4&quot;/&gt;&lt;wsp:rsid wsp:val=&quot;00931168&quot;/&gt;&lt;wsp:rsid wsp:val=&quot;00931411&quot;/&gt;&lt;wsp:rsid wsp:val=&quot;00931998&quot;/&gt;&lt;wsp:rsid wsp:val=&quot;00934492&quot;/&gt;&lt;wsp:rsid wsp:val=&quot;009344F7&quot;/&gt;&lt;wsp:rsid wsp:val=&quot;00935FD0&quot;/&gt;&lt;wsp:rsid wsp:val=&quot;00936E8D&quot;/&gt;&lt;wsp:rsid wsp:val=&quot;00937F75&quot;/&gt;&lt;wsp:rsid wsp:val=&quot;009408EA&quot;/&gt;&lt;wsp:rsid wsp:val=&quot;00940A6C&quot;/&gt;&lt;wsp:rsid wsp:val=&quot;00940ADD&quot;/&gt;&lt;wsp:rsid wsp:val=&quot;00940AF8&quot;/&gt;&lt;wsp:rsid wsp:val=&quot;00944384&quot;/&gt;&lt;wsp:rsid wsp:val=&quot;0094560A&quot;/&gt;&lt;wsp:rsid wsp:val=&quot;00945EFB&quot;/&gt;&lt;wsp:rsid wsp:val=&quot;0094625C&quot;/&gt;&lt;wsp:rsid wsp:val=&quot;00946DBD&quot;/&gt;&lt;wsp:rsid wsp:val=&quot;00946FE4&quot;/&gt;&lt;wsp:rsid wsp:val=&quot;00946FF9&quot;/&gt;&lt;wsp:rsid wsp:val=&quot;00947BD9&quot;/&gt;&lt;wsp:rsid wsp:val=&quot;00950082&quot;/&gt;&lt;wsp:rsid wsp:val=&quot;00950473&quot;/&gt;&lt;wsp:rsid wsp:val=&quot;009504BF&quot;/&gt;&lt;wsp:rsid wsp:val=&quot;00952275&quot;/&gt;&lt;wsp:rsid wsp:val=&quot;00952ED5&quot;/&gt;&lt;wsp:rsid wsp:val=&quot;009534DE&quot;/&gt;&lt;wsp:rsid wsp:val=&quot;00953AED&quot;/&gt;&lt;wsp:rsid wsp:val=&quot;009549B0&quot;/&gt;&lt;wsp:rsid wsp:val=&quot;00955F5D&quot;/&gt;&lt;wsp:rsid wsp:val=&quot;00956609&quot;/&gt;&lt;wsp:rsid wsp:val=&quot;00956B82&quot;/&gt;&lt;wsp:rsid wsp:val=&quot;009606BE&quot;/&gt;&lt;wsp:rsid wsp:val=&quot;009609F2&quot;/&gt;&lt;wsp:rsid wsp:val=&quot;00960D2F&quot;/&gt;&lt;wsp:rsid wsp:val=&quot;00962874&quot;/&gt;&lt;wsp:rsid wsp:val=&quot;00963897&quot;/&gt;&lt;wsp:rsid wsp:val=&quot;00964334&quot;/&gt;&lt;wsp:rsid wsp:val=&quot;00964863&quot;/&gt;&lt;wsp:rsid wsp:val=&quot;009649A0&quot;/&gt;&lt;wsp:rsid wsp:val=&quot;0096582F&quot;/&gt;&lt;wsp:rsid wsp:val=&quot;00965A0E&quot;/&gt;&lt;wsp:rsid wsp:val=&quot;00965E5B&quot;/&gt;&lt;wsp:rsid wsp:val=&quot;00966EB6&quot;/&gt;&lt;wsp:rsid wsp:val=&quot;009711C3&quot;/&gt;&lt;wsp:rsid wsp:val=&quot;0097129D&quot;/&gt;&lt;wsp:rsid wsp:val=&quot;00971E42&quot;/&gt;&lt;wsp:rsid wsp:val=&quot;00972328&quot;/&gt;&lt;wsp:rsid wsp:val=&quot;0097299B&quot;/&gt;&lt;wsp:rsid wsp:val=&quot;00973701&quot;/&gt;&lt;wsp:rsid wsp:val=&quot;00973F74&quot;/&gt;&lt;wsp:rsid wsp:val=&quot;00974A67&quot;/&gt;&lt;wsp:rsid wsp:val=&quot;00974B40&quot;/&gt;&lt;wsp:rsid wsp:val=&quot;0097685E&quot;/&gt;&lt;wsp:rsid wsp:val=&quot;0097693F&quot;/&gt;&lt;wsp:rsid wsp:val=&quot;00980BAE&quot;/&gt;&lt;wsp:rsid wsp:val=&quot;00980EE1&quot;/&gt;&lt;wsp:rsid wsp:val=&quot;009819A6&quot;/&gt;&lt;wsp:rsid wsp:val=&quot;00983D60&quot;/&gt;&lt;wsp:rsid wsp:val=&quot;00984698&quot;/&gt;&lt;wsp:rsid wsp:val=&quot;009849C8&quot;/&gt;&lt;wsp:rsid wsp:val=&quot;00984D7F&quot;/&gt;&lt;wsp:rsid wsp:val=&quot;00985680&quot;/&gt;&lt;wsp:rsid wsp:val=&quot;009860A7&quot;/&gt;&lt;wsp:rsid wsp:val=&quot;0098645E&quot;/&gt;&lt;wsp:rsid wsp:val=&quot;00990FCD&quot;/&gt;&lt;wsp:rsid wsp:val=&quot;009918A9&quot;/&gt;&lt;wsp:rsid wsp:val=&quot;00991BDA&quot;/&gt;&lt;wsp:rsid wsp:val=&quot;00993545&quot;/&gt;&lt;wsp:rsid wsp:val=&quot;009950D9&quot;/&gt;&lt;wsp:rsid wsp:val=&quot;00996A49&quot;/&gt;&lt;wsp:rsid wsp:val=&quot;009A0F59&quot;/&gt;&lt;wsp:rsid wsp:val=&quot;009A166A&quot;/&gt;&lt;wsp:rsid wsp:val=&quot;009A17CE&quot;/&gt;&lt;wsp:rsid wsp:val=&quot;009A2C51&quot;/&gt;&lt;wsp:rsid wsp:val=&quot;009A409D&quot;/&gt;&lt;wsp:rsid wsp:val=&quot;009A427F&quot;/&gt;&lt;wsp:rsid wsp:val=&quot;009A459E&quot;/&gt;&lt;wsp:rsid wsp:val=&quot;009A4ECD&quot;/&gt;&lt;wsp:rsid wsp:val=&quot;009A56A7&quot;/&gt;&lt;wsp:rsid wsp:val=&quot;009A5874&quot;/&gt;&lt;wsp:rsid wsp:val=&quot;009A734C&quot;/&gt;&lt;wsp:rsid wsp:val=&quot;009A7964&quot;/&gt;&lt;wsp:rsid wsp:val=&quot;009A7F95&quot;/&gt;&lt;wsp:rsid wsp:val=&quot;009B03E4&quot;/&gt;&lt;wsp:rsid wsp:val=&quot;009B0820&quot;/&gt;&lt;wsp:rsid wsp:val=&quot;009B11D7&quot;/&gt;&lt;wsp:rsid wsp:val=&quot;009B1952&quot;/&gt;&lt;wsp:rsid wsp:val=&quot;009B1FA7&quot;/&gt;&lt;wsp:rsid wsp:val=&quot;009B2F4A&quot;/&gt;&lt;wsp:rsid wsp:val=&quot;009B35F4&quot;/&gt;&lt;wsp:rsid wsp:val=&quot;009B4D96&quot;/&gt;&lt;wsp:rsid wsp:val=&quot;009B6133&quot;/&gt;&lt;wsp:rsid wsp:val=&quot;009B643E&quot;/&gt;&lt;wsp:rsid wsp:val=&quot;009B724A&quot;/&gt;&lt;wsp:rsid wsp:val=&quot;009C02A7&quot;/&gt;&lt;wsp:rsid wsp:val=&quot;009C044D&quot;/&gt;&lt;wsp:rsid wsp:val=&quot;009C086A&quot;/&gt;&lt;wsp:rsid wsp:val=&quot;009C2016&quot;/&gt;&lt;wsp:rsid wsp:val=&quot;009C21EC&quot;/&gt;&lt;wsp:rsid wsp:val=&quot;009C3190&quot;/&gt;&lt;wsp:rsid wsp:val=&quot;009C328D&quot;/&gt;&lt;wsp:rsid wsp:val=&quot;009C3E22&quot;/&gt;&lt;wsp:rsid wsp:val=&quot;009C50CB&quot;/&gt;&lt;wsp:rsid wsp:val=&quot;009C5348&quot;/&gt;&lt;wsp:rsid wsp:val=&quot;009C6D39&quot;/&gt;&lt;wsp:rsid wsp:val=&quot;009C6F27&quot;/&gt;&lt;wsp:rsid wsp:val=&quot;009C7ACD&quot;/&gt;&lt;wsp:rsid wsp:val=&quot;009D1962&quot;/&gt;&lt;wsp:rsid wsp:val=&quot;009D20A1&quot;/&gt;&lt;wsp:rsid wsp:val=&quot;009D2297&quot;/&gt;&lt;wsp:rsid wsp:val=&quot;009D2B0E&quot;/&gt;&lt;wsp:rsid wsp:val=&quot;009D2F26&quot;/&gt;&lt;wsp:rsid wsp:val=&quot;009D31F3&quot;/&gt;&lt;wsp:rsid wsp:val=&quot;009D3B4F&quot;/&gt;&lt;wsp:rsid wsp:val=&quot;009D48A0&quot;/&gt;&lt;wsp:rsid wsp:val=&quot;009D4AC2&quot;/&gt;&lt;wsp:rsid wsp:val=&quot;009D6377&quot;/&gt;&lt;wsp:rsid wsp:val=&quot;009D69D0&quot;/&gt;&lt;wsp:rsid wsp:val=&quot;009D72C5&quot;/&gt;&lt;wsp:rsid wsp:val=&quot;009E1291&quot;/&gt;&lt;wsp:rsid wsp:val=&quot;009E1AC8&quot;/&gt;&lt;wsp:rsid wsp:val=&quot;009E1F2D&quot;/&gt;&lt;wsp:rsid wsp:val=&quot;009E2AD8&quot;/&gt;&lt;wsp:rsid wsp:val=&quot;009E3BAB&quot;/&gt;&lt;wsp:rsid wsp:val=&quot;009E40C4&quot;/&gt;&lt;wsp:rsid wsp:val=&quot;009E45FD&quot;/&gt;&lt;wsp:rsid wsp:val=&quot;009E486A&quot;/&gt;&lt;wsp:rsid wsp:val=&quot;009E6321&quot;/&gt;&lt;wsp:rsid wsp:val=&quot;009E6884&quot;/&gt;&lt;wsp:rsid wsp:val=&quot;009E689A&quot;/&gt;&lt;wsp:rsid wsp:val=&quot;009E68DA&quot;/&gt;&lt;wsp:rsid wsp:val=&quot;009E6EA8&quot;/&gt;&lt;wsp:rsid wsp:val=&quot;009E6EF9&quot;/&gt;&lt;wsp:rsid wsp:val=&quot;009E7921&quot;/&gt;&lt;wsp:rsid wsp:val=&quot;009F0676&quot;/&gt;&lt;wsp:rsid wsp:val=&quot;009F0B64&quot;/&gt;&lt;wsp:rsid wsp:val=&quot;009F0BB7&quot;/&gt;&lt;wsp:rsid wsp:val=&quot;009F112E&quot;/&gt;&lt;wsp:rsid wsp:val=&quot;009F1DC3&quot;/&gt;&lt;wsp:rsid wsp:val=&quot;009F2039&quot;/&gt;&lt;wsp:rsid wsp:val=&quot;009F4CFC&quot;/&gt;&lt;wsp:rsid wsp:val=&quot;009F4EF0&quot;/&gt;&lt;wsp:rsid wsp:val=&quot;009F55E0&quot;/&gt;&lt;wsp:rsid wsp:val=&quot;009F6E3C&quot;/&gt;&lt;wsp:rsid wsp:val=&quot;009F7008&quot;/&gt;&lt;wsp:rsid wsp:val=&quot;009F79C7&quot;/&gt;&lt;wsp:rsid wsp:val=&quot;009F7D47&quot;/&gt;&lt;wsp:rsid wsp:val=&quot;00A022FF&quot;/&gt;&lt;wsp:rsid wsp:val=&quot;00A023BC&quot;/&gt;&lt;wsp:rsid wsp:val=&quot;00A0258B&quot;/&gt;&lt;wsp:rsid wsp:val=&quot;00A054D6&quot;/&gt;&lt;wsp:rsid wsp:val=&quot;00A05D39&quot;/&gt;&lt;wsp:rsid wsp:val=&quot;00A0604B&quot;/&gt;&lt;wsp:rsid wsp:val=&quot;00A061C7&quot;/&gt;&lt;wsp:rsid wsp:val=&quot;00A06F5C&quot;/&gt;&lt;wsp:rsid wsp:val=&quot;00A077BB&quot;/&gt;&lt;wsp:rsid wsp:val=&quot;00A07917&quot;/&gt;&lt;wsp:rsid wsp:val=&quot;00A07CFC&quot;/&gt;&lt;wsp:rsid wsp:val=&quot;00A10533&quot;/&gt;&lt;wsp:rsid wsp:val=&quot;00A10DE8&quot;/&gt;&lt;wsp:rsid wsp:val=&quot;00A11573&quot;/&gt;&lt;wsp:rsid wsp:val=&quot;00A12F5C&quot;/&gt;&lt;wsp:rsid wsp:val=&quot;00A134EE&quot;/&gt;&lt;wsp:rsid wsp:val=&quot;00A13A68&quot;/&gt;&lt;wsp:rsid wsp:val=&quot;00A13B6E&quot;/&gt;&lt;wsp:rsid wsp:val=&quot;00A14381&quot;/&gt;&lt;wsp:rsid wsp:val=&quot;00A1446D&quot;/&gt;&lt;wsp:rsid wsp:val=&quot;00A161FA&quot;/&gt;&lt;wsp:rsid wsp:val=&quot;00A16476&quot;/&gt;&lt;wsp:rsid wsp:val=&quot;00A168A9&quot;/&gt;&lt;wsp:rsid wsp:val=&quot;00A16FA0&quot;/&gt;&lt;wsp:rsid wsp:val=&quot;00A17087&quot;/&gt;&lt;wsp:rsid wsp:val=&quot;00A17741&quot;/&gt;&lt;wsp:rsid wsp:val=&quot;00A1776B&quot;/&gt;&lt;wsp:rsid wsp:val=&quot;00A21843&quot;/&gt;&lt;wsp:rsid wsp:val=&quot;00A23858&quot;/&gt;&lt;wsp:rsid wsp:val=&quot;00A243EE&quot;/&gt;&lt;wsp:rsid wsp:val=&quot;00A24838&quot;/&gt;&lt;wsp:rsid wsp:val=&quot;00A24D17&quot;/&gt;&lt;wsp:rsid wsp:val=&quot;00A272BA&quot;/&gt;&lt;wsp:rsid wsp:val=&quot;00A27C16&quot;/&gt;&lt;wsp:rsid wsp:val=&quot;00A3060E&quot;/&gt;&lt;wsp:rsid wsp:val=&quot;00A30853&quot;/&gt;&lt;wsp:rsid wsp:val=&quot;00A31400&quot;/&gt;&lt;wsp:rsid wsp:val=&quot;00A31507&quot;/&gt;&lt;wsp:rsid wsp:val=&quot;00A3170F&quot;/&gt;&lt;wsp:rsid wsp:val=&quot;00A323C2&quot;/&gt;&lt;wsp:rsid wsp:val=&quot;00A33437&quot;/&gt;&lt;wsp:rsid wsp:val=&quot;00A33735&quot;/&gt;&lt;wsp:rsid wsp:val=&quot;00A36048&quot;/&gt;&lt;wsp:rsid wsp:val=&quot;00A36939&quot;/&gt;&lt;wsp:rsid wsp:val=&quot;00A36BF0&quot;/&gt;&lt;wsp:rsid wsp:val=&quot;00A37690&quot;/&gt;&lt;wsp:rsid wsp:val=&quot;00A37789&quot;/&gt;&lt;wsp:rsid wsp:val=&quot;00A37826&quot;/&gt;&lt;wsp:rsid wsp:val=&quot;00A401B4&quot;/&gt;&lt;wsp:rsid wsp:val=&quot;00A40665&quot;/&gt;&lt;wsp:rsid wsp:val=&quot;00A40686&quot;/&gt;&lt;wsp:rsid wsp:val=&quot;00A41241&quot;/&gt;&lt;wsp:rsid wsp:val=&quot;00A42BE9&quot;/&gt;&lt;wsp:rsid wsp:val=&quot;00A42C5E&quot;/&gt;&lt;wsp:rsid wsp:val=&quot;00A456D4&quot;/&gt;&lt;wsp:rsid wsp:val=&quot;00A457E7&quot;/&gt;&lt;wsp:rsid wsp:val=&quot;00A45AC9&quot;/&gt;&lt;wsp:rsid wsp:val=&quot;00A4768D&quot;/&gt;&lt;wsp:rsid wsp:val=&quot;00A47C2F&quot;/&gt;&lt;wsp:rsid wsp:val=&quot;00A47E0D&quot;/&gt;&lt;wsp:rsid wsp:val=&quot;00A51022&quot;/&gt;&lt;wsp:rsid wsp:val=&quot;00A5195F&quot;/&gt;&lt;wsp:rsid wsp:val=&quot;00A51C8C&quot;/&gt;&lt;wsp:rsid wsp:val=&quot;00A5274D&quot;/&gt;&lt;wsp:rsid wsp:val=&quot;00A52CE0&quot;/&gt;&lt;wsp:rsid wsp:val=&quot;00A52D24&quot;/&gt;&lt;wsp:rsid wsp:val=&quot;00A53A46&quot;/&gt;&lt;wsp:rsid wsp:val=&quot;00A54451&quot;/&gt;&lt;wsp:rsid wsp:val=&quot;00A605AB&quot;/&gt;&lt;wsp:rsid wsp:val=&quot;00A60703&quot;/&gt;&lt;wsp:rsid wsp:val=&quot;00A60C00&quot;/&gt;&lt;wsp:rsid wsp:val=&quot;00A618B6&quot;/&gt;&lt;wsp:rsid wsp:val=&quot;00A6280C&quot;/&gt;&lt;wsp:rsid wsp:val=&quot;00A62CFC&quot;/&gt;&lt;wsp:rsid wsp:val=&quot;00A62D1D&quot;/&gt;&lt;wsp:rsid wsp:val=&quot;00A62F21&quot;/&gt;&lt;wsp:rsid wsp:val=&quot;00A63060&quot;/&gt;&lt;wsp:rsid wsp:val=&quot;00A6342A&quot;/&gt;&lt;wsp:rsid wsp:val=&quot;00A63A15&quot;/&gt;&lt;wsp:rsid wsp:val=&quot;00A63D4C&quot;/&gt;&lt;wsp:rsid wsp:val=&quot;00A64825&quot;/&gt;&lt;wsp:rsid wsp:val=&quot;00A64DE2&quot;/&gt;&lt;wsp:rsid wsp:val=&quot;00A65CA3&quot;/&gt;&lt;wsp:rsid wsp:val=&quot;00A66499&quot;/&gt;&lt;wsp:rsid wsp:val=&quot;00A667C2&quot;/&gt;&lt;wsp:rsid wsp:val=&quot;00A72C67&quot;/&gt;&lt;wsp:rsid wsp:val=&quot;00A731EB&quot;/&gt;&lt;wsp:rsid wsp:val=&quot;00A73E9B&quot;/&gt;&lt;wsp:rsid wsp:val=&quot;00A73F05&quot;/&gt;&lt;wsp:rsid wsp:val=&quot;00A7465B&quot;/&gt;&lt;wsp:rsid wsp:val=&quot;00A74984&quot;/&gt;&lt;wsp:rsid wsp:val=&quot;00A74A17&quot;/&gt;&lt;wsp:rsid wsp:val=&quot;00A75CE7&quot;/&gt;&lt;wsp:rsid wsp:val=&quot;00A76718&quot;/&gt;&lt;wsp:rsid wsp:val=&quot;00A76D92&quot;/&gt;&lt;wsp:rsid wsp:val=&quot;00A77808&quot;/&gt;&lt;wsp:rsid wsp:val=&quot;00A80064&quot;/&gt;&lt;wsp:rsid wsp:val=&quot;00A8070F&quot;/&gt;&lt;wsp:rsid wsp:val=&quot;00A80D28&quot;/&gt;&lt;wsp:rsid wsp:val=&quot;00A80F15&quot;/&gt;&lt;wsp:rsid wsp:val=&quot;00A81398&quot;/&gt;&lt;wsp:rsid wsp:val=&quot;00A82BDB&quot;/&gt;&lt;wsp:rsid wsp:val=&quot;00A83363&quot;/&gt;&lt;wsp:rsid wsp:val=&quot;00A84976&quot;/&gt;&lt;wsp:rsid wsp:val=&quot;00A85057&quot;/&gt;&lt;wsp:rsid wsp:val=&quot;00A85792&quot;/&gt;&lt;wsp:rsid wsp:val=&quot;00A86C31&quot;/&gt;&lt;wsp:rsid wsp:val=&quot;00A86D8B&quot;/&gt;&lt;wsp:rsid wsp:val=&quot;00A87151&quot;/&gt;&lt;wsp:rsid wsp:val=&quot;00A90198&quot;/&gt;&lt;wsp:rsid wsp:val=&quot;00A90215&quot;/&gt;&lt;wsp:rsid wsp:val=&quot;00A90F4B&quot;/&gt;&lt;wsp:rsid wsp:val=&quot;00A918E4&quot;/&gt;&lt;wsp:rsid wsp:val=&quot;00A919C9&quot;/&gt;&lt;wsp:rsid wsp:val=&quot;00A91A2B&quot;/&gt;&lt;wsp:rsid wsp:val=&quot;00A91A84&quot;/&gt;&lt;wsp:rsid wsp:val=&quot;00A91BC0&quot;/&gt;&lt;wsp:rsid wsp:val=&quot;00A91CDF&quot;/&gt;&lt;wsp:rsid wsp:val=&quot;00A91E3C&quot;/&gt;&lt;wsp:rsid wsp:val=&quot;00A9206E&quot;/&gt;&lt;wsp:rsid wsp:val=&quot;00A94950&quot;/&gt;&lt;wsp:rsid wsp:val=&quot;00A94DEC&quot;/&gt;&lt;wsp:rsid wsp:val=&quot;00A95043&quot;/&gt;&lt;wsp:rsid wsp:val=&quot;00A954EE&quot;/&gt;&lt;wsp:rsid wsp:val=&quot;00A95778&quot;/&gt;&lt;wsp:rsid wsp:val=&quot;00A96831&quot;/&gt;&lt;wsp:rsid wsp:val=&quot;00A96E6B&quot;/&gt;&lt;wsp:rsid wsp:val=&quot;00A97073&quot;/&gt;&lt;wsp:rsid wsp:val=&quot;00A97831&quot;/&gt;&lt;wsp:rsid wsp:val=&quot;00AA01F7&quot;/&gt;&lt;wsp:rsid wsp:val=&quot;00AA2420&quot;/&gt;&lt;wsp:rsid wsp:val=&quot;00AA3222&quot;/&gt;&lt;wsp:rsid wsp:val=&quot;00AA34E5&quot;/&gt;&lt;wsp:rsid wsp:val=&quot;00AA3A38&quot;/&gt;&lt;wsp:rsid wsp:val=&quot;00AA3B4B&quot;/&gt;&lt;wsp:rsid wsp:val=&quot;00AA4734&quot;/&gt;&lt;wsp:rsid wsp:val=&quot;00AA4F01&quot;/&gt;&lt;wsp:rsid wsp:val=&quot;00AA50ED&quot;/&gt;&lt;wsp:rsid wsp:val=&quot;00AA5642&quot;/&gt;&lt;wsp:rsid wsp:val=&quot;00AA6341&quot;/&gt;&lt;wsp:rsid wsp:val=&quot;00AA6948&quot;/&gt;&lt;wsp:rsid wsp:val=&quot;00AA6CA9&quot;/&gt;&lt;wsp:rsid wsp:val=&quot;00AA6E3C&quot;/&gt;&lt;wsp:rsid wsp:val=&quot;00AB06DF&quot;/&gt;&lt;wsp:rsid wsp:val=&quot;00AB0F91&quot;/&gt;&lt;wsp:rsid wsp:val=&quot;00AB201A&quot;/&gt;&lt;wsp:rsid wsp:val=&quot;00AB2F43&quot;/&gt;&lt;wsp:rsid wsp:val=&quot;00AB315C&quot;/&gt;&lt;wsp:rsid wsp:val=&quot;00AB4907&quot;/&gt;&lt;wsp:rsid wsp:val=&quot;00AB499A&quot;/&gt;&lt;wsp:rsid wsp:val=&quot;00AB543D&quot;/&gt;&lt;wsp:rsid wsp:val=&quot;00AB7B6B&quot;/&gt;&lt;wsp:rsid wsp:val=&quot;00AC0180&quot;/&gt;&lt;wsp:rsid wsp:val=&quot;00AC13B9&quot;/&gt;&lt;wsp:rsid wsp:val=&quot;00AC15AC&quot;/&gt;&lt;wsp:rsid wsp:val=&quot;00AC2C4E&quot;/&gt;&lt;wsp:rsid wsp:val=&quot;00AC33C1&quot;/&gt;&lt;wsp:rsid wsp:val=&quot;00AC426E&quot;/&gt;&lt;wsp:rsid wsp:val=&quot;00AC4579&quot;/&gt;&lt;wsp:rsid wsp:val=&quot;00AC51B3&quot;/&gt;&lt;wsp:rsid wsp:val=&quot;00AC64CE&quot;/&gt;&lt;wsp:rsid wsp:val=&quot;00AC71BC&quot;/&gt;&lt;wsp:rsid wsp:val=&quot;00AC770C&quot;/&gt;&lt;wsp:rsid wsp:val=&quot;00AD0092&quot;/&gt;&lt;wsp:rsid wsp:val=&quot;00AD034D&quot;/&gt;&lt;wsp:rsid wsp:val=&quot;00AD059D&quot;/&gt;&lt;wsp:rsid wsp:val=&quot;00AD1323&quot;/&gt;&lt;wsp:rsid wsp:val=&quot;00AD1BA0&quot;/&gt;&lt;wsp:rsid wsp:val=&quot;00AD33DF&quot;/&gt;&lt;wsp:rsid wsp:val=&quot;00AD3E06&quot;/&gt;&lt;wsp:rsid wsp:val=&quot;00AD41D9&quot;/&gt;&lt;wsp:rsid wsp:val=&quot;00AD696F&quot;/&gt;&lt;wsp:rsid wsp:val=&quot;00AE01CE&quot;/&gt;&lt;wsp:rsid wsp:val=&quot;00AE1923&quot;/&gt;&lt;wsp:rsid wsp:val=&quot;00AE210E&quot;/&gt;&lt;wsp:rsid wsp:val=&quot;00AE317F&quot;/&gt;&lt;wsp:rsid wsp:val=&quot;00AE3F2D&quot;/&gt;&lt;wsp:rsid wsp:val=&quot;00AE41DD&quot;/&gt;&lt;wsp:rsid wsp:val=&quot;00AE53A3&quot;/&gt;&lt;wsp:rsid wsp:val=&quot;00AE53B5&quot;/&gt;&lt;wsp:rsid wsp:val=&quot;00AE569F&quot;/&gt;&lt;wsp:rsid wsp:val=&quot;00AE56F9&quot;/&gt;&lt;wsp:rsid wsp:val=&quot;00AE5DB1&quot;/&gt;&lt;wsp:rsid wsp:val=&quot;00AE6962&quot;/&gt;&lt;wsp:rsid wsp:val=&quot;00AF0899&quot;/&gt;&lt;wsp:rsid wsp:val=&quot;00AF0E35&quot;/&gt;&lt;wsp:rsid wsp:val=&quot;00AF1590&quot;/&gt;&lt;wsp:rsid wsp:val=&quot;00AF1E66&quot;/&gt;&lt;wsp:rsid wsp:val=&quot;00AF2490&quot;/&gt;&lt;wsp:rsid wsp:val=&quot;00AF3705&quot;/&gt;&lt;wsp:rsid wsp:val=&quot;00AF483C&quot;/&gt;&lt;wsp:rsid wsp:val=&quot;00AF4D24&quot;/&gt;&lt;wsp:rsid wsp:val=&quot;00AF5B50&quot;/&gt;&lt;wsp:rsid wsp:val=&quot;00AF5D7D&quot;/&gt;&lt;wsp:rsid wsp:val=&quot;00AF75B8&quot;/&gt;&lt;wsp:rsid wsp:val=&quot;00B00A7B&quot;/&gt;&lt;wsp:rsid wsp:val=&quot;00B01073&quot;/&gt;&lt;wsp:rsid wsp:val=&quot;00B018D8&quot;/&gt;&lt;wsp:rsid wsp:val=&quot;00B01D90&quot;/&gt;&lt;wsp:rsid wsp:val=&quot;00B02049&quot;/&gt;&lt;wsp:rsid wsp:val=&quot;00B0257A&quot;/&gt;&lt;wsp:rsid wsp:val=&quot;00B02F0E&quot;/&gt;&lt;wsp:rsid wsp:val=&quot;00B0355B&quot;/&gt;&lt;wsp:rsid wsp:val=&quot;00B03ADB&quot;/&gt;&lt;wsp:rsid wsp:val=&quot;00B04BD5&quot;/&gt;&lt;wsp:rsid wsp:val=&quot;00B059AA&quot;/&gt;&lt;wsp:rsid wsp:val=&quot;00B06963&quot;/&gt;&lt;wsp:rsid wsp:val=&quot;00B07596&quot;/&gt;&lt;wsp:rsid wsp:val=&quot;00B076CE&quot;/&gt;&lt;wsp:rsid wsp:val=&quot;00B101EF&quot;/&gt;&lt;wsp:rsid wsp:val=&quot;00B111A8&quot;/&gt;&lt;wsp:rsid wsp:val=&quot;00B11556&quot;/&gt;&lt;wsp:rsid wsp:val=&quot;00B1178D&quot;/&gt;&lt;wsp:rsid wsp:val=&quot;00B11F97&quot;/&gt;&lt;wsp:rsid wsp:val=&quot;00B120B1&quot;/&gt;&lt;wsp:rsid wsp:val=&quot;00B12861&quot;/&gt;&lt;wsp:rsid wsp:val=&quot;00B12D36&quot;/&gt;&lt;wsp:rsid wsp:val=&quot;00B13278&quot;/&gt;&lt;wsp:rsid wsp:val=&quot;00B13E93&quot;/&gt;&lt;wsp:rsid wsp:val=&quot;00B148CC&quot;/&gt;&lt;wsp:rsid wsp:val=&quot;00B15031&quot;/&gt;&lt;wsp:rsid wsp:val=&quot;00B153E2&quot;/&gt;&lt;wsp:rsid wsp:val=&quot;00B1561A&quot;/&gt;&lt;wsp:rsid wsp:val=&quot;00B15799&quot;/&gt;&lt;wsp:rsid wsp:val=&quot;00B17589&quot;/&gt;&lt;wsp:rsid wsp:val=&quot;00B20820&quot;/&gt;&lt;wsp:rsid wsp:val=&quot;00B20E7C&quot;/&gt;&lt;wsp:rsid wsp:val=&quot;00B214D9&quot;/&gt;&lt;wsp:rsid wsp:val=&quot;00B214EF&quot;/&gt;&lt;wsp:rsid wsp:val=&quot;00B21C98&quot;/&gt;&lt;wsp:rsid wsp:val=&quot;00B22240&quot;/&gt;&lt;wsp:rsid wsp:val=&quot;00B2354F&quot;/&gt;&lt;wsp:rsid wsp:val=&quot;00B2376E&quot;/&gt;&lt;wsp:rsid wsp:val=&quot;00B23787&quot;/&gt;&lt;wsp:rsid wsp:val=&quot;00B23792&quot;/&gt;&lt;wsp:rsid wsp:val=&quot;00B2396B&quot;/&gt;&lt;wsp:rsid wsp:val=&quot;00B23DAC&quot;/&gt;&lt;wsp:rsid wsp:val=&quot;00B2422A&quot;/&gt;&lt;wsp:rsid wsp:val=&quot;00B255D5&quot;/&gt;&lt;wsp:rsid wsp:val=&quot;00B2590F&quot;/&gt;&lt;wsp:rsid wsp:val=&quot;00B26080&quot;/&gt;&lt;wsp:rsid wsp:val=&quot;00B278F4&quot;/&gt;&lt;wsp:rsid wsp:val=&quot;00B3049F&quot;/&gt;&lt;wsp:rsid wsp:val=&quot;00B31149&quot;/&gt;&lt;wsp:rsid wsp:val=&quot;00B31D0D&quot;/&gt;&lt;wsp:rsid wsp:val=&quot;00B32526&quot;/&gt;&lt;wsp:rsid wsp:val=&quot;00B32AD4&quot;/&gt;&lt;wsp:rsid wsp:val=&quot;00B331D2&quot;/&gt;&lt;wsp:rsid wsp:val=&quot;00B33959&quot;/&gt;&lt;wsp:rsid wsp:val=&quot;00B3409D&quot;/&gt;&lt;wsp:rsid wsp:val=&quot;00B35328&quot;/&gt;&lt;wsp:rsid wsp:val=&quot;00B355DF&quot;/&gt;&lt;wsp:rsid wsp:val=&quot;00B36382&quot;/&gt;&lt;wsp:rsid wsp:val=&quot;00B3748B&quot;/&gt;&lt;wsp:rsid wsp:val=&quot;00B378CA&quot;/&gt;&lt;wsp:rsid wsp:val=&quot;00B37948&quot;/&gt;&lt;wsp:rsid wsp:val=&quot;00B4248D&quot;/&gt;&lt;wsp:rsid wsp:val=&quot;00B42957&quot;/&gt;&lt;wsp:rsid wsp:val=&quot;00B44E2C&quot;/&gt;&lt;wsp:rsid wsp:val=&quot;00B45D0D&quot;/&gt;&lt;wsp:rsid wsp:val=&quot;00B46680&quot;/&gt;&lt;wsp:rsid wsp:val=&quot;00B46A69&quot;/&gt;&lt;wsp:rsid wsp:val=&quot;00B507D4&quot;/&gt;&lt;wsp:rsid wsp:val=&quot;00B50973&quot;/&gt;&lt;wsp:rsid wsp:val=&quot;00B50EEB&quot;/&gt;&lt;wsp:rsid wsp:val=&quot;00B52253&quot;/&gt;&lt;wsp:rsid wsp:val=&quot;00B52334&quot;/&gt;&lt;wsp:rsid wsp:val=&quot;00B52603&quot;/&gt;&lt;wsp:rsid wsp:val=&quot;00B5273C&quot;/&gt;&lt;wsp:rsid wsp:val=&quot;00B5332D&quot;/&gt;&lt;wsp:rsid wsp:val=&quot;00B53624&quot;/&gt;&lt;wsp:rsid wsp:val=&quot;00B5379C&quot;/&gt;&lt;wsp:rsid wsp:val=&quot;00B54075&quot;/&gt;&lt;wsp:rsid wsp:val=&quot;00B54736&quot;/&gt;&lt;wsp:rsid wsp:val=&quot;00B548A0&quot;/&gt;&lt;wsp:rsid wsp:val=&quot;00B54E5A&quot;/&gt;&lt;wsp:rsid wsp:val=&quot;00B55417&quot;/&gt;&lt;wsp:rsid wsp:val=&quot;00B5581C&quot;/&gt;&lt;wsp:rsid wsp:val=&quot;00B571D1&quot;/&gt;&lt;wsp:rsid wsp:val=&quot;00B57537&quot;/&gt;&lt;wsp:rsid wsp:val=&quot;00B57BAA&quot;/&gt;&lt;wsp:rsid wsp:val=&quot;00B6016F&quot;/&gt;&lt;wsp:rsid wsp:val=&quot;00B602A2&quot;/&gt;&lt;wsp:rsid wsp:val=&quot;00B60B91&quot;/&gt;&lt;wsp:rsid wsp:val=&quot;00B61A50&quot;/&gt;&lt;wsp:rsid wsp:val=&quot;00B6211A&quot;/&gt;&lt;wsp:rsid wsp:val=&quot;00B62E4F&quot;/&gt;&lt;wsp:rsid wsp:val=&quot;00B639C8&quot;/&gt;&lt;wsp:rsid wsp:val=&quot;00B64A10&quot;/&gt;&lt;wsp:rsid wsp:val=&quot;00B6638F&quot;/&gt;&lt;wsp:rsid wsp:val=&quot;00B66D60&quot;/&gt;&lt;wsp:rsid wsp:val=&quot;00B67925&quot;/&gt;&lt;wsp:rsid wsp:val=&quot;00B7014D&quot;/&gt;&lt;wsp:rsid wsp:val=&quot;00B701CD&quot;/&gt;&lt;wsp:rsid wsp:val=&quot;00B70268&quot;/&gt;&lt;wsp:rsid wsp:val=&quot;00B70B21&quot;/&gt;&lt;wsp:rsid wsp:val=&quot;00B7184F&quot;/&gt;&lt;wsp:rsid wsp:val=&quot;00B72675&quot;/&gt;&lt;wsp:rsid wsp:val=&quot;00B72960&quot;/&gt;&lt;wsp:rsid wsp:val=&quot;00B72A23&quot;/&gt;&lt;wsp:rsid wsp:val=&quot;00B737A5&quot;/&gt;&lt;wsp:rsid wsp:val=&quot;00B73FDE&quot;/&gt;&lt;wsp:rsid wsp:val=&quot;00B7471F&quot;/&gt;&lt;wsp:rsid wsp:val=&quot;00B76E56&quot;/&gt;&lt;wsp:rsid wsp:val=&quot;00B770A2&quot;/&gt;&lt;wsp:rsid wsp:val=&quot;00B80538&quot;/&gt;&lt;wsp:rsid wsp:val=&quot;00B808F5&quot;/&gt;&lt;wsp:rsid wsp:val=&quot;00B813DB&quot;/&gt;&lt;wsp:rsid wsp:val=&quot;00B81A22&quot;/&gt;&lt;wsp:rsid wsp:val=&quot;00B825E2&quot;/&gt;&lt;wsp:rsid wsp:val=&quot;00B82892&quot;/&gt;&lt;wsp:rsid wsp:val=&quot;00B83662&quot;/&gt;&lt;wsp:rsid wsp:val=&quot;00B8406C&quot;/&gt;&lt;wsp:rsid wsp:val=&quot;00B8442A&quot;/&gt;&lt;wsp:rsid wsp:val=&quot;00B84BA6&quot;/&gt;&lt;wsp:rsid wsp:val=&quot;00B85343&quot;/&gt;&lt;wsp:rsid wsp:val=&quot;00B853E0&quot;/&gt;&lt;wsp:rsid wsp:val=&quot;00B85CEB&quot;/&gt;&lt;wsp:rsid wsp:val=&quot;00B860A8&quot;/&gt;&lt;wsp:rsid wsp:val=&quot;00B865D8&quot;/&gt;&lt;wsp:rsid wsp:val=&quot;00B867CC&quot;/&gt;&lt;wsp:rsid wsp:val=&quot;00B86A4F&quot;/&gt;&lt;wsp:rsid wsp:val=&quot;00B86B1D&quot;/&gt;&lt;wsp:rsid wsp:val=&quot;00B8708E&quot;/&gt;&lt;wsp:rsid wsp:val=&quot;00B901A9&quot;/&gt;&lt;wsp:rsid wsp:val=&quot;00B90F82&quot;/&gt;&lt;wsp:rsid wsp:val=&quot;00B91A06&quot;/&gt;&lt;wsp:rsid wsp:val=&quot;00B91ACF&quot;/&gt;&lt;wsp:rsid wsp:val=&quot;00B91ED5&quot;/&gt;&lt;wsp:rsid wsp:val=&quot;00B925AA&quot;/&gt;&lt;wsp:rsid wsp:val=&quot;00B92926&quot;/&gt;&lt;wsp:rsid wsp:val=&quot;00B929CE&quot;/&gt;&lt;wsp:rsid wsp:val=&quot;00B93168&quot;/&gt;&lt;wsp:rsid wsp:val=&quot;00B93D65&quot;/&gt;&lt;wsp:rsid wsp:val=&quot;00B93FD4&quot;/&gt;&lt;wsp:rsid wsp:val=&quot;00B94867&quot;/&gt;&lt;wsp:rsid wsp:val=&quot;00B949FB&quot;/&gt;&lt;wsp:rsid wsp:val=&quot;00B94EDE&quot;/&gt;&lt;wsp:rsid wsp:val=&quot;00B961D6&quot;/&gt;&lt;wsp:rsid wsp:val=&quot;00B96404&quot;/&gt;&lt;wsp:rsid wsp:val=&quot;00B97854&quot;/&gt;&lt;wsp:rsid wsp:val=&quot;00B97F95&quot;/&gt;&lt;wsp:rsid wsp:val=&quot;00BA0B19&quot;/&gt;&lt;wsp:rsid wsp:val=&quot;00BA1093&quot;/&gt;&lt;wsp:rsid wsp:val=&quot;00BA146B&quot;/&gt;&lt;wsp:rsid wsp:val=&quot;00BA1E7F&quot;/&gt;&lt;wsp:rsid wsp:val=&quot;00BA20AB&quot;/&gt;&lt;wsp:rsid wsp:val=&quot;00BA467F&quot;/&gt;&lt;wsp:rsid wsp:val=&quot;00BA48E4&quot;/&gt;&lt;wsp:rsid wsp:val=&quot;00BA4BB7&quot;/&gt;&lt;wsp:rsid wsp:val=&quot;00BA5523&quot;/&gt;&lt;wsp:rsid wsp:val=&quot;00BA59B7&quot;/&gt;&lt;wsp:rsid wsp:val=&quot;00BA5CF8&quot;/&gt;&lt;wsp:rsid wsp:val=&quot;00BA66E3&quot;/&gt;&lt;wsp:rsid wsp:val=&quot;00BA69E8&quot;/&gt;&lt;wsp:rsid wsp:val=&quot;00BB0403&quot;/&gt;&lt;wsp:rsid wsp:val=&quot;00BB2328&quot;/&gt;&lt;wsp:rsid wsp:val=&quot;00BB2DA1&quot;/&gt;&lt;wsp:rsid wsp:val=&quot;00BB3AAB&quot;/&gt;&lt;wsp:rsid wsp:val=&quot;00BB47A5&quot;/&gt;&lt;wsp:rsid wsp:val=&quot;00BB48AD&quot;/&gt;&lt;wsp:rsid wsp:val=&quot;00BB626B&quot;/&gt;&lt;wsp:rsid wsp:val=&quot;00BB6339&quot;/&gt;&lt;wsp:rsid wsp:val=&quot;00BB7258&quot;/&gt;&lt;wsp:rsid wsp:val=&quot;00BB7666&quot;/&gt;&lt;wsp:rsid wsp:val=&quot;00BC00AE&quot;/&gt;&lt;wsp:rsid wsp:val=&quot;00BC021D&quot;/&gt;&lt;wsp:rsid wsp:val=&quot;00BC0CA9&quot;/&gt;&lt;wsp:rsid wsp:val=&quot;00BC0E97&quot;/&gt;&lt;wsp:rsid wsp:val=&quot;00BC168A&quot;/&gt;&lt;wsp:rsid wsp:val=&quot;00BC25A8&quot;/&gt;&lt;wsp:rsid wsp:val=&quot;00BC3855&quot;/&gt;&lt;wsp:rsid wsp:val=&quot;00BC3D20&quot;/&gt;&lt;wsp:rsid wsp:val=&quot;00BC433E&quot;/&gt;&lt;wsp:rsid wsp:val=&quot;00BC5328&quot;/&gt;&lt;wsp:rsid wsp:val=&quot;00BC6728&quot;/&gt;&lt;wsp:rsid wsp:val=&quot;00BC67D3&quot;/&gt;&lt;wsp:rsid wsp:val=&quot;00BC7410&quot;/&gt;&lt;wsp:rsid wsp:val=&quot;00BC7CCE&quot;/&gt;&lt;wsp:rsid wsp:val=&quot;00BC7E5E&quot;/&gt;&lt;wsp:rsid wsp:val=&quot;00BD21A9&quot;/&gt;&lt;wsp:rsid wsp:val=&quot;00BD2EED&quot;/&gt;&lt;wsp:rsid wsp:val=&quot;00BD314D&quot;/&gt;&lt;wsp:rsid wsp:val=&quot;00BD4B52&quot;/&gt;&lt;wsp:rsid wsp:val=&quot;00BD59E3&quot;/&gt;&lt;wsp:rsid wsp:val=&quot;00BD5B28&quot;/&gt;&lt;wsp:rsid wsp:val=&quot;00BD61B9&quot;/&gt;&lt;wsp:rsid wsp:val=&quot;00BD647A&quot;/&gt;&lt;wsp:rsid wsp:val=&quot;00BE01EA&quot;/&gt;&lt;wsp:rsid wsp:val=&quot;00BE0714&quot;/&gt;&lt;wsp:rsid wsp:val=&quot;00BE0F34&quot;/&gt;&lt;wsp:rsid wsp:val=&quot;00BE153A&quot;/&gt;&lt;wsp:rsid wsp:val=&quot;00BE3C76&quot;/&gt;&lt;wsp:rsid wsp:val=&quot;00BE439F&quot;/&gt;&lt;wsp:rsid wsp:val=&quot;00BE4423&quot;/&gt;&lt;wsp:rsid wsp:val=&quot;00BE4BF7&quot;/&gt;&lt;wsp:rsid wsp:val=&quot;00BE4F27&quot;/&gt;&lt;wsp:rsid wsp:val=&quot;00BE732B&quot;/&gt;&lt;wsp:rsid wsp:val=&quot;00BF03A5&quot;/&gt;&lt;wsp:rsid wsp:val=&quot;00BF0CF8&quot;/&gt;&lt;wsp:rsid wsp:val=&quot;00BF16C8&quot;/&gt;&lt;wsp:rsid wsp:val=&quot;00BF1FED&quot;/&gt;&lt;wsp:rsid wsp:val=&quot;00BF2522&quot;/&gt;&lt;wsp:rsid wsp:val=&quot;00BF254C&quot;/&gt;&lt;wsp:rsid wsp:val=&quot;00BF37DD&quot;/&gt;&lt;wsp:rsid wsp:val=&quot;00BF3996&quot;/&gt;&lt;wsp:rsid wsp:val=&quot;00BF3E86&quot;/&gt;&lt;wsp:rsid wsp:val=&quot;00BF471D&quot;/&gt;&lt;wsp:rsid wsp:val=&quot;00BF64B7&quot;/&gt;&lt;wsp:rsid wsp:val=&quot;00BF680B&quot;/&gt;&lt;wsp:rsid wsp:val=&quot;00BF71C1&quot;/&gt;&lt;wsp:rsid wsp:val=&quot;00C01368&quot;/&gt;&lt;wsp:rsid wsp:val=&quot;00C0237F&quot;/&gt;&lt;wsp:rsid wsp:val=&quot;00C03EA2&quot;/&gt;&lt;wsp:rsid wsp:val=&quot;00C04020&quot;/&gt;&lt;wsp:rsid wsp:val=&quot;00C049D7&quot;/&gt;&lt;wsp:rsid wsp:val=&quot;00C04AB2&quot;/&gt;&lt;wsp:rsid wsp:val=&quot;00C04E35&quot;/&gt;&lt;wsp:rsid wsp:val=&quot;00C05678&quot;/&gt;&lt;wsp:rsid wsp:val=&quot;00C06B9D&quot;/&gt;&lt;wsp:rsid wsp:val=&quot;00C07994&quot;/&gt;&lt;wsp:rsid wsp:val=&quot;00C07B83&quot;/&gt;&lt;wsp:rsid wsp:val=&quot;00C10E9A&quot;/&gt;&lt;wsp:rsid wsp:val=&quot;00C114BA&quot;/&gt;&lt;wsp:rsid wsp:val=&quot;00C121DF&quot;/&gt;&lt;wsp:rsid wsp:val=&quot;00C129DC&quot;/&gt;&lt;wsp:rsid wsp:val=&quot;00C12A50&quot;/&gt;&lt;wsp:rsid wsp:val=&quot;00C1388A&quot;/&gt;&lt;wsp:rsid wsp:val=&quot;00C13E42&quot;/&gt;&lt;wsp:rsid wsp:val=&quot;00C14406&quot;/&gt;&lt;wsp:rsid wsp:val=&quot;00C14737&quot;/&gt;&lt;wsp:rsid wsp:val=&quot;00C14828&quot;/&gt;&lt;wsp:rsid wsp:val=&quot;00C14A6F&quot;/&gt;&lt;wsp:rsid wsp:val=&quot;00C158F6&quot;/&gt;&lt;wsp:rsid wsp:val=&quot;00C15D88&quot;/&gt;&lt;wsp:rsid wsp:val=&quot;00C161CC&quot;/&gt;&lt;wsp:rsid wsp:val=&quot;00C1671E&quot;/&gt;&lt;wsp:rsid wsp:val=&quot;00C167E6&quot;/&gt;&lt;wsp:rsid wsp:val=&quot;00C1680D&quot;/&gt;&lt;wsp:rsid wsp:val=&quot;00C16950&quot;/&gt;&lt;wsp:rsid wsp:val=&quot;00C16E2E&quot;/&gt;&lt;wsp:rsid wsp:val=&quot;00C1776B&quot;/&gt;&lt;wsp:rsid wsp:val=&quot;00C17D78&quot;/&gt;&lt;wsp:rsid wsp:val=&quot;00C17D7C&quot;/&gt;&lt;wsp:rsid wsp:val=&quot;00C20071&quot;/&gt;&lt;wsp:rsid wsp:val=&quot;00C201DA&quot;/&gt;&lt;wsp:rsid wsp:val=&quot;00C213F3&quot;/&gt;&lt;wsp:rsid wsp:val=&quot;00C21657&quot;/&gt;&lt;wsp:rsid wsp:val=&quot;00C21A78&quot;/&gt;&lt;wsp:rsid wsp:val=&quot;00C21D41&quot;/&gt;&lt;wsp:rsid wsp:val=&quot;00C22067&quot;/&gt;&lt;wsp:rsid wsp:val=&quot;00C2276F&quot;/&gt;&lt;wsp:rsid wsp:val=&quot;00C22991&quot;/&gt;&lt;wsp:rsid wsp:val=&quot;00C23F48&quot;/&gt;&lt;wsp:rsid wsp:val=&quot;00C24D8E&quot;/&gt;&lt;wsp:rsid wsp:val=&quot;00C25704&quot;/&gt;&lt;wsp:rsid wsp:val=&quot;00C2573C&quot;/&gt;&lt;wsp:rsid wsp:val=&quot;00C25B33&quot;/&gt;&lt;wsp:rsid wsp:val=&quot;00C25E18&quot;/&gt;&lt;wsp:rsid wsp:val=&quot;00C26579&quot;/&gt;&lt;wsp:rsid wsp:val=&quot;00C27127&quot;/&gt;&lt;wsp:rsid wsp:val=&quot;00C27F6B&quot;/&gt;&lt;wsp:rsid wsp:val=&quot;00C31C55&quot;/&gt;&lt;wsp:rsid wsp:val=&quot;00C3225C&quot;/&gt;&lt;wsp:rsid wsp:val=&quot;00C32FE5&quot;/&gt;&lt;wsp:rsid wsp:val=&quot;00C33B9A&quot;/&gt;&lt;wsp:rsid wsp:val=&quot;00C362E1&quot;/&gt;&lt;wsp:rsid wsp:val=&quot;00C3678D&quot;/&gt;&lt;wsp:rsid wsp:val=&quot;00C36D41&quot;/&gt;&lt;wsp:rsid wsp:val=&quot;00C374BC&quot;/&gt;&lt;wsp:rsid wsp:val=&quot;00C37D1A&quot;/&gt;&lt;wsp:rsid wsp:val=&quot;00C40988&quot;/&gt;&lt;wsp:rsid wsp:val=&quot;00C40BF6&quot;/&gt;&lt;wsp:rsid wsp:val=&quot;00C413E7&quot;/&gt;&lt;wsp:rsid wsp:val=&quot;00C41854&quot;/&gt;&lt;wsp:rsid wsp:val=&quot;00C43C77&quot;/&gt;&lt;wsp:rsid wsp:val=&quot;00C44165&quot;/&gt;&lt;wsp:rsid wsp:val=&quot;00C452BA&quot;/&gt;&lt;wsp:rsid wsp:val=&quot;00C454F0&quot;/&gt;&lt;wsp:rsid wsp:val=&quot;00C4570A&quot;/&gt;&lt;wsp:rsid wsp:val=&quot;00C50358&quot;/&gt;&lt;wsp:rsid wsp:val=&quot;00C50D55&quot;/&gt;&lt;wsp:rsid wsp:val=&quot;00C50FE9&quot;/&gt;&lt;wsp:rsid wsp:val=&quot;00C51B52&quot;/&gt;&lt;wsp:rsid wsp:val=&quot;00C52108&quot;/&gt;&lt;wsp:rsid wsp:val=&quot;00C52AD0&quot;/&gt;&lt;wsp:rsid wsp:val=&quot;00C5448E&quot;/&gt;&lt;wsp:rsid wsp:val=&quot;00C546A1&quot;/&gt;&lt;wsp:rsid wsp:val=&quot;00C54946&quot;/&gt;&lt;wsp:rsid wsp:val=&quot;00C567DE&quot;/&gt;&lt;wsp:rsid wsp:val=&quot;00C5764F&quot;/&gt;&lt;wsp:rsid wsp:val=&quot;00C57F81&quot;/&gt;&lt;wsp:rsid wsp:val=&quot;00C60915&quot;/&gt;&lt;wsp:rsid wsp:val=&quot;00C61E1C&quot;/&gt;&lt;wsp:rsid wsp:val=&quot;00C63AAC&quot;/&gt;&lt;wsp:rsid wsp:val=&quot;00C64ED4&quot;/&gt;&lt;wsp:rsid wsp:val=&quot;00C657FD&quot;/&gt;&lt;wsp:rsid wsp:val=&quot;00C6589A&quot;/&gt;&lt;wsp:rsid wsp:val=&quot;00C663B9&quot;/&gt;&lt;wsp:rsid wsp:val=&quot;00C678C0&quot;/&gt;&lt;wsp:rsid wsp:val=&quot;00C72E84&quot;/&gt;&lt;wsp:rsid wsp:val=&quot;00C732A8&quot;/&gt;&lt;wsp:rsid wsp:val=&quot;00C7344B&quot;/&gt;&lt;wsp:rsid wsp:val=&quot;00C743FD&quot;/&gt;&lt;wsp:rsid wsp:val=&quot;00C76243&quot;/&gt;&lt;wsp:rsid wsp:val=&quot;00C76886&quot;/&gt;&lt;wsp:rsid wsp:val=&quot;00C76E31&quot;/&gt;&lt;wsp:rsid wsp:val=&quot;00C77C8D&quot;/&gt;&lt;wsp:rsid wsp:val=&quot;00C77E17&quot;/&gt;&lt;wsp:rsid wsp:val=&quot;00C80BC5&quot;/&gt;&lt;wsp:rsid wsp:val=&quot;00C83027&quot;/&gt;&lt;wsp:rsid wsp:val=&quot;00C84F5F&quot;/&gt;&lt;wsp:rsid wsp:val=&quot;00C85468&quot;/&gt;&lt;wsp:rsid wsp:val=&quot;00C858E5&quot;/&gt;&lt;wsp:rsid wsp:val=&quot;00C85A8A&quot;/&gt;&lt;wsp:rsid wsp:val=&quot;00C869E6&quot;/&gt;&lt;wsp:rsid wsp:val=&quot;00C86ECD&quot;/&gt;&lt;wsp:rsid wsp:val=&quot;00C86F36&quot;/&gt;&lt;wsp:rsid wsp:val=&quot;00C874C4&quot;/&gt;&lt;wsp:rsid wsp:val=&quot;00C87535&quot;/&gt;&lt;wsp:rsid wsp:val=&quot;00C8791E&quot;/&gt;&lt;wsp:rsid wsp:val=&quot;00C87B21&quot;/&gt;&lt;wsp:rsid wsp:val=&quot;00C9046B&quot;/&gt;&lt;wsp:rsid wsp:val=&quot;00C905C4&quot;/&gt;&lt;wsp:rsid wsp:val=&quot;00C90C9C&quot;/&gt;&lt;wsp:rsid wsp:val=&quot;00C90E2F&quot;/&gt;&lt;wsp:rsid wsp:val=&quot;00C90F66&quot;/&gt;&lt;wsp:rsid wsp:val=&quot;00C90FB5&quot;/&gt;&lt;wsp:rsid wsp:val=&quot;00C91D87&quot;/&gt;&lt;wsp:rsid wsp:val=&quot;00C92257&quot;/&gt;&lt;wsp:rsid wsp:val=&quot;00C922B3&quot;/&gt;&lt;wsp:rsid wsp:val=&quot;00C926B1&quot;/&gt;&lt;wsp:rsid wsp:val=&quot;00C927A0&quot;/&gt;&lt;wsp:rsid wsp:val=&quot;00C92BE6&quot;/&gt;&lt;wsp:rsid wsp:val=&quot;00C94CD1&quot;/&gt;&lt;wsp:rsid wsp:val=&quot;00C95214&quot;/&gt;&lt;wsp:rsid wsp:val=&quot;00C95700&quot;/&gt;&lt;wsp:rsid wsp:val=&quot;00C95DF3&quot;/&gt;&lt;wsp:rsid wsp:val=&quot;00C966B2&quot;/&gt;&lt;wsp:rsid wsp:val=&quot;00C973A2&quot;/&gt;&lt;wsp:rsid wsp:val=&quot;00CA0450&quot;/&gt;&lt;wsp:rsid wsp:val=&quot;00CA06DD&quot;/&gt;&lt;wsp:rsid wsp:val=&quot;00CA0AE8&quot;/&gt;&lt;wsp:rsid wsp:val=&quot;00CA0EB1&quot;/&gt;&lt;wsp:rsid wsp:val=&quot;00CA189F&quot;/&gt;&lt;wsp:rsid wsp:val=&quot;00CA1EB1&quot;/&gt;&lt;wsp:rsid wsp:val=&quot;00CA3218&quot;/&gt;&lt;wsp:rsid wsp:val=&quot;00CA5D70&quot;/&gt;&lt;wsp:rsid wsp:val=&quot;00CA7447&quot;/&gt;&lt;wsp:rsid wsp:val=&quot;00CA7531&quot;/&gt;&lt;wsp:rsid wsp:val=&quot;00CB0003&quot;/&gt;&lt;wsp:rsid wsp:val=&quot;00CB02D0&quot;/&gt;&lt;wsp:rsid wsp:val=&quot;00CB04AB&quot;/&gt;&lt;wsp:rsid wsp:val=&quot;00CB0528&quot;/&gt;&lt;wsp:rsid wsp:val=&quot;00CB18B3&quot;/&gt;&lt;wsp:rsid wsp:val=&quot;00CB1AEC&quot;/&gt;&lt;wsp:rsid wsp:val=&quot;00CB2654&quot;/&gt;&lt;wsp:rsid wsp:val=&quot;00CB2DC3&quot;/&gt;&lt;wsp:rsid wsp:val=&quot;00CB3E50&quot;/&gt;&lt;wsp:rsid wsp:val=&quot;00CB4017&quot;/&gt;&lt;wsp:rsid wsp:val=&quot;00CB592F&quot;/&gt;&lt;wsp:rsid wsp:val=&quot;00CC02C1&quot;/&gt;&lt;wsp:rsid wsp:val=&quot;00CC1297&quot;/&gt;&lt;wsp:rsid wsp:val=&quot;00CC1736&quot;/&gt;&lt;wsp:rsid wsp:val=&quot;00CC1B3A&quot;/&gt;&lt;wsp:rsid wsp:val=&quot;00CC2227&quot;/&gt;&lt;wsp:rsid wsp:val=&quot;00CC2777&quot;/&gt;&lt;wsp:rsid wsp:val=&quot;00CC39CC&quot;/&gt;&lt;wsp:rsid wsp:val=&quot;00CC44D5&quot;/&gt;&lt;wsp:rsid wsp:val=&quot;00CC4BB3&quot;/&gt;&lt;wsp:rsid wsp:val=&quot;00CC520E&quot;/&gt;&lt;wsp:rsid wsp:val=&quot;00CC614D&quot;/&gt;&lt;wsp:rsid wsp:val=&quot;00CC6AD1&quot;/&gt;&lt;wsp:rsid wsp:val=&quot;00CC7AFC&quot;/&gt;&lt;wsp:rsid wsp:val=&quot;00CD05C8&quot;/&gt;&lt;wsp:rsid wsp:val=&quot;00CD0E33&quot;/&gt;&lt;wsp:rsid wsp:val=&quot;00CD0F35&quot;/&gt;&lt;wsp:rsid wsp:val=&quot;00CD1B46&quot;/&gt;&lt;wsp:rsid wsp:val=&quot;00CD1FBD&quot;/&gt;&lt;wsp:rsid wsp:val=&quot;00CD22A3&quot;/&gt;&lt;wsp:rsid wsp:val=&quot;00CD29B8&quot;/&gt;&lt;wsp:rsid wsp:val=&quot;00CD357A&quot;/&gt;&lt;wsp:rsid wsp:val=&quot;00CD475E&quot;/&gt;&lt;wsp:rsid wsp:val=&quot;00CD5089&quot;/&gt;&lt;wsp:rsid wsp:val=&quot;00CD51B5&quot;/&gt;&lt;wsp:rsid wsp:val=&quot;00CD614C&quot;/&gt;&lt;wsp:rsid wsp:val=&quot;00CD6D0F&quot;/&gt;&lt;wsp:rsid wsp:val=&quot;00CE18CC&quot;/&gt;&lt;wsp:rsid wsp:val=&quot;00CE1C42&quot;/&gt;&lt;wsp:rsid wsp:val=&quot;00CE3A03&quot;/&gt;&lt;wsp:rsid wsp:val=&quot;00CE3E4C&quot;/&gt;&lt;wsp:rsid wsp:val=&quot;00CE40B1&quot;/&gt;&lt;wsp:rsid wsp:val=&quot;00CE4E00&quot;/&gt;&lt;wsp:rsid wsp:val=&quot;00CE5B25&quot;/&gt;&lt;wsp:rsid wsp:val=&quot;00CE727E&quot;/&gt;&lt;wsp:rsid wsp:val=&quot;00CE7B23&quot;/&gt;&lt;wsp:rsid wsp:val=&quot;00CF0181&quot;/&gt;&lt;wsp:rsid wsp:val=&quot;00CF16AD&quot;/&gt;&lt;wsp:rsid wsp:val=&quot;00CF254B&quot;/&gt;&lt;wsp:rsid wsp:val=&quot;00CF2BAB&quot;/&gt;&lt;wsp:rsid wsp:val=&quot;00CF3231&quot;/&gt;&lt;wsp:rsid wsp:val=&quot;00CF478C&quot;/&gt;&lt;wsp:rsid wsp:val=&quot;00CF5198&quot;/&gt;&lt;wsp:rsid wsp:val=&quot;00CF5230&quot;/&gt;&lt;wsp:rsid wsp:val=&quot;00CF5EE1&quot;/&gt;&lt;wsp:rsid wsp:val=&quot;00CF6460&quot;/&gt;&lt;wsp:rsid wsp:val=&quot;00CF78AC&quot;/&gt;&lt;wsp:rsid wsp:val=&quot;00CF7A85&quot;/&gt;&lt;wsp:rsid wsp:val=&quot;00D000D2&quot;/&gt;&lt;wsp:rsid wsp:val=&quot;00D01104&quot;/&gt;&lt;wsp:rsid wsp:val=&quot;00D01E08&quot;/&gt;&lt;wsp:rsid wsp:val=&quot;00D026DD&quot;/&gt;&lt;wsp:rsid wsp:val=&quot;00D045DA&quot;/&gt;&lt;wsp:rsid wsp:val=&quot;00D0461E&quot;/&gt;&lt;wsp:rsid wsp:val=&quot;00D05C73&quot;/&gt;&lt;wsp:rsid wsp:val=&quot;00D06820&quot;/&gt;&lt;wsp:rsid wsp:val=&quot;00D06882&quot;/&gt;&lt;wsp:rsid wsp:val=&quot;00D07C92&quot;/&gt;&lt;wsp:rsid wsp:val=&quot;00D11295&quot;/&gt;&lt;wsp:rsid wsp:val=&quot;00D11334&quot;/&gt;&lt;wsp:rsid wsp:val=&quot;00D11553&quot;/&gt;&lt;wsp:rsid wsp:val=&quot;00D126E9&quot;/&gt;&lt;wsp:rsid wsp:val=&quot;00D1564E&quot;/&gt;&lt;wsp:rsid wsp:val=&quot;00D15908&quot;/&gt;&lt;wsp:rsid wsp:val=&quot;00D160B0&quot;/&gt;&lt;wsp:rsid wsp:val=&quot;00D16550&quot;/&gt;&lt;wsp:rsid wsp:val=&quot;00D168FD&quot;/&gt;&lt;wsp:rsid wsp:val=&quot;00D1771A&quot;/&gt;&lt;wsp:rsid wsp:val=&quot;00D178FD&quot;/&gt;&lt;wsp:rsid wsp:val=&quot;00D20466&quot;/&gt;&lt;wsp:rsid wsp:val=&quot;00D20697&quot;/&gt;&lt;wsp:rsid wsp:val=&quot;00D20EA8&quot;/&gt;&lt;wsp:rsid wsp:val=&quot;00D210CA&quot;/&gt;&lt;wsp:rsid wsp:val=&quot;00D21582&quot;/&gt;&lt;wsp:rsid wsp:val=&quot;00D21897&quot;/&gt;&lt;wsp:rsid wsp:val=&quot;00D21B00&quot;/&gt;&lt;wsp:rsid wsp:val=&quot;00D21BCE&quot;/&gt;&lt;wsp:rsid wsp:val=&quot;00D21DA8&quot;/&gt;&lt;wsp:rsid wsp:val=&quot;00D24A59&quot;/&gt;&lt;wsp:rsid wsp:val=&quot;00D24B99&quot;/&gt;&lt;wsp:rsid wsp:val=&quot;00D25538&quot;/&gt;&lt;wsp:rsid wsp:val=&quot;00D26371&quot;/&gt;&lt;wsp:rsid wsp:val=&quot;00D2735C&quot;/&gt;&lt;wsp:rsid wsp:val=&quot;00D27576&quot;/&gt;&lt;wsp:rsid wsp:val=&quot;00D27C94&quot;/&gt;&lt;wsp:rsid wsp:val=&quot;00D308CD&quot;/&gt;&lt;wsp:rsid wsp:val=&quot;00D3090F&quot;/&gt;&lt;wsp:rsid wsp:val=&quot;00D30D33&quot;/&gt;&lt;wsp:rsid wsp:val=&quot;00D318CF&quot;/&gt;&lt;wsp:rsid wsp:val=&quot;00D325CC&quot;/&gt;&lt;wsp:rsid wsp:val=&quot;00D3360C&quot;/&gt;&lt;wsp:rsid wsp:val=&quot;00D33B36&quot;/&gt;&lt;wsp:rsid wsp:val=&quot;00D34000&quot;/&gt;&lt;wsp:rsid wsp:val=&quot;00D352E9&quot;/&gt;&lt;wsp:rsid wsp:val=&quot;00D364ED&quot;/&gt;&lt;wsp:rsid wsp:val=&quot;00D36667&quot;/&gt;&lt;wsp:rsid wsp:val=&quot;00D369E9&quot;/&gt;&lt;wsp:rsid wsp:val=&quot;00D3765B&quot;/&gt;&lt;wsp:rsid wsp:val=&quot;00D413CF&quot;/&gt;&lt;wsp:rsid wsp:val=&quot;00D41E54&quot;/&gt;&lt;wsp:rsid wsp:val=&quot;00D42F14&quot;/&gt;&lt;wsp:rsid wsp:val=&quot;00D44D43&quot;/&gt;&lt;wsp:rsid wsp:val=&quot;00D44EAB&quot;/&gt;&lt;wsp:rsid wsp:val=&quot;00D45A0B&quot;/&gt;&lt;wsp:rsid wsp:val=&quot;00D45CC8&quot;/&gt;&lt;wsp:rsid wsp:val=&quot;00D45DE3&quot;/&gt;&lt;wsp:rsid wsp:val=&quot;00D4615A&quot;/&gt;&lt;wsp:rsid wsp:val=&quot;00D46595&quot;/&gt;&lt;wsp:rsid wsp:val=&quot;00D4674E&quot;/&gt;&lt;wsp:rsid wsp:val=&quot;00D47871&quot;/&gt;&lt;wsp:rsid wsp:val=&quot;00D507E2&quot;/&gt;&lt;wsp:rsid wsp:val=&quot;00D51FED&quot;/&gt;&lt;wsp:rsid wsp:val=&quot;00D53111&quot;/&gt;&lt;wsp:rsid wsp:val=&quot;00D53EC7&quot;/&gt;&lt;wsp:rsid wsp:val=&quot;00D5424C&quot;/&gt;&lt;wsp:rsid wsp:val=&quot;00D557DD&quot;/&gt;&lt;wsp:rsid wsp:val=&quot;00D558B9&quot;/&gt;&lt;wsp:rsid wsp:val=&quot;00D55A57&quot;/&gt;&lt;wsp:rsid wsp:val=&quot;00D5626A&quot;/&gt;&lt;wsp:rsid wsp:val=&quot;00D56C95&quot;/&gt;&lt;wsp:rsid wsp:val=&quot;00D573CC&quot;/&gt;&lt;wsp:rsid wsp:val=&quot;00D57C7C&quot;/&gt;&lt;wsp:rsid wsp:val=&quot;00D607AD&quot;/&gt;&lt;wsp:rsid wsp:val=&quot;00D608D6&quot;/&gt;&lt;wsp:rsid wsp:val=&quot;00D60FC8&quot;/&gt;&lt;wsp:rsid wsp:val=&quot;00D6150F&quot;/&gt;&lt;wsp:rsid wsp:val=&quot;00D6254F&quot;/&gt;&lt;wsp:rsid wsp:val=&quot;00D62804&quot;/&gt;&lt;wsp:rsid wsp:val=&quot;00D62D54&quot;/&gt;&lt;wsp:rsid wsp:val=&quot;00D63971&quot;/&gt;&lt;wsp:rsid wsp:val=&quot;00D64C0E&quot;/&gt;&lt;wsp:rsid wsp:val=&quot;00D6629D&quot;/&gt;&lt;wsp:rsid wsp:val=&quot;00D6677F&quot;/&gt;&lt;wsp:rsid wsp:val=&quot;00D669DE&quot;/&gt;&lt;wsp:rsid wsp:val=&quot;00D66E62&quot;/&gt;&lt;wsp:rsid wsp:val=&quot;00D67252&quot;/&gt;&lt;wsp:rsid wsp:val=&quot;00D7043B&quot;/&gt;&lt;wsp:rsid wsp:val=&quot;00D7141D&quot;/&gt;&lt;wsp:rsid wsp:val=&quot;00D73539&quot;/&gt;&lt;wsp:rsid wsp:val=&quot;00D748C3&quot;/&gt;&lt;wsp:rsid wsp:val=&quot;00D76E14&quot;/&gt;&lt;wsp:rsid wsp:val=&quot;00D773C1&quot;/&gt;&lt;wsp:rsid wsp:val=&quot;00D77CB2&quot;/&gt;&lt;wsp:rsid wsp:val=&quot;00D8215C&quot;/&gt;&lt;wsp:rsid wsp:val=&quot;00D84BD5&quot;/&gt;&lt;wsp:rsid wsp:val=&quot;00D869DC&quot;/&gt;&lt;wsp:rsid wsp:val=&quot;00D86C7D&quot;/&gt;&lt;wsp:rsid wsp:val=&quot;00D872FD&quot;/&gt;&lt;wsp:rsid wsp:val=&quot;00D878A0&quot;/&gt;&lt;wsp:rsid wsp:val=&quot;00D9077C&quot;/&gt;&lt;wsp:rsid wsp:val=&quot;00D9099C&quot;/&gt;&lt;wsp:rsid wsp:val=&quot;00D91545&quot;/&gt;&lt;wsp:rsid wsp:val=&quot;00D91685&quot;/&gt;&lt;wsp:rsid wsp:val=&quot;00D91B78&quot;/&gt;&lt;wsp:rsid wsp:val=&quot;00D945E8&quot;/&gt;&lt;wsp:rsid wsp:val=&quot;00D947FF&quot;/&gt;&lt;wsp:rsid wsp:val=&quot;00D94BD4&quot;/&gt;&lt;wsp:rsid wsp:val=&quot;00D95361&quot;/&gt;&lt;wsp:rsid wsp:val=&quot;00D9601C&quot;/&gt;&lt;wsp:rsid wsp:val=&quot;00D96B02&quot;/&gt;&lt;wsp:rsid wsp:val=&quot;00D96CAE&quot;/&gt;&lt;wsp:rsid wsp:val=&quot;00D97467&quot;/&gt;&lt;wsp:rsid wsp:val=&quot;00D97557&quot;/&gt;&lt;wsp:rsid wsp:val=&quot;00DA1036&quot;/&gt;&lt;wsp:rsid wsp:val=&quot;00DA10BF&quot;/&gt;&lt;wsp:rsid wsp:val=&quot;00DA1144&quot;/&gt;&lt;wsp:rsid wsp:val=&quot;00DA11BD&quot;/&gt;&lt;wsp:rsid wsp:val=&quot;00DA1816&quot;/&gt;&lt;wsp:rsid wsp:val=&quot;00DA32C1&quot;/&gt;&lt;wsp:rsid wsp:val=&quot;00DA3439&quot;/&gt;&lt;wsp:rsid wsp:val=&quot;00DA4AA2&quot;/&gt;&lt;wsp:rsid wsp:val=&quot;00DA5055&quot;/&gt;&lt;wsp:rsid wsp:val=&quot;00DA57AB&quot;/&gt;&lt;wsp:rsid wsp:val=&quot;00DA6190&quot;/&gt;&lt;wsp:rsid wsp:val=&quot;00DA6F61&quot;/&gt;&lt;wsp:rsid wsp:val=&quot;00DA7235&quot;/&gt;&lt;wsp:rsid wsp:val=&quot;00DA7676&quot;/&gt;&lt;wsp:rsid wsp:val=&quot;00DA7C34&quot;/&gt;&lt;wsp:rsid wsp:val=&quot;00DB0AAD&quot;/&gt;&lt;wsp:rsid wsp:val=&quot;00DB0C5D&quot;/&gt;&lt;wsp:rsid wsp:val=&quot;00DB1287&quot;/&gt;&lt;wsp:rsid wsp:val=&quot;00DB1797&quot;/&gt;&lt;wsp:rsid wsp:val=&quot;00DB320C&quot;/&gt;&lt;wsp:rsid wsp:val=&quot;00DB39BD&quot;/&gt;&lt;wsp:rsid wsp:val=&quot;00DB5DB8&quot;/&gt;&lt;wsp:rsid wsp:val=&quot;00DB5EAD&quot;/&gt;&lt;wsp:rsid wsp:val=&quot;00DB65AE&quot;/&gt;&lt;wsp:rsid wsp:val=&quot;00DB76CB&quot;/&gt;&lt;wsp:rsid wsp:val=&quot;00DB788C&quot;/&gt;&lt;wsp:rsid wsp:val=&quot;00DC0B2D&quot;/&gt;&lt;wsp:rsid wsp:val=&quot;00DC0FA7&quot;/&gt;&lt;wsp:rsid wsp:val=&quot;00DC19B6&quot;/&gt;&lt;wsp:rsid wsp:val=&quot;00DC1C2E&quot;/&gt;&lt;wsp:rsid wsp:val=&quot;00DC1ED9&quot;/&gt;&lt;wsp:rsid wsp:val=&quot;00DC22D3&quot;/&gt;&lt;wsp:rsid wsp:val=&quot;00DC2507&quot;/&gt;&lt;wsp:rsid wsp:val=&quot;00DC2DFB&quot;/&gt;&lt;wsp:rsid wsp:val=&quot;00DC3235&quot;/&gt;&lt;wsp:rsid wsp:val=&quot;00DC48A8&quot;/&gt;&lt;wsp:rsid wsp:val=&quot;00DC546E&quot;/&gt;&lt;wsp:rsid wsp:val=&quot;00DC58B4&quot;/&gt;&lt;wsp:rsid wsp:val=&quot;00DC5A3B&quot;/&gt;&lt;wsp:rsid wsp:val=&quot;00DC6869&quot;/&gt;&lt;wsp:rsid wsp:val=&quot;00DD09C7&quot;/&gt;&lt;wsp:rsid wsp:val=&quot;00DD1C09&quot;/&gt;&lt;wsp:rsid wsp:val=&quot;00DD2D5C&quot;/&gt;&lt;wsp:rsid wsp:val=&quot;00DD2E44&quot;/&gt;&lt;wsp:rsid wsp:val=&quot;00DD39A7&quot;/&gt;&lt;wsp:rsid wsp:val=&quot;00DD5529&quot;/&gt;&lt;wsp:rsid wsp:val=&quot;00DD56C7&quot;/&gt;&lt;wsp:rsid wsp:val=&quot;00DD679D&quot;/&gt;&lt;wsp:rsid wsp:val=&quot;00DE0365&quot;/&gt;&lt;wsp:rsid wsp:val=&quot;00DE1715&quot;/&gt;&lt;wsp:rsid wsp:val=&quot;00DE1F81&quot;/&gt;&lt;wsp:rsid wsp:val=&quot;00DE2B8D&quot;/&gt;&lt;wsp:rsid wsp:val=&quot;00DE3273&quot;/&gt;&lt;wsp:rsid wsp:val=&quot;00DE3715&quot;/&gt;&lt;wsp:rsid wsp:val=&quot;00DE58C7&quot;/&gt;&lt;wsp:rsid wsp:val=&quot;00DE5DC8&quot;/&gt;&lt;wsp:rsid wsp:val=&quot;00DE7D91&quot;/&gt;&lt;wsp:rsid wsp:val=&quot;00DF047E&quot;/&gt;&lt;wsp:rsid wsp:val=&quot;00DF051F&quot;/&gt;&lt;wsp:rsid wsp:val=&quot;00DF0586&quot;/&gt;&lt;wsp:rsid wsp:val=&quot;00DF07BF&quot;/&gt;&lt;wsp:rsid wsp:val=&quot;00DF192E&quot;/&gt;&lt;wsp:rsid wsp:val=&quot;00DF3803&quot;/&gt;&lt;wsp:rsid wsp:val=&quot;00DF3937&quot;/&gt;&lt;wsp:rsid wsp:val=&quot;00DF4168&quot;/&gt;&lt;wsp:rsid wsp:val=&quot;00DF5015&quot;/&gt;&lt;wsp:rsid wsp:val=&quot;00DF6084&quot;/&gt;&lt;wsp:rsid wsp:val=&quot;00DF6B96&quot;/&gt;&lt;wsp:rsid wsp:val=&quot;00DF705B&quot;/&gt;&lt;wsp:rsid wsp:val=&quot;00DF79B9&quot;/&gt;&lt;wsp:rsid wsp:val=&quot;00E005AF&quot;/&gt;&lt;wsp:rsid wsp:val=&quot;00E04232&quot;/&gt;&lt;wsp:rsid wsp:val=&quot;00E045C3&quot;/&gt;&lt;wsp:rsid wsp:val=&quot;00E0473E&quot;/&gt;&lt;wsp:rsid wsp:val=&quot;00E047B1&quot;/&gt;&lt;wsp:rsid wsp:val=&quot;00E051C2&quot;/&gt;&lt;wsp:rsid wsp:val=&quot;00E0532D&quot;/&gt;&lt;wsp:rsid wsp:val=&quot;00E05D14&quot;/&gt;&lt;wsp:rsid wsp:val=&quot;00E06348&quot;/&gt;&lt;wsp:rsid wsp:val=&quot;00E07142&quot;/&gt;&lt;wsp:rsid wsp:val=&quot;00E07603&quot;/&gt;&lt;wsp:rsid wsp:val=&quot;00E105C7&quot;/&gt;&lt;wsp:rsid wsp:val=&quot;00E11928&quot;/&gt;&lt;wsp:rsid wsp:val=&quot;00E1242F&quot;/&gt;&lt;wsp:rsid wsp:val=&quot;00E13BFF&quot;/&gt;&lt;wsp:rsid wsp:val=&quot;00E13C16&quot;/&gt;&lt;wsp:rsid wsp:val=&quot;00E147F3&quot;/&gt;&lt;wsp:rsid wsp:val=&quot;00E160F5&quot;/&gt;&lt;wsp:rsid wsp:val=&quot;00E165B7&quot;/&gt;&lt;wsp:rsid wsp:val=&quot;00E1761C&quot;/&gt;&lt;wsp:rsid wsp:val=&quot;00E17779&quot;/&gt;&lt;wsp:rsid wsp:val=&quot;00E209E7&quot;/&gt;&lt;wsp:rsid wsp:val=&quot;00E212A0&quot;/&gt;&lt;wsp:rsid wsp:val=&quot;00E217CC&quot;/&gt;&lt;wsp:rsid wsp:val=&quot;00E21FAD&quot;/&gt;&lt;wsp:rsid wsp:val=&quot;00E22F8F&quot;/&gt;&lt;wsp:rsid wsp:val=&quot;00E2325C&quot;/&gt;&lt;wsp:rsid wsp:val=&quot;00E23AA0&quot;/&gt;&lt;wsp:rsid wsp:val=&quot;00E23B89&quot;/&gt;&lt;wsp:rsid wsp:val=&quot;00E244B0&quot;/&gt;&lt;wsp:rsid wsp:val=&quot;00E25BB1&quot;/&gt;&lt;wsp:rsid wsp:val=&quot;00E2619B&quot;/&gt;&lt;wsp:rsid wsp:val=&quot;00E267AB&quot;/&gt;&lt;wsp:rsid wsp:val=&quot;00E27C08&quot;/&gt;&lt;wsp:rsid wsp:val=&quot;00E30613&quot;/&gt;&lt;wsp:rsid wsp:val=&quot;00E31A5A&quot;/&gt;&lt;wsp:rsid wsp:val=&quot;00E31C1A&quot;/&gt;&lt;wsp:rsid wsp:val=&quot;00E326C9&quot;/&gt;&lt;wsp:rsid wsp:val=&quot;00E32CEA&quot;/&gt;&lt;wsp:rsid wsp:val=&quot;00E3311D&quot;/&gt;&lt;wsp:rsid wsp:val=&quot;00E33A60&quot;/&gt;&lt;wsp:rsid wsp:val=&quot;00E33BAC&quot;/&gt;&lt;wsp:rsid wsp:val=&quot;00E33F65&quot;/&gt;&lt;wsp:rsid wsp:val=&quot;00E35104&quot;/&gt;&lt;wsp:rsid wsp:val=&quot;00E35884&quot;/&gt;&lt;wsp:rsid wsp:val=&quot;00E36B24&quot;/&gt;&lt;wsp:rsid wsp:val=&quot;00E3755E&quot;/&gt;&lt;wsp:rsid wsp:val=&quot;00E37B1F&quot;/&gt;&lt;wsp:rsid wsp:val=&quot;00E37D2D&quot;/&gt;&lt;wsp:rsid wsp:val=&quot;00E401B0&quot;/&gt;&lt;wsp:rsid wsp:val=&quot;00E40B4F&quot;/&gt;&lt;wsp:rsid wsp:val=&quot;00E40DE7&quot;/&gt;&lt;wsp:rsid wsp:val=&quot;00E41664&quot;/&gt;&lt;wsp:rsid wsp:val=&quot;00E41BCD&quot;/&gt;&lt;wsp:rsid wsp:val=&quot;00E43FFA&quot;/&gt;&lt;wsp:rsid wsp:val=&quot;00E4425B&quot;/&gt;&lt;wsp:rsid wsp:val=&quot;00E45DC1&quot;/&gt;&lt;wsp:rsid wsp:val=&quot;00E45F39&quot;/&gt;&lt;wsp:rsid wsp:val=&quot;00E46BFB&quot;/&gt;&lt;wsp:rsid wsp:val=&quot;00E477D5&quot;/&gt;&lt;wsp:rsid wsp:val=&quot;00E47CD9&quot;/&gt;&lt;wsp:rsid wsp:val=&quot;00E50269&quot;/&gt;&lt;wsp:rsid wsp:val=&quot;00E511D2&quot;/&gt;&lt;wsp:rsid wsp:val=&quot;00E51D0C&quot;/&gt;&lt;wsp:rsid wsp:val=&quot;00E52328&quot;/&gt;&lt;wsp:rsid wsp:val=&quot;00E524E6&quot;/&gt;&lt;wsp:rsid wsp:val=&quot;00E535B4&quot;/&gt;&lt;wsp:rsid wsp:val=&quot;00E53A35&quot;/&gt;&lt;wsp:rsid wsp:val=&quot;00E53EDA&quot;/&gt;&lt;wsp:rsid wsp:val=&quot;00E542C5&quot;/&gt;&lt;wsp:rsid wsp:val=&quot;00E54494&quot;/&gt;&lt;wsp:rsid wsp:val=&quot;00E54CB5&quot;/&gt;&lt;wsp:rsid wsp:val=&quot;00E55039&quot;/&gt;&lt;wsp:rsid wsp:val=&quot;00E55156&quot;/&gt;&lt;wsp:rsid wsp:val=&quot;00E55CC8&quot;/&gt;&lt;wsp:rsid wsp:val=&quot;00E577A9&quot;/&gt;&lt;wsp:rsid wsp:val=&quot;00E60352&quot;/&gt;&lt;wsp:rsid wsp:val=&quot;00E616AF&quot;/&gt;&lt;wsp:rsid wsp:val=&quot;00E6245F&quot;/&gt;&lt;wsp:rsid wsp:val=&quot;00E6309C&quot;/&gt;&lt;wsp:rsid wsp:val=&quot;00E633A3&quot;/&gt;&lt;wsp:rsid wsp:val=&quot;00E643E6&quot;/&gt;&lt;wsp:rsid wsp:val=&quot;00E64649&quot;/&gt;&lt;wsp:rsid wsp:val=&quot;00E6665B&quot;/&gt;&lt;wsp:rsid wsp:val=&quot;00E67C09&quot;/&gt;&lt;wsp:rsid wsp:val=&quot;00E67D7D&quot;/&gt;&lt;wsp:rsid wsp:val=&quot;00E7028F&quot;/&gt;&lt;wsp:rsid wsp:val=&quot;00E704BD&quot;/&gt;&lt;wsp:rsid wsp:val=&quot;00E73187&quot;/&gt;&lt;wsp:rsid wsp:val=&quot;00E74789&quot;/&gt;&lt;wsp:rsid wsp:val=&quot;00E749A8&quot;/&gt;&lt;wsp:rsid wsp:val=&quot;00E76924&quot;/&gt;&lt;wsp:rsid wsp:val=&quot;00E76BBE&quot;/&gt;&lt;wsp:rsid wsp:val=&quot;00E771AB&quot;/&gt;&lt;wsp:rsid wsp:val=&quot;00E779F0&quot;/&gt;&lt;wsp:rsid wsp:val=&quot;00E80DEE&quot;/&gt;&lt;wsp:rsid wsp:val=&quot;00E81636&quot;/&gt;&lt;wsp:rsid wsp:val=&quot;00E819D8&quot;/&gt;&lt;wsp:rsid wsp:val=&quot;00E829A6&quot;/&gt;&lt;wsp:rsid wsp:val=&quot;00E82EFF&quot;/&gt;&lt;wsp:rsid wsp:val=&quot;00E830CD&quot;/&gt;&lt;wsp:rsid wsp:val=&quot;00E83233&quot;/&gt;&lt;wsp:rsid wsp:val=&quot;00E833FE&quot;/&gt;&lt;wsp:rsid wsp:val=&quot;00E846B2&quot;/&gt;&lt;wsp:rsid wsp:val=&quot;00E84C10&quot;/&gt;&lt;wsp:rsid wsp:val=&quot;00E856FC&quot;/&gt;&lt;wsp:rsid wsp:val=&quot;00E85CC9&quot;/&gt;&lt;wsp:rsid wsp:val=&quot;00E85CF8&quot;/&gt;&lt;wsp:rsid wsp:val=&quot;00E86242&quot;/&gt;&lt;wsp:rsid wsp:val=&quot;00E90126&quot;/&gt;&lt;wsp:rsid wsp:val=&quot;00E90BAE&quot;/&gt;&lt;wsp:rsid wsp:val=&quot;00E91D57&quot;/&gt;&lt;wsp:rsid wsp:val=&quot;00E93045&quot;/&gt;&lt;wsp:rsid wsp:val=&quot;00E94641&quot;/&gt;&lt;wsp:rsid wsp:val=&quot;00E94993&quot;/&gt;&lt;wsp:rsid wsp:val=&quot;00E9555B&quot;/&gt;&lt;wsp:rsid wsp:val=&quot;00E958BF&quot;/&gt;&lt;wsp:rsid wsp:val=&quot;00E96B35&quot;/&gt;&lt;wsp:rsid wsp:val=&quot;00E9700A&quot;/&gt;&lt;wsp:rsid wsp:val=&quot;00E97199&quot;/&gt;&lt;wsp:rsid wsp:val=&quot;00EA0E3F&quot;/&gt;&lt;wsp:rsid wsp:val=&quot;00EA1857&quot;/&gt;&lt;wsp:rsid wsp:val=&quot;00EA193E&quot;/&gt;&lt;wsp:rsid wsp:val=&quot;00EA2923&quot;/&gt;&lt;wsp:rsid wsp:val=&quot;00EA2DA0&quot;/&gt;&lt;wsp:rsid wsp:val=&quot;00EA36D4&quot;/&gt;&lt;wsp:rsid wsp:val=&quot;00EA4209&quot;/&gt;&lt;wsp:rsid wsp:val=&quot;00EA517B&quot;/&gt;&lt;wsp:rsid wsp:val=&quot;00EA63C7&quot;/&gt;&lt;wsp:rsid wsp:val=&quot;00EA7D48&quot;/&gt;&lt;wsp:rsid wsp:val=&quot;00EA7D90&quot;/&gt;&lt;wsp:rsid wsp:val=&quot;00EB0272&quot;/&gt;&lt;wsp:rsid wsp:val=&quot;00EB0342&quot;/&gt;&lt;wsp:rsid wsp:val=&quot;00EB03C3&quot;/&gt;&lt;wsp:rsid wsp:val=&quot;00EB07A4&quot;/&gt;&lt;wsp:rsid wsp:val=&quot;00EB1130&quot;/&gt;&lt;wsp:rsid wsp:val=&quot;00EB1F12&quot;/&gt;&lt;wsp:rsid wsp:val=&quot;00EB220C&quot;/&gt;&lt;wsp:rsid wsp:val=&quot;00EB2525&quot;/&gt;&lt;wsp:rsid wsp:val=&quot;00EB3193&quot;/&gt;&lt;wsp:rsid wsp:val=&quot;00EB3369&quot;/&gt;&lt;wsp:rsid wsp:val=&quot;00EB41A6&quot;/&gt;&lt;wsp:rsid wsp:val=&quot;00EB4886&quot;/&gt;&lt;wsp:rsid wsp:val=&quot;00EB4F10&quot;/&gt;&lt;wsp:rsid wsp:val=&quot;00EB53AA&quot;/&gt;&lt;wsp:rsid wsp:val=&quot;00EB598A&quot;/&gt;&lt;wsp:rsid wsp:val=&quot;00EB6198&quot;/&gt;&lt;wsp:rsid wsp:val=&quot;00EC0396&quot;/&gt;&lt;wsp:rsid wsp:val=&quot;00EC0785&quot;/&gt;&lt;wsp:rsid wsp:val=&quot;00EC10FF&quot;/&gt;&lt;wsp:rsid wsp:val=&quot;00EC1407&quot;/&gt;&lt;wsp:rsid wsp:val=&quot;00EC15F6&quot;/&gt;&lt;wsp:rsid wsp:val=&quot;00EC2CEE&quot;/&gt;&lt;wsp:rsid wsp:val=&quot;00EC3838&quot;/&gt;&lt;wsp:rsid wsp:val=&quot;00EC3EC5&quot;/&gt;&lt;wsp:rsid wsp:val=&quot;00EC3F5C&quot;/&gt;&lt;wsp:rsid wsp:val=&quot;00EC4197&quot;/&gt;&lt;wsp:rsid wsp:val=&quot;00EC43D5&quot;/&gt;&lt;wsp:rsid wsp:val=&quot;00EC4563&quot;/&gt;&lt;wsp:rsid wsp:val=&quot;00EC64A2&quot;/&gt;&lt;wsp:rsid wsp:val=&quot;00EC6767&quot;/&gt;&lt;wsp:rsid wsp:val=&quot;00EC6B92&quot;/&gt;&lt;wsp:rsid wsp:val=&quot;00ED0536&quot;/&gt;&lt;wsp:rsid wsp:val=&quot;00ED142E&quot;/&gt;&lt;wsp:rsid wsp:val=&quot;00ED243E&quot;/&gt;&lt;wsp:rsid wsp:val=&quot;00ED3685&quot;/&gt;&lt;wsp:rsid wsp:val=&quot;00ED36A3&quot;/&gt;&lt;wsp:rsid wsp:val=&quot;00ED39C6&quot;/&gt;&lt;wsp:rsid wsp:val=&quot;00ED4A7A&quot;/&gt;&lt;wsp:rsid wsp:val=&quot;00ED4F85&quot;/&gt;&lt;wsp:rsid wsp:val=&quot;00ED5987&quot;/&gt;&lt;wsp:rsid wsp:val=&quot;00ED7F24&quot;/&gt;&lt;wsp:rsid wsp:val=&quot;00EE05C2&quot;/&gt;&lt;wsp:rsid wsp:val=&quot;00EE088C&quot;/&gt;&lt;wsp:rsid wsp:val=&quot;00EE0EB9&quot;/&gt;&lt;wsp:rsid wsp:val=&quot;00EE14CE&quot;/&gt;&lt;wsp:rsid wsp:val=&quot;00EE2443&quot;/&gt;&lt;wsp:rsid wsp:val=&quot;00EE29C0&quot;/&gt;&lt;wsp:rsid wsp:val=&quot;00EE2B52&quot;/&gt;&lt;wsp:rsid wsp:val=&quot;00EE4C36&quot;/&gt;&lt;wsp:rsid wsp:val=&quot;00EE4C3F&quot;/&gt;&lt;wsp:rsid wsp:val=&quot;00EE5823&quot;/&gt;&lt;wsp:rsid wsp:val=&quot;00EE63E0&quot;/&gt;&lt;wsp:rsid wsp:val=&quot;00EF08E1&quot;/&gt;&lt;wsp:rsid wsp:val=&quot;00EF181A&quot;/&gt;&lt;wsp:rsid wsp:val=&quot;00EF19F1&quot;/&gt;&lt;wsp:rsid wsp:val=&quot;00EF1C6F&quot;/&gt;&lt;wsp:rsid wsp:val=&quot;00EF26EF&quot;/&gt;&lt;wsp:rsid wsp:val=&quot;00EF402D&quot;/&gt;&lt;wsp:rsid wsp:val=&quot;00EF4B6D&quot;/&gt;&lt;wsp:rsid wsp:val=&quot;00EF500B&quot;/&gt;&lt;wsp:rsid wsp:val=&quot;00EF6913&quot;/&gt;&lt;wsp:rsid wsp:val=&quot;00EF696D&quot;/&gt;&lt;wsp:rsid wsp:val=&quot;00EF6AE6&quot;/&gt;&lt;wsp:rsid wsp:val=&quot;00EF6D58&quot;/&gt;&lt;wsp:rsid wsp:val=&quot;00EF7F6C&quot;/&gt;&lt;wsp:rsid wsp:val=&quot;00F01D2D&quot;/&gt;&lt;wsp:rsid wsp:val=&quot;00F020BA&quot;/&gt;&lt;wsp:rsid wsp:val=&quot;00F02203&quot;/&gt;&lt;wsp:rsid wsp:val=&quot;00F025CA&quot;/&gt;&lt;wsp:rsid wsp:val=&quot;00F05A56&quot;/&gt;&lt;wsp:rsid wsp:val=&quot;00F05B9C&quot;/&gt;&lt;wsp:rsid wsp:val=&quot;00F067A5&quot;/&gt;&lt;wsp:rsid wsp:val=&quot;00F069D0&quot;/&gt;&lt;wsp:rsid wsp:val=&quot;00F0712C&quot;/&gt;&lt;wsp:rsid wsp:val=&quot;00F079CE&quot;/&gt;&lt;wsp:rsid wsp:val=&quot;00F079FE&quot;/&gt;&lt;wsp:rsid wsp:val=&quot;00F104D6&quot;/&gt;&lt;wsp:rsid wsp:val=&quot;00F112BB&quot;/&gt;&lt;wsp:rsid wsp:val=&quot;00F1162A&quot;/&gt;&lt;wsp:rsid wsp:val=&quot;00F11F49&quot;/&gt;&lt;wsp:rsid wsp:val=&quot;00F12151&quot;/&gt;&lt;wsp:rsid wsp:val=&quot;00F13341&quot;/&gt;&lt;wsp:rsid wsp:val=&quot;00F13656&quot;/&gt;&lt;wsp:rsid wsp:val=&quot;00F137CC&quot;/&gt;&lt;wsp:rsid wsp:val=&quot;00F140F0&quot;/&gt;&lt;wsp:rsid wsp:val=&quot;00F14ADA&quot;/&gt;&lt;wsp:rsid wsp:val=&quot;00F14DE7&quot;/&gt;&lt;wsp:rsid wsp:val=&quot;00F15056&quot;/&gt;&lt;wsp:rsid wsp:val=&quot;00F1665E&quot;/&gt;&lt;wsp:rsid wsp:val=&quot;00F16696&quot;/&gt;&lt;wsp:rsid wsp:val=&quot;00F17D18&quot;/&gt;&lt;wsp:rsid wsp:val=&quot;00F20A5D&quot;/&gt;&lt;wsp:rsid wsp:val=&quot;00F20E3F&quot;/&gt;&lt;wsp:rsid wsp:val=&quot;00F21912&quot;/&gt;&lt;wsp:rsid wsp:val=&quot;00F21F21&quot;/&gt;&lt;wsp:rsid wsp:val=&quot;00F2212E&quot;/&gt;&lt;wsp:rsid wsp:val=&quot;00F22659&quot;/&gt;&lt;wsp:rsid wsp:val=&quot;00F22830&quot;/&gt;&lt;wsp:rsid wsp:val=&quot;00F2324D&quot;/&gt;&lt;wsp:rsid wsp:val=&quot;00F23CB9&quot;/&gt;&lt;wsp:rsid wsp:val=&quot;00F23DF5&quot;/&gt;&lt;wsp:rsid wsp:val=&quot;00F2430C&quot;/&gt;&lt;wsp:rsid wsp:val=&quot;00F246D0&quot;/&gt;&lt;wsp:rsid wsp:val=&quot;00F251BD&quot;/&gt;&lt;wsp:rsid wsp:val=&quot;00F26155&quot;/&gt;&lt;wsp:rsid wsp:val=&quot;00F263C6&quot;/&gt;&lt;wsp:rsid wsp:val=&quot;00F30197&quot;/&gt;&lt;wsp:rsid wsp:val=&quot;00F3313D&quot;/&gt;&lt;wsp:rsid wsp:val=&quot;00F3469A&quot;/&gt;&lt;wsp:rsid wsp:val=&quot;00F3473D&quot;/&gt;&lt;wsp:rsid wsp:val=&quot;00F34AA1&quot;/&gt;&lt;wsp:rsid wsp:val=&quot;00F35111&quot;/&gt;&lt;wsp:rsid wsp:val=&quot;00F35F7D&quot;/&gt;&lt;wsp:rsid wsp:val=&quot;00F36448&quot;/&gt;&lt;wsp:rsid wsp:val=&quot;00F36B5C&quot;/&gt;&lt;wsp:rsid wsp:val=&quot;00F3704E&quot;/&gt;&lt;wsp:rsid wsp:val=&quot;00F40113&quot;/&gt;&lt;wsp:rsid wsp:val=&quot;00F40477&quot;/&gt;&lt;wsp:rsid wsp:val=&quot;00F40BF7&quot;/&gt;&lt;wsp:rsid wsp:val=&quot;00F40CF2&quot;/&gt;&lt;wsp:rsid wsp:val=&quot;00F40FBA&quot;/&gt;&lt;wsp:rsid wsp:val=&quot;00F41D3E&quot;/&gt;&lt;wsp:rsid wsp:val=&quot;00F43088&quot;/&gt;&lt;wsp:rsid wsp:val=&quot;00F44620&quot;/&gt;&lt;wsp:rsid wsp:val=&quot;00F44850&quot;/&gt;&lt;wsp:rsid wsp:val=&quot;00F45037&quot;/&gt;&lt;wsp:rsid wsp:val=&quot;00F456EA&quot;/&gt;&lt;wsp:rsid wsp:val=&quot;00F45FB8&quot;/&gt;&lt;wsp:rsid wsp:val=&quot;00F46268&quot;/&gt;&lt;wsp:rsid wsp:val=&quot;00F4723B&quot;/&gt;&lt;wsp:rsid wsp:val=&quot;00F475D7&quot;/&gt;&lt;wsp:rsid wsp:val=&quot;00F504D5&quot;/&gt;&lt;wsp:rsid wsp:val=&quot;00F50726&quot;/&gt;&lt;wsp:rsid wsp:val=&quot;00F50C88&quot;/&gt;&lt;wsp:rsid wsp:val=&quot;00F51136&quot;/&gt;&lt;wsp:rsid wsp:val=&quot;00F517E7&quot;/&gt;&lt;wsp:rsid wsp:val=&quot;00F51B68&quot;/&gt;&lt;wsp:rsid wsp:val=&quot;00F51CD0&quot;/&gt;&lt;wsp:rsid wsp:val=&quot;00F5209B&quot;/&gt;&lt;wsp:rsid wsp:val=&quot;00F5234D&quot;/&gt;&lt;wsp:rsid wsp:val=&quot;00F52A4C&quot;/&gt;&lt;wsp:rsid wsp:val=&quot;00F53384&quot;/&gt;&lt;wsp:rsid wsp:val=&quot;00F53ADD&quot;/&gt;&lt;wsp:rsid wsp:val=&quot;00F54197&quot;/&gt;&lt;wsp:rsid wsp:val=&quot;00F541B9&quot;/&gt;&lt;wsp:rsid wsp:val=&quot;00F54A29&quot;/&gt;&lt;wsp:rsid wsp:val=&quot;00F554DE&quot;/&gt;&lt;wsp:rsid wsp:val=&quot;00F56C9C&quot;/&gt;&lt;wsp:rsid wsp:val=&quot;00F5753C&quot;/&gt;&lt;wsp:rsid wsp:val=&quot;00F57F6D&quot;/&gt;&lt;wsp:rsid wsp:val=&quot;00F60A9F&quot;/&gt;&lt;wsp:rsid wsp:val=&quot;00F60CFE&quot;/&gt;&lt;wsp:rsid wsp:val=&quot;00F613A1&quot;/&gt;&lt;wsp:rsid wsp:val=&quot;00F6210B&quot;/&gt;&lt;wsp:rsid wsp:val=&quot;00F627CC&quot;/&gt;&lt;wsp:rsid wsp:val=&quot;00F6281A&quot;/&gt;&lt;wsp:rsid wsp:val=&quot;00F62B74&quot;/&gt;&lt;wsp:rsid wsp:val=&quot;00F63BC1&quot;/&gt;&lt;wsp:rsid wsp:val=&quot;00F64143&quot;/&gt;&lt;wsp:rsid wsp:val=&quot;00F6479C&quot;/&gt;&lt;wsp:rsid wsp:val=&quot;00F65C21&quot;/&gt;&lt;wsp:rsid wsp:val=&quot;00F66664&quot;/&gt;&lt;wsp:rsid wsp:val=&quot;00F66761&quot;/&gt;&lt;wsp:rsid wsp:val=&quot;00F66D01&quot;/&gt;&lt;wsp:rsid wsp:val=&quot;00F671E2&quot;/&gt;&lt;wsp:rsid wsp:val=&quot;00F67C09&quot;/&gt;&lt;wsp:rsid wsp:val=&quot;00F67E22&quot;/&gt;&lt;wsp:rsid wsp:val=&quot;00F70B71&quot;/&gt;&lt;wsp:rsid wsp:val=&quot;00F711F1&quot;/&gt;&lt;wsp:rsid wsp:val=&quot;00F71EA4&quot;/&gt;&lt;wsp:rsid wsp:val=&quot;00F72525&quot;/&gt;&lt;wsp:rsid wsp:val=&quot;00F72D06&quot;/&gt;&lt;wsp:rsid wsp:val=&quot;00F74C0D&quot;/&gt;&lt;wsp:rsid wsp:val=&quot;00F752D4&quot;/&gt;&lt;wsp:rsid wsp:val=&quot;00F75427&quot;/&gt;&lt;wsp:rsid wsp:val=&quot;00F76426&quot;/&gt;&lt;wsp:rsid wsp:val=&quot;00F7716D&quot;/&gt;&lt;wsp:rsid wsp:val=&quot;00F81164&quot;/&gt;&lt;wsp:rsid wsp:val=&quot;00F82E4E&quot;/&gt;&lt;wsp:rsid wsp:val=&quot;00F8356F&quot;/&gt;&lt;wsp:rsid wsp:val=&quot;00F8372B&quot;/&gt;&lt;wsp:rsid wsp:val=&quot;00F8421E&quot;/&gt;&lt;wsp:rsid wsp:val=&quot;00F84A7B&quot;/&gt;&lt;wsp:rsid wsp:val=&quot;00F84B6A&quot;/&gt;&lt;wsp:rsid wsp:val=&quot;00F8546E&quot;/&gt;&lt;wsp:rsid wsp:val=&quot;00F858E1&quot;/&gt;&lt;wsp:rsid wsp:val=&quot;00F85DCB&quot;/&gt;&lt;wsp:rsid wsp:val=&quot;00F86FF9&quot;/&gt;&lt;wsp:rsid wsp:val=&quot;00F87206&quot;/&gt;&lt;wsp:rsid wsp:val=&quot;00F906B7&quot;/&gt;&lt;wsp:rsid wsp:val=&quot;00F9116A&quot;/&gt;&lt;wsp:rsid wsp:val=&quot;00F91AC4&quot;/&gt;&lt;wsp:rsid wsp:val=&quot;00F923EB&quot;/&gt;&lt;wsp:rsid wsp:val=&quot;00F936C1&quot;/&gt;&lt;wsp:rsid wsp:val=&quot;00F93DC2&quot;/&gt;&lt;wsp:rsid wsp:val=&quot;00F93F81&quot;/&gt;&lt;wsp:rsid wsp:val=&quot;00F9592F&quot;/&gt;&lt;wsp:rsid wsp:val=&quot;00F96FAB&quot;/&gt;&lt;wsp:rsid wsp:val=&quot;00F9701A&quot;/&gt;&lt;wsp:rsid wsp:val=&quot;00F97A56&quot;/&gt;&lt;wsp:rsid wsp:val=&quot;00FA047D&quot;/&gt;&lt;wsp:rsid wsp:val=&quot;00FA1063&quot;/&gt;&lt;wsp:rsid wsp:val=&quot;00FA1461&quot;/&gt;&lt;wsp:rsid wsp:val=&quot;00FA1697&quot;/&gt;&lt;wsp:rsid wsp:val=&quot;00FA171D&quot;/&gt;&lt;wsp:rsid wsp:val=&quot;00FA17BE&quot;/&gt;&lt;wsp:rsid wsp:val=&quot;00FA1A2F&quot;/&gt;&lt;wsp:rsid wsp:val=&quot;00FA3379&quot;/&gt;&lt;wsp:rsid wsp:val=&quot;00FA3A94&quot;/&gt;&lt;wsp:rsid wsp:val=&quot;00FA3C3F&quot;/&gt;&lt;wsp:rsid wsp:val=&quot;00FA5AAE&quot;/&gt;&lt;wsp:rsid wsp:val=&quot;00FA5D8F&quot;/&gt;&lt;wsp:rsid wsp:val=&quot;00FA7D2E&quot;/&gt;&lt;wsp:rsid wsp:val=&quot;00FB09E1&quot;/&gt;&lt;wsp:rsid wsp:val=&quot;00FB158E&quot;/&gt;&lt;wsp:rsid wsp:val=&quot;00FB1CF9&quot;/&gt;&lt;wsp:rsid wsp:val=&quot;00FB20B1&quot;/&gt;&lt;wsp:rsid wsp:val=&quot;00FB23C1&quot;/&gt;&lt;wsp:rsid wsp:val=&quot;00FB4AFF&quot;/&gt;&lt;wsp:rsid wsp:val=&quot;00FB5576&quot;/&gt;&lt;wsp:rsid wsp:val=&quot;00FB56CF&quot;/&gt;&lt;wsp:rsid wsp:val=&quot;00FB636D&quot;/&gt;&lt;wsp:rsid wsp:val=&quot;00FB6629&quot;/&gt;&lt;wsp:rsid wsp:val=&quot;00FB6CFB&quot;/&gt;&lt;wsp:rsid wsp:val=&quot;00FB7945&quot;/&gt;&lt;wsp:rsid wsp:val=&quot;00FC0D58&quot;/&gt;&lt;wsp:rsid wsp:val=&quot;00FC12B0&quot;/&gt;&lt;wsp:rsid wsp:val=&quot;00FC27AA&quot;/&gt;&lt;wsp:rsid wsp:val=&quot;00FC2CE6&quot;/&gt;&lt;wsp:rsid wsp:val=&quot;00FC31B7&quot;/&gt;&lt;wsp:rsid wsp:val=&quot;00FC325F&quot;/&gt;&lt;wsp:rsid wsp:val=&quot;00FC3E54&quot;/&gt;&lt;wsp:rsid wsp:val=&quot;00FC4370&quot;/&gt;&lt;wsp:rsid wsp:val=&quot;00FC4E1E&quot;/&gt;&lt;wsp:rsid wsp:val=&quot;00FC5E51&quot;/&gt;&lt;wsp:rsid wsp:val=&quot;00FC70FB&quot;/&gt;&lt;wsp:rsid wsp:val=&quot;00FD0180&quot;/&gt;&lt;wsp:rsid wsp:val=&quot;00FD1482&quot;/&gt;&lt;wsp:rsid wsp:val=&quot;00FD171C&quot;/&gt;&lt;wsp:rsid wsp:val=&quot;00FD1B97&quot;/&gt;&lt;wsp:rsid wsp:val=&quot;00FD3507&quot;/&gt;&lt;wsp:rsid wsp:val=&quot;00FD3EBE&quot;/&gt;&lt;wsp:rsid wsp:val=&quot;00FD3F04&quot;/&gt;&lt;wsp:rsid wsp:val=&quot;00FD4604&quot;/&gt;&lt;wsp:rsid wsp:val=&quot;00FD6BD6&quot;/&gt;&lt;wsp:rsid wsp:val=&quot;00FD7C07&quot;/&gt;&lt;wsp:rsid wsp:val=&quot;00FE05F7&quot;/&gt;&lt;wsp:rsid wsp:val=&quot;00FE06AB&quot;/&gt;&lt;wsp:rsid wsp:val=&quot;00FE261C&quot;/&gt;&lt;wsp:rsid wsp:val=&quot;00FE3151&quot;/&gt;&lt;wsp:rsid wsp:val=&quot;00FE333D&quot;/&gt;&lt;wsp:rsid wsp:val=&quot;00FE36C3&quot;/&gt;&lt;wsp:rsid wsp:val=&quot;00FE44F0&quot;/&gt;&lt;wsp:rsid wsp:val=&quot;00FE5DAC&quot;/&gt;&lt;wsp:rsid wsp:val=&quot;00FE60B9&quot;/&gt;&lt;wsp:rsid wsp:val=&quot;00FE6FB2&quot;/&gt;&lt;wsp:rsid wsp:val=&quot;00FE76E0&quot;/&gt;&lt;wsp:rsid wsp:val=&quot;00FF046C&quot;/&gt;&lt;wsp:rsid wsp:val=&quot;00FF07B8&quot;/&gt;&lt;wsp:rsid wsp:val=&quot;00FF0B63&quot;/&gt;&lt;wsp:rsid wsp:val=&quot;00FF0DEB&quot;/&gt;&lt;wsp:rsid wsp:val=&quot;00FF21EB&quot;/&gt;&lt;wsp:rsid wsp:val=&quot;00FF2E08&quot;/&gt;&lt;wsp:rsid wsp:val=&quot;00FF37A1&quot;/&gt;&lt;wsp:rsid wsp:val=&quot;00FF4661&quot;/&gt;&lt;wsp:rsid wsp:val=&quot;00FF4C34&quot;/&gt;&lt;wsp:rsid wsp:val=&quot;00FF4F75&quot;/&gt;&lt;wsp:rsid wsp:val=&quot;00FF5E04&quot;/&gt;&lt;wsp:rsid wsp:val=&quot;00FF6515&quot;/&gt;&lt;wsp:rsid wsp:val=&quot;00FF669D&quot;/&gt;&lt;wsp:rsid wsp:val=&quot;00FF6979&quot;/&gt;&lt;wsp:rsid wsp:val=&quot;00FF7011&quot;/&gt;&lt;wsp:rsid wsp:val=&quot;00FF7723&quot;/&gt;&lt;wsp:rsid wsp:val=&quot;00FF79DE&quot;/&gt;&lt;wsp:rsid wsp:val=&quot;0471177E&quot;/&gt;&lt;wsp:rsid wsp:val=&quot;05E3020F&quot;/&gt;&lt;wsp:rsid wsp:val=&quot;08724604&quot;/&gt;&lt;wsp:rsid wsp:val=&quot;0C1803E3&quot;/&gt;&lt;wsp:rsid wsp:val=&quot;0C990E7C&quot;/&gt;&lt;wsp:rsid wsp:val=&quot;0CAD7F05&quot;/&gt;&lt;wsp:rsid wsp:val=&quot;11873A80&quot;/&gt;&lt;wsp:rsid wsp:val=&quot;17BC422F&quot;/&gt;&lt;wsp:rsid wsp:val=&quot;18E707A5&quot;/&gt;&lt;wsp:rsid wsp:val=&quot;1A433BB2&quot;/&gt;&lt;wsp:rsid wsp:val=&quot;23D3070A&quot;/&gt;&lt;wsp:rsid wsp:val=&quot;25350811&quot;/&gt;&lt;wsp:rsid wsp:val=&quot;289B1E8D&quot;/&gt;&lt;wsp:rsid wsp:val=&quot;2E6F0B8E&quot;/&gt;&lt;wsp:rsid wsp:val=&quot;304D5659&quot;/&gt;&lt;wsp:rsid wsp:val=&quot;317F025F&quot;/&gt;&lt;wsp:rsid wsp:val=&quot;368D0334&quot;/&gt;&lt;wsp:rsid wsp:val=&quot;40055E36&quot;/&gt;&lt;wsp:rsid wsp:val=&quot;40CE4415&quot;/&gt;&lt;wsp:rsid wsp:val=&quot;46A25A7F&quot;/&gt;&lt;wsp:rsid wsp:val=&quot;485A4EA6&quot;/&gt;&lt;wsp:rsid wsp:val=&quot;49CB60E5&quot;/&gt;&lt;wsp:rsid wsp:val=&quot;546859EB&quot;/&gt;&lt;wsp:rsid wsp:val=&quot;58D46D47&quot;/&gt;&lt;wsp:rsid wsp:val=&quot;5CD44510&quot;/&gt;&lt;wsp:rsid wsp:val=&quot;5D4516CB&quot;/&gt;&lt;wsp:rsid wsp:val=&quot;5D860F6B&quot;/&gt;&lt;wsp:rsid wsp:val=&quot;68B430FC&quot;/&gt;&lt;wsp:rsid wsp:val=&quot;6A2A4C91&quot;/&gt;&lt;wsp:rsid wsp:val=&quot;715012E2&quot;/&gt;&lt;wsp:rsid wsp:val=&quot;71DF487E&quot;/&gt;&lt;wsp:rsid wsp:val=&quot;735343C5&quot;/&gt;&lt;wsp:rsid wsp:val=&quot;78F91B53&quot;/&gt;&lt;wsp:rsid wsp:val=&quot;7C64631E&quot;/&gt;&lt;wsp:rsid wsp:val=&quot;7D423CE2&quot;/&gt;&lt;/wsp:rsids&gt;&lt;/w:docPr&gt;&lt;w:body&gt;&lt;wx:sect&gt;&lt;w:p wsp:rsidR=&quot;00000000&quot; wsp:rsidRDefault=&quot;00F67C09&quot; wsp:rsidP=&quot;00F67C09&quot;&gt;&lt;m:oMathPara&gt;&lt;m:oMath&gt;&lt;m:sSup&gt;&lt;m:sSupPr&gt;&lt;m:ctrlPr&gt;&lt;w:rPr&gt;&lt;w:rFonts w:ascii=&quot;Cambria Math&quot; w:h-ansi=&quot;Cambria Math&quot;/&gt;&lt;wx:font wx:val=&quot;Cambria Math&quot;/&gt;&lt;/w:rPr&gt;&lt;/m:ctrlPr&gt;&lt;/m:sSupPr&gt;&lt;m:e&gt;&lt;m:r&gt;&lt;w:rPr&gt;&lt;w:rFonts w:ascii=&quot;Cambria Math&quot; w:h-ansi=&quot;Cambria Math&quot;/&gt;&lt;wx:font wx:val=&quot;Cambria Math&quot;/&gt;&lt;w:i/&gt;&lt;/w:rPr&gt;&lt;m:t&gt;u&lt;/m:t&gt;&lt;/m:r&gt;&lt;/m:e&gt;&lt;m:sup&gt;&lt;m:r&gt;&lt;w:rPr&gt;&lt;w:rFonts w:ascii=&quot;Cambria Math&quot; w:h-ansi=&quot;Cambria Math&quot;/&gt;&lt;wx:font wx:val=&quot;Cambria Math&quot;/&gt;&lt;w:i/&gt;&lt;/w:rPr&gt;&lt;m:t&gt;*&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22" chromakey="#FFFFFF" o:title=""/>
                  <o:lock v:ext="edit" aspectratio="t"/>
                  <w10:wrap type="none"/>
                  <w10:anchorlock/>
                </v:shape>
              </w:pict>
            </w:r>
            <w:r>
              <w:rPr>
                <w:rFonts w:hint="default" w:ascii="Times New Roman" w:hAnsi="Times New Roman" w:eastAsia="宋体" w:cs="Times New Roman"/>
                <w:color w:val="auto"/>
                <w:sz w:val="24"/>
                <w:szCs w:val="24"/>
                <w:highlight w:val="none"/>
              </w:rPr>
              <w:instrText xml:space="preserve">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position w:val="-8"/>
                <w:sz w:val="24"/>
                <w:szCs w:val="24"/>
                <w:highlight w:val="none"/>
              </w:rPr>
              <w:pict>
                <v:shape id="_x0000_i1032" o:spt="75" type="#_x0000_t75" style="height:15.75pt;width:10.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94&quot;/&gt;&lt;w:displayBackgroundShape/&gt;&lt;w:doNotEmbedSystemFonts/&gt;&lt;w:bordersDontSurroundHeader/&gt;&lt;w:bordersDontSurroundFooter/&gt;&lt;w:hideSpellingErrors/&gt;&lt;w:defaultTabStop w:val=&quot;420&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82A5A&quot;/&gt;&lt;wsp:rsid wsp:val=&quot;00000D02&quot;/&gt;&lt;wsp:rsid wsp:val=&quot;00000F90&quot;/&gt;&lt;wsp:rsid wsp:val=&quot;00002DD6&quot;/&gt;&lt;wsp:rsid wsp:val=&quot;00003C3B&quot;/&gt;&lt;wsp:rsid wsp:val=&quot;00004137&quot;/&gt;&lt;wsp:rsid wsp:val=&quot;00004407&quot;/&gt;&lt;wsp:rsid wsp:val=&quot;000048CB&quot;/&gt;&lt;wsp:rsid wsp:val=&quot;00004FFF&quot;/&gt;&lt;wsp:rsid wsp:val=&quot;000052ED&quot;/&gt;&lt;wsp:rsid wsp:val=&quot;000068EA&quot;/&gt;&lt;wsp:rsid wsp:val=&quot;000079C0&quot;/&gt;&lt;wsp:rsid wsp:val=&quot;00010579&quot;/&gt;&lt;wsp:rsid wsp:val=&quot;000108D9&quot;/&gt;&lt;wsp:rsid wsp:val=&quot;00011409&quot;/&gt;&lt;wsp:rsid wsp:val=&quot;0001296A&quot;/&gt;&lt;wsp:rsid wsp:val=&quot;00014275&quot;/&gt;&lt;wsp:rsid wsp:val=&quot;00014351&quot;/&gt;&lt;wsp:rsid wsp:val=&quot;0001449A&quot;/&gt;&lt;wsp:rsid wsp:val=&quot;00015DD0&quot;/&gt;&lt;wsp:rsid wsp:val=&quot;0001650C&quot;/&gt;&lt;wsp:rsid wsp:val=&quot;00017297&quot;/&gt;&lt;wsp:rsid wsp:val=&quot;00017B9C&quot;/&gt;&lt;wsp:rsid wsp:val=&quot;000205C8&quot;/&gt;&lt;wsp:rsid wsp:val=&quot;000235A3&quot;/&gt;&lt;wsp:rsid wsp:val=&quot;00023D8F&quot;/&gt;&lt;wsp:rsid wsp:val=&quot;0002422E&quot;/&gt;&lt;wsp:rsid wsp:val=&quot;000243AF&quot;/&gt;&lt;wsp:rsid wsp:val=&quot;00024BAD&quot;/&gt;&lt;wsp:rsid wsp:val=&quot;00025526&quot;/&gt;&lt;wsp:rsid wsp:val=&quot;0002623A&quot;/&gt;&lt;wsp:rsid wsp:val=&quot;000262D7&quot;/&gt;&lt;wsp:rsid wsp:val=&quot;0002637C&quot;/&gt;&lt;wsp:rsid wsp:val=&quot;0002690B&quot;/&gt;&lt;wsp:rsid wsp:val=&quot;00026B3C&quot;/&gt;&lt;wsp:rsid wsp:val=&quot;0002708F&quot;/&gt;&lt;wsp:rsid wsp:val=&quot;0003165E&quot;/&gt;&lt;wsp:rsid wsp:val=&quot;0003172F&quot;/&gt;&lt;wsp:rsid wsp:val=&quot;0003188D&quot;/&gt;&lt;wsp:rsid wsp:val=&quot;00031D66&quot;/&gt;&lt;wsp:rsid wsp:val=&quot;00031F5A&quot;/&gt;&lt;wsp:rsid wsp:val=&quot;000333B7&quot;/&gt;&lt;wsp:rsid wsp:val=&quot;00034880&quot;/&gt;&lt;wsp:rsid wsp:val=&quot;00034881&quot;/&gt;&lt;wsp:rsid wsp:val=&quot;000355F3&quot;/&gt;&lt;wsp:rsid wsp:val=&quot;0003581E&quot;/&gt;&lt;wsp:rsid wsp:val=&quot;000363A7&quot;/&gt;&lt;wsp:rsid wsp:val=&quot;000368BC&quot;/&gt;&lt;wsp:rsid wsp:val=&quot;000370F0&quot;/&gt;&lt;wsp:rsid wsp:val=&quot;00037309&quot;/&gt;&lt;wsp:rsid wsp:val=&quot;00037E96&quot;/&gt;&lt;wsp:rsid wsp:val=&quot;000400F4&quot;/&gt;&lt;wsp:rsid wsp:val=&quot;000407EF&quot;/&gt;&lt;wsp:rsid wsp:val=&quot;000408A6&quot;/&gt;&lt;wsp:rsid wsp:val=&quot;000408AB&quot;/&gt;&lt;wsp:rsid wsp:val=&quot;0004180C&quot;/&gt;&lt;wsp:rsid wsp:val=&quot;00041E3C&quot;/&gt;&lt;wsp:rsid wsp:val=&quot;00042180&quot;/&gt;&lt;wsp:rsid wsp:val=&quot;00042E92&quot;/&gt;&lt;wsp:rsid wsp:val=&quot;0004360D&quot;/&gt;&lt;wsp:rsid wsp:val=&quot;0004371E&quot;/&gt;&lt;wsp:rsid wsp:val=&quot;00043952&quot;/&gt;&lt;wsp:rsid wsp:val=&quot;00044DE2&quot;/&gt;&lt;wsp:rsid wsp:val=&quot;00045662&quot;/&gt;&lt;wsp:rsid wsp:val=&quot;00046772&quot;/&gt;&lt;wsp:rsid wsp:val=&quot;0004683B&quot;/&gt;&lt;wsp:rsid wsp:val=&quot;0004701E&quot;/&gt;&lt;wsp:rsid wsp:val=&quot;00050BF0&quot;/&gt;&lt;wsp:rsid wsp:val=&quot;00051A43&quot;/&gt;&lt;wsp:rsid wsp:val=&quot;000533F2&quot;/&gt;&lt;wsp:rsid wsp:val=&quot;000535D6&quot;/&gt;&lt;wsp:rsid wsp:val=&quot;00054EE6&quot;/&gt;&lt;wsp:rsid wsp:val=&quot;0005634C&quot;/&gt;&lt;wsp:rsid wsp:val=&quot;00056B61&quot;/&gt;&lt;wsp:rsid wsp:val=&quot;00057E6E&quot;/&gt;&lt;wsp:rsid wsp:val=&quot;000607AD&quot;/&gt;&lt;wsp:rsid wsp:val=&quot;0006125E&quot;/&gt;&lt;wsp:rsid wsp:val=&quot;00061796&quot;/&gt;&lt;wsp:rsid wsp:val=&quot;00061812&quot;/&gt;&lt;wsp:rsid wsp:val=&quot;00064956&quot;/&gt;&lt;wsp:rsid wsp:val=&quot;00064F3B&quot;/&gt;&lt;wsp:rsid wsp:val=&quot;00065A8F&quot;/&gt;&lt;wsp:rsid wsp:val=&quot;00065F29&quot;/&gt;&lt;wsp:rsid wsp:val=&quot;00070A09&quot;/&gt;&lt;wsp:rsid wsp:val=&quot;00070C7F&quot;/&gt;&lt;wsp:rsid wsp:val=&quot;00073CB1&quot;/&gt;&lt;wsp:rsid wsp:val=&quot;00074058&quot;/&gt;&lt;wsp:rsid wsp:val=&quot;00074AFD&quot;/&gt;&lt;wsp:rsid wsp:val=&quot;00074E15&quot;/&gt;&lt;wsp:rsid wsp:val=&quot;00075C0B&quot;/&gt;&lt;wsp:rsid wsp:val=&quot;00075F90&quot;/&gt;&lt;wsp:rsid wsp:val=&quot;00075FF9&quot;/&gt;&lt;wsp:rsid wsp:val=&quot;000763A0&quot;/&gt;&lt;wsp:rsid wsp:val=&quot;00076760&quot;/&gt;&lt;wsp:rsid wsp:val=&quot;00077C6E&quot;/&gt;&lt;wsp:rsid wsp:val=&quot;00077EBB&quot;/&gt;&lt;wsp:rsid wsp:val=&quot;0008028D&quot;/&gt;&lt;wsp:rsid wsp:val=&quot;00080AA2&quot;/&gt;&lt;wsp:rsid wsp:val=&quot;00080BDD&quot;/&gt;&lt;wsp:rsid wsp:val=&quot;0008159D&quot;/&gt;&lt;wsp:rsid wsp:val=&quot;00082D36&quot;/&gt;&lt;wsp:rsid wsp:val=&quot;0008396F&quot;/&gt;&lt;wsp:rsid wsp:val=&quot;00083C18&quot;/&gt;&lt;wsp:rsid wsp:val=&quot;0008442F&quot;/&gt;&lt;wsp:rsid wsp:val=&quot;000864D5&quot;/&gt;&lt;wsp:rsid wsp:val=&quot;00086CF7&quot;/&gt;&lt;wsp:rsid wsp:val=&quot;00087257&quot;/&gt;&lt;wsp:rsid wsp:val=&quot;00087498&quot;/&gt;&lt;wsp:rsid wsp:val=&quot;000877C8&quot;/&gt;&lt;wsp:rsid wsp:val=&quot;00087FE8&quot;/&gt;&lt;wsp:rsid wsp:val=&quot;00090424&quot;/&gt;&lt;wsp:rsid wsp:val=&quot;000909D8&quot;/&gt;&lt;wsp:rsid wsp:val=&quot;00090C5E&quot;/&gt;&lt;wsp:rsid wsp:val=&quot;000917E6&quot;/&gt;&lt;wsp:rsid wsp:val=&quot;00091B7C&quot;/&gt;&lt;wsp:rsid wsp:val=&quot;00092B59&quot;/&gt;&lt;wsp:rsid wsp:val=&quot;000930C4&quot;/&gt;&lt;wsp:rsid wsp:val=&quot;00093812&quot;/&gt;&lt;wsp:rsid wsp:val=&quot;000964A7&quot;/&gt;&lt;wsp:rsid wsp:val=&quot;000978C5&quot;/&gt;&lt;wsp:rsid wsp:val=&quot;000A08F1&quot;/&gt;&lt;wsp:rsid wsp:val=&quot;000A1217&quot;/&gt;&lt;wsp:rsid wsp:val=&quot;000A20E0&quot;/&gt;&lt;wsp:rsid wsp:val=&quot;000A2264&quot;/&gt;&lt;wsp:rsid wsp:val=&quot;000A38FB&quot;/&gt;&lt;wsp:rsid wsp:val=&quot;000A457D&quot;/&gt;&lt;wsp:rsid wsp:val=&quot;000A4F2C&quot;/&gt;&lt;wsp:rsid wsp:val=&quot;000A589B&quot;/&gt;&lt;wsp:rsid wsp:val=&quot;000A5F49&quot;/&gt;&lt;wsp:rsid wsp:val=&quot;000A64EA&quot;/&gt;&lt;wsp:rsid wsp:val=&quot;000A7A05&quot;/&gt;&lt;wsp:rsid wsp:val=&quot;000B1DD7&quot;/&gt;&lt;wsp:rsid wsp:val=&quot;000B34F4&quot;/&gt;&lt;wsp:rsid wsp:val=&quot;000B487E&quot;/&gt;&lt;wsp:rsid wsp:val=&quot;000B4973&quot;/&gt;&lt;wsp:rsid wsp:val=&quot;000B49B2&quot;/&gt;&lt;wsp:rsid wsp:val=&quot;000B4C16&quot;/&gt;&lt;wsp:rsid wsp:val=&quot;000B4EE4&quot;/&gt;&lt;wsp:rsid wsp:val=&quot;000B56C3&quot;/&gt;&lt;wsp:rsid wsp:val=&quot;000B69BE&quot;/&gt;&lt;wsp:rsid wsp:val=&quot;000B6AF4&quot;/&gt;&lt;wsp:rsid wsp:val=&quot;000C2528&quot;/&gt;&lt;wsp:rsid wsp:val=&quot;000C2696&quot;/&gt;&lt;wsp:rsid wsp:val=&quot;000C2B0E&quot;/&gt;&lt;wsp:rsid wsp:val=&quot;000C3650&quot;/&gt;&lt;wsp:rsid wsp:val=&quot;000C366B&quot;/&gt;&lt;wsp:rsid wsp:val=&quot;000C4235&quot;/&gt;&lt;wsp:rsid wsp:val=&quot;000C54D5&quot;/&gt;&lt;wsp:rsid wsp:val=&quot;000C57FB&quot;/&gt;&lt;wsp:rsid wsp:val=&quot;000C5E64&quot;/&gt;&lt;wsp:rsid wsp:val=&quot;000C6333&quot;/&gt;&lt;wsp:rsid wsp:val=&quot;000C64F8&quot;/&gt;&lt;wsp:rsid wsp:val=&quot;000D0338&quot;/&gt;&lt;wsp:rsid wsp:val=&quot;000D07AD&quot;/&gt;&lt;wsp:rsid wsp:val=&quot;000D08DB&quot;/&gt;&lt;wsp:rsid wsp:val=&quot;000D1088&quot;/&gt;&lt;wsp:rsid wsp:val=&quot;000D168E&quot;/&gt;&lt;wsp:rsid wsp:val=&quot;000D2F3D&quot;/&gt;&lt;wsp:rsid wsp:val=&quot;000D37FA&quot;/&gt;&lt;wsp:rsid wsp:val=&quot;000D6076&quot;/&gt;&lt;wsp:rsid wsp:val=&quot;000D7188&quot;/&gt;&lt;wsp:rsid wsp:val=&quot;000D7605&quot;/&gt;&lt;wsp:rsid wsp:val=&quot;000E0759&quot;/&gt;&lt;wsp:rsid wsp:val=&quot;000E0FF9&quot;/&gt;&lt;wsp:rsid wsp:val=&quot;000E37D9&quot;/&gt;&lt;wsp:rsid wsp:val=&quot;000E401E&quot;/&gt;&lt;wsp:rsid wsp:val=&quot;000E4700&quot;/&gt;&lt;wsp:rsid wsp:val=&quot;000E4DA3&quot;/&gt;&lt;wsp:rsid wsp:val=&quot;000E55BB&quot;/&gt;&lt;wsp:rsid wsp:val=&quot;000E5840&quot;/&gt;&lt;wsp:rsid wsp:val=&quot;000E5FD7&quot;/&gt;&lt;wsp:rsid wsp:val=&quot;000E68B4&quot;/&gt;&lt;wsp:rsid wsp:val=&quot;000E72E8&quot;/&gt;&lt;wsp:rsid wsp:val=&quot;000F03AE&quot;/&gt;&lt;wsp:rsid wsp:val=&quot;000F089B&quot;/&gt;&lt;wsp:rsid wsp:val=&quot;000F106C&quot;/&gt;&lt;wsp:rsid wsp:val=&quot;000F2649&quot;/&gt;&lt;wsp:rsid wsp:val=&quot;000F28E7&quot;/&gt;&lt;wsp:rsid wsp:val=&quot;000F39C8&quot;/&gt;&lt;wsp:rsid wsp:val=&quot;000F3B35&quot;/&gt;&lt;wsp:rsid wsp:val=&quot;000F3DB3&quot;/&gt;&lt;wsp:rsid wsp:val=&quot;000F508C&quot;/&gt;&lt;wsp:rsid wsp:val=&quot;000F53E1&quot;/&gt;&lt;wsp:rsid wsp:val=&quot;000F6B60&quot;/&gt;&lt;wsp:rsid wsp:val=&quot;00100E94&quot;/&gt;&lt;wsp:rsid wsp:val=&quot;0010109B&quot;/&gt;&lt;wsp:rsid wsp:val=&quot;00101299&quot;/&gt;&lt;wsp:rsid wsp:val=&quot;00102D42&quot;/&gt;&lt;wsp:rsid wsp:val=&quot;00102DA9&quot;/&gt;&lt;wsp:rsid wsp:val=&quot;00102EE0&quot;/&gt;&lt;wsp:rsid wsp:val=&quot;00103127&quot;/&gt;&lt;wsp:rsid wsp:val=&quot;001034EA&quot;/&gt;&lt;wsp:rsid wsp:val=&quot;00103B53&quot;/&gt;&lt;wsp:rsid wsp:val=&quot;001047B2&quot;/&gt;&lt;wsp:rsid wsp:val=&quot;00104C51&quot;/&gt;&lt;wsp:rsid wsp:val=&quot;00105B91&quot;/&gt;&lt;wsp:rsid wsp:val=&quot;00105BEB&quot;/&gt;&lt;wsp:rsid wsp:val=&quot;00106601&quot;/&gt;&lt;wsp:rsid wsp:val=&quot;00107554&quot;/&gt;&lt;wsp:rsid wsp:val=&quot;00107A60&quot;/&gt;&lt;wsp:rsid wsp:val=&quot;0011031F&quot;/&gt;&lt;wsp:rsid wsp:val=&quot;001103D2&quot;/&gt;&lt;wsp:rsid wsp:val=&quot;00110EB9&quot;/&gt;&lt;wsp:rsid wsp:val=&quot;00111636&quot;/&gt;&lt;wsp:rsid wsp:val=&quot;00111AC0&quot;/&gt;&lt;wsp:rsid wsp:val=&quot;001121D8&quot;/&gt;&lt;wsp:rsid wsp:val=&quot;00112217&quot;/&gt;&lt;wsp:rsid wsp:val=&quot;00112483&quot;/&gt;&lt;wsp:rsid wsp:val=&quot;00112B6C&quot;/&gt;&lt;wsp:rsid wsp:val=&quot;00113651&quot;/&gt;&lt;wsp:rsid wsp:val=&quot;001142E5&quot;/&gt;&lt;wsp:rsid wsp:val=&quot;001146BB&quot;/&gt;&lt;wsp:rsid wsp:val=&quot;001147D9&quot;/&gt;&lt;wsp:rsid wsp:val=&quot;00115ED6&quot;/&gt;&lt;wsp:rsid wsp:val=&quot;00116BC7&quot;/&gt;&lt;wsp:rsid wsp:val=&quot;00116F50&quot;/&gt;&lt;wsp:rsid wsp:val=&quot;001173B8&quot;/&gt;&lt;wsp:rsid wsp:val=&quot;00117F73&quot;/&gt;&lt;wsp:rsid wsp:val=&quot;00120383&quot;/&gt;&lt;wsp:rsid wsp:val=&quot;00120D7C&quot;/&gt;&lt;wsp:rsid wsp:val=&quot;00121C68&quot;/&gt;&lt;wsp:rsid wsp:val=&quot;001235CF&quot;/&gt;&lt;wsp:rsid wsp:val=&quot;00123A6C&quot;/&gt;&lt;wsp:rsid wsp:val=&quot;001241CD&quot;/&gt;&lt;wsp:rsid wsp:val=&quot;00125EC7&quot;/&gt;&lt;wsp:rsid wsp:val=&quot;0012609F&quot;/&gt;&lt;wsp:rsid wsp:val=&quot;00127F2B&quot;/&gt;&lt;wsp:rsid wsp:val=&quot;00130114&quot;/&gt;&lt;wsp:rsid wsp:val=&quot;0013076E&quot;/&gt;&lt;wsp:rsid wsp:val=&quot;00130B64&quot;/&gt;&lt;wsp:rsid wsp:val=&quot;00130E8C&quot;/&gt;&lt;wsp:rsid wsp:val=&quot;00131F6C&quot;/&gt;&lt;wsp:rsid wsp:val=&quot;00132836&quot;/&gt;&lt;wsp:rsid wsp:val=&quot;00133048&quot;/&gt;&lt;wsp:rsid wsp:val=&quot;00133949&quot;/&gt;&lt;wsp:rsid wsp:val=&quot;00135197&quot;/&gt;&lt;wsp:rsid wsp:val=&quot;00135B64&quot;/&gt;&lt;wsp:rsid wsp:val=&quot;001367F1&quot;/&gt;&lt;wsp:rsid wsp:val=&quot;0013719C&quot;/&gt;&lt;wsp:rsid wsp:val=&quot;001373F3&quot;/&gt;&lt;wsp:rsid wsp:val=&quot;001374BB&quot;/&gt;&lt;wsp:rsid wsp:val=&quot;001405F0&quot;/&gt;&lt;wsp:rsid wsp:val=&quot;0014082D&quot;/&gt;&lt;wsp:rsid wsp:val=&quot;00141038&quot;/&gt;&lt;wsp:rsid wsp:val=&quot;0014154B&quot;/&gt;&lt;wsp:rsid wsp:val=&quot;00141984&quot;/&gt;&lt;wsp:rsid wsp:val=&quot;00141E17&quot;/&gt;&lt;wsp:rsid wsp:val=&quot;00141EEB&quot;/&gt;&lt;wsp:rsid wsp:val=&quot;001421EA&quot;/&gt;&lt;wsp:rsid wsp:val=&quot;00142292&quot;/&gt;&lt;wsp:rsid wsp:val=&quot;001440A1&quot;/&gt;&lt;wsp:rsid wsp:val=&quot;001466ED&quot;/&gt;&lt;wsp:rsid wsp:val=&quot;001469B7&quot;/&gt;&lt;wsp:rsid wsp:val=&quot;00147BE4&quot;/&gt;&lt;wsp:rsid wsp:val=&quot;0015061D&quot;/&gt;&lt;wsp:rsid wsp:val=&quot;001508C4&quot;/&gt;&lt;wsp:rsid wsp:val=&quot;0015197D&quot;/&gt;&lt;wsp:rsid wsp:val=&quot;001523E9&quot;/&gt;&lt;wsp:rsid wsp:val=&quot;00152768&quot;/&gt;&lt;wsp:rsid wsp:val=&quot;001528FA&quot;/&gt;&lt;wsp:rsid wsp:val=&quot;00152B6D&quot;/&gt;&lt;wsp:rsid wsp:val=&quot;001532E7&quot;/&gt;&lt;wsp:rsid wsp:val=&quot;00153366&quot;/&gt;&lt;wsp:rsid wsp:val=&quot;001554B1&quot;/&gt;&lt;wsp:rsid wsp:val=&quot;00156550&quot;/&gt;&lt;wsp:rsid wsp:val=&quot;00156AA1&quot;/&gt;&lt;wsp:rsid wsp:val=&quot;00157B3E&quot;/&gt;&lt;wsp:rsid wsp:val=&quot;001611D0&quot;/&gt;&lt;wsp:rsid wsp:val=&quot;00162183&quot;/&gt;&lt;wsp:rsid wsp:val=&quot;00162845&quot;/&gt;&lt;wsp:rsid wsp:val=&quot;00162BD5&quot;/&gt;&lt;wsp:rsid wsp:val=&quot;001635E7&quot;/&gt;&lt;wsp:rsid wsp:val=&quot;001653F7&quot;/&gt;&lt;wsp:rsid wsp:val=&quot;00165B46&quot;/&gt;&lt;wsp:rsid wsp:val=&quot;00165FD3&quot;/&gt;&lt;wsp:rsid wsp:val=&quot;0016649E&quot;/&gt;&lt;wsp:rsid wsp:val=&quot;00166847&quot;/&gt;&lt;wsp:rsid wsp:val=&quot;0016733A&quot;/&gt;&lt;wsp:rsid wsp:val=&quot;001679DC&quot;/&gt;&lt;wsp:rsid wsp:val=&quot;00167AD0&quot;/&gt;&lt;wsp:rsid wsp:val=&quot;00171430&quot;/&gt;&lt;wsp:rsid wsp:val=&quot;00172401&quot;/&gt;&lt;wsp:rsid wsp:val=&quot;00172572&quot;/&gt;&lt;wsp:rsid wsp:val=&quot;00172F0A&quot;/&gt;&lt;wsp:rsid wsp:val=&quot;00172F4C&quot;/&gt;&lt;wsp:rsid wsp:val=&quot;00175205&quot;/&gt;&lt;wsp:rsid wsp:val=&quot;001774B1&quot;/&gt;&lt;wsp:rsid wsp:val=&quot;00177B4A&quot;/&gt;&lt;wsp:rsid wsp:val=&quot;0018367F&quot;/&gt;&lt;wsp:rsid wsp:val=&quot;00183C0F&quot;/&gt;&lt;wsp:rsid wsp:val=&quot;00185D25&quot;/&gt;&lt;wsp:rsid wsp:val=&quot;001873D2&quot;/&gt;&lt;wsp:rsid wsp:val=&quot;0019016D&quot;/&gt;&lt;wsp:rsid wsp:val=&quot;0019108E&quot;/&gt;&lt;wsp:rsid wsp:val=&quot;001910EB&quot;/&gt;&lt;wsp:rsid wsp:val=&quot;001916C6&quot;/&gt;&lt;wsp:rsid wsp:val=&quot;00191B64&quot;/&gt;&lt;wsp:rsid wsp:val=&quot;0019214B&quot;/&gt;&lt;wsp:rsid wsp:val=&quot;00192A2D&quot;/&gt;&lt;wsp:rsid wsp:val=&quot;00193742&quot;/&gt;&lt;wsp:rsid wsp:val=&quot;00193A8B&quot;/&gt;&lt;wsp:rsid wsp:val=&quot;00196E2A&quot;/&gt;&lt;wsp:rsid wsp:val=&quot;00197FB3&quot;/&gt;&lt;wsp:rsid wsp:val=&quot;001A0095&quot;/&gt;&lt;wsp:rsid wsp:val=&quot;001A018C&quot;/&gt;&lt;wsp:rsid wsp:val=&quot;001A1972&quot;/&gt;&lt;wsp:rsid wsp:val=&quot;001A26F3&quot;/&gt;&lt;wsp:rsid wsp:val=&quot;001A3A52&quot;/&gt;&lt;wsp:rsid wsp:val=&quot;001A5596&quot;/&gt;&lt;wsp:rsid wsp:val=&quot;001A581B&quot;/&gt;&lt;wsp:rsid wsp:val=&quot;001A5C74&quot;/&gt;&lt;wsp:rsid wsp:val=&quot;001A5CA5&quot;/&gt;&lt;wsp:rsid wsp:val=&quot;001A6E5E&quot;/&gt;&lt;wsp:rsid wsp:val=&quot;001A717A&quot;/&gt;&lt;wsp:rsid wsp:val=&quot;001A7265&quot;/&gt;&lt;wsp:rsid wsp:val=&quot;001A7B8D&quot;/&gt;&lt;wsp:rsid wsp:val=&quot;001A7E63&quot;/&gt;&lt;wsp:rsid wsp:val=&quot;001B0085&quot;/&gt;&lt;wsp:rsid wsp:val=&quot;001B1B8D&quot;/&gt;&lt;wsp:rsid wsp:val=&quot;001B1F70&quot;/&gt;&lt;wsp:rsid wsp:val=&quot;001B25A5&quot;/&gt;&lt;wsp:rsid wsp:val=&quot;001B2BA8&quot;/&gt;&lt;wsp:rsid wsp:val=&quot;001B50BD&quot;/&gt;&lt;wsp:rsid wsp:val=&quot;001B52F8&quot;/&gt;&lt;wsp:rsid wsp:val=&quot;001B5DDC&quot;/&gt;&lt;wsp:rsid wsp:val=&quot;001B755C&quot;/&gt;&lt;wsp:rsid wsp:val=&quot;001C0920&quot;/&gt;&lt;wsp:rsid wsp:val=&quot;001C1480&quot;/&gt;&lt;wsp:rsid wsp:val=&quot;001C1736&quot;/&gt;&lt;wsp:rsid wsp:val=&quot;001C20A5&quot;/&gt;&lt;wsp:rsid wsp:val=&quot;001C290B&quot;/&gt;&lt;wsp:rsid wsp:val=&quot;001C3A0D&quot;/&gt;&lt;wsp:rsid wsp:val=&quot;001C45F0&quot;/&gt;&lt;wsp:rsid wsp:val=&quot;001C6350&quot;/&gt;&lt;wsp:rsid wsp:val=&quot;001C67E3&quot;/&gt;&lt;wsp:rsid wsp:val=&quot;001C6E45&quot;/&gt;&lt;wsp:rsid wsp:val=&quot;001C777A&quot;/&gt;&lt;wsp:rsid wsp:val=&quot;001D047E&quot;/&gt;&lt;wsp:rsid wsp:val=&quot;001D081E&quot;/&gt;&lt;wsp:rsid wsp:val=&quot;001D0838&quot;/&gt;&lt;wsp:rsid wsp:val=&quot;001D0A77&quot;/&gt;&lt;wsp:rsid wsp:val=&quot;001D0EC1&quot;/&gt;&lt;wsp:rsid wsp:val=&quot;001D3440&quot;/&gt;&lt;wsp:rsid wsp:val=&quot;001D5301&quot;/&gt;&lt;wsp:rsid wsp:val=&quot;001D6606&quot;/&gt;&lt;wsp:rsid wsp:val=&quot;001D6CD5&quot;/&gt;&lt;wsp:rsid wsp:val=&quot;001D6FB8&quot;/&gt;&lt;wsp:rsid wsp:val=&quot;001D7950&quot;/&gt;&lt;wsp:rsid wsp:val=&quot;001E08A4&quot;/&gt;&lt;wsp:rsid wsp:val=&quot;001E128E&quot;/&gt;&lt;wsp:rsid wsp:val=&quot;001E17A1&quot;/&gt;&lt;wsp:rsid wsp:val=&quot;001E2F44&quot;/&gt;&lt;wsp:rsid wsp:val=&quot;001E30B2&quot;/&gt;&lt;wsp:rsid wsp:val=&quot;001E3279&quot;/&gt;&lt;wsp:rsid wsp:val=&quot;001E3E89&quot;/&gt;&lt;wsp:rsid wsp:val=&quot;001E42C4&quot;/&gt;&lt;wsp:rsid wsp:val=&quot;001E461F&quot;/&gt;&lt;wsp:rsid wsp:val=&quot;001E5821&quot;/&gt;&lt;wsp:rsid wsp:val=&quot;001E5E98&quot;/&gt;&lt;wsp:rsid wsp:val=&quot;001E7467&quot;/&gt;&lt;wsp:rsid wsp:val=&quot;001F09DB&quot;/&gt;&lt;wsp:rsid wsp:val=&quot;001F0B3E&quot;/&gt;&lt;wsp:rsid wsp:val=&quot;001F1A1C&quot;/&gt;&lt;wsp:rsid wsp:val=&quot;001F1A81&quot;/&gt;&lt;wsp:rsid wsp:val=&quot;001F2A1B&quot;/&gt;&lt;wsp:rsid wsp:val=&quot;001F339A&quot;/&gt;&lt;wsp:rsid wsp:val=&quot;001F3AAF&quot;/&gt;&lt;wsp:rsid wsp:val=&quot;001F4401&quot;/&gt;&lt;wsp:rsid wsp:val=&quot;001F531D&quot;/&gt;&lt;wsp:rsid wsp:val=&quot;001F56AD&quot;/&gt;&lt;wsp:rsid wsp:val=&quot;001F5F9E&quot;/&gt;&lt;wsp:rsid wsp:val=&quot;001F62CD&quot;/&gt;&lt;wsp:rsid wsp:val=&quot;001F6E1D&quot;/&gt;&lt;wsp:rsid wsp:val=&quot;001F7A51&quot;/&gt;&lt;wsp:rsid wsp:val=&quot;00200114&quot;/&gt;&lt;wsp:rsid wsp:val=&quot;00202547&quot;/&gt;&lt;wsp:rsid wsp:val=&quot;0020284C&quot;/&gt;&lt;wsp:rsid wsp:val=&quot;002031A3&quot;/&gt;&lt;wsp:rsid wsp:val=&quot;002048C5&quot;/&gt;&lt;wsp:rsid wsp:val=&quot;002049B5&quot;/&gt;&lt;wsp:rsid wsp:val=&quot;00205126&quot;/&gt;&lt;wsp:rsid wsp:val=&quot;002054AF&quot;/&gt;&lt;wsp:rsid wsp:val=&quot;002069AB&quot;/&gt;&lt;wsp:rsid wsp:val=&quot;0021064F&quot;/&gt;&lt;wsp:rsid wsp:val=&quot;00210F97&quot;/&gt;&lt;wsp:rsid wsp:val=&quot;002143D5&quot;/&gt;&lt;wsp:rsid wsp:val=&quot;00214737&quot;/&gt;&lt;wsp:rsid wsp:val=&quot;00214AE9&quot;/&gt;&lt;wsp:rsid wsp:val=&quot;00214C21&quot;/&gt;&lt;wsp:rsid wsp:val=&quot;00214CBA&quot;/&gt;&lt;wsp:rsid wsp:val=&quot;00215913&quot;/&gt;&lt;wsp:rsid wsp:val=&quot;00216726&quot;/&gt;&lt;wsp:rsid wsp:val=&quot;002169F3&quot;/&gt;&lt;wsp:rsid wsp:val=&quot;0021704F&quot;/&gt;&lt;wsp:rsid wsp:val=&quot;002175FC&quot;/&gt;&lt;wsp:rsid wsp:val=&quot;002206F6&quot;/&gt;&lt;wsp:rsid wsp:val=&quot;00220B1A&quot;/&gt;&lt;wsp:rsid wsp:val=&quot;00221715&quot;/&gt;&lt;wsp:rsid wsp:val=&quot;00221927&quot;/&gt;&lt;wsp:rsid wsp:val=&quot;0022225B&quot;/&gt;&lt;wsp:rsid wsp:val=&quot;002225CE&quot;/&gt;&lt;wsp:rsid wsp:val=&quot;00222F51&quot;/&gt;&lt;wsp:rsid wsp:val=&quot;00223A7A&quot;/&gt;&lt;wsp:rsid wsp:val=&quot;00227340&quot;/&gt;&lt;wsp:rsid wsp:val=&quot;002275C6&quot;/&gt;&lt;wsp:rsid wsp:val=&quot;002313B6&quot;/&gt;&lt;wsp:rsid wsp:val=&quot;002322A3&quot;/&gt;&lt;wsp:rsid wsp:val=&quot;00232642&quot;/&gt;&lt;wsp:rsid wsp:val=&quot;00233736&quot;/&gt;&lt;wsp:rsid wsp:val=&quot;00234497&quot;/&gt;&lt;wsp:rsid wsp:val=&quot;002344D7&quot;/&gt;&lt;wsp:rsid wsp:val=&quot;00234587&quot;/&gt;&lt;wsp:rsid wsp:val=&quot;00235031&quot;/&gt;&lt;wsp:rsid wsp:val=&quot;00235121&quot;/&gt;&lt;wsp:rsid wsp:val=&quot;00235496&quot;/&gt;&lt;wsp:rsid wsp:val=&quot;0023591D&quot;/&gt;&lt;wsp:rsid wsp:val=&quot;00237D7A&quot;/&gt;&lt;wsp:rsid wsp:val=&quot;00240263&quot;/&gt;&lt;wsp:rsid wsp:val=&quot;00240582&quot;/&gt;&lt;wsp:rsid wsp:val=&quot;00240D6F&quot;/&gt;&lt;wsp:rsid wsp:val=&quot;002410A6&quot;/&gt;&lt;wsp:rsid wsp:val=&quot;00242005&quot;/&gt;&lt;wsp:rsid wsp:val=&quot;00242177&quot;/&gt;&lt;wsp:rsid wsp:val=&quot;002421F8&quot;/&gt;&lt;wsp:rsid wsp:val=&quot;002435F4&quot;/&gt;&lt;wsp:rsid wsp:val=&quot;00243A36&quot;/&gt;&lt;wsp:rsid wsp:val=&quot;00243BAF&quot;/&gt;&lt;wsp:rsid wsp:val=&quot;0024531A&quot;/&gt;&lt;wsp:rsid wsp:val=&quot;00245C9D&quot;/&gt;&lt;wsp:rsid wsp:val=&quot;00245D36&quot;/&gt;&lt;wsp:rsid wsp:val=&quot;00245E1F&quot;/&gt;&lt;wsp:rsid wsp:val=&quot;00245EF6&quot;/&gt;&lt;wsp:rsid wsp:val=&quot;002460D6&quot;/&gt;&lt;wsp:rsid wsp:val=&quot;00246770&quot;/&gt;&lt;wsp:rsid wsp:val=&quot;0024718C&quot;/&gt;&lt;wsp:rsid wsp:val=&quot;002476CB&quot;/&gt;&lt;wsp:rsid wsp:val=&quot;00251FFD&quot;/&gt;&lt;wsp:rsid wsp:val=&quot;00252503&quot;/&gt;&lt;wsp:rsid wsp:val=&quot;0025273D&quot;/&gt;&lt;wsp:rsid wsp:val=&quot;00253ED6&quot;/&gt;&lt;wsp:rsid wsp:val=&quot;00254796&quot;/&gt;&lt;wsp:rsid wsp:val=&quot;002549BE&quot;/&gt;&lt;wsp:rsid wsp:val=&quot;00254EE7&quot;/&gt;&lt;wsp:rsid wsp:val=&quot;002550F7&quot;/&gt;&lt;wsp:rsid wsp:val=&quot;002569CB&quot;/&gt;&lt;wsp:rsid wsp:val=&quot;00257338&quot;/&gt;&lt;wsp:rsid wsp:val=&quot;00257427&quot;/&gt;&lt;wsp:rsid wsp:val=&quot;0025744B&quot;/&gt;&lt;wsp:rsid wsp:val=&quot;00257C57&quot;/&gt;&lt;wsp:rsid wsp:val=&quot;00260279&quot;/&gt;&lt;wsp:rsid wsp:val=&quot;002604C1&quot;/&gt;&lt;wsp:rsid wsp:val=&quot;00260538&quot;/&gt;&lt;wsp:rsid wsp:val=&quot;00260D0A&quot;/&gt;&lt;wsp:rsid wsp:val=&quot;00262177&quot;/&gt;&lt;wsp:rsid wsp:val=&quot;00262BF8&quot;/&gt;&lt;wsp:rsid wsp:val=&quot;0026364A&quot;/&gt;&lt;wsp:rsid wsp:val=&quot;00264B7E&quot;/&gt;&lt;wsp:rsid wsp:val=&quot;00265568&quot;/&gt;&lt;wsp:rsid wsp:val=&quot;00266219&quot;/&gt;&lt;wsp:rsid wsp:val=&quot;0026645C&quot;/&gt;&lt;wsp:rsid wsp:val=&quot;002666B9&quot;/&gt;&lt;wsp:rsid wsp:val=&quot;002666CC&quot;/&gt;&lt;wsp:rsid wsp:val=&quot;002677D6&quot;/&gt;&lt;wsp:rsid wsp:val=&quot;00270172&quot;/&gt;&lt;wsp:rsid wsp:val=&quot;00270802&quot;/&gt;&lt;wsp:rsid wsp:val=&quot;00270FE3&quot;/&gt;&lt;wsp:rsid wsp:val=&quot;002715FB&quot;/&gt;&lt;wsp:rsid wsp:val=&quot;0027304F&quot;/&gt;&lt;wsp:rsid wsp:val=&quot;002732D6&quot;/&gt;&lt;wsp:rsid wsp:val=&quot;00273916&quot;/&gt;&lt;wsp:rsid wsp:val=&quot;00274080&quot;/&gt;&lt;wsp:rsid wsp:val=&quot;00275000&quot;/&gt;&lt;wsp:rsid wsp:val=&quot;0027520C&quot;/&gt;&lt;wsp:rsid wsp:val=&quot;002764BD&quot;/&gt;&lt;wsp:rsid wsp:val=&quot;00276B4E&quot;/&gt;&lt;wsp:rsid wsp:val=&quot;002772BC&quot;/&gt;&lt;wsp:rsid wsp:val=&quot;00277A25&quot;/&gt;&lt;wsp:rsid wsp:val=&quot;0028000E&quot;/&gt;&lt;wsp:rsid wsp:val=&quot;00280889&quot;/&gt;&lt;wsp:rsid wsp:val=&quot;00281B3A&quot;/&gt;&lt;wsp:rsid wsp:val=&quot;00282755&quot;/&gt;&lt;wsp:rsid wsp:val=&quot;00282A5A&quot;/&gt;&lt;wsp:rsid wsp:val=&quot;00282D41&quot;/&gt;&lt;wsp:rsid wsp:val=&quot;00282D61&quot;/&gt;&lt;wsp:rsid wsp:val=&quot;00283BAB&quot;/&gt;&lt;wsp:rsid wsp:val=&quot;00283FD5&quot;/&gt;&lt;wsp:rsid wsp:val=&quot;002857BA&quot;/&gt;&lt;wsp:rsid wsp:val=&quot;0028643E&quot;/&gt;&lt;wsp:rsid wsp:val=&quot;00286759&quot;/&gt;&lt;wsp:rsid wsp:val=&quot;002873DA&quot;/&gt;&lt;wsp:rsid wsp:val=&quot;00290F19&quot;/&gt;&lt;wsp:rsid wsp:val=&quot;00292312&quot;/&gt;&lt;wsp:rsid wsp:val=&quot;0029231B&quot;/&gt;&lt;wsp:rsid wsp:val=&quot;00293998&quot;/&gt;&lt;wsp:rsid wsp:val=&quot;00295FB0&quot;/&gt;&lt;wsp:rsid wsp:val=&quot;0029646D&quot;/&gt;&lt;wsp:rsid wsp:val=&quot;00296E97&quot;/&gt;&lt;wsp:rsid wsp:val=&quot;002978EC&quot;/&gt;&lt;wsp:rsid wsp:val=&quot;00297925&quot;/&gt;&lt;wsp:rsid wsp:val=&quot;002A0A7E&quot;/&gt;&lt;wsp:rsid wsp:val=&quot;002A0E07&quot;/&gt;&lt;wsp:rsid wsp:val=&quot;002A1D0E&quot;/&gt;&lt;wsp:rsid wsp:val=&quot;002A2CC2&quot;/&gt;&lt;wsp:rsid wsp:val=&quot;002A2D71&quot;/&gt;&lt;wsp:rsid wsp:val=&quot;002A3B7E&quot;/&gt;&lt;wsp:rsid wsp:val=&quot;002A4724&quot;/&gt;&lt;wsp:rsid wsp:val=&quot;002A4E8F&quot;/&gt;&lt;wsp:rsid wsp:val=&quot;002A56F9&quot;/&gt;&lt;wsp:rsid wsp:val=&quot;002A6069&quot;/&gt;&lt;wsp:rsid wsp:val=&quot;002A654A&quot;/&gt;&lt;wsp:rsid wsp:val=&quot;002A77B9&quot;/&gt;&lt;wsp:rsid wsp:val=&quot;002B0590&quot;/&gt;&lt;wsp:rsid wsp:val=&quot;002B3A99&quot;/&gt;&lt;wsp:rsid wsp:val=&quot;002B3F77&quot;/&gt;&lt;wsp:rsid wsp:val=&quot;002B4274&quot;/&gt;&lt;wsp:rsid wsp:val=&quot;002B428A&quot;/&gt;&lt;wsp:rsid wsp:val=&quot;002B4AE6&quot;/&gt;&lt;wsp:rsid wsp:val=&quot;002B5F10&quot;/&gt;&lt;wsp:rsid wsp:val=&quot;002B60E9&quot;/&gt;&lt;wsp:rsid wsp:val=&quot;002B64F5&quot;/&gt;&lt;wsp:rsid wsp:val=&quot;002B78C4&quot;/&gt;&lt;wsp:rsid wsp:val=&quot;002B7B67&quot;/&gt;&lt;wsp:rsid wsp:val=&quot;002C0A39&quot;/&gt;&lt;wsp:rsid wsp:val=&quot;002C2F1A&quot;/&gt;&lt;wsp:rsid wsp:val=&quot;002C37F1&quot;/&gt;&lt;wsp:rsid wsp:val=&quot;002C3A74&quot;/&gt;&lt;wsp:rsid wsp:val=&quot;002C4A0B&quot;/&gt;&lt;wsp:rsid wsp:val=&quot;002C4F40&quot;/&gt;&lt;wsp:rsid wsp:val=&quot;002C5281&quot;/&gt;&lt;wsp:rsid wsp:val=&quot;002C56F0&quot;/&gt;&lt;wsp:rsid wsp:val=&quot;002C582D&quot;/&gt;&lt;wsp:rsid wsp:val=&quot;002C5D48&quot;/&gt;&lt;wsp:rsid wsp:val=&quot;002D13D7&quot;/&gt;&lt;wsp:rsid wsp:val=&quot;002D1968&quot;/&gt;&lt;wsp:rsid wsp:val=&quot;002D27D5&quot;/&gt;&lt;wsp:rsid wsp:val=&quot;002D4110&quot;/&gt;&lt;wsp:rsid wsp:val=&quot;002D4431&quot;/&gt;&lt;wsp:rsid wsp:val=&quot;002D5946&quot;/&gt;&lt;wsp:rsid wsp:val=&quot;002D5F40&quot;/&gt;&lt;wsp:rsid wsp:val=&quot;002D5FBE&quot;/&gt;&lt;wsp:rsid wsp:val=&quot;002D7D84&quot;/&gt;&lt;wsp:rsid wsp:val=&quot;002E06A9&quot;/&gt;&lt;wsp:rsid wsp:val=&quot;002E073D&quot;/&gt;&lt;wsp:rsid wsp:val=&quot;002E1CFC&quot;/&gt;&lt;wsp:rsid wsp:val=&quot;002E3138&quot;/&gt;&lt;wsp:rsid wsp:val=&quot;002E585E&quot;/&gt;&lt;wsp:rsid wsp:val=&quot;002E5A26&quot;/&gt;&lt;wsp:rsid wsp:val=&quot;002E7317&quot;/&gt;&lt;wsp:rsid wsp:val=&quot;002E7EEE&quot;/&gt;&lt;wsp:rsid wsp:val=&quot;002F0B7D&quot;/&gt;&lt;wsp:rsid wsp:val=&quot;002F1652&quot;/&gt;&lt;wsp:rsid wsp:val=&quot;002F3446&quot;/&gt;&lt;wsp:rsid wsp:val=&quot;002F4007&quot;/&gt;&lt;wsp:rsid wsp:val=&quot;002F48BA&quot;/&gt;&lt;wsp:rsid wsp:val=&quot;002F57AA&quot;/&gt;&lt;wsp:rsid wsp:val=&quot;002F61E2&quot;/&gt;&lt;wsp:rsid wsp:val=&quot;002F6E06&quot;/&gt;&lt;wsp:rsid wsp:val=&quot;002F79B9&quot;/&gt;&lt;wsp:rsid wsp:val=&quot;002F7F8D&quot;/&gt;&lt;wsp:rsid wsp:val=&quot;0030184C&quot;/&gt;&lt;wsp:rsid wsp:val=&quot;00301BC2&quot;/&gt;&lt;wsp:rsid wsp:val=&quot;00302F7A&quot;/&gt;&lt;wsp:rsid wsp:val=&quot;00303332&quot;/&gt;&lt;wsp:rsid wsp:val=&quot;00303D87&quot;/&gt;&lt;wsp:rsid wsp:val=&quot;0030706C&quot;/&gt;&lt;wsp:rsid wsp:val=&quot;00310DF4&quot;/&gt;&lt;wsp:rsid wsp:val=&quot;0031101A&quot;/&gt;&lt;wsp:rsid wsp:val=&quot;0031283E&quot;/&gt;&lt;wsp:rsid wsp:val=&quot;0031310C&quot;/&gt;&lt;wsp:rsid wsp:val=&quot;00313A45&quot;/&gt;&lt;wsp:rsid wsp:val=&quot;00313E49&quot;/&gt;&lt;wsp:rsid wsp:val=&quot;00314123&quot;/&gt;&lt;wsp:rsid wsp:val=&quot;003142ED&quot;/&gt;&lt;wsp:rsid wsp:val=&quot;003170E0&quot;/&gt;&lt;wsp:rsid wsp:val=&quot;00317888&quot;/&gt;&lt;wsp:rsid wsp:val=&quot;00317D2E&quot;/&gt;&lt;wsp:rsid wsp:val=&quot;003207DB&quot;/&gt;&lt;wsp:rsid wsp:val=&quot;003219A7&quot;/&gt;&lt;wsp:rsid wsp:val=&quot;00321A63&quot;/&gt;&lt;wsp:rsid wsp:val=&quot;00322808&quot;/&gt;&lt;wsp:rsid wsp:val=&quot;00323791&quot;/&gt;&lt;wsp:rsid wsp:val=&quot;00323EDF&quot;/&gt;&lt;wsp:rsid wsp:val=&quot;0032417A&quot;/&gt;&lt;wsp:rsid wsp:val=&quot;003244B0&quot;/&gt;&lt;wsp:rsid wsp:val=&quot;00324B17&quot;/&gt;&lt;wsp:rsid wsp:val=&quot;003257DA&quot;/&gt;&lt;wsp:rsid wsp:val=&quot;003263BD&quot;/&gt;&lt;wsp:rsid wsp:val=&quot;003263CC&quot;/&gt;&lt;wsp:rsid wsp:val=&quot;00326638&quot;/&gt;&lt;wsp:rsid wsp:val=&quot;0032678E&quot;/&gt;&lt;wsp:rsid wsp:val=&quot;003277BE&quot;/&gt;&lt;wsp:rsid wsp:val=&quot;00327ACB&quot;/&gt;&lt;wsp:rsid wsp:val=&quot;00330E85&quot;/&gt;&lt;wsp:rsid wsp:val=&quot;00331054&quot;/&gt;&lt;wsp:rsid wsp:val=&quot;003314C1&quot;/&gt;&lt;wsp:rsid wsp:val=&quot;003317B3&quot;/&gt;&lt;wsp:rsid wsp:val=&quot;00331F83&quot;/&gt;&lt;wsp:rsid wsp:val=&quot;003332C5&quot;/&gt;&lt;wsp:rsid wsp:val=&quot;00334A0A&quot;/&gt;&lt;wsp:rsid wsp:val=&quot;00340397&quot;/&gt;&lt;wsp:rsid wsp:val=&quot;0034088C&quot;/&gt;&lt;wsp:rsid wsp:val=&quot;003420D3&quot;/&gt;&lt;wsp:rsid wsp:val=&quot;00342FDB&quot;/&gt;&lt;wsp:rsid wsp:val=&quot;00343022&quot;/&gt;&lt;wsp:rsid wsp:val=&quot;00343D1A&quot;/&gt;&lt;wsp:rsid wsp:val=&quot;00344FF9&quot;/&gt;&lt;wsp:rsid wsp:val=&quot;003465E9&quot;/&gt;&lt;wsp:rsid wsp:val=&quot;00346636&quot;/&gt;&lt;wsp:rsid wsp:val=&quot;00346BFC&quot;/&gt;&lt;wsp:rsid wsp:val=&quot;00347631&quot;/&gt;&lt;wsp:rsid wsp:val=&quot;00350446&quot;/&gt;&lt;wsp:rsid wsp:val=&quot;003506D2&quot;/&gt;&lt;wsp:rsid wsp:val=&quot;003507FE&quot;/&gt;&lt;wsp:rsid wsp:val=&quot;003509C3&quot;/&gt;&lt;wsp:rsid wsp:val=&quot;00351A52&quot;/&gt;&lt;wsp:rsid wsp:val=&quot;00351BF3&quot;/&gt;&lt;wsp:rsid wsp:val=&quot;003521CC&quot;/&gt;&lt;wsp:rsid wsp:val=&quot;00352E2D&quot;/&gt;&lt;wsp:rsid wsp:val=&quot;003537B3&quot;/&gt;&lt;wsp:rsid wsp:val=&quot;00353D32&quot;/&gt;&lt;wsp:rsid wsp:val=&quot;0035408F&quot;/&gt;&lt;wsp:rsid wsp:val=&quot;003540E8&quot;/&gt;&lt;wsp:rsid wsp:val=&quot;0035503F&quot;/&gt;&lt;wsp:rsid wsp:val=&quot;003550EF&quot;/&gt;&lt;wsp:rsid wsp:val=&quot;003571BA&quot;/&gt;&lt;wsp:rsid wsp:val=&quot;00357518&quot;/&gt;&lt;wsp:rsid wsp:val=&quot;003578D8&quot;/&gt;&lt;wsp:rsid wsp:val=&quot;00360142&quot;/&gt;&lt;wsp:rsid wsp:val=&quot;00363716&quot;/&gt;&lt;wsp:rsid wsp:val=&quot;003639E9&quot;/&gt;&lt;wsp:rsid wsp:val=&quot;003644C8&quot;/&gt;&lt;wsp:rsid wsp:val=&quot;00365D36&quot;/&gt;&lt;wsp:rsid wsp:val=&quot;00366A05&quot;/&gt;&lt;wsp:rsid wsp:val=&quot;0036750A&quot;/&gt;&lt;wsp:rsid wsp:val=&quot;00370770&quot;/&gt;&lt;wsp:rsid wsp:val=&quot;00370909&quot;/&gt;&lt;wsp:rsid wsp:val=&quot;00370FD1&quot;/&gt;&lt;wsp:rsid wsp:val=&quot;0037341F&quot;/&gt;&lt;wsp:rsid wsp:val=&quot;00374057&quot;/&gt;&lt;wsp:rsid wsp:val=&quot;0037434F&quot;/&gt;&lt;wsp:rsid wsp:val=&quot;003764B7&quot;/&gt;&lt;wsp:rsid wsp:val=&quot;00377AE0&quot;/&gt;&lt;wsp:rsid wsp:val=&quot;00377B22&quot;/&gt;&lt;wsp:rsid wsp:val=&quot;00380A43&quot;/&gt;&lt;wsp:rsid wsp:val=&quot;00380AD2&quot;/&gt;&lt;wsp:rsid wsp:val=&quot;00381804&quot;/&gt;&lt;wsp:rsid wsp:val=&quot;00381859&quot;/&gt;&lt;wsp:rsid wsp:val=&quot;00382B61&quot;/&gt;&lt;wsp:rsid wsp:val=&quot;00382F7E&quot;/&gt;&lt;wsp:rsid wsp:val=&quot;00383A42&quot;/&gt;&lt;wsp:rsid wsp:val=&quot;00384D13&quot;/&gt;&lt;wsp:rsid wsp:val=&quot;003851CC&quot;/&gt;&lt;wsp:rsid wsp:val=&quot;00385D65&quot;/&gt;&lt;wsp:rsid wsp:val=&quot;00385F07&quot;/&gt;&lt;wsp:rsid wsp:val=&quot;00386053&quot;/&gt;&lt;wsp:rsid wsp:val=&quot;00386E2B&quot;/&gt;&lt;wsp:rsid wsp:val=&quot;00387509&quot;/&gt;&lt;wsp:rsid wsp:val=&quot;0039121B&quot;/&gt;&lt;wsp:rsid wsp:val=&quot;00391507&quot;/&gt;&lt;wsp:rsid wsp:val=&quot;00391B1A&quot;/&gt;&lt;wsp:rsid wsp:val=&quot;0039272D&quot;/&gt;&lt;wsp:rsid wsp:val=&quot;003932E9&quot;/&gt;&lt;wsp:rsid wsp:val=&quot;0039336D&quot;/&gt;&lt;wsp:rsid wsp:val=&quot;00393FA9&quot;/&gt;&lt;wsp:rsid wsp:val=&quot;00394873&quot;/&gt;&lt;wsp:rsid wsp:val=&quot;00394AF3&quot;/&gt;&lt;wsp:rsid wsp:val=&quot;00394F1C&quot;/&gt;&lt;wsp:rsid wsp:val=&quot;003950C1&quot;/&gt;&lt;wsp:rsid wsp:val=&quot;00395C88&quot;/&gt;&lt;wsp:rsid wsp:val=&quot;003967DC&quot;/&gt;&lt;wsp:rsid wsp:val=&quot;003970EA&quot;/&gt;&lt;wsp:rsid wsp:val=&quot;0039743F&quot;/&gt;&lt;wsp:rsid wsp:val=&quot;00397738&quot;/&gt;&lt;wsp:rsid wsp:val=&quot;00397FA1&quot;/&gt;&lt;wsp:rsid wsp:val=&quot;003A0212&quot;/&gt;&lt;wsp:rsid wsp:val=&quot;003A09E0&quot;/&gt;&lt;wsp:rsid wsp:val=&quot;003A25E1&quot;/&gt;&lt;wsp:rsid wsp:val=&quot;003A360B&quot;/&gt;&lt;wsp:rsid wsp:val=&quot;003A4833&quot;/&gt;&lt;wsp:rsid wsp:val=&quot;003A4B29&quot;/&gt;&lt;wsp:rsid wsp:val=&quot;003A4D06&quot;/&gt;&lt;wsp:rsid wsp:val=&quot;003A572E&quot;/&gt;&lt;wsp:rsid wsp:val=&quot;003A5779&quot;/&gt;&lt;wsp:rsid wsp:val=&quot;003A6725&quot;/&gt;&lt;wsp:rsid wsp:val=&quot;003A6FFE&quot;/&gt;&lt;wsp:rsid wsp:val=&quot;003A79F4&quot;/&gt;&lt;wsp:rsid wsp:val=&quot;003B158C&quot;/&gt;&lt;wsp:rsid wsp:val=&quot;003B189D&quot;/&gt;&lt;wsp:rsid wsp:val=&quot;003B2833&quot;/&gt;&lt;wsp:rsid wsp:val=&quot;003B3B90&quot;/&gt;&lt;wsp:rsid wsp:val=&quot;003B51C5&quot;/&gt;&lt;wsp:rsid wsp:val=&quot;003B54F9&quot;/&gt;&lt;wsp:rsid wsp:val=&quot;003B609A&quot;/&gt;&lt;wsp:rsid wsp:val=&quot;003B60E9&quot;/&gt;&lt;wsp:rsid wsp:val=&quot;003B63DC&quot;/&gt;&lt;wsp:rsid wsp:val=&quot;003B693C&quot;/&gt;&lt;wsp:rsid wsp:val=&quot;003B7213&quot;/&gt;&lt;wsp:rsid wsp:val=&quot;003C0BE2&quot;/&gt;&lt;wsp:rsid wsp:val=&quot;003C1AF6&quot;/&gt;&lt;wsp:rsid wsp:val=&quot;003C1C40&quot;/&gt;&lt;wsp:rsid wsp:val=&quot;003C2147&quot;/&gt;&lt;wsp:rsid wsp:val=&quot;003C2EB8&quot;/&gt;&lt;wsp:rsid wsp:val=&quot;003C3B77&quot;/&gt;&lt;wsp:rsid wsp:val=&quot;003C40E6&quot;/&gt;&lt;wsp:rsid wsp:val=&quot;003C50BE&quot;/&gt;&lt;wsp:rsid wsp:val=&quot;003D0ACC&quot;/&gt;&lt;wsp:rsid wsp:val=&quot;003D0B08&quot;/&gt;&lt;wsp:rsid wsp:val=&quot;003D0B6D&quot;/&gt;&lt;wsp:rsid wsp:val=&quot;003D0F0E&quot;/&gt;&lt;wsp:rsid wsp:val=&quot;003D1354&quot;/&gt;&lt;wsp:rsid wsp:val=&quot;003D14C5&quot;/&gt;&lt;wsp:rsid wsp:val=&quot;003D1A4E&quot;/&gt;&lt;wsp:rsid wsp:val=&quot;003D1B55&quot;/&gt;&lt;wsp:rsid wsp:val=&quot;003D274E&quot;/&gt;&lt;wsp:rsid wsp:val=&quot;003D284F&quot;/&gt;&lt;wsp:rsid wsp:val=&quot;003D2D27&quot;/&gt;&lt;wsp:rsid wsp:val=&quot;003D3A93&quot;/&gt;&lt;wsp:rsid wsp:val=&quot;003D4752&quot;/&gt;&lt;wsp:rsid wsp:val=&quot;003D4D51&quot;/&gt;&lt;wsp:rsid wsp:val=&quot;003D5C3E&quot;/&gt;&lt;wsp:rsid wsp:val=&quot;003D623F&quot;/&gt;&lt;wsp:rsid wsp:val=&quot;003D6CDC&quot;/&gt;&lt;wsp:rsid wsp:val=&quot;003D7EFC&quot;/&gt;&lt;wsp:rsid wsp:val=&quot;003E060F&quot;/&gt;&lt;wsp:rsid wsp:val=&quot;003E1A69&quot;/&gt;&lt;wsp:rsid wsp:val=&quot;003E1A78&quot;/&gt;&lt;wsp:rsid wsp:val=&quot;003E1B2E&quot;/&gt;&lt;wsp:rsid wsp:val=&quot;003E24D3&quot;/&gt;&lt;wsp:rsid wsp:val=&quot;003E30C8&quot;/&gt;&lt;wsp:rsid wsp:val=&quot;003E3136&quot;/&gt;&lt;wsp:rsid wsp:val=&quot;003E3454&quot;/&gt;&lt;wsp:rsid wsp:val=&quot;003E38F9&quot;/&gt;&lt;wsp:rsid wsp:val=&quot;003E4288&quot;/&gt;&lt;wsp:rsid wsp:val=&quot;003E4E57&quot;/&gt;&lt;wsp:rsid wsp:val=&quot;003E4F2E&quot;/&gt;&lt;wsp:rsid wsp:val=&quot;003E533C&quot;/&gt;&lt;wsp:rsid wsp:val=&quot;003E56E7&quot;/&gt;&lt;wsp:rsid wsp:val=&quot;003E612A&quot;/&gt;&lt;wsp:rsid wsp:val=&quot;003E6CDE&quot;/&gt;&lt;wsp:rsid wsp:val=&quot;003E6D6E&quot;/&gt;&lt;wsp:rsid wsp:val=&quot;003E70A8&quot;/&gt;&lt;wsp:rsid wsp:val=&quot;003E7A02&quot;/&gt;&lt;wsp:rsid wsp:val=&quot;003E7C6D&quot;/&gt;&lt;wsp:rsid wsp:val=&quot;003F16EF&quot;/&gt;&lt;wsp:rsid wsp:val=&quot;003F2B68&quot;/&gt;&lt;wsp:rsid wsp:val=&quot;003F35A4&quot;/&gt;&lt;wsp:rsid wsp:val=&quot;003F386C&quot;/&gt;&lt;wsp:rsid wsp:val=&quot;003F3AD4&quot;/&gt;&lt;wsp:rsid wsp:val=&quot;003F434C&quot;/&gt;&lt;wsp:rsid wsp:val=&quot;003F4E8E&quot;/&gt;&lt;wsp:rsid wsp:val=&quot;003F5510&quot;/&gt;&lt;wsp:rsid wsp:val=&quot;003F5BE8&quot;/&gt;&lt;wsp:rsid wsp:val=&quot;003F74AC&quot;/&gt;&lt;wsp:rsid wsp:val=&quot;003F7869&quot;/&gt;&lt;wsp:rsid wsp:val=&quot;00400A7B&quot;/&gt;&lt;wsp:rsid wsp:val=&quot;00400B8A&quot;/&gt;&lt;wsp:rsid wsp:val=&quot;004012C2&quot;/&gt;&lt;wsp:rsid wsp:val=&quot;00402008&quot;/&gt;&lt;wsp:rsid wsp:val=&quot;00402585&quot;/&gt;&lt;wsp:rsid wsp:val=&quot;00402987&quot;/&gt;&lt;wsp:rsid wsp:val=&quot;004032B0&quot;/&gt;&lt;wsp:rsid wsp:val=&quot;00403F02&quot;/&gt;&lt;wsp:rsid wsp:val=&quot;00404569&quot;/&gt;&lt;wsp:rsid wsp:val=&quot;00404587&quot;/&gt;&lt;wsp:rsid wsp:val=&quot;00404726&quot;/&gt;&lt;wsp:rsid wsp:val=&quot;00405D43&quot;/&gt;&lt;wsp:rsid wsp:val=&quot;004061FB&quot;/&gt;&lt;wsp:rsid wsp:val=&quot;00406210&quot;/&gt;&lt;wsp:rsid wsp:val=&quot;00406481&quot;/&gt;&lt;wsp:rsid wsp:val=&quot;004120C0&quot;/&gt;&lt;wsp:rsid wsp:val=&quot;00413635&quot;/&gt;&lt;wsp:rsid wsp:val=&quot;004145CD&quot;/&gt;&lt;wsp:rsid wsp:val=&quot;00416121&quot;/&gt;&lt;wsp:rsid wsp:val=&quot;00417486&quot;/&gt;&lt;wsp:rsid wsp:val=&quot;00417AB5&quot;/&gt;&lt;wsp:rsid wsp:val=&quot;004206D0&quot;/&gt;&lt;wsp:rsid wsp:val=&quot;00420D39&quot;/&gt;&lt;wsp:rsid wsp:val=&quot;004212FF&quot;/&gt;&lt;wsp:rsid wsp:val=&quot;004216B8&quot;/&gt;&lt;wsp:rsid wsp:val=&quot;00422094&quot;/&gt;&lt;wsp:rsid wsp:val=&quot;004231CE&quot;/&gt;&lt;wsp:rsid wsp:val=&quot;00423947&quot;/&gt;&lt;wsp:rsid wsp:val=&quot;004249D3&quot;/&gt;&lt;wsp:rsid wsp:val=&quot;00424FCD&quot;/&gt;&lt;wsp:rsid wsp:val=&quot;0042514F&quot;/&gt;&lt;wsp:rsid wsp:val=&quot;0042605F&quot;/&gt;&lt;wsp:rsid wsp:val=&quot;00430C6D&quot;/&gt;&lt;wsp:rsid wsp:val=&quot;0043112E&quot;/&gt;&lt;wsp:rsid wsp:val=&quot;00431536&quot;/&gt;&lt;wsp:rsid wsp:val=&quot;00431F04&quot;/&gt;&lt;wsp:rsid wsp:val=&quot;00432862&quot;/&gt;&lt;wsp:rsid wsp:val=&quot;004334C2&quot;/&gt;&lt;wsp:rsid wsp:val=&quot;004335F4&quot;/&gt;&lt;wsp:rsid wsp:val=&quot;0043486D&quot;/&gt;&lt;wsp:rsid wsp:val=&quot;00435771&quot;/&gt;&lt;wsp:rsid wsp:val=&quot;00435DBA&quot;/&gt;&lt;wsp:rsid wsp:val=&quot;00435F22&quot;/&gt;&lt;wsp:rsid wsp:val=&quot;00436C04&quot;/&gt;&lt;wsp:rsid wsp:val=&quot;004373B5&quot;/&gt;&lt;wsp:rsid wsp:val=&quot;00440990&quot;/&gt;&lt;wsp:rsid wsp:val=&quot;00441070&quot;/&gt;&lt;wsp:rsid wsp:val=&quot;004417FD&quot;/&gt;&lt;wsp:rsid wsp:val=&quot;004419C4&quot;/&gt;&lt;wsp:rsid wsp:val=&quot;00444014&quot;/&gt;&lt;wsp:rsid wsp:val=&quot;00444A86&quot;/&gt;&lt;wsp:rsid wsp:val=&quot;00444AAD&quot;/&gt;&lt;wsp:rsid wsp:val=&quot;004452E3&quot;/&gt;&lt;wsp:rsid wsp:val=&quot;00446DC6&quot;/&gt;&lt;wsp:rsid wsp:val=&quot;0044764C&quot;/&gt;&lt;wsp:rsid wsp:val=&quot;00447689&quot;/&gt;&lt;wsp:rsid wsp:val=&quot;00447BF7&quot;/&gt;&lt;wsp:rsid wsp:val=&quot;00450023&quot;/&gt;&lt;wsp:rsid wsp:val=&quot;004517FD&quot;/&gt;&lt;wsp:rsid wsp:val=&quot;00452229&quot;/&gt;&lt;wsp:rsid wsp:val=&quot;00456146&quot;/&gt;&lt;wsp:rsid wsp:val=&quot;004574FA&quot;/&gt;&lt;wsp:rsid wsp:val=&quot;004611F5&quot;/&gt;&lt;wsp:rsid wsp:val=&quot;0046229E&quot;/&gt;&lt;wsp:rsid wsp:val=&quot;0046269A&quot;/&gt;&lt;wsp:rsid wsp:val=&quot;00463A88&quot;/&gt;&lt;wsp:rsid wsp:val=&quot;004678DA&quot;/&gt;&lt;wsp:rsid wsp:val=&quot;004679D2&quot;/&gt;&lt;wsp:rsid wsp:val=&quot;00470342&quot;/&gt;&lt;wsp:rsid wsp:val=&quot;00470D0A&quot;/&gt;&lt;wsp:rsid wsp:val=&quot;00471498&quot;/&gt;&lt;wsp:rsid wsp:val=&quot;00472CE4&quot;/&gt;&lt;wsp:rsid wsp:val=&quot;0047399E&quot;/&gt;&lt;wsp:rsid wsp:val=&quot;00474109&quot;/&gt;&lt;wsp:rsid wsp:val=&quot;004744B5&quot;/&gt;&lt;wsp:rsid wsp:val=&quot;00474FE4&quot;/&gt;&lt;wsp:rsid wsp:val=&quot;0047533E&quot;/&gt;&lt;wsp:rsid wsp:val=&quot;004757A2&quot;/&gt;&lt;wsp:rsid wsp:val=&quot;00475DC4&quot;/&gt;&lt;wsp:rsid wsp:val=&quot;00475EE5&quot;/&gt;&lt;wsp:rsid wsp:val=&quot;00477187&quot;/&gt;&lt;wsp:rsid wsp:val=&quot;004774DA&quot;/&gt;&lt;wsp:rsid wsp:val=&quot;00477983&quot;/&gt;&lt;wsp:rsid wsp:val=&quot;004800C4&quot;/&gt;&lt;wsp:rsid wsp:val=&quot;00482239&quot;/&gt;&lt;wsp:rsid wsp:val=&quot;00482B9E&quot;/&gt;&lt;wsp:rsid wsp:val=&quot;00483178&quot;/&gt;&lt;wsp:rsid wsp:val=&quot;00483187&quot;/&gt;&lt;wsp:rsid wsp:val=&quot;0048350E&quot;/&gt;&lt;wsp:rsid wsp:val=&quot;00484AB6&quot;/&gt;&lt;wsp:rsid wsp:val=&quot;004865D1&quot;/&gt;&lt;wsp:rsid wsp:val=&quot;0048662D&quot;/&gt;&lt;wsp:rsid wsp:val=&quot;00486AC3&quot;/&gt;&lt;wsp:rsid wsp:val=&quot;004908BA&quot;/&gt;&lt;wsp:rsid wsp:val=&quot;0049186D&quot;/&gt;&lt;wsp:rsid wsp:val=&quot;00491E25&quot;/&gt;&lt;wsp:rsid wsp:val=&quot;00492D2B&quot;/&gt;&lt;wsp:rsid wsp:val=&quot;00493451&quot;/&gt;&lt;wsp:rsid wsp:val=&quot;00495972&quot;/&gt;&lt;wsp:rsid wsp:val=&quot;0049675B&quot;/&gt;&lt;wsp:rsid wsp:val=&quot;00497EC8&quot;/&gt;&lt;wsp:rsid wsp:val=&quot;004A00C2&quot;/&gt;&lt;wsp:rsid wsp:val=&quot;004A0124&quot;/&gt;&lt;wsp:rsid wsp:val=&quot;004A0475&quot;/&gt;&lt;wsp:rsid wsp:val=&quot;004A08A6&quot;/&gt;&lt;wsp:rsid wsp:val=&quot;004A1158&quot;/&gt;&lt;wsp:rsid wsp:val=&quot;004A1486&quot;/&gt;&lt;wsp:rsid wsp:val=&quot;004A1836&quot;/&gt;&lt;wsp:rsid wsp:val=&quot;004A279F&quot;/&gt;&lt;wsp:rsid wsp:val=&quot;004A2C40&quot;/&gt;&lt;wsp:rsid wsp:val=&quot;004A55E7&quot;/&gt;&lt;wsp:rsid wsp:val=&quot;004A579C&quot;/&gt;&lt;wsp:rsid wsp:val=&quot;004A7FF1&quot;/&gt;&lt;wsp:rsid wsp:val=&quot;004B0B9D&quot;/&gt;&lt;wsp:rsid wsp:val=&quot;004B1B88&quot;/&gt;&lt;wsp:rsid wsp:val=&quot;004B2AEE&quot;/&gt;&lt;wsp:rsid wsp:val=&quot;004B2E1C&quot;/&gt;&lt;wsp:rsid wsp:val=&quot;004B3375&quot;/&gt;&lt;wsp:rsid wsp:val=&quot;004B3A2D&quot;/&gt;&lt;wsp:rsid wsp:val=&quot;004B3E46&quot;/&gt;&lt;wsp:rsid wsp:val=&quot;004B5DA6&quot;/&gt;&lt;wsp:rsid wsp:val=&quot;004B5E90&quot;/&gt;&lt;wsp:rsid wsp:val=&quot;004B70AC&quot;/&gt;&lt;wsp:rsid wsp:val=&quot;004B7701&quot;/&gt;&lt;wsp:rsid wsp:val=&quot;004B78B4&quot;/&gt;&lt;wsp:rsid wsp:val=&quot;004B7C8F&quot;/&gt;&lt;wsp:rsid wsp:val=&quot;004C03BF&quot;/&gt;&lt;wsp:rsid wsp:val=&quot;004C094F&quot;/&gt;&lt;wsp:rsid wsp:val=&quot;004C15AA&quot;/&gt;&lt;wsp:rsid wsp:val=&quot;004C20AE&quot;/&gt;&lt;wsp:rsid wsp:val=&quot;004C2251&quot;/&gt;&lt;wsp:rsid wsp:val=&quot;004C2459&quot;/&gt;&lt;wsp:rsid wsp:val=&quot;004C390C&quot;/&gt;&lt;wsp:rsid wsp:val=&quot;004C431E&quot;/&gt;&lt;wsp:rsid wsp:val=&quot;004C48B5&quot;/&gt;&lt;wsp:rsid wsp:val=&quot;004C5044&quot;/&gt;&lt;wsp:rsid wsp:val=&quot;004C5918&quot;/&gt;&lt;wsp:rsid wsp:val=&quot;004C6325&quot;/&gt;&lt;wsp:rsid wsp:val=&quot;004C68F6&quot;/&gt;&lt;wsp:rsid wsp:val=&quot;004C6B5B&quot;/&gt;&lt;wsp:rsid wsp:val=&quot;004C6C07&quot;/&gt;&lt;wsp:rsid wsp:val=&quot;004C6D17&quot;/&gt;&lt;wsp:rsid wsp:val=&quot;004C702A&quot;/&gt;&lt;wsp:rsid wsp:val=&quot;004C75C6&quot;/&gt;&lt;wsp:rsid wsp:val=&quot;004C7D37&quot;/&gt;&lt;wsp:rsid wsp:val=&quot;004D0846&quot;/&gt;&lt;wsp:rsid wsp:val=&quot;004D0D2D&quot;/&gt;&lt;wsp:rsid wsp:val=&quot;004D11F4&quot;/&gt;&lt;wsp:rsid wsp:val=&quot;004D3592&quot;/&gt;&lt;wsp:rsid wsp:val=&quot;004D4718&quot;/&gt;&lt;wsp:rsid wsp:val=&quot;004D7FA4&quot;/&gt;&lt;wsp:rsid wsp:val=&quot;004E08A2&quot;/&gt;&lt;wsp:rsid wsp:val=&quot;004E0C50&quot;/&gt;&lt;wsp:rsid wsp:val=&quot;004E17A4&quot;/&gt;&lt;wsp:rsid wsp:val=&quot;004E3086&quot;/&gt;&lt;wsp:rsid wsp:val=&quot;004E3712&quot;/&gt;&lt;wsp:rsid wsp:val=&quot;004E3C9A&quot;/&gt;&lt;wsp:rsid wsp:val=&quot;004F0ABC&quot;/&gt;&lt;wsp:rsid wsp:val=&quot;004F2E30&quot;/&gt;&lt;wsp:rsid wsp:val=&quot;004F3B8F&quot;/&gt;&lt;wsp:rsid wsp:val=&quot;004F4C91&quot;/&gt;&lt;wsp:rsid wsp:val=&quot;004F540D&quot;/&gt;&lt;wsp:rsid wsp:val=&quot;004F6266&quot;/&gt;&lt;wsp:rsid wsp:val=&quot;004F7F3D&quot;/&gt;&lt;wsp:rsid wsp:val=&quot;005001FF&quot;/&gt;&lt;wsp:rsid wsp:val=&quot;00500C00&quot;/&gt;&lt;wsp:rsid wsp:val=&quot;00501FB9&quot;/&gt;&lt;wsp:rsid wsp:val=&quot;0050217C&quot;/&gt;&lt;wsp:rsid wsp:val=&quot;00503A8F&quot;/&gt;&lt;wsp:rsid wsp:val=&quot;00503CDF&quot;/&gt;&lt;wsp:rsid wsp:val=&quot;00503DB0&quot;/&gt;&lt;wsp:rsid wsp:val=&quot;00504C7C&quot;/&gt;&lt;wsp:rsid wsp:val=&quot;00504CEE&quot;/&gt;&lt;wsp:rsid wsp:val=&quot;0050582C&quot;/&gt;&lt;wsp:rsid wsp:val=&quot;00506897&quot;/&gt;&lt;wsp:rsid wsp:val=&quot;005072B0&quot;/&gt;&lt;wsp:rsid wsp:val=&quot;00507B74&quot;/&gt;&lt;wsp:rsid wsp:val=&quot;00511725&quot;/&gt;&lt;wsp:rsid wsp:val=&quot;005124FF&quot;/&gt;&lt;wsp:rsid wsp:val=&quot;005127EF&quot;/&gt;&lt;wsp:rsid wsp:val=&quot;00512BF2&quot;/&gt;&lt;wsp:rsid wsp:val=&quot;005132EA&quot;/&gt;&lt;wsp:rsid wsp:val=&quot;005142DF&quot;/&gt;&lt;wsp:rsid wsp:val=&quot;00514698&quot;/&gt;&lt;wsp:rsid wsp:val=&quot;00514E77&quot;/&gt;&lt;wsp:rsid wsp:val=&quot;00514FF5&quot;/&gt;&lt;wsp:rsid wsp:val=&quot;00515035&quot;/&gt;&lt;wsp:rsid wsp:val=&quot;00520A12&quot;/&gt;&lt;wsp:rsid wsp:val=&quot;00521B73&quot;/&gt;&lt;wsp:rsid wsp:val=&quot;00522227&quot;/&gt;&lt;wsp:rsid wsp:val=&quot;00524C57&quot;/&gt;&lt;wsp:rsid wsp:val=&quot;005271A7&quot;/&gt;&lt;wsp:rsid wsp:val=&quot;00527287&quot;/&gt;&lt;wsp:rsid wsp:val=&quot;005274EF&quot;/&gt;&lt;wsp:rsid wsp:val=&quot;005274FA&quot;/&gt;&lt;wsp:rsid wsp:val=&quot;00527E29&quot;/&gt;&lt;wsp:rsid wsp:val=&quot;00527E81&quot;/&gt;&lt;wsp:rsid wsp:val=&quot;00531A0F&quot;/&gt;&lt;wsp:rsid wsp:val=&quot;00533564&quot;/&gt;&lt;wsp:rsid wsp:val=&quot;00534245&quot;/&gt;&lt;wsp:rsid wsp:val=&quot;005344B9&quot;/&gt;&lt;wsp:rsid wsp:val=&quot;00534700&quot;/&gt;&lt;wsp:rsid wsp:val=&quot;005360BF&quot;/&gt;&lt;wsp:rsid wsp:val=&quot;0053640C&quot;/&gt;&lt;wsp:rsid wsp:val=&quot;005379F1&quot;/&gt;&lt;wsp:rsid wsp:val=&quot;00540395&quot;/&gt;&lt;wsp:rsid wsp:val=&quot;00542758&quot;/&gt;&lt;wsp:rsid wsp:val=&quot;005427E0&quot;/&gt;&lt;wsp:rsid wsp:val=&quot;005431DE&quot;/&gt;&lt;wsp:rsid wsp:val=&quot;005432B8&quot;/&gt;&lt;wsp:rsid wsp:val=&quot;005433B5&quot;/&gt;&lt;wsp:rsid wsp:val=&quot;00543667&quot;/&gt;&lt;wsp:rsid wsp:val=&quot;00544431&quot;/&gt;&lt;wsp:rsid wsp:val=&quot;00546BFF&quot;/&gt;&lt;wsp:rsid wsp:val=&quot;00550B0E&quot;/&gt;&lt;wsp:rsid wsp:val=&quot;00551E57&quot;/&gt;&lt;wsp:rsid wsp:val=&quot;00553D19&quot;/&gt;&lt;wsp:rsid wsp:val=&quot;0055441F&quot;/&gt;&lt;wsp:rsid wsp:val=&quot;005556EE&quot;/&gt;&lt;wsp:rsid wsp:val=&quot;00555AF7&quot;/&gt;&lt;wsp:rsid wsp:val=&quot;00556299&quot;/&gt;&lt;wsp:rsid wsp:val=&quot;00556566&quot;/&gt;&lt;wsp:rsid wsp:val=&quot;00556A1E&quot;/&gt;&lt;wsp:rsid wsp:val=&quot;005572CB&quot;/&gt;&lt;wsp:rsid wsp:val=&quot;005600B4&quot;/&gt;&lt;wsp:rsid wsp:val=&quot;0056067C&quot;/&gt;&lt;wsp:rsid wsp:val=&quot;00562236&quot;/&gt;&lt;wsp:rsid wsp:val=&quot;00563F14&quot;/&gt;&lt;wsp:rsid wsp:val=&quot;00564667&quot;/&gt;&lt;wsp:rsid wsp:val=&quot;005649FA&quot;/&gt;&lt;wsp:rsid wsp:val=&quot;0056622F&quot;/&gt;&lt;wsp:rsid wsp:val=&quot;005676DA&quot;/&gt;&lt;wsp:rsid wsp:val=&quot;00571890&quot;/&gt;&lt;wsp:rsid wsp:val=&quot;00571E81&quot;/&gt;&lt;wsp:rsid wsp:val=&quot;005726AF&quot;/&gt;&lt;wsp:rsid wsp:val=&quot;005730D3&quot;/&gt;&lt;wsp:rsid wsp:val=&quot;00573B9B&quot;/&gt;&lt;wsp:rsid wsp:val=&quot;00573F24&quot;/&gt;&lt;wsp:rsid wsp:val=&quot;005741C6&quot;/&gt;&lt;wsp:rsid wsp:val=&quot;005744E3&quot;/&gt;&lt;wsp:rsid wsp:val=&quot;005749DD&quot;/&gt;&lt;wsp:rsid wsp:val=&quot;00576F20&quot;/&gt;&lt;wsp:rsid wsp:val=&quot;0058157A&quot;/&gt;&lt;wsp:rsid wsp:val=&quot;005815C3&quot;/&gt;&lt;wsp:rsid wsp:val=&quot;00581902&quot;/&gt;&lt;wsp:rsid wsp:val=&quot;005819AE&quot;/&gt;&lt;wsp:rsid wsp:val=&quot;00582411&quot;/&gt;&lt;wsp:rsid wsp:val=&quot;005829AE&quot;/&gt;&lt;wsp:rsid wsp:val=&quot;00582D1A&quot;/&gt;&lt;wsp:rsid wsp:val=&quot;00582D94&quot;/&gt;&lt;wsp:rsid wsp:val=&quot;0058368C&quot;/&gt;&lt;wsp:rsid wsp:val=&quot;00585DC9&quot;/&gt;&lt;wsp:rsid wsp:val=&quot;0058605B&quot;/&gt;&lt;wsp:rsid wsp:val=&quot;00586184&quot;/&gt;&lt;wsp:rsid wsp:val=&quot;00586894&quot;/&gt;&lt;wsp:rsid wsp:val=&quot;00586ACA&quot;/&gt;&lt;wsp:rsid wsp:val=&quot;00587188&quot;/&gt;&lt;wsp:rsid wsp:val=&quot;00587363&quot;/&gt;&lt;wsp:rsid wsp:val=&quot;005909F9&quot;/&gt;&lt;wsp:rsid wsp:val=&quot;00592CED&quot;/&gt;&lt;wsp:rsid wsp:val=&quot;00592E32&quot;/&gt;&lt;wsp:rsid wsp:val=&quot;00593405&quot;/&gt;&lt;wsp:rsid wsp:val=&quot;00596C4F&quot;/&gt;&lt;wsp:rsid wsp:val=&quot;00596DB3&quot;/&gt;&lt;wsp:rsid wsp:val=&quot;00596EDC&quot;/&gt;&lt;wsp:rsid wsp:val=&quot;00597770&quot;/&gt;&lt;wsp:rsid wsp:val=&quot;00597C88&quot;/&gt;&lt;wsp:rsid wsp:val=&quot;005A0093&quot;/&gt;&lt;wsp:rsid wsp:val=&quot;005A03B9&quot;/&gt;&lt;wsp:rsid wsp:val=&quot;005A0517&quot;/&gt;&lt;wsp:rsid wsp:val=&quot;005A0D23&quot;/&gt;&lt;wsp:rsid wsp:val=&quot;005A1706&quot;/&gt;&lt;wsp:rsid wsp:val=&quot;005A1B4A&quot;/&gt;&lt;wsp:rsid wsp:val=&quot;005A2345&quot;/&gt;&lt;wsp:rsid wsp:val=&quot;005A2976&quot;/&gt;&lt;wsp:rsid wsp:val=&quot;005A35D0&quot;/&gt;&lt;wsp:rsid wsp:val=&quot;005A3670&quot;/&gt;&lt;wsp:rsid wsp:val=&quot;005A37C5&quot;/&gt;&lt;wsp:rsid wsp:val=&quot;005A3C34&quot;/&gt;&lt;wsp:rsid wsp:val=&quot;005A3DAC&quot;/&gt;&lt;wsp:rsid wsp:val=&quot;005A6050&quot;/&gt;&lt;wsp:rsid wsp:val=&quot;005A6632&quot;/&gt;&lt;wsp:rsid wsp:val=&quot;005A722A&quot;/&gt;&lt;wsp:rsid wsp:val=&quot;005A7DDA&quot;/&gt;&lt;wsp:rsid wsp:val=&quot;005B0C5B&quot;/&gt;&lt;wsp:rsid wsp:val=&quot;005B0FCB&quot;/&gt;&lt;wsp:rsid wsp:val=&quot;005B1323&quot;/&gt;&lt;wsp:rsid wsp:val=&quot;005B16BA&quot;/&gt;&lt;wsp:rsid wsp:val=&quot;005B1A9F&quot;/&gt;&lt;wsp:rsid wsp:val=&quot;005B1D8A&quot;/&gt;&lt;wsp:rsid wsp:val=&quot;005B2584&quot;/&gt;&lt;wsp:rsid wsp:val=&quot;005B37D7&quot;/&gt;&lt;wsp:rsid wsp:val=&quot;005B634D&quot;/&gt;&lt;wsp:rsid wsp:val=&quot;005B73CA&quot;/&gt;&lt;wsp:rsid wsp:val=&quot;005B7EB9&quot;/&gt;&lt;wsp:rsid wsp:val=&quot;005C1448&quot;/&gt;&lt;wsp:rsid wsp:val=&quot;005C1DB3&quot;/&gt;&lt;wsp:rsid wsp:val=&quot;005C3143&quot;/&gt;&lt;wsp:rsid wsp:val=&quot;005C32AF&quot;/&gt;&lt;wsp:rsid wsp:val=&quot;005C4529&quot;/&gt;&lt;wsp:rsid wsp:val=&quot;005C4787&quot;/&gt;&lt;wsp:rsid wsp:val=&quot;005C6407&quot;/&gt;&lt;wsp:rsid wsp:val=&quot;005C7D4E&quot;/&gt;&lt;wsp:rsid wsp:val=&quot;005C7E1E&quot;/&gt;&lt;wsp:rsid wsp:val=&quot;005D11CC&quot;/&gt;&lt;wsp:rsid wsp:val=&quot;005D240E&quot;/&gt;&lt;wsp:rsid wsp:val=&quot;005D2869&quot;/&gt;&lt;wsp:rsid wsp:val=&quot;005D2F2F&quot;/&gt;&lt;wsp:rsid wsp:val=&quot;005D3327&quot;/&gt;&lt;wsp:rsid wsp:val=&quot;005D3476&quot;/&gt;&lt;wsp:rsid wsp:val=&quot;005D3F9B&quot;/&gt;&lt;wsp:rsid wsp:val=&quot;005D4BE8&quot;/&gt;&lt;wsp:rsid wsp:val=&quot;005D4E1D&quot;/&gt;&lt;wsp:rsid wsp:val=&quot;005D5BAF&quot;/&gt;&lt;wsp:rsid wsp:val=&quot;005E11D5&quot;/&gt;&lt;wsp:rsid wsp:val=&quot;005E1558&quot;/&gt;&lt;wsp:rsid wsp:val=&quot;005E1AAF&quot;/&gt;&lt;wsp:rsid wsp:val=&quot;005E286C&quot;/&gt;&lt;wsp:rsid wsp:val=&quot;005E2BAD&quot;/&gt;&lt;wsp:rsid wsp:val=&quot;005E34FA&quot;/&gt;&lt;wsp:rsid wsp:val=&quot;005E37B7&quot;/&gt;&lt;wsp:rsid wsp:val=&quot;005E388B&quot;/&gt;&lt;wsp:rsid wsp:val=&quot;005E45DB&quot;/&gt;&lt;wsp:rsid wsp:val=&quot;005E49C1&quot;/&gt;&lt;wsp:rsid wsp:val=&quot;005E4E5E&quot;/&gt;&lt;wsp:rsid wsp:val=&quot;005E56ED&quot;/&gt;&lt;wsp:rsid wsp:val=&quot;005E6608&quot;/&gt;&lt;wsp:rsid wsp:val=&quot;005E6D40&quot;/&gt;&lt;wsp:rsid wsp:val=&quot;005E7505&quot;/&gt;&lt;wsp:rsid wsp:val=&quot;005E7CE0&quot;/&gt;&lt;wsp:rsid wsp:val=&quot;005F08A7&quot;/&gt;&lt;wsp:rsid wsp:val=&quot;005F0E85&quot;/&gt;&lt;wsp:rsid wsp:val=&quot;005F130E&quot;/&gt;&lt;wsp:rsid wsp:val=&quot;005F1433&quot;/&gt;&lt;wsp:rsid wsp:val=&quot;005F1705&quot;/&gt;&lt;wsp:rsid wsp:val=&quot;005F1747&quot;/&gt;&lt;wsp:rsid wsp:val=&quot;005F2511&quot;/&gt;&lt;wsp:rsid wsp:val=&quot;005F423C&quot;/&gt;&lt;wsp:rsid wsp:val=&quot;005F4ABF&quot;/&gt;&lt;wsp:rsid wsp:val=&quot;005F5071&quot;/&gt;&lt;wsp:rsid wsp:val=&quot;005F5BD3&quot;/&gt;&lt;wsp:rsid wsp:val=&quot;005F5C9C&quot;/&gt;&lt;wsp:rsid wsp:val=&quot;005F5E07&quot;/&gt;&lt;wsp:rsid wsp:val=&quot;005F663D&quot;/&gt;&lt;wsp:rsid wsp:val=&quot;005F6B82&quot;/&gt;&lt;wsp:rsid wsp:val=&quot;005F7471&quot;/&gt;&lt;wsp:rsid wsp:val=&quot;005F7F65&quot;/&gt;&lt;wsp:rsid wsp:val=&quot;006011B9&quot;/&gt;&lt;wsp:rsid wsp:val=&quot;00602B30&quot;/&gt;&lt;wsp:rsid wsp:val=&quot;006038DB&quot;/&gt;&lt;wsp:rsid wsp:val=&quot;00603AC2&quot;/&gt;&lt;wsp:rsid wsp:val=&quot;00603DB5&quot;/&gt;&lt;wsp:rsid wsp:val=&quot;00604012&quot;/&gt;&lt;wsp:rsid wsp:val=&quot;006049C7&quot;/&gt;&lt;wsp:rsid wsp:val=&quot;00604E44&quot;/&gt;&lt;wsp:rsid wsp:val=&quot;00606312&quot;/&gt;&lt;wsp:rsid wsp:val=&quot;006066CE&quot;/&gt;&lt;wsp:rsid wsp:val=&quot;006066D6&quot;/&gt;&lt;wsp:rsid wsp:val=&quot;0060723D&quot;/&gt;&lt;wsp:rsid wsp:val=&quot;0060752E&quot;/&gt;&lt;wsp:rsid wsp:val=&quot;006077AC&quot;/&gt;&lt;wsp:rsid wsp:val=&quot;00607BD8&quot;/&gt;&lt;wsp:rsid wsp:val=&quot;006109E0&quot;/&gt;&lt;wsp:rsid wsp:val=&quot;00610A76&quot;/&gt;&lt;wsp:rsid wsp:val=&quot;00611E04&quot;/&gt;&lt;wsp:rsid wsp:val=&quot;00611F42&quot;/&gt;&lt;wsp:rsid wsp:val=&quot;00611F7A&quot;/&gt;&lt;wsp:rsid wsp:val=&quot;00612B6F&quot;/&gt;&lt;wsp:rsid wsp:val=&quot;00613B3D&quot;/&gt;&lt;wsp:rsid wsp:val=&quot;006151B1&quot;/&gt;&lt;wsp:rsid wsp:val=&quot;00616946&quot;/&gt;&lt;wsp:rsid wsp:val=&quot;00620469&quot;/&gt;&lt;wsp:rsid wsp:val=&quot;006204E1&quot;/&gt;&lt;wsp:rsid wsp:val=&quot;00620A22&quot;/&gt;&lt;wsp:rsid wsp:val=&quot;00621211&quot;/&gt;&lt;wsp:rsid wsp:val=&quot;00621BB7&quot;/&gt;&lt;wsp:rsid wsp:val=&quot;00622871&quot;/&gt;&lt;wsp:rsid wsp:val=&quot;00622FC6&quot;/&gt;&lt;wsp:rsid wsp:val=&quot;00623326&quot;/&gt;&lt;wsp:rsid wsp:val=&quot;00623A74&quot;/&gt;&lt;wsp:rsid wsp:val=&quot;00623BF5&quot;/&gt;&lt;wsp:rsid wsp:val=&quot;00623C4B&quot;/&gt;&lt;wsp:rsid wsp:val=&quot;00623EFC&quot;/&gt;&lt;wsp:rsid wsp:val=&quot;0062456B&quot;/&gt;&lt;wsp:rsid wsp:val=&quot;00624D6C&quot;/&gt;&lt;wsp:rsid wsp:val=&quot;006258AA&quot;/&gt;&lt;wsp:rsid wsp:val=&quot;00626825&quot;/&gt;&lt;wsp:rsid wsp:val=&quot;00626FA2&quot;/&gt;&lt;wsp:rsid wsp:val=&quot;006279DB&quot;/&gt;&lt;wsp:rsid wsp:val=&quot;00627B32&quot;/&gt;&lt;wsp:rsid wsp:val=&quot;00627C6C&quot;/&gt;&lt;wsp:rsid wsp:val=&quot;00627DAC&quot;/&gt;&lt;wsp:rsid wsp:val=&quot;00630C1C&quot;/&gt;&lt;wsp:rsid wsp:val=&quot;00630C75&quot;/&gt;&lt;wsp:rsid wsp:val=&quot;00630D4F&quot;/&gt;&lt;wsp:rsid wsp:val=&quot;006313D8&quot;/&gt;&lt;wsp:rsid wsp:val=&quot;0063141A&quot;/&gt;&lt;wsp:rsid wsp:val=&quot;006318F3&quot;/&gt;&lt;wsp:rsid wsp:val=&quot;00632207&quot;/&gt;&lt;wsp:rsid wsp:val=&quot;0063280A&quot;/&gt;&lt;wsp:rsid wsp:val=&quot;00634B4C&quot;/&gt;&lt;wsp:rsid wsp:val=&quot;00634C90&quot;/&gt;&lt;wsp:rsid wsp:val=&quot;00635F70&quot;/&gt;&lt;wsp:rsid wsp:val=&quot;00637122&quot;/&gt;&lt;wsp:rsid wsp:val=&quot;006400D3&quot;/&gt;&lt;wsp:rsid wsp:val=&quot;0064029A&quot;/&gt;&lt;wsp:rsid wsp:val=&quot;00640614&quot;/&gt;&lt;wsp:rsid wsp:val=&quot;006411BF&quot;/&gt;&lt;wsp:rsid wsp:val=&quot;006423CD&quot;/&gt;&lt;wsp:rsid wsp:val=&quot;00642482&quot;/&gt;&lt;wsp:rsid wsp:val=&quot;00642486&quot;/&gt;&lt;wsp:rsid wsp:val=&quot;00642975&quot;/&gt;&lt;wsp:rsid wsp:val=&quot;00642D0B&quot;/&gt;&lt;wsp:rsid wsp:val=&quot;006430B7&quot;/&gt;&lt;wsp:rsid wsp:val=&quot;00643117&quot;/&gt;&lt;wsp:rsid wsp:val=&quot;00643C86&quot;/&gt;&lt;wsp:rsid wsp:val=&quot;00644A78&quot;/&gt;&lt;wsp:rsid wsp:val=&quot;006464DC&quot;/&gt;&lt;wsp:rsid wsp:val=&quot;00646846&quot;/&gt;&lt;wsp:rsid wsp:val=&quot;00647E01&quot;/&gt;&lt;wsp:rsid wsp:val=&quot;00650B7F&quot;/&gt;&lt;wsp:rsid wsp:val=&quot;00651205&quot;/&gt;&lt;wsp:rsid wsp:val=&quot;00651210&quot;/&gt;&lt;wsp:rsid wsp:val=&quot;00651701&quot;/&gt;&lt;wsp:rsid wsp:val=&quot;0065284F&quot;/&gt;&lt;wsp:rsid wsp:val=&quot;00652DBF&quot;/&gt;&lt;wsp:rsid wsp:val=&quot;00653F91&quot;/&gt;&lt;wsp:rsid wsp:val=&quot;0065450E&quot;/&gt;&lt;wsp:rsid wsp:val=&quot;00660115&quot;/&gt;&lt;wsp:rsid wsp:val=&quot;00661DA7&quot;/&gt;&lt;wsp:rsid wsp:val=&quot;00662418&quot;/&gt;&lt;wsp:rsid wsp:val=&quot;00663DA0&quot;/&gt;&lt;wsp:rsid wsp:val=&quot;006650A2&quot;/&gt;&lt;wsp:rsid wsp:val=&quot;0066575C&quot;/&gt;&lt;wsp:rsid wsp:val=&quot;00665C8D&quot;/&gt;&lt;wsp:rsid wsp:val=&quot;00665DB7&quot;/&gt;&lt;wsp:rsid wsp:val=&quot;0066641F&quot;/&gt;&lt;wsp:rsid wsp:val=&quot;00667BF7&quot;/&gt;&lt;wsp:rsid wsp:val=&quot;00671E7A&quot;/&gt;&lt;wsp:rsid wsp:val=&quot;0067257E&quot;/&gt;&lt;wsp:rsid wsp:val=&quot;00673309&quot;/&gt;&lt;wsp:rsid wsp:val=&quot;006745F9&quot;/&gt;&lt;wsp:rsid wsp:val=&quot;00674D40&quot;/&gt;&lt;wsp:rsid wsp:val=&quot;00675943&quot;/&gt;&lt;wsp:rsid wsp:val=&quot;0067613C&quot;/&gt;&lt;wsp:rsid wsp:val=&quot;00677983&quot;/&gt;&lt;wsp:rsid wsp:val=&quot;00677BD1&quot;/&gt;&lt;wsp:rsid wsp:val=&quot;00684570&quot;/&gt;&lt;wsp:rsid wsp:val=&quot;00684C44&quot;/&gt;&lt;wsp:rsid wsp:val=&quot;006851EC&quot;/&gt;&lt;wsp:rsid wsp:val=&quot;00686847&quot;/&gt;&lt;wsp:rsid wsp:val=&quot;0069108C&quot;/&gt;&lt;wsp:rsid wsp:val=&quot;0069272A&quot;/&gt;&lt;wsp:rsid wsp:val=&quot;00692B5B&quot;/&gt;&lt;wsp:rsid wsp:val=&quot;00692D5C&quot;/&gt;&lt;wsp:rsid wsp:val=&quot;00692E7A&quot;/&gt;&lt;wsp:rsid wsp:val=&quot;00692FF9&quot;/&gt;&lt;wsp:rsid wsp:val=&quot;006934EA&quot;/&gt;&lt;wsp:rsid wsp:val=&quot;00693F0F&quot;/&gt;&lt;wsp:rsid wsp:val=&quot;00697385&quot;/&gt;&lt;wsp:rsid wsp:val=&quot;00697471&quot;/&gt;&lt;wsp:rsid wsp:val=&quot;00697521&quot;/&gt;&lt;wsp:rsid wsp:val=&quot;00697CDC&quot;/&gt;&lt;wsp:rsid wsp:val=&quot;006A02C4&quot;/&gt;&lt;wsp:rsid wsp:val=&quot;006A0EBE&quot;/&gt;&lt;wsp:rsid wsp:val=&quot;006A1922&quot;/&gt;&lt;wsp:rsid wsp:val=&quot;006A21A0&quot;/&gt;&lt;wsp:rsid wsp:val=&quot;006A32F9&quot;/&gt;&lt;wsp:rsid wsp:val=&quot;006A470B&quot;/&gt;&lt;wsp:rsid wsp:val=&quot;006A502C&quot;/&gt;&lt;wsp:rsid wsp:val=&quot;006A60CA&quot;/&gt;&lt;wsp:rsid wsp:val=&quot;006A71B5&quot;/&gt;&lt;wsp:rsid wsp:val=&quot;006A78E0&quot;/&gt;&lt;wsp:rsid wsp:val=&quot;006B0769&quot;/&gt;&lt;wsp:rsid wsp:val=&quot;006B2423&quot;/&gt;&lt;wsp:rsid wsp:val=&quot;006B2687&quot;/&gt;&lt;wsp:rsid wsp:val=&quot;006B26E7&quot;/&gt;&lt;wsp:rsid wsp:val=&quot;006B2BC9&quot;/&gt;&lt;wsp:rsid wsp:val=&quot;006B331F&quot;/&gt;&lt;wsp:rsid wsp:val=&quot;006B3EEC&quot;/&gt;&lt;wsp:rsid wsp:val=&quot;006B44F2&quot;/&gt;&lt;wsp:rsid wsp:val=&quot;006B5B97&quot;/&gt;&lt;wsp:rsid wsp:val=&quot;006B62A7&quot;/&gt;&lt;wsp:rsid wsp:val=&quot;006B6CCD&quot;/&gt;&lt;wsp:rsid wsp:val=&quot;006C0A3A&quot;/&gt;&lt;wsp:rsid wsp:val=&quot;006C148B&quot;/&gt;&lt;wsp:rsid wsp:val=&quot;006C16D5&quot;/&gt;&lt;wsp:rsid wsp:val=&quot;006C18DC&quot;/&gt;&lt;wsp:rsid wsp:val=&quot;006C2053&quot;/&gt;&lt;wsp:rsid wsp:val=&quot;006C4D6D&quot;/&gt;&lt;wsp:rsid wsp:val=&quot;006C57A7&quot;/&gt;&lt;wsp:rsid wsp:val=&quot;006C5812&quot;/&gt;&lt;wsp:rsid wsp:val=&quot;006D0FA3&quot;/&gt;&lt;wsp:rsid wsp:val=&quot;006D139E&quot;/&gt;&lt;wsp:rsid wsp:val=&quot;006D13CC&quot;/&gt;&lt;wsp:rsid wsp:val=&quot;006D1AEA&quot;/&gt;&lt;wsp:rsid wsp:val=&quot;006D1FE7&quot;/&gt;&lt;wsp:rsid wsp:val=&quot;006D38E8&quot;/&gt;&lt;wsp:rsid wsp:val=&quot;006D444A&quot;/&gt;&lt;wsp:rsid wsp:val=&quot;006D45D3&quot;/&gt;&lt;wsp:rsid wsp:val=&quot;006D5E16&quot;/&gt;&lt;wsp:rsid wsp:val=&quot;006D60FE&quot;/&gt;&lt;wsp:rsid wsp:val=&quot;006D7691&quot;/&gt;&lt;wsp:rsid wsp:val=&quot;006E03A1&quot;/&gt;&lt;wsp:rsid wsp:val=&quot;006E08D7&quot;/&gt;&lt;wsp:rsid wsp:val=&quot;006E097E&quot;/&gt;&lt;wsp:rsid wsp:val=&quot;006E172D&quot;/&gt;&lt;wsp:rsid wsp:val=&quot;006E2726&quot;/&gt;&lt;wsp:rsid wsp:val=&quot;006E30A6&quot;/&gt;&lt;wsp:rsid wsp:val=&quot;006E6254&quot;/&gt;&lt;wsp:rsid wsp:val=&quot;006E7E17&quot;/&gt;&lt;wsp:rsid wsp:val=&quot;006F0017&quot;/&gt;&lt;wsp:rsid wsp:val=&quot;006F048D&quot;/&gt;&lt;wsp:rsid wsp:val=&quot;006F0994&quot;/&gt;&lt;wsp:rsid wsp:val=&quot;006F101D&quot;/&gt;&lt;wsp:rsid wsp:val=&quot;006F1325&quot;/&gt;&lt;wsp:rsid wsp:val=&quot;006F2911&quot;/&gt;&lt;wsp:rsid wsp:val=&quot;006F2A0D&quot;/&gt;&lt;wsp:rsid wsp:val=&quot;006F3653&quot;/&gt;&lt;wsp:rsid wsp:val=&quot;006F3B17&quot;/&gt;&lt;wsp:rsid wsp:val=&quot;006F476C&quot;/&gt;&lt;wsp:rsid wsp:val=&quot;006F5494&quot;/&gt;&lt;wsp:rsid wsp:val=&quot;006F5A95&quot;/&gt;&lt;wsp:rsid wsp:val=&quot;006F6D65&quot;/&gt;&lt;wsp:rsid wsp:val=&quot;006F74A7&quot;/&gt;&lt;wsp:rsid wsp:val=&quot;0070090C&quot;/&gt;&lt;wsp:rsid wsp:val=&quot;00701171&quot;/&gt;&lt;wsp:rsid wsp:val=&quot;00701955&quot;/&gt;&lt;wsp:rsid wsp:val=&quot;007045A0&quot;/&gt;&lt;wsp:rsid wsp:val=&quot;00704910&quot;/&gt;&lt;wsp:rsid wsp:val=&quot;00704933&quot;/&gt;&lt;wsp:rsid wsp:val=&quot;007049F0&quot;/&gt;&lt;wsp:rsid wsp:val=&quot;007049FE&quot;/&gt;&lt;wsp:rsid wsp:val=&quot;00704C9C&quot;/&gt;&lt;wsp:rsid wsp:val=&quot;00705C88&quot;/&gt;&lt;wsp:rsid wsp:val=&quot;00707B3A&quot;/&gt;&lt;wsp:rsid wsp:val=&quot;00710C8C&quot;/&gt;&lt;wsp:rsid wsp:val=&quot;007119E2&quot;/&gt;&lt;wsp:rsid wsp:val=&quot;00711AFB&quot;/&gt;&lt;wsp:rsid wsp:val=&quot;0071293A&quot;/&gt;&lt;wsp:rsid wsp:val=&quot;00714886&quot;/&gt;&lt;wsp:rsid wsp:val=&quot;00715133&quot;/&gt;&lt;wsp:rsid wsp:val=&quot;007158F1&quot;/&gt;&lt;wsp:rsid wsp:val=&quot;00715CEF&quot;/&gt;&lt;wsp:rsid wsp:val=&quot;00715F99&quot;/&gt;&lt;wsp:rsid wsp:val=&quot;0071604B&quot;/&gt;&lt;wsp:rsid wsp:val=&quot;0071744D&quot;/&gt;&lt;wsp:rsid wsp:val=&quot;007176F3&quot;/&gt;&lt;wsp:rsid wsp:val=&quot;00717AD1&quot;/&gt;&lt;wsp:rsid wsp:val=&quot;00717EC9&quot;/&gt;&lt;wsp:rsid wsp:val=&quot;0072137A&quot;/&gt;&lt;wsp:rsid wsp:val=&quot;007216BA&quot;/&gt;&lt;wsp:rsid wsp:val=&quot;00722202&quot;/&gt;&lt;wsp:rsid wsp:val=&quot;00723314&quot;/&gt;&lt;wsp:rsid wsp:val=&quot;007242F6&quot;/&gt;&lt;wsp:rsid wsp:val=&quot;00724B00&quot;/&gt;&lt;wsp:rsid wsp:val=&quot;00724B19&quot;/&gt;&lt;wsp:rsid wsp:val=&quot;00725517&quot;/&gt;&lt;wsp:rsid wsp:val=&quot;00725604&quot;/&gt;&lt;wsp:rsid wsp:val=&quot;007257B2&quot;/&gt;&lt;wsp:rsid wsp:val=&quot;00725A97&quot;/&gt;&lt;wsp:rsid wsp:val=&quot;00725B60&quot;/&gt;&lt;wsp:rsid wsp:val=&quot;007261AB&quot;/&gt;&lt;wsp:rsid wsp:val=&quot;00730305&quot;/&gt;&lt;wsp:rsid wsp:val=&quot;00730A72&quot;/&gt;&lt;wsp:rsid wsp:val=&quot;007314A3&quot;/&gt;&lt;wsp:rsid wsp:val=&quot;00731DC0&quot;/&gt;&lt;wsp:rsid wsp:val=&quot;00732355&quot;/&gt;&lt;wsp:rsid wsp:val=&quot;0073297C&quot;/&gt;&lt;wsp:rsid wsp:val=&quot;00733886&quot;/&gt;&lt;wsp:rsid wsp:val=&quot;00734C98&quot;/&gt;&lt;wsp:rsid wsp:val=&quot;00734E83&quot;/&gt;&lt;wsp:rsid wsp:val=&quot;00735239&quot;/&gt;&lt;wsp:rsid wsp:val=&quot;00740ED5&quot;/&gt;&lt;wsp:rsid wsp:val=&quot;00743B56&quot;/&gt;&lt;wsp:rsid wsp:val=&quot;00746828&quot;/&gt;&lt;wsp:rsid wsp:val=&quot;00747D8C&quot;/&gt;&lt;wsp:rsid wsp:val=&quot;007503C0&quot;/&gt;&lt;wsp:rsid wsp:val=&quot;00750825&quot;/&gt;&lt;wsp:rsid wsp:val=&quot;007509DA&quot;/&gt;&lt;wsp:rsid wsp:val=&quot;00750DFF&quot;/&gt;&lt;wsp:rsid wsp:val=&quot;00751A6A&quot;/&gt;&lt;wsp:rsid wsp:val=&quot;00751EF8&quot;/&gt;&lt;wsp:rsid wsp:val=&quot;0075256E&quot;/&gt;&lt;wsp:rsid wsp:val=&quot;00753240&quot;/&gt;&lt;wsp:rsid wsp:val=&quot;007536CD&quot;/&gt;&lt;wsp:rsid wsp:val=&quot;00753914&quot;/&gt;&lt;wsp:rsid wsp:val=&quot;00753C64&quot;/&gt;&lt;wsp:rsid wsp:val=&quot;007549E9&quot;/&gt;&lt;wsp:rsid wsp:val=&quot;00754F25&quot;/&gt;&lt;wsp:rsid wsp:val=&quot;00756128&quot;/&gt;&lt;wsp:rsid wsp:val=&quot;00756840&quot;/&gt;&lt;wsp:rsid wsp:val=&quot;00756E84&quot;/&gt;&lt;wsp:rsid wsp:val=&quot;00757F28&quot;/&gt;&lt;wsp:rsid wsp:val=&quot;00760394&quot;/&gt;&lt;wsp:rsid wsp:val=&quot;0076243E&quot;/&gt;&lt;wsp:rsid wsp:val=&quot;00764CAF&quot;/&gt;&lt;wsp:rsid wsp:val=&quot;00765C52&quot;/&gt;&lt;wsp:rsid wsp:val=&quot;00766AFD&quot;/&gt;&lt;wsp:rsid wsp:val=&quot;0077022D&quot;/&gt;&lt;wsp:rsid wsp:val=&quot;0077088A&quot;/&gt;&lt;wsp:rsid wsp:val=&quot;00770D88&quot;/&gt;&lt;wsp:rsid wsp:val=&quot;007712EA&quot;/&gt;&lt;wsp:rsid wsp:val=&quot;00773B4C&quot;/&gt;&lt;wsp:rsid wsp:val=&quot;00773D05&quot;/&gt;&lt;wsp:rsid wsp:val=&quot;00773DF3&quot;/&gt;&lt;wsp:rsid wsp:val=&quot;00773FA7&quot;/&gt;&lt;wsp:rsid wsp:val=&quot;00774752&quot;/&gt;&lt;wsp:rsid wsp:val=&quot;0077496E&quot;/&gt;&lt;wsp:rsid wsp:val=&quot;00774A8B&quot;/&gt;&lt;wsp:rsid wsp:val=&quot;00774D4A&quot;/&gt;&lt;wsp:rsid wsp:val=&quot;00775433&quot;/&gt;&lt;wsp:rsid wsp:val=&quot;00775D0A&quot;/&gt;&lt;wsp:rsid wsp:val=&quot;00775FDD&quot;/&gt;&lt;wsp:rsid wsp:val=&quot;00776C11&quot;/&gt;&lt;wsp:rsid wsp:val=&quot;00777B19&quot;/&gt;&lt;wsp:rsid wsp:val=&quot;00777D82&quot;/&gt;&lt;wsp:rsid wsp:val=&quot;007805BC&quot;/&gt;&lt;wsp:rsid wsp:val=&quot;0078078E&quot;/&gt;&lt;wsp:rsid wsp:val=&quot;00781611&quot;/&gt;&lt;wsp:rsid wsp:val=&quot;007818E2&quot;/&gt;&lt;wsp:rsid wsp:val=&quot;00781943&quot;/&gt;&lt;wsp:rsid wsp:val=&quot;0078218A&quot;/&gt;&lt;wsp:rsid wsp:val=&quot;00784493&quot;/&gt;&lt;wsp:rsid wsp:val=&quot;00784E74&quot;/&gt;&lt;wsp:rsid wsp:val=&quot;0078533B&quot;/&gt;&lt;wsp:rsid wsp:val=&quot;00785F22&quot;/&gt;&lt;wsp:rsid wsp:val=&quot;00786B08&quot;/&gt;&lt;wsp:rsid wsp:val=&quot;00786E28&quot;/&gt;&lt;wsp:rsid wsp:val=&quot;007918C0&quot;/&gt;&lt;wsp:rsid wsp:val=&quot;00791CD2&quot;/&gt;&lt;wsp:rsid wsp:val=&quot;00791EAC&quot;/&gt;&lt;wsp:rsid wsp:val=&quot;00792953&quot;/&gt;&lt;wsp:rsid wsp:val=&quot;007929C5&quot;/&gt;&lt;wsp:rsid wsp:val=&quot;00793B39&quot;/&gt;&lt;wsp:rsid wsp:val=&quot;00793D47&quot;/&gt;&lt;wsp:rsid wsp:val=&quot;00795C41&quot;/&gt;&lt;wsp:rsid wsp:val=&quot;00795DFF&quot;/&gt;&lt;wsp:rsid wsp:val=&quot;0079617C&quot;/&gt;&lt;wsp:rsid wsp:val=&quot;007967F3&quot;/&gt;&lt;wsp:rsid wsp:val=&quot;00797C10&quot;/&gt;&lt;wsp:rsid wsp:val=&quot;007A0D8F&quot;/&gt;&lt;wsp:rsid wsp:val=&quot;007A0EC9&quot;/&gt;&lt;wsp:rsid wsp:val=&quot;007A1108&quot;/&gt;&lt;wsp:rsid wsp:val=&quot;007A18B9&quot;/&gt;&lt;wsp:rsid wsp:val=&quot;007A2B64&quot;/&gt;&lt;wsp:rsid wsp:val=&quot;007A2BFC&quot;/&gt;&lt;wsp:rsid wsp:val=&quot;007A2FC2&quot;/&gt;&lt;wsp:rsid wsp:val=&quot;007A405E&quot;/&gt;&lt;wsp:rsid wsp:val=&quot;007A4B7D&quot;/&gt;&lt;wsp:rsid wsp:val=&quot;007A4E8E&quot;/&gt;&lt;wsp:rsid wsp:val=&quot;007A52A6&quot;/&gt;&lt;wsp:rsid wsp:val=&quot;007A52A7&quot;/&gt;&lt;wsp:rsid wsp:val=&quot;007A6151&quot;/&gt;&lt;wsp:rsid wsp:val=&quot;007A62B7&quot;/&gt;&lt;wsp:rsid wsp:val=&quot;007A637F&quot;/&gt;&lt;wsp:rsid wsp:val=&quot;007A63C8&quot;/&gt;&lt;wsp:rsid wsp:val=&quot;007A794E&quot;/&gt;&lt;wsp:rsid wsp:val=&quot;007B114D&quot;/&gt;&lt;wsp:rsid wsp:val=&quot;007B1A83&quot;/&gt;&lt;wsp:rsid wsp:val=&quot;007B204B&quot;/&gt;&lt;wsp:rsid wsp:val=&quot;007B2C5A&quot;/&gt;&lt;wsp:rsid wsp:val=&quot;007B5508&quot;/&gt;&lt;wsp:rsid wsp:val=&quot;007B5A6F&quot;/&gt;&lt;wsp:rsid wsp:val=&quot;007B6510&quot;/&gt;&lt;wsp:rsid wsp:val=&quot;007B7409&quot;/&gt;&lt;wsp:rsid wsp:val=&quot;007B7ED5&quot;/&gt;&lt;wsp:rsid wsp:val=&quot;007C04ED&quot;/&gt;&lt;wsp:rsid wsp:val=&quot;007C12BA&quot;/&gt;&lt;wsp:rsid wsp:val=&quot;007C2AFB&quot;/&gt;&lt;wsp:rsid wsp:val=&quot;007C2CCD&quot;/&gt;&lt;wsp:rsid wsp:val=&quot;007C2E01&quot;/&gt;&lt;wsp:rsid wsp:val=&quot;007C2F24&quot;/&gt;&lt;wsp:rsid wsp:val=&quot;007C303C&quot;/&gt;&lt;wsp:rsid wsp:val=&quot;007C3D46&quot;/&gt;&lt;wsp:rsid wsp:val=&quot;007C3D6B&quot;/&gt;&lt;wsp:rsid wsp:val=&quot;007C48B8&quot;/&gt;&lt;wsp:rsid wsp:val=&quot;007C5398&quot;/&gt;&lt;wsp:rsid wsp:val=&quot;007C53B7&quot;/&gt;&lt;wsp:rsid wsp:val=&quot;007C61FC&quot;/&gt;&lt;wsp:rsid wsp:val=&quot;007C64C2&quot;/&gt;&lt;wsp:rsid wsp:val=&quot;007C6B86&quot;/&gt;&lt;wsp:rsid wsp:val=&quot;007C6CC8&quot;/&gt;&lt;wsp:rsid wsp:val=&quot;007C7350&quot;/&gt;&lt;wsp:rsid wsp:val=&quot;007C76EE&quot;/&gt;&lt;wsp:rsid wsp:val=&quot;007D0294&quot;/&gt;&lt;wsp:rsid wsp:val=&quot;007D0490&quot;/&gt;&lt;wsp:rsid wsp:val=&quot;007D0F55&quot;/&gt;&lt;wsp:rsid wsp:val=&quot;007D2ADD&quot;/&gt;&lt;wsp:rsid wsp:val=&quot;007D2CAC&quot;/&gt;&lt;wsp:rsid wsp:val=&quot;007D348B&quot;/&gt;&lt;wsp:rsid wsp:val=&quot;007D3914&quot;/&gt;&lt;wsp:rsid wsp:val=&quot;007D3EFF&quot;/&gt;&lt;wsp:rsid wsp:val=&quot;007D412B&quot;/&gt;&lt;wsp:rsid wsp:val=&quot;007D502C&quot;/&gt;&lt;wsp:rsid wsp:val=&quot;007D5527&quot;/&gt;&lt;wsp:rsid wsp:val=&quot;007D5F17&quot;/&gt;&lt;wsp:rsid wsp:val=&quot;007D6FAC&quot;/&gt;&lt;wsp:rsid wsp:val=&quot;007E0391&quot;/&gt;&lt;wsp:rsid wsp:val=&quot;007E087D&quot;/&gt;&lt;wsp:rsid wsp:val=&quot;007E097B&quot;/&gt;&lt;wsp:rsid wsp:val=&quot;007E1BAF&quot;/&gt;&lt;wsp:rsid wsp:val=&quot;007E2337&quot;/&gt;&lt;wsp:rsid wsp:val=&quot;007E30A8&quot;/&gt;&lt;wsp:rsid wsp:val=&quot;007E36F1&quot;/&gt;&lt;wsp:rsid wsp:val=&quot;007E3BE2&quot;/&gt;&lt;wsp:rsid wsp:val=&quot;007E4989&quot;/&gt;&lt;wsp:rsid wsp:val=&quot;007E4F9D&quot;/&gt;&lt;wsp:rsid wsp:val=&quot;007E5215&quot;/&gt;&lt;wsp:rsid wsp:val=&quot;007E55E7&quot;/&gt;&lt;wsp:rsid wsp:val=&quot;007E7AEC&quot;/&gt;&lt;wsp:rsid wsp:val=&quot;007F29AE&quot;/&gt;&lt;wsp:rsid wsp:val=&quot;007F3053&quot;/&gt;&lt;wsp:rsid wsp:val=&quot;007F33D8&quot;/&gt;&lt;wsp:rsid wsp:val=&quot;007F444D&quot;/&gt;&lt;wsp:rsid wsp:val=&quot;007F4519&quot;/&gt;&lt;wsp:rsid wsp:val=&quot;007F4636&quot;/&gt;&lt;wsp:rsid wsp:val=&quot;007F51FE&quot;/&gt;&lt;wsp:rsid wsp:val=&quot;007F65B3&quot;/&gt;&lt;wsp:rsid wsp:val=&quot;007F6CCE&quot;/&gt;&lt;wsp:rsid wsp:val=&quot;007F79C1&quot;/&gt;&lt;wsp:rsid wsp:val=&quot;008003B9&quot;/&gt;&lt;wsp:rsid wsp:val=&quot;008004D1&quot;/&gt;&lt;wsp:rsid wsp:val=&quot;0080069D&quot;/&gt;&lt;wsp:rsid wsp:val=&quot;00801487&quot;/&gt;&lt;wsp:rsid wsp:val=&quot;00801AF6&quot;/&gt;&lt;wsp:rsid wsp:val=&quot;00802A0B&quot;/&gt;&lt;wsp:rsid wsp:val=&quot;00803F39&quot;/&gt;&lt;wsp:rsid wsp:val=&quot;008049D0&quot;/&gt;&lt;wsp:rsid wsp:val=&quot;0080633A&quot;/&gt;&lt;wsp:rsid wsp:val=&quot;00806DD8&quot;/&gt;&lt;wsp:rsid wsp:val=&quot;008071AA&quot;/&gt;&lt;wsp:rsid wsp:val=&quot;00810177&quot;/&gt;&lt;wsp:rsid wsp:val=&quot;008109BB&quot;/&gt;&lt;wsp:rsid wsp:val=&quot;00810F24&quot;/&gt;&lt;wsp:rsid wsp:val=&quot;00811E54&quot;/&gt;&lt;wsp:rsid wsp:val=&quot;00812496&quot;/&gt;&lt;wsp:rsid wsp:val=&quot;008127DD&quot;/&gt;&lt;wsp:rsid wsp:val=&quot;00812A68&quot;/&gt;&lt;wsp:rsid wsp:val=&quot;00812A69&quot;/&gt;&lt;wsp:rsid wsp:val=&quot;00812A7E&quot;/&gt;&lt;wsp:rsid wsp:val=&quot;00813473&quot;/&gt;&lt;wsp:rsid wsp:val=&quot;0081408B&quot;/&gt;&lt;wsp:rsid wsp:val=&quot;00814093&quot;/&gt;&lt;wsp:rsid wsp:val=&quot;00815C11&quot;/&gt;&lt;wsp:rsid wsp:val=&quot;00815D3F&quot;/&gt;&lt;wsp:rsid wsp:val=&quot;00816551&quot;/&gt;&lt;wsp:rsid wsp:val=&quot;008167E2&quot;/&gt;&lt;wsp:rsid wsp:val=&quot;00817A6B&quot;/&gt;&lt;wsp:rsid wsp:val=&quot;00820AC3&quot;/&gt;&lt;wsp:rsid wsp:val=&quot;00821579&quot;/&gt;&lt;wsp:rsid wsp:val=&quot;00822113&quot;/&gt;&lt;wsp:rsid wsp:val=&quot;00822AA4&quot;/&gt;&lt;wsp:rsid wsp:val=&quot;00823281&quot;/&gt;&lt;wsp:rsid wsp:val=&quot;008240CD&quot;/&gt;&lt;wsp:rsid wsp:val=&quot;008256BF&quot;/&gt;&lt;wsp:rsid wsp:val=&quot;008257A8&quot;/&gt;&lt;wsp:rsid wsp:val=&quot;00825A1E&quot;/&gt;&lt;wsp:rsid wsp:val=&quot;0082743F&quot;/&gt;&lt;wsp:rsid wsp:val=&quot;008274D0&quot;/&gt;&lt;wsp:rsid wsp:val=&quot;00827EF7&quot;/&gt;&lt;wsp:rsid wsp:val=&quot;00830BCE&quot;/&gt;&lt;wsp:rsid wsp:val=&quot;00831AF5&quot;/&gt;&lt;wsp:rsid wsp:val=&quot;00832080&quot;/&gt;&lt;wsp:rsid wsp:val=&quot;00833009&quot;/&gt;&lt;wsp:rsid wsp:val=&quot;0083373D&quot;/&gt;&lt;wsp:rsid wsp:val=&quot;0083400F&quot;/&gt;&lt;wsp:rsid wsp:val=&quot;00834C21&quot;/&gt;&lt;wsp:rsid wsp:val=&quot;00834E9D&quot;/&gt;&lt;wsp:rsid wsp:val=&quot;00835FB8&quot;/&gt;&lt;wsp:rsid wsp:val=&quot;00836440&quot;/&gt;&lt;wsp:rsid wsp:val=&quot;00836994&quot;/&gt;&lt;wsp:rsid wsp:val=&quot;00836F5E&quot;/&gt;&lt;wsp:rsid wsp:val=&quot;008372D5&quot;/&gt;&lt;wsp:rsid wsp:val=&quot;008378FF&quot;/&gt;&lt;wsp:rsid wsp:val=&quot;00837A73&quot;/&gt;&lt;wsp:rsid wsp:val=&quot;00837B45&quot;/&gt;&lt;wsp:rsid wsp:val=&quot;00837BBB&quot;/&gt;&lt;wsp:rsid wsp:val=&quot;008411D0&quot;/&gt;&lt;wsp:rsid wsp:val=&quot;008441AB&quot;/&gt;&lt;wsp:rsid wsp:val=&quot;008441C9&quot;/&gt;&lt;wsp:rsid wsp:val=&quot;008446DC&quot;/&gt;&lt;wsp:rsid wsp:val=&quot;0084591A&quot;/&gt;&lt;wsp:rsid wsp:val=&quot;00845FD9&quot;/&gt;&lt;wsp:rsid wsp:val=&quot;00846486&quot;/&gt;&lt;wsp:rsid wsp:val=&quot;00846693&quot;/&gt;&lt;wsp:rsid wsp:val=&quot;00846CD7&quot;/&gt;&lt;wsp:rsid wsp:val=&quot;008478AB&quot;/&gt;&lt;wsp:rsid wsp:val=&quot;0085169C&quot;/&gt;&lt;wsp:rsid wsp:val=&quot;00851703&quot;/&gt;&lt;wsp:rsid wsp:val=&quot;008519D4&quot;/&gt;&lt;wsp:rsid wsp:val=&quot;008533A3&quot;/&gt;&lt;wsp:rsid wsp:val=&quot;00854DE3&quot;/&gt;&lt;wsp:rsid wsp:val=&quot;00854FBD&quot;/&gt;&lt;wsp:rsid wsp:val=&quot;00855B2E&quot;/&gt;&lt;wsp:rsid wsp:val=&quot;0085607E&quot;/&gt;&lt;wsp:rsid wsp:val=&quot;00856BEE&quot;/&gt;&lt;wsp:rsid wsp:val=&quot;00856D30&quot;/&gt;&lt;wsp:rsid wsp:val=&quot;00860B8B&quot;/&gt;&lt;wsp:rsid wsp:val=&quot;00863041&quot;/&gt;&lt;wsp:rsid wsp:val=&quot;0086326E&quot;/&gt;&lt;wsp:rsid wsp:val=&quot;008634A0&quot;/&gt;&lt;wsp:rsid wsp:val=&quot;00864AE9&quot;/&gt;&lt;wsp:rsid wsp:val=&quot;00864CBB&quot;/&gt;&lt;wsp:rsid wsp:val=&quot;00864D0C&quot;/&gt;&lt;wsp:rsid wsp:val=&quot;008660E2&quot;/&gt;&lt;wsp:rsid wsp:val=&quot;00866F1F&quot;/&gt;&lt;wsp:rsid wsp:val=&quot;0086787B&quot;/&gt;&lt;wsp:rsid wsp:val=&quot;008701BC&quot;/&gt;&lt;wsp:rsid wsp:val=&quot;0087057D&quot;/&gt;&lt;wsp:rsid wsp:val=&quot;008712B5&quot;/&gt;&lt;wsp:rsid wsp:val=&quot;00871897&quot;/&gt;&lt;wsp:rsid wsp:val=&quot;008744E5&quot;/&gt;&lt;wsp:rsid wsp:val=&quot;00874964&quot;/&gt;&lt;wsp:rsid wsp:val=&quot;008755DE&quot;/&gt;&lt;wsp:rsid wsp:val=&quot;008759BE&quot;/&gt;&lt;wsp:rsid wsp:val=&quot;00875FD7&quot;/&gt;&lt;wsp:rsid wsp:val=&quot;008775C4&quot;/&gt;&lt;wsp:rsid wsp:val=&quot;00877FEC&quot;/&gt;&lt;wsp:rsid wsp:val=&quot;0088074E&quot;/&gt;&lt;wsp:rsid wsp:val=&quot;00880AB0&quot;/&gt;&lt;wsp:rsid wsp:val=&quot;008821BF&quot;/&gt;&lt;wsp:rsid wsp:val=&quot;008823C3&quot;/&gt;&lt;wsp:rsid wsp:val=&quot;00882951&quot;/&gt;&lt;wsp:rsid wsp:val=&quot;00883DD7&quot;/&gt;&lt;wsp:rsid wsp:val=&quot;008847BD&quot;/&gt;&lt;wsp:rsid wsp:val=&quot;00885415&quot;/&gt;&lt;wsp:rsid wsp:val=&quot;00886CFA&quot;/&gt;&lt;wsp:rsid wsp:val=&quot;00886E85&quot;/&gt;&lt;wsp:rsid wsp:val=&quot;0088771A&quot;/&gt;&lt;wsp:rsid wsp:val=&quot;0088779D&quot;/&gt;&lt;wsp:rsid wsp:val=&quot;008904AE&quot;/&gt;&lt;wsp:rsid wsp:val=&quot;008938F3&quot;/&gt;&lt;wsp:rsid wsp:val=&quot;008941D0&quot;/&gt;&lt;wsp:rsid wsp:val=&quot;0089716F&quot;/&gt;&lt;wsp:rsid wsp:val=&quot;00897FC8&quot;/&gt;&lt;wsp:rsid wsp:val=&quot;008A05CE&quot;/&gt;&lt;wsp:rsid wsp:val=&quot;008A067E&quot;/&gt;&lt;wsp:rsid wsp:val=&quot;008A095C&quot;/&gt;&lt;wsp:rsid wsp:val=&quot;008A1230&quot;/&gt;&lt;wsp:rsid wsp:val=&quot;008A161C&quot;/&gt;&lt;wsp:rsid wsp:val=&quot;008A1AD4&quot;/&gt;&lt;wsp:rsid wsp:val=&quot;008A26BA&quot;/&gt;&lt;wsp:rsid wsp:val=&quot;008A39EF&quot;/&gt;&lt;wsp:rsid wsp:val=&quot;008A3A2E&quot;/&gt;&lt;wsp:rsid wsp:val=&quot;008A3EA8&quot;/&gt;&lt;wsp:rsid wsp:val=&quot;008A413C&quot;/&gt;&lt;wsp:rsid wsp:val=&quot;008A451C&quot;/&gt;&lt;wsp:rsid wsp:val=&quot;008A4802&quot;/&gt;&lt;wsp:rsid wsp:val=&quot;008A4A95&quot;/&gt;&lt;wsp:rsid wsp:val=&quot;008A4B16&quot;/&gt;&lt;wsp:rsid wsp:val=&quot;008A4B30&quot;/&gt;&lt;wsp:rsid wsp:val=&quot;008A598B&quot;/&gt;&lt;wsp:rsid wsp:val=&quot;008A65E1&quot;/&gt;&lt;wsp:rsid wsp:val=&quot;008A6BD6&quot;/&gt;&lt;wsp:rsid wsp:val=&quot;008A7C36&quot;/&gt;&lt;wsp:rsid wsp:val=&quot;008B0390&quot;/&gt;&lt;wsp:rsid wsp:val=&quot;008B04ED&quot;/&gt;&lt;wsp:rsid wsp:val=&quot;008B115A&quot;/&gt;&lt;wsp:rsid wsp:val=&quot;008B1CF1&quot;/&gt;&lt;wsp:rsid wsp:val=&quot;008B255F&quot;/&gt;&lt;wsp:rsid wsp:val=&quot;008B29B4&quot;/&gt;&lt;wsp:rsid wsp:val=&quot;008B3B19&quot;/&gt;&lt;wsp:rsid wsp:val=&quot;008B4073&quot;/&gt;&lt;wsp:rsid wsp:val=&quot;008B47C7&quot;/&gt;&lt;wsp:rsid wsp:val=&quot;008B49B3&quot;/&gt;&lt;wsp:rsid wsp:val=&quot;008B6C65&quot;/&gt;&lt;wsp:rsid wsp:val=&quot;008B6F44&quot;/&gt;&lt;wsp:rsid wsp:val=&quot;008C0051&quot;/&gt;&lt;wsp:rsid wsp:val=&quot;008C01A1&quot;/&gt;&lt;wsp:rsid wsp:val=&quot;008C0BC1&quot;/&gt;&lt;wsp:rsid wsp:val=&quot;008C169D&quot;/&gt;&lt;wsp:rsid wsp:val=&quot;008C2D2B&quot;/&gt;&lt;wsp:rsid wsp:val=&quot;008C2EBA&quot;/&gt;&lt;wsp:rsid wsp:val=&quot;008C3488&quot;/&gt;&lt;wsp:rsid wsp:val=&quot;008C370C&quot;/&gt;&lt;wsp:rsid wsp:val=&quot;008C46DA&quot;/&gt;&lt;wsp:rsid wsp:val=&quot;008C49B3&quot;/&gt;&lt;wsp:rsid wsp:val=&quot;008C4CEB&quot;/&gt;&lt;wsp:rsid wsp:val=&quot;008C5B7A&quot;/&gt;&lt;wsp:rsid wsp:val=&quot;008C5FEE&quot;/&gt;&lt;wsp:rsid wsp:val=&quot;008C7566&quot;/&gt;&lt;wsp:rsid wsp:val=&quot;008D150B&quot;/&gt;&lt;wsp:rsid wsp:val=&quot;008D172C&quot;/&gt;&lt;wsp:rsid wsp:val=&quot;008D2EC7&quot;/&gt;&lt;wsp:rsid wsp:val=&quot;008D2F23&quot;/&gt;&lt;wsp:rsid wsp:val=&quot;008D3106&quot;/&gt;&lt;wsp:rsid wsp:val=&quot;008D36B0&quot;/&gt;&lt;wsp:rsid wsp:val=&quot;008D3DD9&quot;/&gt;&lt;wsp:rsid wsp:val=&quot;008D3F23&quot;/&gt;&lt;wsp:rsid wsp:val=&quot;008D459E&quot;/&gt;&lt;wsp:rsid wsp:val=&quot;008D4654&quot;/&gt;&lt;wsp:rsid wsp:val=&quot;008D4851&quot;/&gt;&lt;wsp:rsid wsp:val=&quot;008D4F68&quot;/&gt;&lt;wsp:rsid wsp:val=&quot;008D686F&quot;/&gt;&lt;wsp:rsid wsp:val=&quot;008D6B6E&quot;/&gt;&lt;wsp:rsid wsp:val=&quot;008D6F20&quot;/&gt;&lt;wsp:rsid wsp:val=&quot;008D7727&quot;/&gt;&lt;wsp:rsid wsp:val=&quot;008E0385&quot;/&gt;&lt;wsp:rsid wsp:val=&quot;008E08EE&quot;/&gt;&lt;wsp:rsid wsp:val=&quot;008E23F0&quot;/&gt;&lt;wsp:rsid wsp:val=&quot;008E3651&quot;/&gt;&lt;wsp:rsid wsp:val=&quot;008E3BDA&quot;/&gt;&lt;wsp:rsid wsp:val=&quot;008E462C&quot;/&gt;&lt;wsp:rsid wsp:val=&quot;008E5FF7&quot;/&gt;&lt;wsp:rsid wsp:val=&quot;008E62B9&quot;/&gt;&lt;wsp:rsid wsp:val=&quot;008E6389&quot;/&gt;&lt;wsp:rsid wsp:val=&quot;008E78D2&quot;/&gt;&lt;wsp:rsid wsp:val=&quot;008E7949&quot;/&gt;&lt;wsp:rsid wsp:val=&quot;008F065F&quot;/&gt;&lt;wsp:rsid wsp:val=&quot;008F184F&quot;/&gt;&lt;wsp:rsid wsp:val=&quot;008F1EA1&quot;/&gt;&lt;wsp:rsid wsp:val=&quot;008F26B2&quot;/&gt;&lt;wsp:rsid wsp:val=&quot;008F28A2&quot;/&gt;&lt;wsp:rsid wsp:val=&quot;008F37E2&quot;/&gt;&lt;wsp:rsid wsp:val=&quot;008F3AC2&quot;/&gt;&lt;wsp:rsid wsp:val=&quot;008F435E&quot;/&gt;&lt;wsp:rsid wsp:val=&quot;008F4B29&quot;/&gt;&lt;wsp:rsid wsp:val=&quot;008F59C8&quot;/&gt;&lt;wsp:rsid wsp:val=&quot;008F73F8&quot;/&gt;&lt;wsp:rsid wsp:val=&quot;008F759A&quot;/&gt;&lt;wsp:rsid wsp:val=&quot;00900BDD&quot;/&gt;&lt;wsp:rsid wsp:val=&quot;00900F3A&quot;/&gt;&lt;wsp:rsid wsp:val=&quot;00901B4B&quot;/&gt;&lt;wsp:rsid wsp:val=&quot;00901BE6&quot;/&gt;&lt;wsp:rsid wsp:val=&quot;00901FDD&quot;/&gt;&lt;wsp:rsid wsp:val=&quot;00903168&quot;/&gt;&lt;wsp:rsid wsp:val=&quot;00903624&quot;/&gt;&lt;wsp:rsid wsp:val=&quot;0090480E&quot;/&gt;&lt;wsp:rsid wsp:val=&quot;00905234&quot;/&gt;&lt;wsp:rsid wsp:val=&quot;009056EA&quot;/&gt;&lt;wsp:rsid wsp:val=&quot;009059ED&quot;/&gt;&lt;wsp:rsid wsp:val=&quot;00905B68&quot;/&gt;&lt;wsp:rsid wsp:val=&quot;0090602D&quot;/&gt;&lt;wsp:rsid wsp:val=&quot;00906818&quot;/&gt;&lt;wsp:rsid wsp:val=&quot;009069EE&quot;/&gt;&lt;wsp:rsid wsp:val=&quot;00910F8F&quot;/&gt;&lt;wsp:rsid wsp:val=&quot;0091276A&quot;/&gt;&lt;wsp:rsid wsp:val=&quot;009132CC&quot;/&gt;&lt;wsp:rsid wsp:val=&quot;00913B48&quot;/&gt;&lt;wsp:rsid wsp:val=&quot;00914A2F&quot;/&gt;&lt;wsp:rsid wsp:val=&quot;009151A9&quot;/&gt;&lt;wsp:rsid wsp:val=&quot;00915AAB&quot;/&gt;&lt;wsp:rsid wsp:val=&quot;009166A4&quot;/&gt;&lt;wsp:rsid wsp:val=&quot;00916C37&quot;/&gt;&lt;wsp:rsid wsp:val=&quot;00916D41&quot;/&gt;&lt;wsp:rsid wsp:val=&quot;00917D32&quot;/&gt;&lt;wsp:rsid wsp:val=&quot;00921B68&quot;/&gt;&lt;wsp:rsid wsp:val=&quot;00922118&quot;/&gt;&lt;wsp:rsid wsp:val=&quot;00924415&quot;/&gt;&lt;wsp:rsid wsp:val=&quot;00924DFE&quot;/&gt;&lt;wsp:rsid wsp:val=&quot;009250D5&quot;/&gt;&lt;wsp:rsid wsp:val=&quot;00926A1B&quot;/&gt;&lt;wsp:rsid wsp:val=&quot;00926BC2&quot;/&gt;&lt;wsp:rsid wsp:val=&quot;00930541&quot;/&gt;&lt;wsp:rsid wsp:val=&quot;00930CF4&quot;/&gt;&lt;wsp:rsid wsp:val=&quot;00931168&quot;/&gt;&lt;wsp:rsid wsp:val=&quot;00931411&quot;/&gt;&lt;wsp:rsid wsp:val=&quot;00931998&quot;/&gt;&lt;wsp:rsid wsp:val=&quot;00934492&quot;/&gt;&lt;wsp:rsid wsp:val=&quot;009344F7&quot;/&gt;&lt;wsp:rsid wsp:val=&quot;00935FD0&quot;/&gt;&lt;wsp:rsid wsp:val=&quot;00936E8D&quot;/&gt;&lt;wsp:rsid wsp:val=&quot;00937F75&quot;/&gt;&lt;wsp:rsid wsp:val=&quot;009408EA&quot;/&gt;&lt;wsp:rsid wsp:val=&quot;00940A6C&quot;/&gt;&lt;wsp:rsid wsp:val=&quot;00940ADD&quot;/&gt;&lt;wsp:rsid wsp:val=&quot;00940AF8&quot;/&gt;&lt;wsp:rsid wsp:val=&quot;00944384&quot;/&gt;&lt;wsp:rsid wsp:val=&quot;0094560A&quot;/&gt;&lt;wsp:rsid wsp:val=&quot;00945EFB&quot;/&gt;&lt;wsp:rsid wsp:val=&quot;0094625C&quot;/&gt;&lt;wsp:rsid wsp:val=&quot;00946DBD&quot;/&gt;&lt;wsp:rsid wsp:val=&quot;00946FE4&quot;/&gt;&lt;wsp:rsid wsp:val=&quot;00946FF9&quot;/&gt;&lt;wsp:rsid wsp:val=&quot;00947BD9&quot;/&gt;&lt;wsp:rsid wsp:val=&quot;00950082&quot;/&gt;&lt;wsp:rsid wsp:val=&quot;00950473&quot;/&gt;&lt;wsp:rsid wsp:val=&quot;009504BF&quot;/&gt;&lt;wsp:rsid wsp:val=&quot;00952275&quot;/&gt;&lt;wsp:rsid wsp:val=&quot;00952ED5&quot;/&gt;&lt;wsp:rsid wsp:val=&quot;009534DE&quot;/&gt;&lt;wsp:rsid wsp:val=&quot;00953AED&quot;/&gt;&lt;wsp:rsid wsp:val=&quot;009549B0&quot;/&gt;&lt;wsp:rsid wsp:val=&quot;00955F5D&quot;/&gt;&lt;wsp:rsid wsp:val=&quot;00956609&quot;/&gt;&lt;wsp:rsid wsp:val=&quot;00956B82&quot;/&gt;&lt;wsp:rsid wsp:val=&quot;009606BE&quot;/&gt;&lt;wsp:rsid wsp:val=&quot;009609F2&quot;/&gt;&lt;wsp:rsid wsp:val=&quot;00960D2F&quot;/&gt;&lt;wsp:rsid wsp:val=&quot;00962874&quot;/&gt;&lt;wsp:rsid wsp:val=&quot;00963897&quot;/&gt;&lt;wsp:rsid wsp:val=&quot;00964334&quot;/&gt;&lt;wsp:rsid wsp:val=&quot;00964863&quot;/&gt;&lt;wsp:rsid wsp:val=&quot;009649A0&quot;/&gt;&lt;wsp:rsid wsp:val=&quot;0096582F&quot;/&gt;&lt;wsp:rsid wsp:val=&quot;00965A0E&quot;/&gt;&lt;wsp:rsid wsp:val=&quot;00965E5B&quot;/&gt;&lt;wsp:rsid wsp:val=&quot;00966EB6&quot;/&gt;&lt;wsp:rsid wsp:val=&quot;009711C3&quot;/&gt;&lt;wsp:rsid wsp:val=&quot;0097129D&quot;/&gt;&lt;wsp:rsid wsp:val=&quot;00971E42&quot;/&gt;&lt;wsp:rsid wsp:val=&quot;00972328&quot;/&gt;&lt;wsp:rsid wsp:val=&quot;0097299B&quot;/&gt;&lt;wsp:rsid wsp:val=&quot;00973701&quot;/&gt;&lt;wsp:rsid wsp:val=&quot;00973F74&quot;/&gt;&lt;wsp:rsid wsp:val=&quot;00974A67&quot;/&gt;&lt;wsp:rsid wsp:val=&quot;00974B40&quot;/&gt;&lt;wsp:rsid wsp:val=&quot;0097685E&quot;/&gt;&lt;wsp:rsid wsp:val=&quot;0097693F&quot;/&gt;&lt;wsp:rsid wsp:val=&quot;00980BAE&quot;/&gt;&lt;wsp:rsid wsp:val=&quot;00980EE1&quot;/&gt;&lt;wsp:rsid wsp:val=&quot;009819A6&quot;/&gt;&lt;wsp:rsid wsp:val=&quot;00983D60&quot;/&gt;&lt;wsp:rsid wsp:val=&quot;00984698&quot;/&gt;&lt;wsp:rsid wsp:val=&quot;009849C8&quot;/&gt;&lt;wsp:rsid wsp:val=&quot;00984D7F&quot;/&gt;&lt;wsp:rsid wsp:val=&quot;00985680&quot;/&gt;&lt;wsp:rsid wsp:val=&quot;009860A7&quot;/&gt;&lt;wsp:rsid wsp:val=&quot;0098645E&quot;/&gt;&lt;wsp:rsid wsp:val=&quot;00990FCD&quot;/&gt;&lt;wsp:rsid wsp:val=&quot;009918A9&quot;/&gt;&lt;wsp:rsid wsp:val=&quot;00991BDA&quot;/&gt;&lt;wsp:rsid wsp:val=&quot;00993545&quot;/&gt;&lt;wsp:rsid wsp:val=&quot;009950D9&quot;/&gt;&lt;wsp:rsid wsp:val=&quot;00996A49&quot;/&gt;&lt;wsp:rsid wsp:val=&quot;009A0F59&quot;/&gt;&lt;wsp:rsid wsp:val=&quot;009A166A&quot;/&gt;&lt;wsp:rsid wsp:val=&quot;009A17CE&quot;/&gt;&lt;wsp:rsid wsp:val=&quot;009A2C51&quot;/&gt;&lt;wsp:rsid wsp:val=&quot;009A409D&quot;/&gt;&lt;wsp:rsid wsp:val=&quot;009A427F&quot;/&gt;&lt;wsp:rsid wsp:val=&quot;009A459E&quot;/&gt;&lt;wsp:rsid wsp:val=&quot;009A4ECD&quot;/&gt;&lt;wsp:rsid wsp:val=&quot;009A56A7&quot;/&gt;&lt;wsp:rsid wsp:val=&quot;009A5874&quot;/&gt;&lt;wsp:rsid wsp:val=&quot;009A734C&quot;/&gt;&lt;wsp:rsid wsp:val=&quot;009A7964&quot;/&gt;&lt;wsp:rsid wsp:val=&quot;009A7F95&quot;/&gt;&lt;wsp:rsid wsp:val=&quot;009B03E4&quot;/&gt;&lt;wsp:rsid wsp:val=&quot;009B0820&quot;/&gt;&lt;wsp:rsid wsp:val=&quot;009B11D7&quot;/&gt;&lt;wsp:rsid wsp:val=&quot;009B1952&quot;/&gt;&lt;wsp:rsid wsp:val=&quot;009B1FA7&quot;/&gt;&lt;wsp:rsid wsp:val=&quot;009B2F4A&quot;/&gt;&lt;wsp:rsid wsp:val=&quot;009B35F4&quot;/&gt;&lt;wsp:rsid wsp:val=&quot;009B4D96&quot;/&gt;&lt;wsp:rsid wsp:val=&quot;009B6133&quot;/&gt;&lt;wsp:rsid wsp:val=&quot;009B643E&quot;/&gt;&lt;wsp:rsid wsp:val=&quot;009B724A&quot;/&gt;&lt;wsp:rsid wsp:val=&quot;009C02A7&quot;/&gt;&lt;wsp:rsid wsp:val=&quot;009C044D&quot;/&gt;&lt;wsp:rsid wsp:val=&quot;009C086A&quot;/&gt;&lt;wsp:rsid wsp:val=&quot;009C2016&quot;/&gt;&lt;wsp:rsid wsp:val=&quot;009C21EC&quot;/&gt;&lt;wsp:rsid wsp:val=&quot;009C3190&quot;/&gt;&lt;wsp:rsid wsp:val=&quot;009C328D&quot;/&gt;&lt;wsp:rsid wsp:val=&quot;009C3E22&quot;/&gt;&lt;wsp:rsid wsp:val=&quot;009C50CB&quot;/&gt;&lt;wsp:rsid wsp:val=&quot;009C5348&quot;/&gt;&lt;wsp:rsid wsp:val=&quot;009C6D39&quot;/&gt;&lt;wsp:rsid wsp:val=&quot;009C6F27&quot;/&gt;&lt;wsp:rsid wsp:val=&quot;009C7ACD&quot;/&gt;&lt;wsp:rsid wsp:val=&quot;009D1962&quot;/&gt;&lt;wsp:rsid wsp:val=&quot;009D20A1&quot;/&gt;&lt;wsp:rsid wsp:val=&quot;009D2297&quot;/&gt;&lt;wsp:rsid wsp:val=&quot;009D2B0E&quot;/&gt;&lt;wsp:rsid wsp:val=&quot;009D2F26&quot;/&gt;&lt;wsp:rsid wsp:val=&quot;009D31F3&quot;/&gt;&lt;wsp:rsid wsp:val=&quot;009D3B4F&quot;/&gt;&lt;wsp:rsid wsp:val=&quot;009D48A0&quot;/&gt;&lt;wsp:rsid wsp:val=&quot;009D4AC2&quot;/&gt;&lt;wsp:rsid wsp:val=&quot;009D6377&quot;/&gt;&lt;wsp:rsid wsp:val=&quot;009D69D0&quot;/&gt;&lt;wsp:rsid wsp:val=&quot;009D72C5&quot;/&gt;&lt;wsp:rsid wsp:val=&quot;009E1291&quot;/&gt;&lt;wsp:rsid wsp:val=&quot;009E1AC8&quot;/&gt;&lt;wsp:rsid wsp:val=&quot;009E1F2D&quot;/&gt;&lt;wsp:rsid wsp:val=&quot;009E2AD8&quot;/&gt;&lt;wsp:rsid wsp:val=&quot;009E3BAB&quot;/&gt;&lt;wsp:rsid wsp:val=&quot;009E40C4&quot;/&gt;&lt;wsp:rsid wsp:val=&quot;009E45FD&quot;/&gt;&lt;wsp:rsid wsp:val=&quot;009E486A&quot;/&gt;&lt;wsp:rsid wsp:val=&quot;009E6321&quot;/&gt;&lt;wsp:rsid wsp:val=&quot;009E6884&quot;/&gt;&lt;wsp:rsid wsp:val=&quot;009E689A&quot;/&gt;&lt;wsp:rsid wsp:val=&quot;009E68DA&quot;/&gt;&lt;wsp:rsid wsp:val=&quot;009E6EA8&quot;/&gt;&lt;wsp:rsid wsp:val=&quot;009E6EF9&quot;/&gt;&lt;wsp:rsid wsp:val=&quot;009E7921&quot;/&gt;&lt;wsp:rsid wsp:val=&quot;009F0676&quot;/&gt;&lt;wsp:rsid wsp:val=&quot;009F0B64&quot;/&gt;&lt;wsp:rsid wsp:val=&quot;009F0BB7&quot;/&gt;&lt;wsp:rsid wsp:val=&quot;009F112E&quot;/&gt;&lt;wsp:rsid wsp:val=&quot;009F1DC3&quot;/&gt;&lt;wsp:rsid wsp:val=&quot;009F2039&quot;/&gt;&lt;wsp:rsid wsp:val=&quot;009F4CFC&quot;/&gt;&lt;wsp:rsid wsp:val=&quot;009F4EF0&quot;/&gt;&lt;wsp:rsid wsp:val=&quot;009F55E0&quot;/&gt;&lt;wsp:rsid wsp:val=&quot;009F6E3C&quot;/&gt;&lt;wsp:rsid wsp:val=&quot;009F7008&quot;/&gt;&lt;wsp:rsid wsp:val=&quot;009F79C7&quot;/&gt;&lt;wsp:rsid wsp:val=&quot;009F7D47&quot;/&gt;&lt;wsp:rsid wsp:val=&quot;00A022FF&quot;/&gt;&lt;wsp:rsid wsp:val=&quot;00A023BC&quot;/&gt;&lt;wsp:rsid wsp:val=&quot;00A0258B&quot;/&gt;&lt;wsp:rsid wsp:val=&quot;00A054D6&quot;/&gt;&lt;wsp:rsid wsp:val=&quot;00A05D39&quot;/&gt;&lt;wsp:rsid wsp:val=&quot;00A0604B&quot;/&gt;&lt;wsp:rsid wsp:val=&quot;00A061C7&quot;/&gt;&lt;wsp:rsid wsp:val=&quot;00A06F5C&quot;/&gt;&lt;wsp:rsid wsp:val=&quot;00A077BB&quot;/&gt;&lt;wsp:rsid wsp:val=&quot;00A07917&quot;/&gt;&lt;wsp:rsid wsp:val=&quot;00A07CFC&quot;/&gt;&lt;wsp:rsid wsp:val=&quot;00A10533&quot;/&gt;&lt;wsp:rsid wsp:val=&quot;00A10DE8&quot;/&gt;&lt;wsp:rsid wsp:val=&quot;00A11573&quot;/&gt;&lt;wsp:rsid wsp:val=&quot;00A12F5C&quot;/&gt;&lt;wsp:rsid wsp:val=&quot;00A134EE&quot;/&gt;&lt;wsp:rsid wsp:val=&quot;00A13A68&quot;/&gt;&lt;wsp:rsid wsp:val=&quot;00A13B6E&quot;/&gt;&lt;wsp:rsid wsp:val=&quot;00A14381&quot;/&gt;&lt;wsp:rsid wsp:val=&quot;00A1446D&quot;/&gt;&lt;wsp:rsid wsp:val=&quot;00A161FA&quot;/&gt;&lt;wsp:rsid wsp:val=&quot;00A16476&quot;/&gt;&lt;wsp:rsid wsp:val=&quot;00A168A9&quot;/&gt;&lt;wsp:rsid wsp:val=&quot;00A16FA0&quot;/&gt;&lt;wsp:rsid wsp:val=&quot;00A17087&quot;/&gt;&lt;wsp:rsid wsp:val=&quot;00A17741&quot;/&gt;&lt;wsp:rsid wsp:val=&quot;00A1776B&quot;/&gt;&lt;wsp:rsid wsp:val=&quot;00A21843&quot;/&gt;&lt;wsp:rsid wsp:val=&quot;00A23858&quot;/&gt;&lt;wsp:rsid wsp:val=&quot;00A243EE&quot;/&gt;&lt;wsp:rsid wsp:val=&quot;00A24838&quot;/&gt;&lt;wsp:rsid wsp:val=&quot;00A24D17&quot;/&gt;&lt;wsp:rsid wsp:val=&quot;00A272BA&quot;/&gt;&lt;wsp:rsid wsp:val=&quot;00A27C16&quot;/&gt;&lt;wsp:rsid wsp:val=&quot;00A3060E&quot;/&gt;&lt;wsp:rsid wsp:val=&quot;00A30853&quot;/&gt;&lt;wsp:rsid wsp:val=&quot;00A31400&quot;/&gt;&lt;wsp:rsid wsp:val=&quot;00A31507&quot;/&gt;&lt;wsp:rsid wsp:val=&quot;00A3170F&quot;/&gt;&lt;wsp:rsid wsp:val=&quot;00A323C2&quot;/&gt;&lt;wsp:rsid wsp:val=&quot;00A33437&quot;/&gt;&lt;wsp:rsid wsp:val=&quot;00A33735&quot;/&gt;&lt;wsp:rsid wsp:val=&quot;00A36048&quot;/&gt;&lt;wsp:rsid wsp:val=&quot;00A36939&quot;/&gt;&lt;wsp:rsid wsp:val=&quot;00A36BF0&quot;/&gt;&lt;wsp:rsid wsp:val=&quot;00A37690&quot;/&gt;&lt;wsp:rsid wsp:val=&quot;00A37789&quot;/&gt;&lt;wsp:rsid wsp:val=&quot;00A37826&quot;/&gt;&lt;wsp:rsid wsp:val=&quot;00A401B4&quot;/&gt;&lt;wsp:rsid wsp:val=&quot;00A40665&quot;/&gt;&lt;wsp:rsid wsp:val=&quot;00A40686&quot;/&gt;&lt;wsp:rsid wsp:val=&quot;00A41241&quot;/&gt;&lt;wsp:rsid wsp:val=&quot;00A42BE9&quot;/&gt;&lt;wsp:rsid wsp:val=&quot;00A42C5E&quot;/&gt;&lt;wsp:rsid wsp:val=&quot;00A456D4&quot;/&gt;&lt;wsp:rsid wsp:val=&quot;00A457E7&quot;/&gt;&lt;wsp:rsid wsp:val=&quot;00A45AC9&quot;/&gt;&lt;wsp:rsid wsp:val=&quot;00A4768D&quot;/&gt;&lt;wsp:rsid wsp:val=&quot;00A47C2F&quot;/&gt;&lt;wsp:rsid wsp:val=&quot;00A47E0D&quot;/&gt;&lt;wsp:rsid wsp:val=&quot;00A51022&quot;/&gt;&lt;wsp:rsid wsp:val=&quot;00A5195F&quot;/&gt;&lt;wsp:rsid wsp:val=&quot;00A51C8C&quot;/&gt;&lt;wsp:rsid wsp:val=&quot;00A5274D&quot;/&gt;&lt;wsp:rsid wsp:val=&quot;00A52CE0&quot;/&gt;&lt;wsp:rsid wsp:val=&quot;00A52D24&quot;/&gt;&lt;wsp:rsid wsp:val=&quot;00A53A46&quot;/&gt;&lt;wsp:rsid wsp:val=&quot;00A54451&quot;/&gt;&lt;wsp:rsid wsp:val=&quot;00A605AB&quot;/&gt;&lt;wsp:rsid wsp:val=&quot;00A60703&quot;/&gt;&lt;wsp:rsid wsp:val=&quot;00A60C00&quot;/&gt;&lt;wsp:rsid wsp:val=&quot;00A618B6&quot;/&gt;&lt;wsp:rsid wsp:val=&quot;00A6280C&quot;/&gt;&lt;wsp:rsid wsp:val=&quot;00A62CFC&quot;/&gt;&lt;wsp:rsid wsp:val=&quot;00A62D1D&quot;/&gt;&lt;wsp:rsid wsp:val=&quot;00A62F21&quot;/&gt;&lt;wsp:rsid wsp:val=&quot;00A63060&quot;/&gt;&lt;wsp:rsid wsp:val=&quot;00A6342A&quot;/&gt;&lt;wsp:rsid wsp:val=&quot;00A63A15&quot;/&gt;&lt;wsp:rsid wsp:val=&quot;00A63D4C&quot;/&gt;&lt;wsp:rsid wsp:val=&quot;00A64825&quot;/&gt;&lt;wsp:rsid wsp:val=&quot;00A64DE2&quot;/&gt;&lt;wsp:rsid wsp:val=&quot;00A65CA3&quot;/&gt;&lt;wsp:rsid wsp:val=&quot;00A66499&quot;/&gt;&lt;wsp:rsid wsp:val=&quot;00A667C2&quot;/&gt;&lt;wsp:rsid wsp:val=&quot;00A72C67&quot;/&gt;&lt;wsp:rsid wsp:val=&quot;00A731EB&quot;/&gt;&lt;wsp:rsid wsp:val=&quot;00A73E9B&quot;/&gt;&lt;wsp:rsid wsp:val=&quot;00A73F05&quot;/&gt;&lt;wsp:rsid wsp:val=&quot;00A7465B&quot;/&gt;&lt;wsp:rsid wsp:val=&quot;00A74984&quot;/&gt;&lt;wsp:rsid wsp:val=&quot;00A74A17&quot;/&gt;&lt;wsp:rsid wsp:val=&quot;00A75CE7&quot;/&gt;&lt;wsp:rsid wsp:val=&quot;00A76718&quot;/&gt;&lt;wsp:rsid wsp:val=&quot;00A76D92&quot;/&gt;&lt;wsp:rsid wsp:val=&quot;00A77808&quot;/&gt;&lt;wsp:rsid wsp:val=&quot;00A80064&quot;/&gt;&lt;wsp:rsid wsp:val=&quot;00A8070F&quot;/&gt;&lt;wsp:rsid wsp:val=&quot;00A80D28&quot;/&gt;&lt;wsp:rsid wsp:val=&quot;00A80F15&quot;/&gt;&lt;wsp:rsid wsp:val=&quot;00A81398&quot;/&gt;&lt;wsp:rsid wsp:val=&quot;00A82BDB&quot;/&gt;&lt;wsp:rsid wsp:val=&quot;00A83363&quot;/&gt;&lt;wsp:rsid wsp:val=&quot;00A84976&quot;/&gt;&lt;wsp:rsid wsp:val=&quot;00A85057&quot;/&gt;&lt;wsp:rsid wsp:val=&quot;00A85792&quot;/&gt;&lt;wsp:rsid wsp:val=&quot;00A86C31&quot;/&gt;&lt;wsp:rsid wsp:val=&quot;00A86D8B&quot;/&gt;&lt;wsp:rsid wsp:val=&quot;00A87151&quot;/&gt;&lt;wsp:rsid wsp:val=&quot;00A90198&quot;/&gt;&lt;wsp:rsid wsp:val=&quot;00A90215&quot;/&gt;&lt;wsp:rsid wsp:val=&quot;00A90F4B&quot;/&gt;&lt;wsp:rsid wsp:val=&quot;00A918E4&quot;/&gt;&lt;wsp:rsid wsp:val=&quot;00A919C9&quot;/&gt;&lt;wsp:rsid wsp:val=&quot;00A91A2B&quot;/&gt;&lt;wsp:rsid wsp:val=&quot;00A91A84&quot;/&gt;&lt;wsp:rsid wsp:val=&quot;00A91BC0&quot;/&gt;&lt;wsp:rsid wsp:val=&quot;00A91CDF&quot;/&gt;&lt;wsp:rsid wsp:val=&quot;00A91E3C&quot;/&gt;&lt;wsp:rsid wsp:val=&quot;00A9206E&quot;/&gt;&lt;wsp:rsid wsp:val=&quot;00A94950&quot;/&gt;&lt;wsp:rsid wsp:val=&quot;00A94DEC&quot;/&gt;&lt;wsp:rsid wsp:val=&quot;00A95043&quot;/&gt;&lt;wsp:rsid wsp:val=&quot;00A954EE&quot;/&gt;&lt;wsp:rsid wsp:val=&quot;00A95778&quot;/&gt;&lt;wsp:rsid wsp:val=&quot;00A96831&quot;/&gt;&lt;wsp:rsid wsp:val=&quot;00A96E6B&quot;/&gt;&lt;wsp:rsid wsp:val=&quot;00A97073&quot;/&gt;&lt;wsp:rsid wsp:val=&quot;00A97831&quot;/&gt;&lt;wsp:rsid wsp:val=&quot;00AA01F7&quot;/&gt;&lt;wsp:rsid wsp:val=&quot;00AA2420&quot;/&gt;&lt;wsp:rsid wsp:val=&quot;00AA3222&quot;/&gt;&lt;wsp:rsid wsp:val=&quot;00AA34E5&quot;/&gt;&lt;wsp:rsid wsp:val=&quot;00AA3A38&quot;/&gt;&lt;wsp:rsid wsp:val=&quot;00AA3B4B&quot;/&gt;&lt;wsp:rsid wsp:val=&quot;00AA4734&quot;/&gt;&lt;wsp:rsid wsp:val=&quot;00AA4F01&quot;/&gt;&lt;wsp:rsid wsp:val=&quot;00AA50ED&quot;/&gt;&lt;wsp:rsid wsp:val=&quot;00AA5642&quot;/&gt;&lt;wsp:rsid wsp:val=&quot;00AA6341&quot;/&gt;&lt;wsp:rsid wsp:val=&quot;00AA6948&quot;/&gt;&lt;wsp:rsid wsp:val=&quot;00AA6CA9&quot;/&gt;&lt;wsp:rsid wsp:val=&quot;00AA6E3C&quot;/&gt;&lt;wsp:rsid wsp:val=&quot;00AB06DF&quot;/&gt;&lt;wsp:rsid wsp:val=&quot;00AB0F91&quot;/&gt;&lt;wsp:rsid wsp:val=&quot;00AB201A&quot;/&gt;&lt;wsp:rsid wsp:val=&quot;00AB2F43&quot;/&gt;&lt;wsp:rsid wsp:val=&quot;00AB315C&quot;/&gt;&lt;wsp:rsid wsp:val=&quot;00AB4907&quot;/&gt;&lt;wsp:rsid wsp:val=&quot;00AB499A&quot;/&gt;&lt;wsp:rsid wsp:val=&quot;00AB543D&quot;/&gt;&lt;wsp:rsid wsp:val=&quot;00AB7B6B&quot;/&gt;&lt;wsp:rsid wsp:val=&quot;00AC0180&quot;/&gt;&lt;wsp:rsid wsp:val=&quot;00AC13B9&quot;/&gt;&lt;wsp:rsid wsp:val=&quot;00AC15AC&quot;/&gt;&lt;wsp:rsid wsp:val=&quot;00AC2C4E&quot;/&gt;&lt;wsp:rsid wsp:val=&quot;00AC33C1&quot;/&gt;&lt;wsp:rsid wsp:val=&quot;00AC426E&quot;/&gt;&lt;wsp:rsid wsp:val=&quot;00AC4579&quot;/&gt;&lt;wsp:rsid wsp:val=&quot;00AC51B3&quot;/&gt;&lt;wsp:rsid wsp:val=&quot;00AC64CE&quot;/&gt;&lt;wsp:rsid wsp:val=&quot;00AC71BC&quot;/&gt;&lt;wsp:rsid wsp:val=&quot;00AC770C&quot;/&gt;&lt;wsp:rsid wsp:val=&quot;00AD0092&quot;/&gt;&lt;wsp:rsid wsp:val=&quot;00AD034D&quot;/&gt;&lt;wsp:rsid wsp:val=&quot;00AD059D&quot;/&gt;&lt;wsp:rsid wsp:val=&quot;00AD1323&quot;/&gt;&lt;wsp:rsid wsp:val=&quot;00AD1BA0&quot;/&gt;&lt;wsp:rsid wsp:val=&quot;00AD33DF&quot;/&gt;&lt;wsp:rsid wsp:val=&quot;00AD3E06&quot;/&gt;&lt;wsp:rsid wsp:val=&quot;00AD41D9&quot;/&gt;&lt;wsp:rsid wsp:val=&quot;00AD696F&quot;/&gt;&lt;wsp:rsid wsp:val=&quot;00AE01CE&quot;/&gt;&lt;wsp:rsid wsp:val=&quot;00AE1923&quot;/&gt;&lt;wsp:rsid wsp:val=&quot;00AE210E&quot;/&gt;&lt;wsp:rsid wsp:val=&quot;00AE317F&quot;/&gt;&lt;wsp:rsid wsp:val=&quot;00AE3F2D&quot;/&gt;&lt;wsp:rsid wsp:val=&quot;00AE41DD&quot;/&gt;&lt;wsp:rsid wsp:val=&quot;00AE53A3&quot;/&gt;&lt;wsp:rsid wsp:val=&quot;00AE53B5&quot;/&gt;&lt;wsp:rsid wsp:val=&quot;00AE569F&quot;/&gt;&lt;wsp:rsid wsp:val=&quot;00AE56F9&quot;/&gt;&lt;wsp:rsid wsp:val=&quot;00AE5DB1&quot;/&gt;&lt;wsp:rsid wsp:val=&quot;00AE6962&quot;/&gt;&lt;wsp:rsid wsp:val=&quot;00AF0899&quot;/&gt;&lt;wsp:rsid wsp:val=&quot;00AF0E35&quot;/&gt;&lt;wsp:rsid wsp:val=&quot;00AF1590&quot;/&gt;&lt;wsp:rsid wsp:val=&quot;00AF1E66&quot;/&gt;&lt;wsp:rsid wsp:val=&quot;00AF2490&quot;/&gt;&lt;wsp:rsid wsp:val=&quot;00AF3705&quot;/&gt;&lt;wsp:rsid wsp:val=&quot;00AF483C&quot;/&gt;&lt;wsp:rsid wsp:val=&quot;00AF4D24&quot;/&gt;&lt;wsp:rsid wsp:val=&quot;00AF5B50&quot;/&gt;&lt;wsp:rsid wsp:val=&quot;00AF5D7D&quot;/&gt;&lt;wsp:rsid wsp:val=&quot;00AF75B8&quot;/&gt;&lt;wsp:rsid wsp:val=&quot;00B00A7B&quot;/&gt;&lt;wsp:rsid wsp:val=&quot;00B01073&quot;/&gt;&lt;wsp:rsid wsp:val=&quot;00B018D8&quot;/&gt;&lt;wsp:rsid wsp:val=&quot;00B01D90&quot;/&gt;&lt;wsp:rsid wsp:val=&quot;00B02049&quot;/&gt;&lt;wsp:rsid wsp:val=&quot;00B0257A&quot;/&gt;&lt;wsp:rsid wsp:val=&quot;00B02F0E&quot;/&gt;&lt;wsp:rsid wsp:val=&quot;00B0355B&quot;/&gt;&lt;wsp:rsid wsp:val=&quot;00B03ADB&quot;/&gt;&lt;wsp:rsid wsp:val=&quot;00B04BD5&quot;/&gt;&lt;wsp:rsid wsp:val=&quot;00B059AA&quot;/&gt;&lt;wsp:rsid wsp:val=&quot;00B06963&quot;/&gt;&lt;wsp:rsid wsp:val=&quot;00B07596&quot;/&gt;&lt;wsp:rsid wsp:val=&quot;00B076CE&quot;/&gt;&lt;wsp:rsid wsp:val=&quot;00B101EF&quot;/&gt;&lt;wsp:rsid wsp:val=&quot;00B111A8&quot;/&gt;&lt;wsp:rsid wsp:val=&quot;00B11556&quot;/&gt;&lt;wsp:rsid wsp:val=&quot;00B1178D&quot;/&gt;&lt;wsp:rsid wsp:val=&quot;00B11F97&quot;/&gt;&lt;wsp:rsid wsp:val=&quot;00B120B1&quot;/&gt;&lt;wsp:rsid wsp:val=&quot;00B12861&quot;/&gt;&lt;wsp:rsid wsp:val=&quot;00B12D36&quot;/&gt;&lt;wsp:rsid wsp:val=&quot;00B13278&quot;/&gt;&lt;wsp:rsid wsp:val=&quot;00B13E93&quot;/&gt;&lt;wsp:rsid wsp:val=&quot;00B148CC&quot;/&gt;&lt;wsp:rsid wsp:val=&quot;00B15031&quot;/&gt;&lt;wsp:rsid wsp:val=&quot;00B153E2&quot;/&gt;&lt;wsp:rsid wsp:val=&quot;00B1561A&quot;/&gt;&lt;wsp:rsid wsp:val=&quot;00B15799&quot;/&gt;&lt;wsp:rsid wsp:val=&quot;00B17589&quot;/&gt;&lt;wsp:rsid wsp:val=&quot;00B20820&quot;/&gt;&lt;wsp:rsid wsp:val=&quot;00B20E7C&quot;/&gt;&lt;wsp:rsid wsp:val=&quot;00B214D9&quot;/&gt;&lt;wsp:rsid wsp:val=&quot;00B214EF&quot;/&gt;&lt;wsp:rsid wsp:val=&quot;00B21C98&quot;/&gt;&lt;wsp:rsid wsp:val=&quot;00B22240&quot;/&gt;&lt;wsp:rsid wsp:val=&quot;00B2354F&quot;/&gt;&lt;wsp:rsid wsp:val=&quot;00B2376E&quot;/&gt;&lt;wsp:rsid wsp:val=&quot;00B23787&quot;/&gt;&lt;wsp:rsid wsp:val=&quot;00B23792&quot;/&gt;&lt;wsp:rsid wsp:val=&quot;00B2396B&quot;/&gt;&lt;wsp:rsid wsp:val=&quot;00B23DAC&quot;/&gt;&lt;wsp:rsid wsp:val=&quot;00B2422A&quot;/&gt;&lt;wsp:rsid wsp:val=&quot;00B255D5&quot;/&gt;&lt;wsp:rsid wsp:val=&quot;00B2590F&quot;/&gt;&lt;wsp:rsid wsp:val=&quot;00B26080&quot;/&gt;&lt;wsp:rsid wsp:val=&quot;00B278F4&quot;/&gt;&lt;wsp:rsid wsp:val=&quot;00B3049F&quot;/&gt;&lt;wsp:rsid wsp:val=&quot;00B31149&quot;/&gt;&lt;wsp:rsid wsp:val=&quot;00B31D0D&quot;/&gt;&lt;wsp:rsid wsp:val=&quot;00B32526&quot;/&gt;&lt;wsp:rsid wsp:val=&quot;00B32AD4&quot;/&gt;&lt;wsp:rsid wsp:val=&quot;00B331D2&quot;/&gt;&lt;wsp:rsid wsp:val=&quot;00B33959&quot;/&gt;&lt;wsp:rsid wsp:val=&quot;00B3409D&quot;/&gt;&lt;wsp:rsid wsp:val=&quot;00B35328&quot;/&gt;&lt;wsp:rsid wsp:val=&quot;00B355DF&quot;/&gt;&lt;wsp:rsid wsp:val=&quot;00B36382&quot;/&gt;&lt;wsp:rsid wsp:val=&quot;00B3748B&quot;/&gt;&lt;wsp:rsid wsp:val=&quot;00B378CA&quot;/&gt;&lt;wsp:rsid wsp:val=&quot;00B37948&quot;/&gt;&lt;wsp:rsid wsp:val=&quot;00B4248D&quot;/&gt;&lt;wsp:rsid wsp:val=&quot;00B42957&quot;/&gt;&lt;wsp:rsid wsp:val=&quot;00B44E2C&quot;/&gt;&lt;wsp:rsid wsp:val=&quot;00B45D0D&quot;/&gt;&lt;wsp:rsid wsp:val=&quot;00B46680&quot;/&gt;&lt;wsp:rsid wsp:val=&quot;00B46A69&quot;/&gt;&lt;wsp:rsid wsp:val=&quot;00B507D4&quot;/&gt;&lt;wsp:rsid wsp:val=&quot;00B50973&quot;/&gt;&lt;wsp:rsid wsp:val=&quot;00B50EEB&quot;/&gt;&lt;wsp:rsid wsp:val=&quot;00B52253&quot;/&gt;&lt;wsp:rsid wsp:val=&quot;00B52334&quot;/&gt;&lt;wsp:rsid wsp:val=&quot;00B52603&quot;/&gt;&lt;wsp:rsid wsp:val=&quot;00B5273C&quot;/&gt;&lt;wsp:rsid wsp:val=&quot;00B5332D&quot;/&gt;&lt;wsp:rsid wsp:val=&quot;00B53624&quot;/&gt;&lt;wsp:rsid wsp:val=&quot;00B5379C&quot;/&gt;&lt;wsp:rsid wsp:val=&quot;00B54075&quot;/&gt;&lt;wsp:rsid wsp:val=&quot;00B54736&quot;/&gt;&lt;wsp:rsid wsp:val=&quot;00B548A0&quot;/&gt;&lt;wsp:rsid wsp:val=&quot;00B54E5A&quot;/&gt;&lt;wsp:rsid wsp:val=&quot;00B55417&quot;/&gt;&lt;wsp:rsid wsp:val=&quot;00B5581C&quot;/&gt;&lt;wsp:rsid wsp:val=&quot;00B571D1&quot;/&gt;&lt;wsp:rsid wsp:val=&quot;00B57537&quot;/&gt;&lt;wsp:rsid wsp:val=&quot;00B57BAA&quot;/&gt;&lt;wsp:rsid wsp:val=&quot;00B6016F&quot;/&gt;&lt;wsp:rsid wsp:val=&quot;00B602A2&quot;/&gt;&lt;wsp:rsid wsp:val=&quot;00B60B91&quot;/&gt;&lt;wsp:rsid wsp:val=&quot;00B61A50&quot;/&gt;&lt;wsp:rsid wsp:val=&quot;00B6211A&quot;/&gt;&lt;wsp:rsid wsp:val=&quot;00B62E4F&quot;/&gt;&lt;wsp:rsid wsp:val=&quot;00B639C8&quot;/&gt;&lt;wsp:rsid wsp:val=&quot;00B64A10&quot;/&gt;&lt;wsp:rsid wsp:val=&quot;00B6638F&quot;/&gt;&lt;wsp:rsid wsp:val=&quot;00B66D60&quot;/&gt;&lt;wsp:rsid wsp:val=&quot;00B67925&quot;/&gt;&lt;wsp:rsid wsp:val=&quot;00B7014D&quot;/&gt;&lt;wsp:rsid wsp:val=&quot;00B701CD&quot;/&gt;&lt;wsp:rsid wsp:val=&quot;00B70268&quot;/&gt;&lt;wsp:rsid wsp:val=&quot;00B70B21&quot;/&gt;&lt;wsp:rsid wsp:val=&quot;00B7184F&quot;/&gt;&lt;wsp:rsid wsp:val=&quot;00B72675&quot;/&gt;&lt;wsp:rsid wsp:val=&quot;00B72960&quot;/&gt;&lt;wsp:rsid wsp:val=&quot;00B72A23&quot;/&gt;&lt;wsp:rsid wsp:val=&quot;00B737A5&quot;/&gt;&lt;wsp:rsid wsp:val=&quot;00B73FDE&quot;/&gt;&lt;wsp:rsid wsp:val=&quot;00B7471F&quot;/&gt;&lt;wsp:rsid wsp:val=&quot;00B76E56&quot;/&gt;&lt;wsp:rsid wsp:val=&quot;00B770A2&quot;/&gt;&lt;wsp:rsid wsp:val=&quot;00B80538&quot;/&gt;&lt;wsp:rsid wsp:val=&quot;00B808F5&quot;/&gt;&lt;wsp:rsid wsp:val=&quot;00B813DB&quot;/&gt;&lt;wsp:rsid wsp:val=&quot;00B81A22&quot;/&gt;&lt;wsp:rsid wsp:val=&quot;00B825E2&quot;/&gt;&lt;wsp:rsid wsp:val=&quot;00B82892&quot;/&gt;&lt;wsp:rsid wsp:val=&quot;00B83662&quot;/&gt;&lt;wsp:rsid wsp:val=&quot;00B8406C&quot;/&gt;&lt;wsp:rsid wsp:val=&quot;00B8442A&quot;/&gt;&lt;wsp:rsid wsp:val=&quot;00B84BA6&quot;/&gt;&lt;wsp:rsid wsp:val=&quot;00B85343&quot;/&gt;&lt;wsp:rsid wsp:val=&quot;00B853E0&quot;/&gt;&lt;wsp:rsid wsp:val=&quot;00B85CEB&quot;/&gt;&lt;wsp:rsid wsp:val=&quot;00B860A8&quot;/&gt;&lt;wsp:rsid wsp:val=&quot;00B865D8&quot;/&gt;&lt;wsp:rsid wsp:val=&quot;00B867CC&quot;/&gt;&lt;wsp:rsid wsp:val=&quot;00B86A4F&quot;/&gt;&lt;wsp:rsid wsp:val=&quot;00B86B1D&quot;/&gt;&lt;wsp:rsid wsp:val=&quot;00B8708E&quot;/&gt;&lt;wsp:rsid wsp:val=&quot;00B901A9&quot;/&gt;&lt;wsp:rsid wsp:val=&quot;00B90F82&quot;/&gt;&lt;wsp:rsid wsp:val=&quot;00B91A06&quot;/&gt;&lt;wsp:rsid wsp:val=&quot;00B91ACF&quot;/&gt;&lt;wsp:rsid wsp:val=&quot;00B91ED5&quot;/&gt;&lt;wsp:rsid wsp:val=&quot;00B925AA&quot;/&gt;&lt;wsp:rsid wsp:val=&quot;00B92926&quot;/&gt;&lt;wsp:rsid wsp:val=&quot;00B929CE&quot;/&gt;&lt;wsp:rsid wsp:val=&quot;00B93168&quot;/&gt;&lt;wsp:rsid wsp:val=&quot;00B93D65&quot;/&gt;&lt;wsp:rsid wsp:val=&quot;00B93FD4&quot;/&gt;&lt;wsp:rsid wsp:val=&quot;00B94867&quot;/&gt;&lt;wsp:rsid wsp:val=&quot;00B949FB&quot;/&gt;&lt;wsp:rsid wsp:val=&quot;00B94EDE&quot;/&gt;&lt;wsp:rsid wsp:val=&quot;00B961D6&quot;/&gt;&lt;wsp:rsid wsp:val=&quot;00B96404&quot;/&gt;&lt;wsp:rsid wsp:val=&quot;00B97854&quot;/&gt;&lt;wsp:rsid wsp:val=&quot;00B97F95&quot;/&gt;&lt;wsp:rsid wsp:val=&quot;00BA0B19&quot;/&gt;&lt;wsp:rsid wsp:val=&quot;00BA1093&quot;/&gt;&lt;wsp:rsid wsp:val=&quot;00BA146B&quot;/&gt;&lt;wsp:rsid wsp:val=&quot;00BA1E7F&quot;/&gt;&lt;wsp:rsid wsp:val=&quot;00BA20AB&quot;/&gt;&lt;wsp:rsid wsp:val=&quot;00BA467F&quot;/&gt;&lt;wsp:rsid wsp:val=&quot;00BA48E4&quot;/&gt;&lt;wsp:rsid wsp:val=&quot;00BA4BB7&quot;/&gt;&lt;wsp:rsid wsp:val=&quot;00BA5523&quot;/&gt;&lt;wsp:rsid wsp:val=&quot;00BA59B7&quot;/&gt;&lt;wsp:rsid wsp:val=&quot;00BA5CF8&quot;/&gt;&lt;wsp:rsid wsp:val=&quot;00BA66E3&quot;/&gt;&lt;wsp:rsid wsp:val=&quot;00BA69E8&quot;/&gt;&lt;wsp:rsid wsp:val=&quot;00BB0403&quot;/&gt;&lt;wsp:rsid wsp:val=&quot;00BB2328&quot;/&gt;&lt;wsp:rsid wsp:val=&quot;00BB2DA1&quot;/&gt;&lt;wsp:rsid wsp:val=&quot;00BB3AAB&quot;/&gt;&lt;wsp:rsid wsp:val=&quot;00BB47A5&quot;/&gt;&lt;wsp:rsid wsp:val=&quot;00BB48AD&quot;/&gt;&lt;wsp:rsid wsp:val=&quot;00BB626B&quot;/&gt;&lt;wsp:rsid wsp:val=&quot;00BB6339&quot;/&gt;&lt;wsp:rsid wsp:val=&quot;00BB7258&quot;/&gt;&lt;wsp:rsid wsp:val=&quot;00BB7666&quot;/&gt;&lt;wsp:rsid wsp:val=&quot;00BC00AE&quot;/&gt;&lt;wsp:rsid wsp:val=&quot;00BC021D&quot;/&gt;&lt;wsp:rsid wsp:val=&quot;00BC0CA9&quot;/&gt;&lt;wsp:rsid wsp:val=&quot;00BC0E97&quot;/&gt;&lt;wsp:rsid wsp:val=&quot;00BC168A&quot;/&gt;&lt;wsp:rsid wsp:val=&quot;00BC25A8&quot;/&gt;&lt;wsp:rsid wsp:val=&quot;00BC3855&quot;/&gt;&lt;wsp:rsid wsp:val=&quot;00BC3D20&quot;/&gt;&lt;wsp:rsid wsp:val=&quot;00BC433E&quot;/&gt;&lt;wsp:rsid wsp:val=&quot;00BC5328&quot;/&gt;&lt;wsp:rsid wsp:val=&quot;00BC6728&quot;/&gt;&lt;wsp:rsid wsp:val=&quot;00BC67D3&quot;/&gt;&lt;wsp:rsid wsp:val=&quot;00BC7410&quot;/&gt;&lt;wsp:rsid wsp:val=&quot;00BC7CCE&quot;/&gt;&lt;wsp:rsid wsp:val=&quot;00BC7E5E&quot;/&gt;&lt;wsp:rsid wsp:val=&quot;00BD21A9&quot;/&gt;&lt;wsp:rsid wsp:val=&quot;00BD2EED&quot;/&gt;&lt;wsp:rsid wsp:val=&quot;00BD314D&quot;/&gt;&lt;wsp:rsid wsp:val=&quot;00BD4B52&quot;/&gt;&lt;wsp:rsid wsp:val=&quot;00BD59E3&quot;/&gt;&lt;wsp:rsid wsp:val=&quot;00BD5B28&quot;/&gt;&lt;wsp:rsid wsp:val=&quot;00BD61B9&quot;/&gt;&lt;wsp:rsid wsp:val=&quot;00BD647A&quot;/&gt;&lt;wsp:rsid wsp:val=&quot;00BE01EA&quot;/&gt;&lt;wsp:rsid wsp:val=&quot;00BE0714&quot;/&gt;&lt;wsp:rsid wsp:val=&quot;00BE0F34&quot;/&gt;&lt;wsp:rsid wsp:val=&quot;00BE153A&quot;/&gt;&lt;wsp:rsid wsp:val=&quot;00BE3C76&quot;/&gt;&lt;wsp:rsid wsp:val=&quot;00BE439F&quot;/&gt;&lt;wsp:rsid wsp:val=&quot;00BE4423&quot;/&gt;&lt;wsp:rsid wsp:val=&quot;00BE4BF7&quot;/&gt;&lt;wsp:rsid wsp:val=&quot;00BE4F27&quot;/&gt;&lt;wsp:rsid wsp:val=&quot;00BE732B&quot;/&gt;&lt;wsp:rsid wsp:val=&quot;00BF03A5&quot;/&gt;&lt;wsp:rsid wsp:val=&quot;00BF0CF8&quot;/&gt;&lt;wsp:rsid wsp:val=&quot;00BF16C8&quot;/&gt;&lt;wsp:rsid wsp:val=&quot;00BF1FED&quot;/&gt;&lt;wsp:rsid wsp:val=&quot;00BF2522&quot;/&gt;&lt;wsp:rsid wsp:val=&quot;00BF254C&quot;/&gt;&lt;wsp:rsid wsp:val=&quot;00BF37DD&quot;/&gt;&lt;wsp:rsid wsp:val=&quot;00BF3996&quot;/&gt;&lt;wsp:rsid wsp:val=&quot;00BF3E86&quot;/&gt;&lt;wsp:rsid wsp:val=&quot;00BF471D&quot;/&gt;&lt;wsp:rsid wsp:val=&quot;00BF64B7&quot;/&gt;&lt;wsp:rsid wsp:val=&quot;00BF680B&quot;/&gt;&lt;wsp:rsid wsp:val=&quot;00BF71C1&quot;/&gt;&lt;wsp:rsid wsp:val=&quot;00C01368&quot;/&gt;&lt;wsp:rsid wsp:val=&quot;00C0237F&quot;/&gt;&lt;wsp:rsid wsp:val=&quot;00C03EA2&quot;/&gt;&lt;wsp:rsid wsp:val=&quot;00C04020&quot;/&gt;&lt;wsp:rsid wsp:val=&quot;00C049D7&quot;/&gt;&lt;wsp:rsid wsp:val=&quot;00C04AB2&quot;/&gt;&lt;wsp:rsid wsp:val=&quot;00C04E35&quot;/&gt;&lt;wsp:rsid wsp:val=&quot;00C05678&quot;/&gt;&lt;wsp:rsid wsp:val=&quot;00C06B9D&quot;/&gt;&lt;wsp:rsid wsp:val=&quot;00C07994&quot;/&gt;&lt;wsp:rsid wsp:val=&quot;00C07B83&quot;/&gt;&lt;wsp:rsid wsp:val=&quot;00C10E9A&quot;/&gt;&lt;wsp:rsid wsp:val=&quot;00C114BA&quot;/&gt;&lt;wsp:rsid wsp:val=&quot;00C121DF&quot;/&gt;&lt;wsp:rsid wsp:val=&quot;00C129DC&quot;/&gt;&lt;wsp:rsid wsp:val=&quot;00C12A50&quot;/&gt;&lt;wsp:rsid wsp:val=&quot;00C1388A&quot;/&gt;&lt;wsp:rsid wsp:val=&quot;00C13E42&quot;/&gt;&lt;wsp:rsid wsp:val=&quot;00C14406&quot;/&gt;&lt;wsp:rsid wsp:val=&quot;00C14737&quot;/&gt;&lt;wsp:rsid wsp:val=&quot;00C14828&quot;/&gt;&lt;wsp:rsid wsp:val=&quot;00C14A6F&quot;/&gt;&lt;wsp:rsid wsp:val=&quot;00C158F6&quot;/&gt;&lt;wsp:rsid wsp:val=&quot;00C15D88&quot;/&gt;&lt;wsp:rsid wsp:val=&quot;00C161CC&quot;/&gt;&lt;wsp:rsid wsp:val=&quot;00C1671E&quot;/&gt;&lt;wsp:rsid wsp:val=&quot;00C167E6&quot;/&gt;&lt;wsp:rsid wsp:val=&quot;00C1680D&quot;/&gt;&lt;wsp:rsid wsp:val=&quot;00C16950&quot;/&gt;&lt;wsp:rsid wsp:val=&quot;00C16E2E&quot;/&gt;&lt;wsp:rsid wsp:val=&quot;00C1776B&quot;/&gt;&lt;wsp:rsid wsp:val=&quot;00C17D78&quot;/&gt;&lt;wsp:rsid wsp:val=&quot;00C17D7C&quot;/&gt;&lt;wsp:rsid wsp:val=&quot;00C20071&quot;/&gt;&lt;wsp:rsid wsp:val=&quot;00C201DA&quot;/&gt;&lt;wsp:rsid wsp:val=&quot;00C213F3&quot;/&gt;&lt;wsp:rsid wsp:val=&quot;00C21657&quot;/&gt;&lt;wsp:rsid wsp:val=&quot;00C21A78&quot;/&gt;&lt;wsp:rsid wsp:val=&quot;00C21D41&quot;/&gt;&lt;wsp:rsid wsp:val=&quot;00C22067&quot;/&gt;&lt;wsp:rsid wsp:val=&quot;00C2276F&quot;/&gt;&lt;wsp:rsid wsp:val=&quot;00C22991&quot;/&gt;&lt;wsp:rsid wsp:val=&quot;00C23F48&quot;/&gt;&lt;wsp:rsid wsp:val=&quot;00C24D8E&quot;/&gt;&lt;wsp:rsid wsp:val=&quot;00C25704&quot;/&gt;&lt;wsp:rsid wsp:val=&quot;00C2573C&quot;/&gt;&lt;wsp:rsid wsp:val=&quot;00C25B33&quot;/&gt;&lt;wsp:rsid wsp:val=&quot;00C25E18&quot;/&gt;&lt;wsp:rsid wsp:val=&quot;00C26579&quot;/&gt;&lt;wsp:rsid wsp:val=&quot;00C27127&quot;/&gt;&lt;wsp:rsid wsp:val=&quot;00C27F6B&quot;/&gt;&lt;wsp:rsid wsp:val=&quot;00C31C55&quot;/&gt;&lt;wsp:rsid wsp:val=&quot;00C3225C&quot;/&gt;&lt;wsp:rsid wsp:val=&quot;00C32FE5&quot;/&gt;&lt;wsp:rsid wsp:val=&quot;00C33B9A&quot;/&gt;&lt;wsp:rsid wsp:val=&quot;00C362E1&quot;/&gt;&lt;wsp:rsid wsp:val=&quot;00C3678D&quot;/&gt;&lt;wsp:rsid wsp:val=&quot;00C36D41&quot;/&gt;&lt;wsp:rsid wsp:val=&quot;00C374BC&quot;/&gt;&lt;wsp:rsid wsp:val=&quot;00C37D1A&quot;/&gt;&lt;wsp:rsid wsp:val=&quot;00C40988&quot;/&gt;&lt;wsp:rsid wsp:val=&quot;00C40BF6&quot;/&gt;&lt;wsp:rsid wsp:val=&quot;00C413E7&quot;/&gt;&lt;wsp:rsid wsp:val=&quot;00C41854&quot;/&gt;&lt;wsp:rsid wsp:val=&quot;00C43C77&quot;/&gt;&lt;wsp:rsid wsp:val=&quot;00C44165&quot;/&gt;&lt;wsp:rsid wsp:val=&quot;00C452BA&quot;/&gt;&lt;wsp:rsid wsp:val=&quot;00C454F0&quot;/&gt;&lt;wsp:rsid wsp:val=&quot;00C4570A&quot;/&gt;&lt;wsp:rsid wsp:val=&quot;00C50358&quot;/&gt;&lt;wsp:rsid wsp:val=&quot;00C50D55&quot;/&gt;&lt;wsp:rsid wsp:val=&quot;00C50FE9&quot;/&gt;&lt;wsp:rsid wsp:val=&quot;00C51B52&quot;/&gt;&lt;wsp:rsid wsp:val=&quot;00C52108&quot;/&gt;&lt;wsp:rsid wsp:val=&quot;00C52AD0&quot;/&gt;&lt;wsp:rsid wsp:val=&quot;00C5448E&quot;/&gt;&lt;wsp:rsid wsp:val=&quot;00C546A1&quot;/&gt;&lt;wsp:rsid wsp:val=&quot;00C54946&quot;/&gt;&lt;wsp:rsid wsp:val=&quot;00C567DE&quot;/&gt;&lt;wsp:rsid wsp:val=&quot;00C5764F&quot;/&gt;&lt;wsp:rsid wsp:val=&quot;00C57F81&quot;/&gt;&lt;wsp:rsid wsp:val=&quot;00C60915&quot;/&gt;&lt;wsp:rsid wsp:val=&quot;00C61E1C&quot;/&gt;&lt;wsp:rsid wsp:val=&quot;00C63AAC&quot;/&gt;&lt;wsp:rsid wsp:val=&quot;00C64ED4&quot;/&gt;&lt;wsp:rsid wsp:val=&quot;00C657FD&quot;/&gt;&lt;wsp:rsid wsp:val=&quot;00C6589A&quot;/&gt;&lt;wsp:rsid wsp:val=&quot;00C663B9&quot;/&gt;&lt;wsp:rsid wsp:val=&quot;00C678C0&quot;/&gt;&lt;wsp:rsid wsp:val=&quot;00C72E84&quot;/&gt;&lt;wsp:rsid wsp:val=&quot;00C732A8&quot;/&gt;&lt;wsp:rsid wsp:val=&quot;00C7344B&quot;/&gt;&lt;wsp:rsid wsp:val=&quot;00C743FD&quot;/&gt;&lt;wsp:rsid wsp:val=&quot;00C76243&quot;/&gt;&lt;wsp:rsid wsp:val=&quot;00C76886&quot;/&gt;&lt;wsp:rsid wsp:val=&quot;00C76E31&quot;/&gt;&lt;wsp:rsid wsp:val=&quot;00C77C8D&quot;/&gt;&lt;wsp:rsid wsp:val=&quot;00C77E17&quot;/&gt;&lt;wsp:rsid wsp:val=&quot;00C80BC5&quot;/&gt;&lt;wsp:rsid wsp:val=&quot;00C83027&quot;/&gt;&lt;wsp:rsid wsp:val=&quot;00C84F5F&quot;/&gt;&lt;wsp:rsid wsp:val=&quot;00C85468&quot;/&gt;&lt;wsp:rsid wsp:val=&quot;00C858E5&quot;/&gt;&lt;wsp:rsid wsp:val=&quot;00C85A8A&quot;/&gt;&lt;wsp:rsid wsp:val=&quot;00C869E6&quot;/&gt;&lt;wsp:rsid wsp:val=&quot;00C86ECD&quot;/&gt;&lt;wsp:rsid wsp:val=&quot;00C86F36&quot;/&gt;&lt;wsp:rsid wsp:val=&quot;00C874C4&quot;/&gt;&lt;wsp:rsid wsp:val=&quot;00C87535&quot;/&gt;&lt;wsp:rsid wsp:val=&quot;00C8791E&quot;/&gt;&lt;wsp:rsid wsp:val=&quot;00C87B21&quot;/&gt;&lt;wsp:rsid wsp:val=&quot;00C9046B&quot;/&gt;&lt;wsp:rsid wsp:val=&quot;00C905C4&quot;/&gt;&lt;wsp:rsid wsp:val=&quot;00C90C9C&quot;/&gt;&lt;wsp:rsid wsp:val=&quot;00C90E2F&quot;/&gt;&lt;wsp:rsid wsp:val=&quot;00C90F66&quot;/&gt;&lt;wsp:rsid wsp:val=&quot;00C90FB5&quot;/&gt;&lt;wsp:rsid wsp:val=&quot;00C91D87&quot;/&gt;&lt;wsp:rsid wsp:val=&quot;00C92257&quot;/&gt;&lt;wsp:rsid wsp:val=&quot;00C922B3&quot;/&gt;&lt;wsp:rsid wsp:val=&quot;00C926B1&quot;/&gt;&lt;wsp:rsid wsp:val=&quot;00C927A0&quot;/&gt;&lt;wsp:rsid wsp:val=&quot;00C92BE6&quot;/&gt;&lt;wsp:rsid wsp:val=&quot;00C94CD1&quot;/&gt;&lt;wsp:rsid wsp:val=&quot;00C95214&quot;/&gt;&lt;wsp:rsid wsp:val=&quot;00C95700&quot;/&gt;&lt;wsp:rsid wsp:val=&quot;00C95DF3&quot;/&gt;&lt;wsp:rsid wsp:val=&quot;00C966B2&quot;/&gt;&lt;wsp:rsid wsp:val=&quot;00C973A2&quot;/&gt;&lt;wsp:rsid wsp:val=&quot;00CA0450&quot;/&gt;&lt;wsp:rsid wsp:val=&quot;00CA06DD&quot;/&gt;&lt;wsp:rsid wsp:val=&quot;00CA0AE8&quot;/&gt;&lt;wsp:rsid wsp:val=&quot;00CA0EB1&quot;/&gt;&lt;wsp:rsid wsp:val=&quot;00CA189F&quot;/&gt;&lt;wsp:rsid wsp:val=&quot;00CA1EB1&quot;/&gt;&lt;wsp:rsid wsp:val=&quot;00CA3218&quot;/&gt;&lt;wsp:rsid wsp:val=&quot;00CA5D70&quot;/&gt;&lt;wsp:rsid wsp:val=&quot;00CA7447&quot;/&gt;&lt;wsp:rsid wsp:val=&quot;00CA7531&quot;/&gt;&lt;wsp:rsid wsp:val=&quot;00CB0003&quot;/&gt;&lt;wsp:rsid wsp:val=&quot;00CB02D0&quot;/&gt;&lt;wsp:rsid wsp:val=&quot;00CB04AB&quot;/&gt;&lt;wsp:rsid wsp:val=&quot;00CB0528&quot;/&gt;&lt;wsp:rsid wsp:val=&quot;00CB18B3&quot;/&gt;&lt;wsp:rsid wsp:val=&quot;00CB1AEC&quot;/&gt;&lt;wsp:rsid wsp:val=&quot;00CB2654&quot;/&gt;&lt;wsp:rsid wsp:val=&quot;00CB2DC3&quot;/&gt;&lt;wsp:rsid wsp:val=&quot;00CB3E50&quot;/&gt;&lt;wsp:rsid wsp:val=&quot;00CB4017&quot;/&gt;&lt;wsp:rsid wsp:val=&quot;00CB592F&quot;/&gt;&lt;wsp:rsid wsp:val=&quot;00CC02C1&quot;/&gt;&lt;wsp:rsid wsp:val=&quot;00CC1297&quot;/&gt;&lt;wsp:rsid wsp:val=&quot;00CC1736&quot;/&gt;&lt;wsp:rsid wsp:val=&quot;00CC1B3A&quot;/&gt;&lt;wsp:rsid wsp:val=&quot;00CC2227&quot;/&gt;&lt;wsp:rsid wsp:val=&quot;00CC2777&quot;/&gt;&lt;wsp:rsid wsp:val=&quot;00CC39CC&quot;/&gt;&lt;wsp:rsid wsp:val=&quot;00CC44D5&quot;/&gt;&lt;wsp:rsid wsp:val=&quot;00CC4BB3&quot;/&gt;&lt;wsp:rsid wsp:val=&quot;00CC520E&quot;/&gt;&lt;wsp:rsid wsp:val=&quot;00CC614D&quot;/&gt;&lt;wsp:rsid wsp:val=&quot;00CC6AD1&quot;/&gt;&lt;wsp:rsid wsp:val=&quot;00CC7AFC&quot;/&gt;&lt;wsp:rsid wsp:val=&quot;00CD05C8&quot;/&gt;&lt;wsp:rsid wsp:val=&quot;00CD0E33&quot;/&gt;&lt;wsp:rsid wsp:val=&quot;00CD0F35&quot;/&gt;&lt;wsp:rsid wsp:val=&quot;00CD1B46&quot;/&gt;&lt;wsp:rsid wsp:val=&quot;00CD1FBD&quot;/&gt;&lt;wsp:rsid wsp:val=&quot;00CD22A3&quot;/&gt;&lt;wsp:rsid wsp:val=&quot;00CD29B8&quot;/&gt;&lt;wsp:rsid wsp:val=&quot;00CD357A&quot;/&gt;&lt;wsp:rsid wsp:val=&quot;00CD475E&quot;/&gt;&lt;wsp:rsid wsp:val=&quot;00CD5089&quot;/&gt;&lt;wsp:rsid wsp:val=&quot;00CD51B5&quot;/&gt;&lt;wsp:rsid wsp:val=&quot;00CD614C&quot;/&gt;&lt;wsp:rsid wsp:val=&quot;00CD6D0F&quot;/&gt;&lt;wsp:rsid wsp:val=&quot;00CE18CC&quot;/&gt;&lt;wsp:rsid wsp:val=&quot;00CE1C42&quot;/&gt;&lt;wsp:rsid wsp:val=&quot;00CE3A03&quot;/&gt;&lt;wsp:rsid wsp:val=&quot;00CE3E4C&quot;/&gt;&lt;wsp:rsid wsp:val=&quot;00CE40B1&quot;/&gt;&lt;wsp:rsid wsp:val=&quot;00CE4E00&quot;/&gt;&lt;wsp:rsid wsp:val=&quot;00CE5B25&quot;/&gt;&lt;wsp:rsid wsp:val=&quot;00CE727E&quot;/&gt;&lt;wsp:rsid wsp:val=&quot;00CE7B23&quot;/&gt;&lt;wsp:rsid wsp:val=&quot;00CF0181&quot;/&gt;&lt;wsp:rsid wsp:val=&quot;00CF16AD&quot;/&gt;&lt;wsp:rsid wsp:val=&quot;00CF254B&quot;/&gt;&lt;wsp:rsid wsp:val=&quot;00CF2BAB&quot;/&gt;&lt;wsp:rsid wsp:val=&quot;00CF3231&quot;/&gt;&lt;wsp:rsid wsp:val=&quot;00CF478C&quot;/&gt;&lt;wsp:rsid wsp:val=&quot;00CF5198&quot;/&gt;&lt;wsp:rsid wsp:val=&quot;00CF5230&quot;/&gt;&lt;wsp:rsid wsp:val=&quot;00CF5EE1&quot;/&gt;&lt;wsp:rsid wsp:val=&quot;00CF6460&quot;/&gt;&lt;wsp:rsid wsp:val=&quot;00CF78AC&quot;/&gt;&lt;wsp:rsid wsp:val=&quot;00CF7A85&quot;/&gt;&lt;wsp:rsid wsp:val=&quot;00D000D2&quot;/&gt;&lt;wsp:rsid wsp:val=&quot;00D01104&quot;/&gt;&lt;wsp:rsid wsp:val=&quot;00D01E08&quot;/&gt;&lt;wsp:rsid wsp:val=&quot;00D026DD&quot;/&gt;&lt;wsp:rsid wsp:val=&quot;00D045DA&quot;/&gt;&lt;wsp:rsid wsp:val=&quot;00D0461E&quot;/&gt;&lt;wsp:rsid wsp:val=&quot;00D05C73&quot;/&gt;&lt;wsp:rsid wsp:val=&quot;00D06820&quot;/&gt;&lt;wsp:rsid wsp:val=&quot;00D06882&quot;/&gt;&lt;wsp:rsid wsp:val=&quot;00D07C92&quot;/&gt;&lt;wsp:rsid wsp:val=&quot;00D11295&quot;/&gt;&lt;wsp:rsid wsp:val=&quot;00D11334&quot;/&gt;&lt;wsp:rsid wsp:val=&quot;00D11553&quot;/&gt;&lt;wsp:rsid wsp:val=&quot;00D126E9&quot;/&gt;&lt;wsp:rsid wsp:val=&quot;00D1564E&quot;/&gt;&lt;wsp:rsid wsp:val=&quot;00D15908&quot;/&gt;&lt;wsp:rsid wsp:val=&quot;00D160B0&quot;/&gt;&lt;wsp:rsid wsp:val=&quot;00D16550&quot;/&gt;&lt;wsp:rsid wsp:val=&quot;00D168FD&quot;/&gt;&lt;wsp:rsid wsp:val=&quot;00D1771A&quot;/&gt;&lt;wsp:rsid wsp:val=&quot;00D178FD&quot;/&gt;&lt;wsp:rsid wsp:val=&quot;00D20466&quot;/&gt;&lt;wsp:rsid wsp:val=&quot;00D20697&quot;/&gt;&lt;wsp:rsid wsp:val=&quot;00D20EA8&quot;/&gt;&lt;wsp:rsid wsp:val=&quot;00D210CA&quot;/&gt;&lt;wsp:rsid wsp:val=&quot;00D21582&quot;/&gt;&lt;wsp:rsid wsp:val=&quot;00D21897&quot;/&gt;&lt;wsp:rsid wsp:val=&quot;00D21B00&quot;/&gt;&lt;wsp:rsid wsp:val=&quot;00D21BCE&quot;/&gt;&lt;wsp:rsid wsp:val=&quot;00D21DA8&quot;/&gt;&lt;wsp:rsid wsp:val=&quot;00D24A59&quot;/&gt;&lt;wsp:rsid wsp:val=&quot;00D24B99&quot;/&gt;&lt;wsp:rsid wsp:val=&quot;00D25538&quot;/&gt;&lt;wsp:rsid wsp:val=&quot;00D26371&quot;/&gt;&lt;wsp:rsid wsp:val=&quot;00D2735C&quot;/&gt;&lt;wsp:rsid wsp:val=&quot;00D27576&quot;/&gt;&lt;wsp:rsid wsp:val=&quot;00D27C94&quot;/&gt;&lt;wsp:rsid wsp:val=&quot;00D308CD&quot;/&gt;&lt;wsp:rsid wsp:val=&quot;00D3090F&quot;/&gt;&lt;wsp:rsid wsp:val=&quot;00D30D33&quot;/&gt;&lt;wsp:rsid wsp:val=&quot;00D318CF&quot;/&gt;&lt;wsp:rsid wsp:val=&quot;00D325CC&quot;/&gt;&lt;wsp:rsid wsp:val=&quot;00D3360C&quot;/&gt;&lt;wsp:rsid wsp:val=&quot;00D33B36&quot;/&gt;&lt;wsp:rsid wsp:val=&quot;00D34000&quot;/&gt;&lt;wsp:rsid wsp:val=&quot;00D352E9&quot;/&gt;&lt;wsp:rsid wsp:val=&quot;00D364ED&quot;/&gt;&lt;wsp:rsid wsp:val=&quot;00D36667&quot;/&gt;&lt;wsp:rsid wsp:val=&quot;00D369E9&quot;/&gt;&lt;wsp:rsid wsp:val=&quot;00D3765B&quot;/&gt;&lt;wsp:rsid wsp:val=&quot;00D413CF&quot;/&gt;&lt;wsp:rsid wsp:val=&quot;00D41E54&quot;/&gt;&lt;wsp:rsid wsp:val=&quot;00D42F14&quot;/&gt;&lt;wsp:rsid wsp:val=&quot;00D44D43&quot;/&gt;&lt;wsp:rsid wsp:val=&quot;00D44EAB&quot;/&gt;&lt;wsp:rsid wsp:val=&quot;00D45A0B&quot;/&gt;&lt;wsp:rsid wsp:val=&quot;00D45CC8&quot;/&gt;&lt;wsp:rsid wsp:val=&quot;00D45DE3&quot;/&gt;&lt;wsp:rsid wsp:val=&quot;00D4615A&quot;/&gt;&lt;wsp:rsid wsp:val=&quot;00D46595&quot;/&gt;&lt;wsp:rsid wsp:val=&quot;00D4674E&quot;/&gt;&lt;wsp:rsid wsp:val=&quot;00D47871&quot;/&gt;&lt;wsp:rsid wsp:val=&quot;00D507E2&quot;/&gt;&lt;wsp:rsid wsp:val=&quot;00D51FED&quot;/&gt;&lt;wsp:rsid wsp:val=&quot;00D53111&quot;/&gt;&lt;wsp:rsid wsp:val=&quot;00D53EC7&quot;/&gt;&lt;wsp:rsid wsp:val=&quot;00D5424C&quot;/&gt;&lt;wsp:rsid wsp:val=&quot;00D557DD&quot;/&gt;&lt;wsp:rsid wsp:val=&quot;00D558B9&quot;/&gt;&lt;wsp:rsid wsp:val=&quot;00D55A57&quot;/&gt;&lt;wsp:rsid wsp:val=&quot;00D5626A&quot;/&gt;&lt;wsp:rsid wsp:val=&quot;00D56C95&quot;/&gt;&lt;wsp:rsid wsp:val=&quot;00D573CC&quot;/&gt;&lt;wsp:rsid wsp:val=&quot;00D57C7C&quot;/&gt;&lt;wsp:rsid wsp:val=&quot;00D607AD&quot;/&gt;&lt;wsp:rsid wsp:val=&quot;00D608D6&quot;/&gt;&lt;wsp:rsid wsp:val=&quot;00D60FC8&quot;/&gt;&lt;wsp:rsid wsp:val=&quot;00D6150F&quot;/&gt;&lt;wsp:rsid wsp:val=&quot;00D6254F&quot;/&gt;&lt;wsp:rsid wsp:val=&quot;00D62804&quot;/&gt;&lt;wsp:rsid wsp:val=&quot;00D62D54&quot;/&gt;&lt;wsp:rsid wsp:val=&quot;00D63971&quot;/&gt;&lt;wsp:rsid wsp:val=&quot;00D64C0E&quot;/&gt;&lt;wsp:rsid wsp:val=&quot;00D6629D&quot;/&gt;&lt;wsp:rsid wsp:val=&quot;00D6677F&quot;/&gt;&lt;wsp:rsid wsp:val=&quot;00D669DE&quot;/&gt;&lt;wsp:rsid wsp:val=&quot;00D66E62&quot;/&gt;&lt;wsp:rsid wsp:val=&quot;00D67252&quot;/&gt;&lt;wsp:rsid wsp:val=&quot;00D7043B&quot;/&gt;&lt;wsp:rsid wsp:val=&quot;00D7141D&quot;/&gt;&lt;wsp:rsid wsp:val=&quot;00D73539&quot;/&gt;&lt;wsp:rsid wsp:val=&quot;00D748C3&quot;/&gt;&lt;wsp:rsid wsp:val=&quot;00D76E14&quot;/&gt;&lt;wsp:rsid wsp:val=&quot;00D773C1&quot;/&gt;&lt;wsp:rsid wsp:val=&quot;00D77CB2&quot;/&gt;&lt;wsp:rsid wsp:val=&quot;00D8215C&quot;/&gt;&lt;wsp:rsid wsp:val=&quot;00D84BD5&quot;/&gt;&lt;wsp:rsid wsp:val=&quot;00D869DC&quot;/&gt;&lt;wsp:rsid wsp:val=&quot;00D86C7D&quot;/&gt;&lt;wsp:rsid wsp:val=&quot;00D872FD&quot;/&gt;&lt;wsp:rsid wsp:val=&quot;00D878A0&quot;/&gt;&lt;wsp:rsid wsp:val=&quot;00D9077C&quot;/&gt;&lt;wsp:rsid wsp:val=&quot;00D9099C&quot;/&gt;&lt;wsp:rsid wsp:val=&quot;00D91545&quot;/&gt;&lt;wsp:rsid wsp:val=&quot;00D91685&quot;/&gt;&lt;wsp:rsid wsp:val=&quot;00D91B78&quot;/&gt;&lt;wsp:rsid wsp:val=&quot;00D945E8&quot;/&gt;&lt;wsp:rsid wsp:val=&quot;00D947FF&quot;/&gt;&lt;wsp:rsid wsp:val=&quot;00D94BD4&quot;/&gt;&lt;wsp:rsid wsp:val=&quot;00D95361&quot;/&gt;&lt;wsp:rsid wsp:val=&quot;00D9601C&quot;/&gt;&lt;wsp:rsid wsp:val=&quot;00D96B02&quot;/&gt;&lt;wsp:rsid wsp:val=&quot;00D96CAE&quot;/&gt;&lt;wsp:rsid wsp:val=&quot;00D97467&quot;/&gt;&lt;wsp:rsid wsp:val=&quot;00D97557&quot;/&gt;&lt;wsp:rsid wsp:val=&quot;00DA1036&quot;/&gt;&lt;wsp:rsid wsp:val=&quot;00DA10BF&quot;/&gt;&lt;wsp:rsid wsp:val=&quot;00DA1144&quot;/&gt;&lt;wsp:rsid wsp:val=&quot;00DA11BD&quot;/&gt;&lt;wsp:rsid wsp:val=&quot;00DA1816&quot;/&gt;&lt;wsp:rsid wsp:val=&quot;00DA32C1&quot;/&gt;&lt;wsp:rsid wsp:val=&quot;00DA3439&quot;/&gt;&lt;wsp:rsid wsp:val=&quot;00DA4AA2&quot;/&gt;&lt;wsp:rsid wsp:val=&quot;00DA5055&quot;/&gt;&lt;wsp:rsid wsp:val=&quot;00DA57AB&quot;/&gt;&lt;wsp:rsid wsp:val=&quot;00DA6190&quot;/&gt;&lt;wsp:rsid wsp:val=&quot;00DA6F61&quot;/&gt;&lt;wsp:rsid wsp:val=&quot;00DA7235&quot;/&gt;&lt;wsp:rsid wsp:val=&quot;00DA7676&quot;/&gt;&lt;wsp:rsid wsp:val=&quot;00DA7C34&quot;/&gt;&lt;wsp:rsid wsp:val=&quot;00DB0AAD&quot;/&gt;&lt;wsp:rsid wsp:val=&quot;00DB0C5D&quot;/&gt;&lt;wsp:rsid wsp:val=&quot;00DB1287&quot;/&gt;&lt;wsp:rsid wsp:val=&quot;00DB1797&quot;/&gt;&lt;wsp:rsid wsp:val=&quot;00DB320C&quot;/&gt;&lt;wsp:rsid wsp:val=&quot;00DB39BD&quot;/&gt;&lt;wsp:rsid wsp:val=&quot;00DB5DB8&quot;/&gt;&lt;wsp:rsid wsp:val=&quot;00DB5EAD&quot;/&gt;&lt;wsp:rsid wsp:val=&quot;00DB65AE&quot;/&gt;&lt;wsp:rsid wsp:val=&quot;00DB76CB&quot;/&gt;&lt;wsp:rsid wsp:val=&quot;00DB788C&quot;/&gt;&lt;wsp:rsid wsp:val=&quot;00DC0B2D&quot;/&gt;&lt;wsp:rsid wsp:val=&quot;00DC0FA7&quot;/&gt;&lt;wsp:rsid wsp:val=&quot;00DC19B6&quot;/&gt;&lt;wsp:rsid wsp:val=&quot;00DC1C2E&quot;/&gt;&lt;wsp:rsid wsp:val=&quot;00DC1ED9&quot;/&gt;&lt;wsp:rsid wsp:val=&quot;00DC22D3&quot;/&gt;&lt;wsp:rsid wsp:val=&quot;00DC2507&quot;/&gt;&lt;wsp:rsid wsp:val=&quot;00DC2DFB&quot;/&gt;&lt;wsp:rsid wsp:val=&quot;00DC3235&quot;/&gt;&lt;wsp:rsid wsp:val=&quot;00DC48A8&quot;/&gt;&lt;wsp:rsid wsp:val=&quot;00DC546E&quot;/&gt;&lt;wsp:rsid wsp:val=&quot;00DC58B4&quot;/&gt;&lt;wsp:rsid wsp:val=&quot;00DC5A3B&quot;/&gt;&lt;wsp:rsid wsp:val=&quot;00DC6869&quot;/&gt;&lt;wsp:rsid wsp:val=&quot;00DD09C7&quot;/&gt;&lt;wsp:rsid wsp:val=&quot;00DD1C09&quot;/&gt;&lt;wsp:rsid wsp:val=&quot;00DD2D5C&quot;/&gt;&lt;wsp:rsid wsp:val=&quot;00DD2E44&quot;/&gt;&lt;wsp:rsid wsp:val=&quot;00DD39A7&quot;/&gt;&lt;wsp:rsid wsp:val=&quot;00DD5529&quot;/&gt;&lt;wsp:rsid wsp:val=&quot;00DD56C7&quot;/&gt;&lt;wsp:rsid wsp:val=&quot;00DD679D&quot;/&gt;&lt;wsp:rsid wsp:val=&quot;00DE0365&quot;/&gt;&lt;wsp:rsid wsp:val=&quot;00DE1715&quot;/&gt;&lt;wsp:rsid wsp:val=&quot;00DE1F81&quot;/&gt;&lt;wsp:rsid wsp:val=&quot;00DE2B8D&quot;/&gt;&lt;wsp:rsid wsp:val=&quot;00DE3273&quot;/&gt;&lt;wsp:rsid wsp:val=&quot;00DE3715&quot;/&gt;&lt;wsp:rsid wsp:val=&quot;00DE58C7&quot;/&gt;&lt;wsp:rsid wsp:val=&quot;00DE5DC8&quot;/&gt;&lt;wsp:rsid wsp:val=&quot;00DE7D91&quot;/&gt;&lt;wsp:rsid wsp:val=&quot;00DF047E&quot;/&gt;&lt;wsp:rsid wsp:val=&quot;00DF051F&quot;/&gt;&lt;wsp:rsid wsp:val=&quot;00DF0586&quot;/&gt;&lt;wsp:rsid wsp:val=&quot;00DF07BF&quot;/&gt;&lt;wsp:rsid wsp:val=&quot;00DF192E&quot;/&gt;&lt;wsp:rsid wsp:val=&quot;00DF3803&quot;/&gt;&lt;wsp:rsid wsp:val=&quot;00DF3937&quot;/&gt;&lt;wsp:rsid wsp:val=&quot;00DF4168&quot;/&gt;&lt;wsp:rsid wsp:val=&quot;00DF5015&quot;/&gt;&lt;wsp:rsid wsp:val=&quot;00DF6084&quot;/&gt;&lt;wsp:rsid wsp:val=&quot;00DF6B96&quot;/&gt;&lt;wsp:rsid wsp:val=&quot;00DF705B&quot;/&gt;&lt;wsp:rsid wsp:val=&quot;00DF79B9&quot;/&gt;&lt;wsp:rsid wsp:val=&quot;00E005AF&quot;/&gt;&lt;wsp:rsid wsp:val=&quot;00E04232&quot;/&gt;&lt;wsp:rsid wsp:val=&quot;00E045C3&quot;/&gt;&lt;wsp:rsid wsp:val=&quot;00E0473E&quot;/&gt;&lt;wsp:rsid wsp:val=&quot;00E047B1&quot;/&gt;&lt;wsp:rsid wsp:val=&quot;00E051C2&quot;/&gt;&lt;wsp:rsid wsp:val=&quot;00E0532D&quot;/&gt;&lt;wsp:rsid wsp:val=&quot;00E05D14&quot;/&gt;&lt;wsp:rsid wsp:val=&quot;00E06348&quot;/&gt;&lt;wsp:rsid wsp:val=&quot;00E07142&quot;/&gt;&lt;wsp:rsid wsp:val=&quot;00E07603&quot;/&gt;&lt;wsp:rsid wsp:val=&quot;00E105C7&quot;/&gt;&lt;wsp:rsid wsp:val=&quot;00E11928&quot;/&gt;&lt;wsp:rsid wsp:val=&quot;00E1242F&quot;/&gt;&lt;wsp:rsid wsp:val=&quot;00E13BFF&quot;/&gt;&lt;wsp:rsid wsp:val=&quot;00E13C16&quot;/&gt;&lt;wsp:rsid wsp:val=&quot;00E147F3&quot;/&gt;&lt;wsp:rsid wsp:val=&quot;00E160F5&quot;/&gt;&lt;wsp:rsid wsp:val=&quot;00E165B7&quot;/&gt;&lt;wsp:rsid wsp:val=&quot;00E1761C&quot;/&gt;&lt;wsp:rsid wsp:val=&quot;00E17779&quot;/&gt;&lt;wsp:rsid wsp:val=&quot;00E209E7&quot;/&gt;&lt;wsp:rsid wsp:val=&quot;00E212A0&quot;/&gt;&lt;wsp:rsid wsp:val=&quot;00E217CC&quot;/&gt;&lt;wsp:rsid wsp:val=&quot;00E21FAD&quot;/&gt;&lt;wsp:rsid wsp:val=&quot;00E22F8F&quot;/&gt;&lt;wsp:rsid wsp:val=&quot;00E2325C&quot;/&gt;&lt;wsp:rsid wsp:val=&quot;00E23AA0&quot;/&gt;&lt;wsp:rsid wsp:val=&quot;00E23B89&quot;/&gt;&lt;wsp:rsid wsp:val=&quot;00E244B0&quot;/&gt;&lt;wsp:rsid wsp:val=&quot;00E25BB1&quot;/&gt;&lt;wsp:rsid wsp:val=&quot;00E2619B&quot;/&gt;&lt;wsp:rsid wsp:val=&quot;00E267AB&quot;/&gt;&lt;wsp:rsid wsp:val=&quot;00E27C08&quot;/&gt;&lt;wsp:rsid wsp:val=&quot;00E30613&quot;/&gt;&lt;wsp:rsid wsp:val=&quot;00E31A5A&quot;/&gt;&lt;wsp:rsid wsp:val=&quot;00E31C1A&quot;/&gt;&lt;wsp:rsid wsp:val=&quot;00E326C9&quot;/&gt;&lt;wsp:rsid wsp:val=&quot;00E32CEA&quot;/&gt;&lt;wsp:rsid wsp:val=&quot;00E3311D&quot;/&gt;&lt;wsp:rsid wsp:val=&quot;00E33A60&quot;/&gt;&lt;wsp:rsid wsp:val=&quot;00E33BAC&quot;/&gt;&lt;wsp:rsid wsp:val=&quot;00E33F65&quot;/&gt;&lt;wsp:rsid wsp:val=&quot;00E35104&quot;/&gt;&lt;wsp:rsid wsp:val=&quot;00E35884&quot;/&gt;&lt;wsp:rsid wsp:val=&quot;00E36B24&quot;/&gt;&lt;wsp:rsid wsp:val=&quot;00E3755E&quot;/&gt;&lt;wsp:rsid wsp:val=&quot;00E37B1F&quot;/&gt;&lt;wsp:rsid wsp:val=&quot;00E37D2D&quot;/&gt;&lt;wsp:rsid wsp:val=&quot;00E401B0&quot;/&gt;&lt;wsp:rsid wsp:val=&quot;00E40B4F&quot;/&gt;&lt;wsp:rsid wsp:val=&quot;00E40DE7&quot;/&gt;&lt;wsp:rsid wsp:val=&quot;00E41664&quot;/&gt;&lt;wsp:rsid wsp:val=&quot;00E41BCD&quot;/&gt;&lt;wsp:rsid wsp:val=&quot;00E43FFA&quot;/&gt;&lt;wsp:rsid wsp:val=&quot;00E4425B&quot;/&gt;&lt;wsp:rsid wsp:val=&quot;00E45DC1&quot;/&gt;&lt;wsp:rsid wsp:val=&quot;00E45F39&quot;/&gt;&lt;wsp:rsid wsp:val=&quot;00E46BFB&quot;/&gt;&lt;wsp:rsid wsp:val=&quot;00E477D5&quot;/&gt;&lt;wsp:rsid wsp:val=&quot;00E47CD9&quot;/&gt;&lt;wsp:rsid wsp:val=&quot;00E50269&quot;/&gt;&lt;wsp:rsid wsp:val=&quot;00E511D2&quot;/&gt;&lt;wsp:rsid wsp:val=&quot;00E51D0C&quot;/&gt;&lt;wsp:rsid wsp:val=&quot;00E52328&quot;/&gt;&lt;wsp:rsid wsp:val=&quot;00E524E6&quot;/&gt;&lt;wsp:rsid wsp:val=&quot;00E535B4&quot;/&gt;&lt;wsp:rsid wsp:val=&quot;00E53A35&quot;/&gt;&lt;wsp:rsid wsp:val=&quot;00E53EDA&quot;/&gt;&lt;wsp:rsid wsp:val=&quot;00E542C5&quot;/&gt;&lt;wsp:rsid wsp:val=&quot;00E54494&quot;/&gt;&lt;wsp:rsid wsp:val=&quot;00E54CB5&quot;/&gt;&lt;wsp:rsid wsp:val=&quot;00E55039&quot;/&gt;&lt;wsp:rsid wsp:val=&quot;00E55156&quot;/&gt;&lt;wsp:rsid wsp:val=&quot;00E55CC8&quot;/&gt;&lt;wsp:rsid wsp:val=&quot;00E577A9&quot;/&gt;&lt;wsp:rsid wsp:val=&quot;00E60352&quot;/&gt;&lt;wsp:rsid wsp:val=&quot;00E616AF&quot;/&gt;&lt;wsp:rsid wsp:val=&quot;00E6245F&quot;/&gt;&lt;wsp:rsid wsp:val=&quot;00E6309C&quot;/&gt;&lt;wsp:rsid wsp:val=&quot;00E633A3&quot;/&gt;&lt;wsp:rsid wsp:val=&quot;00E643E6&quot;/&gt;&lt;wsp:rsid wsp:val=&quot;00E64649&quot;/&gt;&lt;wsp:rsid wsp:val=&quot;00E6665B&quot;/&gt;&lt;wsp:rsid wsp:val=&quot;00E67C09&quot;/&gt;&lt;wsp:rsid wsp:val=&quot;00E67D7D&quot;/&gt;&lt;wsp:rsid wsp:val=&quot;00E7028F&quot;/&gt;&lt;wsp:rsid wsp:val=&quot;00E704BD&quot;/&gt;&lt;wsp:rsid wsp:val=&quot;00E73187&quot;/&gt;&lt;wsp:rsid wsp:val=&quot;00E74789&quot;/&gt;&lt;wsp:rsid wsp:val=&quot;00E749A8&quot;/&gt;&lt;wsp:rsid wsp:val=&quot;00E76924&quot;/&gt;&lt;wsp:rsid wsp:val=&quot;00E76BBE&quot;/&gt;&lt;wsp:rsid wsp:val=&quot;00E771AB&quot;/&gt;&lt;wsp:rsid wsp:val=&quot;00E779F0&quot;/&gt;&lt;wsp:rsid wsp:val=&quot;00E80DEE&quot;/&gt;&lt;wsp:rsid wsp:val=&quot;00E81636&quot;/&gt;&lt;wsp:rsid wsp:val=&quot;00E819D8&quot;/&gt;&lt;wsp:rsid wsp:val=&quot;00E829A6&quot;/&gt;&lt;wsp:rsid wsp:val=&quot;00E82EFF&quot;/&gt;&lt;wsp:rsid wsp:val=&quot;00E830CD&quot;/&gt;&lt;wsp:rsid wsp:val=&quot;00E83233&quot;/&gt;&lt;wsp:rsid wsp:val=&quot;00E833FE&quot;/&gt;&lt;wsp:rsid wsp:val=&quot;00E846B2&quot;/&gt;&lt;wsp:rsid wsp:val=&quot;00E84C10&quot;/&gt;&lt;wsp:rsid wsp:val=&quot;00E856FC&quot;/&gt;&lt;wsp:rsid wsp:val=&quot;00E85CC9&quot;/&gt;&lt;wsp:rsid wsp:val=&quot;00E85CF8&quot;/&gt;&lt;wsp:rsid wsp:val=&quot;00E86242&quot;/&gt;&lt;wsp:rsid wsp:val=&quot;00E90126&quot;/&gt;&lt;wsp:rsid wsp:val=&quot;00E90BAE&quot;/&gt;&lt;wsp:rsid wsp:val=&quot;00E91D57&quot;/&gt;&lt;wsp:rsid wsp:val=&quot;00E93045&quot;/&gt;&lt;wsp:rsid wsp:val=&quot;00E94641&quot;/&gt;&lt;wsp:rsid wsp:val=&quot;00E94993&quot;/&gt;&lt;wsp:rsid wsp:val=&quot;00E9555B&quot;/&gt;&lt;wsp:rsid wsp:val=&quot;00E958BF&quot;/&gt;&lt;wsp:rsid wsp:val=&quot;00E96B35&quot;/&gt;&lt;wsp:rsid wsp:val=&quot;00E9700A&quot;/&gt;&lt;wsp:rsid wsp:val=&quot;00E97199&quot;/&gt;&lt;wsp:rsid wsp:val=&quot;00EA0E3F&quot;/&gt;&lt;wsp:rsid wsp:val=&quot;00EA1857&quot;/&gt;&lt;wsp:rsid wsp:val=&quot;00EA193E&quot;/&gt;&lt;wsp:rsid wsp:val=&quot;00EA2923&quot;/&gt;&lt;wsp:rsid wsp:val=&quot;00EA2DA0&quot;/&gt;&lt;wsp:rsid wsp:val=&quot;00EA36D4&quot;/&gt;&lt;wsp:rsid wsp:val=&quot;00EA4209&quot;/&gt;&lt;wsp:rsid wsp:val=&quot;00EA517B&quot;/&gt;&lt;wsp:rsid wsp:val=&quot;00EA63C7&quot;/&gt;&lt;wsp:rsid wsp:val=&quot;00EA7D48&quot;/&gt;&lt;wsp:rsid wsp:val=&quot;00EA7D90&quot;/&gt;&lt;wsp:rsid wsp:val=&quot;00EB0272&quot;/&gt;&lt;wsp:rsid wsp:val=&quot;00EB0342&quot;/&gt;&lt;wsp:rsid wsp:val=&quot;00EB03C3&quot;/&gt;&lt;wsp:rsid wsp:val=&quot;00EB07A4&quot;/&gt;&lt;wsp:rsid wsp:val=&quot;00EB1130&quot;/&gt;&lt;wsp:rsid wsp:val=&quot;00EB1F12&quot;/&gt;&lt;wsp:rsid wsp:val=&quot;00EB220C&quot;/&gt;&lt;wsp:rsid wsp:val=&quot;00EB2525&quot;/&gt;&lt;wsp:rsid wsp:val=&quot;00EB3193&quot;/&gt;&lt;wsp:rsid wsp:val=&quot;00EB3369&quot;/&gt;&lt;wsp:rsid wsp:val=&quot;00EB41A6&quot;/&gt;&lt;wsp:rsid wsp:val=&quot;00EB4886&quot;/&gt;&lt;wsp:rsid wsp:val=&quot;00EB4F10&quot;/&gt;&lt;wsp:rsid wsp:val=&quot;00EB53AA&quot;/&gt;&lt;wsp:rsid wsp:val=&quot;00EB598A&quot;/&gt;&lt;wsp:rsid wsp:val=&quot;00EB6198&quot;/&gt;&lt;wsp:rsid wsp:val=&quot;00EC0396&quot;/&gt;&lt;wsp:rsid wsp:val=&quot;00EC0785&quot;/&gt;&lt;wsp:rsid wsp:val=&quot;00EC10FF&quot;/&gt;&lt;wsp:rsid wsp:val=&quot;00EC1407&quot;/&gt;&lt;wsp:rsid wsp:val=&quot;00EC15F6&quot;/&gt;&lt;wsp:rsid wsp:val=&quot;00EC2CEE&quot;/&gt;&lt;wsp:rsid wsp:val=&quot;00EC3838&quot;/&gt;&lt;wsp:rsid wsp:val=&quot;00EC3EC5&quot;/&gt;&lt;wsp:rsid wsp:val=&quot;00EC3F5C&quot;/&gt;&lt;wsp:rsid wsp:val=&quot;00EC4197&quot;/&gt;&lt;wsp:rsid wsp:val=&quot;00EC43D5&quot;/&gt;&lt;wsp:rsid wsp:val=&quot;00EC4563&quot;/&gt;&lt;wsp:rsid wsp:val=&quot;00EC64A2&quot;/&gt;&lt;wsp:rsid wsp:val=&quot;00EC6767&quot;/&gt;&lt;wsp:rsid wsp:val=&quot;00EC6B92&quot;/&gt;&lt;wsp:rsid wsp:val=&quot;00ED0536&quot;/&gt;&lt;wsp:rsid wsp:val=&quot;00ED142E&quot;/&gt;&lt;wsp:rsid wsp:val=&quot;00ED243E&quot;/&gt;&lt;wsp:rsid wsp:val=&quot;00ED3685&quot;/&gt;&lt;wsp:rsid wsp:val=&quot;00ED36A3&quot;/&gt;&lt;wsp:rsid wsp:val=&quot;00ED39C6&quot;/&gt;&lt;wsp:rsid wsp:val=&quot;00ED4A7A&quot;/&gt;&lt;wsp:rsid wsp:val=&quot;00ED4F85&quot;/&gt;&lt;wsp:rsid wsp:val=&quot;00ED5987&quot;/&gt;&lt;wsp:rsid wsp:val=&quot;00ED7F24&quot;/&gt;&lt;wsp:rsid wsp:val=&quot;00EE05C2&quot;/&gt;&lt;wsp:rsid wsp:val=&quot;00EE088C&quot;/&gt;&lt;wsp:rsid wsp:val=&quot;00EE0EB9&quot;/&gt;&lt;wsp:rsid wsp:val=&quot;00EE14CE&quot;/&gt;&lt;wsp:rsid wsp:val=&quot;00EE2443&quot;/&gt;&lt;wsp:rsid wsp:val=&quot;00EE29C0&quot;/&gt;&lt;wsp:rsid wsp:val=&quot;00EE2B52&quot;/&gt;&lt;wsp:rsid wsp:val=&quot;00EE4C36&quot;/&gt;&lt;wsp:rsid wsp:val=&quot;00EE4C3F&quot;/&gt;&lt;wsp:rsid wsp:val=&quot;00EE5823&quot;/&gt;&lt;wsp:rsid wsp:val=&quot;00EE63E0&quot;/&gt;&lt;wsp:rsid wsp:val=&quot;00EF08E1&quot;/&gt;&lt;wsp:rsid wsp:val=&quot;00EF181A&quot;/&gt;&lt;wsp:rsid wsp:val=&quot;00EF19F1&quot;/&gt;&lt;wsp:rsid wsp:val=&quot;00EF1C6F&quot;/&gt;&lt;wsp:rsid wsp:val=&quot;00EF26EF&quot;/&gt;&lt;wsp:rsid wsp:val=&quot;00EF402D&quot;/&gt;&lt;wsp:rsid wsp:val=&quot;00EF4B6D&quot;/&gt;&lt;wsp:rsid wsp:val=&quot;00EF500B&quot;/&gt;&lt;wsp:rsid wsp:val=&quot;00EF6913&quot;/&gt;&lt;wsp:rsid wsp:val=&quot;00EF696D&quot;/&gt;&lt;wsp:rsid wsp:val=&quot;00EF6AE6&quot;/&gt;&lt;wsp:rsid wsp:val=&quot;00EF6D58&quot;/&gt;&lt;wsp:rsid wsp:val=&quot;00EF7F6C&quot;/&gt;&lt;wsp:rsid wsp:val=&quot;00F01D2D&quot;/&gt;&lt;wsp:rsid wsp:val=&quot;00F020BA&quot;/&gt;&lt;wsp:rsid wsp:val=&quot;00F02203&quot;/&gt;&lt;wsp:rsid wsp:val=&quot;00F025CA&quot;/&gt;&lt;wsp:rsid wsp:val=&quot;00F05A56&quot;/&gt;&lt;wsp:rsid wsp:val=&quot;00F05B9C&quot;/&gt;&lt;wsp:rsid wsp:val=&quot;00F067A5&quot;/&gt;&lt;wsp:rsid wsp:val=&quot;00F069D0&quot;/&gt;&lt;wsp:rsid wsp:val=&quot;00F0712C&quot;/&gt;&lt;wsp:rsid wsp:val=&quot;00F079CE&quot;/&gt;&lt;wsp:rsid wsp:val=&quot;00F079FE&quot;/&gt;&lt;wsp:rsid wsp:val=&quot;00F104D6&quot;/&gt;&lt;wsp:rsid wsp:val=&quot;00F112BB&quot;/&gt;&lt;wsp:rsid wsp:val=&quot;00F1162A&quot;/&gt;&lt;wsp:rsid wsp:val=&quot;00F11F49&quot;/&gt;&lt;wsp:rsid wsp:val=&quot;00F12151&quot;/&gt;&lt;wsp:rsid wsp:val=&quot;00F13341&quot;/&gt;&lt;wsp:rsid wsp:val=&quot;00F13656&quot;/&gt;&lt;wsp:rsid wsp:val=&quot;00F137CC&quot;/&gt;&lt;wsp:rsid wsp:val=&quot;00F140F0&quot;/&gt;&lt;wsp:rsid wsp:val=&quot;00F14ADA&quot;/&gt;&lt;wsp:rsid wsp:val=&quot;00F14DE7&quot;/&gt;&lt;wsp:rsid wsp:val=&quot;00F15056&quot;/&gt;&lt;wsp:rsid wsp:val=&quot;00F1665E&quot;/&gt;&lt;wsp:rsid wsp:val=&quot;00F16696&quot;/&gt;&lt;wsp:rsid wsp:val=&quot;00F17D18&quot;/&gt;&lt;wsp:rsid wsp:val=&quot;00F20A5D&quot;/&gt;&lt;wsp:rsid wsp:val=&quot;00F20E3F&quot;/&gt;&lt;wsp:rsid wsp:val=&quot;00F21912&quot;/&gt;&lt;wsp:rsid wsp:val=&quot;00F21F21&quot;/&gt;&lt;wsp:rsid wsp:val=&quot;00F2212E&quot;/&gt;&lt;wsp:rsid wsp:val=&quot;00F22659&quot;/&gt;&lt;wsp:rsid wsp:val=&quot;00F22830&quot;/&gt;&lt;wsp:rsid wsp:val=&quot;00F2324D&quot;/&gt;&lt;wsp:rsid wsp:val=&quot;00F23CB9&quot;/&gt;&lt;wsp:rsid wsp:val=&quot;00F23DF5&quot;/&gt;&lt;wsp:rsid wsp:val=&quot;00F2430C&quot;/&gt;&lt;wsp:rsid wsp:val=&quot;00F246D0&quot;/&gt;&lt;wsp:rsid wsp:val=&quot;00F251BD&quot;/&gt;&lt;wsp:rsid wsp:val=&quot;00F26155&quot;/&gt;&lt;wsp:rsid wsp:val=&quot;00F263C6&quot;/&gt;&lt;wsp:rsid wsp:val=&quot;00F30197&quot;/&gt;&lt;wsp:rsid wsp:val=&quot;00F3313D&quot;/&gt;&lt;wsp:rsid wsp:val=&quot;00F3469A&quot;/&gt;&lt;wsp:rsid wsp:val=&quot;00F3473D&quot;/&gt;&lt;wsp:rsid wsp:val=&quot;00F34AA1&quot;/&gt;&lt;wsp:rsid wsp:val=&quot;00F35111&quot;/&gt;&lt;wsp:rsid wsp:val=&quot;00F35F7D&quot;/&gt;&lt;wsp:rsid wsp:val=&quot;00F36448&quot;/&gt;&lt;wsp:rsid wsp:val=&quot;00F36B5C&quot;/&gt;&lt;wsp:rsid wsp:val=&quot;00F3704E&quot;/&gt;&lt;wsp:rsid wsp:val=&quot;00F40113&quot;/&gt;&lt;wsp:rsid wsp:val=&quot;00F40477&quot;/&gt;&lt;wsp:rsid wsp:val=&quot;00F40BF7&quot;/&gt;&lt;wsp:rsid wsp:val=&quot;00F40CF2&quot;/&gt;&lt;wsp:rsid wsp:val=&quot;00F40FBA&quot;/&gt;&lt;wsp:rsid wsp:val=&quot;00F41D3E&quot;/&gt;&lt;wsp:rsid wsp:val=&quot;00F43088&quot;/&gt;&lt;wsp:rsid wsp:val=&quot;00F44620&quot;/&gt;&lt;wsp:rsid wsp:val=&quot;00F44850&quot;/&gt;&lt;wsp:rsid wsp:val=&quot;00F45037&quot;/&gt;&lt;wsp:rsid wsp:val=&quot;00F456EA&quot;/&gt;&lt;wsp:rsid wsp:val=&quot;00F45FB8&quot;/&gt;&lt;wsp:rsid wsp:val=&quot;00F46268&quot;/&gt;&lt;wsp:rsid wsp:val=&quot;00F4723B&quot;/&gt;&lt;wsp:rsid wsp:val=&quot;00F475D7&quot;/&gt;&lt;wsp:rsid wsp:val=&quot;00F504D5&quot;/&gt;&lt;wsp:rsid wsp:val=&quot;00F50726&quot;/&gt;&lt;wsp:rsid wsp:val=&quot;00F50C88&quot;/&gt;&lt;wsp:rsid wsp:val=&quot;00F51136&quot;/&gt;&lt;wsp:rsid wsp:val=&quot;00F517E7&quot;/&gt;&lt;wsp:rsid wsp:val=&quot;00F51B68&quot;/&gt;&lt;wsp:rsid wsp:val=&quot;00F51CD0&quot;/&gt;&lt;wsp:rsid wsp:val=&quot;00F5209B&quot;/&gt;&lt;wsp:rsid wsp:val=&quot;00F5234D&quot;/&gt;&lt;wsp:rsid wsp:val=&quot;00F52A4C&quot;/&gt;&lt;wsp:rsid wsp:val=&quot;00F53384&quot;/&gt;&lt;wsp:rsid wsp:val=&quot;00F53ADD&quot;/&gt;&lt;wsp:rsid wsp:val=&quot;00F54197&quot;/&gt;&lt;wsp:rsid wsp:val=&quot;00F541B9&quot;/&gt;&lt;wsp:rsid wsp:val=&quot;00F54A29&quot;/&gt;&lt;wsp:rsid wsp:val=&quot;00F554DE&quot;/&gt;&lt;wsp:rsid wsp:val=&quot;00F56C9C&quot;/&gt;&lt;wsp:rsid wsp:val=&quot;00F5753C&quot;/&gt;&lt;wsp:rsid wsp:val=&quot;00F57F6D&quot;/&gt;&lt;wsp:rsid wsp:val=&quot;00F60A9F&quot;/&gt;&lt;wsp:rsid wsp:val=&quot;00F60CFE&quot;/&gt;&lt;wsp:rsid wsp:val=&quot;00F613A1&quot;/&gt;&lt;wsp:rsid wsp:val=&quot;00F6210B&quot;/&gt;&lt;wsp:rsid wsp:val=&quot;00F627CC&quot;/&gt;&lt;wsp:rsid wsp:val=&quot;00F6281A&quot;/&gt;&lt;wsp:rsid wsp:val=&quot;00F62B74&quot;/&gt;&lt;wsp:rsid wsp:val=&quot;00F63BC1&quot;/&gt;&lt;wsp:rsid wsp:val=&quot;00F64143&quot;/&gt;&lt;wsp:rsid wsp:val=&quot;00F6479C&quot;/&gt;&lt;wsp:rsid wsp:val=&quot;00F65C21&quot;/&gt;&lt;wsp:rsid wsp:val=&quot;00F66664&quot;/&gt;&lt;wsp:rsid wsp:val=&quot;00F66761&quot;/&gt;&lt;wsp:rsid wsp:val=&quot;00F66D01&quot;/&gt;&lt;wsp:rsid wsp:val=&quot;00F671E2&quot;/&gt;&lt;wsp:rsid wsp:val=&quot;00F67C09&quot;/&gt;&lt;wsp:rsid wsp:val=&quot;00F67E22&quot;/&gt;&lt;wsp:rsid wsp:val=&quot;00F70B71&quot;/&gt;&lt;wsp:rsid wsp:val=&quot;00F711F1&quot;/&gt;&lt;wsp:rsid wsp:val=&quot;00F71EA4&quot;/&gt;&lt;wsp:rsid wsp:val=&quot;00F72525&quot;/&gt;&lt;wsp:rsid wsp:val=&quot;00F72D06&quot;/&gt;&lt;wsp:rsid wsp:val=&quot;00F74C0D&quot;/&gt;&lt;wsp:rsid wsp:val=&quot;00F752D4&quot;/&gt;&lt;wsp:rsid wsp:val=&quot;00F75427&quot;/&gt;&lt;wsp:rsid wsp:val=&quot;00F76426&quot;/&gt;&lt;wsp:rsid wsp:val=&quot;00F7716D&quot;/&gt;&lt;wsp:rsid wsp:val=&quot;00F81164&quot;/&gt;&lt;wsp:rsid wsp:val=&quot;00F82E4E&quot;/&gt;&lt;wsp:rsid wsp:val=&quot;00F8356F&quot;/&gt;&lt;wsp:rsid wsp:val=&quot;00F8372B&quot;/&gt;&lt;wsp:rsid wsp:val=&quot;00F8421E&quot;/&gt;&lt;wsp:rsid wsp:val=&quot;00F84A7B&quot;/&gt;&lt;wsp:rsid wsp:val=&quot;00F84B6A&quot;/&gt;&lt;wsp:rsid wsp:val=&quot;00F8546E&quot;/&gt;&lt;wsp:rsid wsp:val=&quot;00F858E1&quot;/&gt;&lt;wsp:rsid wsp:val=&quot;00F85DCB&quot;/&gt;&lt;wsp:rsid wsp:val=&quot;00F86FF9&quot;/&gt;&lt;wsp:rsid wsp:val=&quot;00F87206&quot;/&gt;&lt;wsp:rsid wsp:val=&quot;00F906B7&quot;/&gt;&lt;wsp:rsid wsp:val=&quot;00F9116A&quot;/&gt;&lt;wsp:rsid wsp:val=&quot;00F91AC4&quot;/&gt;&lt;wsp:rsid wsp:val=&quot;00F923EB&quot;/&gt;&lt;wsp:rsid wsp:val=&quot;00F936C1&quot;/&gt;&lt;wsp:rsid wsp:val=&quot;00F93DC2&quot;/&gt;&lt;wsp:rsid wsp:val=&quot;00F93F81&quot;/&gt;&lt;wsp:rsid wsp:val=&quot;00F9592F&quot;/&gt;&lt;wsp:rsid wsp:val=&quot;00F96FAB&quot;/&gt;&lt;wsp:rsid wsp:val=&quot;00F9701A&quot;/&gt;&lt;wsp:rsid wsp:val=&quot;00F97A56&quot;/&gt;&lt;wsp:rsid wsp:val=&quot;00FA047D&quot;/&gt;&lt;wsp:rsid wsp:val=&quot;00FA1063&quot;/&gt;&lt;wsp:rsid wsp:val=&quot;00FA1461&quot;/&gt;&lt;wsp:rsid wsp:val=&quot;00FA1697&quot;/&gt;&lt;wsp:rsid wsp:val=&quot;00FA171D&quot;/&gt;&lt;wsp:rsid wsp:val=&quot;00FA17BE&quot;/&gt;&lt;wsp:rsid wsp:val=&quot;00FA1A2F&quot;/&gt;&lt;wsp:rsid wsp:val=&quot;00FA3379&quot;/&gt;&lt;wsp:rsid wsp:val=&quot;00FA3A94&quot;/&gt;&lt;wsp:rsid wsp:val=&quot;00FA3C3F&quot;/&gt;&lt;wsp:rsid wsp:val=&quot;00FA5AAE&quot;/&gt;&lt;wsp:rsid wsp:val=&quot;00FA5D8F&quot;/&gt;&lt;wsp:rsid wsp:val=&quot;00FA7D2E&quot;/&gt;&lt;wsp:rsid wsp:val=&quot;00FB09E1&quot;/&gt;&lt;wsp:rsid wsp:val=&quot;00FB158E&quot;/&gt;&lt;wsp:rsid wsp:val=&quot;00FB1CF9&quot;/&gt;&lt;wsp:rsid wsp:val=&quot;00FB20B1&quot;/&gt;&lt;wsp:rsid wsp:val=&quot;00FB23C1&quot;/&gt;&lt;wsp:rsid wsp:val=&quot;00FB4AFF&quot;/&gt;&lt;wsp:rsid wsp:val=&quot;00FB5576&quot;/&gt;&lt;wsp:rsid wsp:val=&quot;00FB56CF&quot;/&gt;&lt;wsp:rsid wsp:val=&quot;00FB636D&quot;/&gt;&lt;wsp:rsid wsp:val=&quot;00FB6629&quot;/&gt;&lt;wsp:rsid wsp:val=&quot;00FB6CFB&quot;/&gt;&lt;wsp:rsid wsp:val=&quot;00FB7945&quot;/&gt;&lt;wsp:rsid wsp:val=&quot;00FC0D58&quot;/&gt;&lt;wsp:rsid wsp:val=&quot;00FC12B0&quot;/&gt;&lt;wsp:rsid wsp:val=&quot;00FC27AA&quot;/&gt;&lt;wsp:rsid wsp:val=&quot;00FC2CE6&quot;/&gt;&lt;wsp:rsid wsp:val=&quot;00FC31B7&quot;/&gt;&lt;wsp:rsid wsp:val=&quot;00FC325F&quot;/&gt;&lt;wsp:rsid wsp:val=&quot;00FC3E54&quot;/&gt;&lt;wsp:rsid wsp:val=&quot;00FC4370&quot;/&gt;&lt;wsp:rsid wsp:val=&quot;00FC4E1E&quot;/&gt;&lt;wsp:rsid wsp:val=&quot;00FC5E51&quot;/&gt;&lt;wsp:rsid wsp:val=&quot;00FC70FB&quot;/&gt;&lt;wsp:rsid wsp:val=&quot;00FD0180&quot;/&gt;&lt;wsp:rsid wsp:val=&quot;00FD1482&quot;/&gt;&lt;wsp:rsid wsp:val=&quot;00FD171C&quot;/&gt;&lt;wsp:rsid wsp:val=&quot;00FD1B97&quot;/&gt;&lt;wsp:rsid wsp:val=&quot;00FD3507&quot;/&gt;&lt;wsp:rsid wsp:val=&quot;00FD3EBE&quot;/&gt;&lt;wsp:rsid wsp:val=&quot;00FD3F04&quot;/&gt;&lt;wsp:rsid wsp:val=&quot;00FD4604&quot;/&gt;&lt;wsp:rsid wsp:val=&quot;00FD6BD6&quot;/&gt;&lt;wsp:rsid wsp:val=&quot;00FD7C07&quot;/&gt;&lt;wsp:rsid wsp:val=&quot;00FE05F7&quot;/&gt;&lt;wsp:rsid wsp:val=&quot;00FE06AB&quot;/&gt;&lt;wsp:rsid wsp:val=&quot;00FE261C&quot;/&gt;&lt;wsp:rsid wsp:val=&quot;00FE3151&quot;/&gt;&lt;wsp:rsid wsp:val=&quot;00FE333D&quot;/&gt;&lt;wsp:rsid wsp:val=&quot;00FE36C3&quot;/&gt;&lt;wsp:rsid wsp:val=&quot;00FE44F0&quot;/&gt;&lt;wsp:rsid wsp:val=&quot;00FE5DAC&quot;/&gt;&lt;wsp:rsid wsp:val=&quot;00FE60B9&quot;/&gt;&lt;wsp:rsid wsp:val=&quot;00FE6FB2&quot;/&gt;&lt;wsp:rsid wsp:val=&quot;00FE76E0&quot;/&gt;&lt;wsp:rsid wsp:val=&quot;00FF046C&quot;/&gt;&lt;wsp:rsid wsp:val=&quot;00FF07B8&quot;/&gt;&lt;wsp:rsid wsp:val=&quot;00FF0B63&quot;/&gt;&lt;wsp:rsid wsp:val=&quot;00FF0DEB&quot;/&gt;&lt;wsp:rsid wsp:val=&quot;00FF21EB&quot;/&gt;&lt;wsp:rsid wsp:val=&quot;00FF2E08&quot;/&gt;&lt;wsp:rsid wsp:val=&quot;00FF37A1&quot;/&gt;&lt;wsp:rsid wsp:val=&quot;00FF4661&quot;/&gt;&lt;wsp:rsid wsp:val=&quot;00FF4C34&quot;/&gt;&lt;wsp:rsid wsp:val=&quot;00FF4F75&quot;/&gt;&lt;wsp:rsid wsp:val=&quot;00FF5E04&quot;/&gt;&lt;wsp:rsid wsp:val=&quot;00FF6515&quot;/&gt;&lt;wsp:rsid wsp:val=&quot;00FF669D&quot;/&gt;&lt;wsp:rsid wsp:val=&quot;00FF6979&quot;/&gt;&lt;wsp:rsid wsp:val=&quot;00FF7011&quot;/&gt;&lt;wsp:rsid wsp:val=&quot;00FF7723&quot;/&gt;&lt;wsp:rsid wsp:val=&quot;00FF79DE&quot;/&gt;&lt;wsp:rsid wsp:val=&quot;0471177E&quot;/&gt;&lt;wsp:rsid wsp:val=&quot;05E3020F&quot;/&gt;&lt;wsp:rsid wsp:val=&quot;08724604&quot;/&gt;&lt;wsp:rsid wsp:val=&quot;0C1803E3&quot;/&gt;&lt;wsp:rsid wsp:val=&quot;0C990E7C&quot;/&gt;&lt;wsp:rsid wsp:val=&quot;0CAD7F05&quot;/&gt;&lt;wsp:rsid wsp:val=&quot;11873A80&quot;/&gt;&lt;wsp:rsid wsp:val=&quot;17BC422F&quot;/&gt;&lt;wsp:rsid wsp:val=&quot;18E707A5&quot;/&gt;&lt;wsp:rsid wsp:val=&quot;1A433BB2&quot;/&gt;&lt;wsp:rsid wsp:val=&quot;23D3070A&quot;/&gt;&lt;wsp:rsid wsp:val=&quot;25350811&quot;/&gt;&lt;wsp:rsid wsp:val=&quot;289B1E8D&quot;/&gt;&lt;wsp:rsid wsp:val=&quot;2E6F0B8E&quot;/&gt;&lt;wsp:rsid wsp:val=&quot;304D5659&quot;/&gt;&lt;wsp:rsid wsp:val=&quot;317F025F&quot;/&gt;&lt;wsp:rsid wsp:val=&quot;368D0334&quot;/&gt;&lt;wsp:rsid wsp:val=&quot;40055E36&quot;/&gt;&lt;wsp:rsid wsp:val=&quot;40CE4415&quot;/&gt;&lt;wsp:rsid wsp:val=&quot;46A25A7F&quot;/&gt;&lt;wsp:rsid wsp:val=&quot;485A4EA6&quot;/&gt;&lt;wsp:rsid wsp:val=&quot;49CB60E5&quot;/&gt;&lt;wsp:rsid wsp:val=&quot;546859EB&quot;/&gt;&lt;wsp:rsid wsp:val=&quot;58D46D47&quot;/&gt;&lt;wsp:rsid wsp:val=&quot;5CD44510&quot;/&gt;&lt;wsp:rsid wsp:val=&quot;5D4516CB&quot;/&gt;&lt;wsp:rsid wsp:val=&quot;5D860F6B&quot;/&gt;&lt;wsp:rsid wsp:val=&quot;68B430FC&quot;/&gt;&lt;wsp:rsid wsp:val=&quot;6A2A4C91&quot;/&gt;&lt;wsp:rsid wsp:val=&quot;715012E2&quot;/&gt;&lt;wsp:rsid wsp:val=&quot;71DF487E&quot;/&gt;&lt;wsp:rsid wsp:val=&quot;735343C5&quot;/&gt;&lt;wsp:rsid wsp:val=&quot;78F91B53&quot;/&gt;&lt;wsp:rsid wsp:val=&quot;7C64631E&quot;/&gt;&lt;wsp:rsid wsp:val=&quot;7D423CE2&quot;/&gt;&lt;/wsp:rsids&gt;&lt;/w:docPr&gt;&lt;w:body&gt;&lt;wx:sect&gt;&lt;w:p wsp:rsidR=&quot;00000000&quot; wsp:rsidRDefault=&quot;00F67C09&quot; wsp:rsidP=&quot;00F67C09&quot;&gt;&lt;m:oMathPara&gt;&lt;m:oMath&gt;&lt;m:sSup&gt;&lt;m:sSupPr&gt;&lt;m:ctrlPr&gt;&lt;w:rPr&gt;&lt;w:rFonts w:ascii=&quot;Cambria Math&quot; w:h-ansi=&quot;Cambria Math&quot;/&gt;&lt;wx:font wx:val=&quot;Cambria Math&quot;/&gt;&lt;/w:rPr&gt;&lt;/m:ctrlPr&gt;&lt;/m:sSupPr&gt;&lt;m:e&gt;&lt;m:r&gt;&lt;w:rPr&gt;&lt;w:rFonts w:ascii=&quot;Cambria Math&quot; w:h-ansi=&quot;Cambria Math&quot;/&gt;&lt;wx:font wx:val=&quot;Cambria Math&quot;/&gt;&lt;w:i/&gt;&lt;/w:rPr&gt;&lt;m:t&gt;u&lt;/m:t&gt;&lt;/m:r&gt;&lt;/m:e&gt;&lt;m:sup&gt;&lt;m:r&gt;&lt;w:rPr&gt;&lt;w:rFonts w:ascii=&quot;Cambria Math&quot; w:h-ansi=&quot;Cambria Math&quot;/&gt;&lt;wx:font wx:val=&quot;Cambria Math&quot;/&gt;&lt;w:i/&gt;&lt;/w:rPr&gt;&lt;m:t&gt;*&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22" chromakey="#FFFFFF" o:title=""/>
                  <o:lock v:ext="edit" aspectratio="t"/>
                  <w10:wrap type="none"/>
                  <w10:anchorlock/>
                </v:shape>
              </w:pic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olor w:val="auto"/>
                <w:sz w:val="24"/>
                <w:szCs w:val="24"/>
                <w:highlight w:val="none"/>
              </w:rPr>
              <w:t>为</w:t>
            </w:r>
            <w:r>
              <w:rPr>
                <w:rFonts w:hint="default" w:ascii="Times New Roman" w:hAnsi="Times New Roman" w:eastAsia="宋体" w:cs="Times New Roman"/>
                <w:color w:val="auto"/>
                <w:sz w:val="24"/>
                <w:szCs w:val="24"/>
                <w:highlight w:val="none"/>
                <w:lang w:val="en-US" w:eastAsia="zh-CN"/>
              </w:rPr>
              <w:t>0.782</w:t>
            </w:r>
            <w:r>
              <w:rPr>
                <w:rFonts w:hint="default" w:ascii="Times New Roman" w:hAnsi="Times New Roman" w:eastAsia="宋体" w:cs="Times New Roman"/>
                <w:color w:val="auto"/>
                <w:sz w:val="24"/>
                <w:szCs w:val="24"/>
                <w:highlight w:val="none"/>
              </w:rPr>
              <w:t>m/s，小于</w:t>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QUOTE </w:instrText>
            </w:r>
            <w:r>
              <w:rPr>
                <w:rFonts w:hint="default" w:ascii="Times New Roman" w:hAnsi="Times New Roman" w:eastAsia="宋体" w:cs="Times New Roman"/>
                <w:color w:val="auto"/>
                <w:position w:val="-8"/>
                <w:sz w:val="24"/>
                <w:szCs w:val="24"/>
                <w:highlight w:val="none"/>
              </w:rPr>
              <w:pict>
                <v:shape id="_x0000_i1033" o:spt="75" type="#_x0000_t75" style="height:15.75pt;width:10.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94&quot;/&gt;&lt;w:displayBackgroundShape/&gt;&lt;w:doNotEmbedSystemFonts/&gt;&lt;w:bordersDontSurroundHeader/&gt;&lt;w:bordersDontSurroundFooter/&gt;&lt;w:hideSpellingErrors/&gt;&lt;w:defaultTabStop w:val=&quot;420&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82A5A&quot;/&gt;&lt;wsp:rsid wsp:val=&quot;00000D02&quot;/&gt;&lt;wsp:rsid wsp:val=&quot;00000F90&quot;/&gt;&lt;wsp:rsid wsp:val=&quot;00002DD6&quot;/&gt;&lt;wsp:rsid wsp:val=&quot;00003C3B&quot;/&gt;&lt;wsp:rsid wsp:val=&quot;00004137&quot;/&gt;&lt;wsp:rsid wsp:val=&quot;00004407&quot;/&gt;&lt;wsp:rsid wsp:val=&quot;000048CB&quot;/&gt;&lt;wsp:rsid wsp:val=&quot;00004FFF&quot;/&gt;&lt;wsp:rsid wsp:val=&quot;000052ED&quot;/&gt;&lt;wsp:rsid wsp:val=&quot;000068EA&quot;/&gt;&lt;wsp:rsid wsp:val=&quot;000079C0&quot;/&gt;&lt;wsp:rsid wsp:val=&quot;00010579&quot;/&gt;&lt;wsp:rsid wsp:val=&quot;000108D9&quot;/&gt;&lt;wsp:rsid wsp:val=&quot;00011409&quot;/&gt;&lt;wsp:rsid wsp:val=&quot;0001296A&quot;/&gt;&lt;wsp:rsid wsp:val=&quot;00014275&quot;/&gt;&lt;wsp:rsid wsp:val=&quot;00014351&quot;/&gt;&lt;wsp:rsid wsp:val=&quot;0001449A&quot;/&gt;&lt;wsp:rsid wsp:val=&quot;00015DD0&quot;/&gt;&lt;wsp:rsid wsp:val=&quot;0001650C&quot;/&gt;&lt;wsp:rsid wsp:val=&quot;00017297&quot;/&gt;&lt;wsp:rsid wsp:val=&quot;00017B9C&quot;/&gt;&lt;wsp:rsid wsp:val=&quot;000205C8&quot;/&gt;&lt;wsp:rsid wsp:val=&quot;000235A3&quot;/&gt;&lt;wsp:rsid wsp:val=&quot;00023D8F&quot;/&gt;&lt;wsp:rsid wsp:val=&quot;0002422E&quot;/&gt;&lt;wsp:rsid wsp:val=&quot;000243AF&quot;/&gt;&lt;wsp:rsid wsp:val=&quot;00024BAD&quot;/&gt;&lt;wsp:rsid wsp:val=&quot;00025526&quot;/&gt;&lt;wsp:rsid wsp:val=&quot;0002623A&quot;/&gt;&lt;wsp:rsid wsp:val=&quot;000262D7&quot;/&gt;&lt;wsp:rsid wsp:val=&quot;0002637C&quot;/&gt;&lt;wsp:rsid wsp:val=&quot;0002690B&quot;/&gt;&lt;wsp:rsid wsp:val=&quot;00026B3C&quot;/&gt;&lt;wsp:rsid wsp:val=&quot;0002708F&quot;/&gt;&lt;wsp:rsid wsp:val=&quot;0003165E&quot;/&gt;&lt;wsp:rsid wsp:val=&quot;0003172F&quot;/&gt;&lt;wsp:rsid wsp:val=&quot;0003188D&quot;/&gt;&lt;wsp:rsid wsp:val=&quot;00031D66&quot;/&gt;&lt;wsp:rsid wsp:val=&quot;00031F5A&quot;/&gt;&lt;wsp:rsid wsp:val=&quot;000333B7&quot;/&gt;&lt;wsp:rsid wsp:val=&quot;00034880&quot;/&gt;&lt;wsp:rsid wsp:val=&quot;00034881&quot;/&gt;&lt;wsp:rsid wsp:val=&quot;000355F3&quot;/&gt;&lt;wsp:rsid wsp:val=&quot;0003581E&quot;/&gt;&lt;wsp:rsid wsp:val=&quot;000363A7&quot;/&gt;&lt;wsp:rsid wsp:val=&quot;000368BC&quot;/&gt;&lt;wsp:rsid wsp:val=&quot;000370F0&quot;/&gt;&lt;wsp:rsid wsp:val=&quot;00037309&quot;/&gt;&lt;wsp:rsid wsp:val=&quot;00037E96&quot;/&gt;&lt;wsp:rsid wsp:val=&quot;000400F4&quot;/&gt;&lt;wsp:rsid wsp:val=&quot;000407EF&quot;/&gt;&lt;wsp:rsid wsp:val=&quot;000408A6&quot;/&gt;&lt;wsp:rsid wsp:val=&quot;000408AB&quot;/&gt;&lt;wsp:rsid wsp:val=&quot;0004180C&quot;/&gt;&lt;wsp:rsid wsp:val=&quot;00041E3C&quot;/&gt;&lt;wsp:rsid wsp:val=&quot;00042180&quot;/&gt;&lt;wsp:rsid wsp:val=&quot;00042E92&quot;/&gt;&lt;wsp:rsid wsp:val=&quot;0004360D&quot;/&gt;&lt;wsp:rsid wsp:val=&quot;0004371E&quot;/&gt;&lt;wsp:rsid wsp:val=&quot;00043952&quot;/&gt;&lt;wsp:rsid wsp:val=&quot;00044DE2&quot;/&gt;&lt;wsp:rsid wsp:val=&quot;00045662&quot;/&gt;&lt;wsp:rsid wsp:val=&quot;00046772&quot;/&gt;&lt;wsp:rsid wsp:val=&quot;0004683B&quot;/&gt;&lt;wsp:rsid wsp:val=&quot;0004701E&quot;/&gt;&lt;wsp:rsid wsp:val=&quot;00050BF0&quot;/&gt;&lt;wsp:rsid wsp:val=&quot;00051A43&quot;/&gt;&lt;wsp:rsid wsp:val=&quot;000533F2&quot;/&gt;&lt;wsp:rsid wsp:val=&quot;000535D6&quot;/&gt;&lt;wsp:rsid wsp:val=&quot;00054EE6&quot;/&gt;&lt;wsp:rsid wsp:val=&quot;0005634C&quot;/&gt;&lt;wsp:rsid wsp:val=&quot;00056B61&quot;/&gt;&lt;wsp:rsid wsp:val=&quot;00057E6E&quot;/&gt;&lt;wsp:rsid wsp:val=&quot;000607AD&quot;/&gt;&lt;wsp:rsid wsp:val=&quot;0006125E&quot;/&gt;&lt;wsp:rsid wsp:val=&quot;00061796&quot;/&gt;&lt;wsp:rsid wsp:val=&quot;00061812&quot;/&gt;&lt;wsp:rsid wsp:val=&quot;00064956&quot;/&gt;&lt;wsp:rsid wsp:val=&quot;00064F3B&quot;/&gt;&lt;wsp:rsid wsp:val=&quot;00065A8F&quot;/&gt;&lt;wsp:rsid wsp:val=&quot;00065F29&quot;/&gt;&lt;wsp:rsid wsp:val=&quot;00070A09&quot;/&gt;&lt;wsp:rsid wsp:val=&quot;00070C7F&quot;/&gt;&lt;wsp:rsid wsp:val=&quot;00073CB1&quot;/&gt;&lt;wsp:rsid wsp:val=&quot;00074058&quot;/&gt;&lt;wsp:rsid wsp:val=&quot;00074AFD&quot;/&gt;&lt;wsp:rsid wsp:val=&quot;00074E15&quot;/&gt;&lt;wsp:rsid wsp:val=&quot;00075C0B&quot;/&gt;&lt;wsp:rsid wsp:val=&quot;00075F90&quot;/&gt;&lt;wsp:rsid wsp:val=&quot;00075FF9&quot;/&gt;&lt;wsp:rsid wsp:val=&quot;000763A0&quot;/&gt;&lt;wsp:rsid wsp:val=&quot;00076760&quot;/&gt;&lt;wsp:rsid wsp:val=&quot;00077C6E&quot;/&gt;&lt;wsp:rsid wsp:val=&quot;00077EBB&quot;/&gt;&lt;wsp:rsid wsp:val=&quot;0008028D&quot;/&gt;&lt;wsp:rsid wsp:val=&quot;00080AA2&quot;/&gt;&lt;wsp:rsid wsp:val=&quot;00080BDD&quot;/&gt;&lt;wsp:rsid wsp:val=&quot;0008159D&quot;/&gt;&lt;wsp:rsid wsp:val=&quot;00082D36&quot;/&gt;&lt;wsp:rsid wsp:val=&quot;0008396F&quot;/&gt;&lt;wsp:rsid wsp:val=&quot;00083C18&quot;/&gt;&lt;wsp:rsid wsp:val=&quot;0008442F&quot;/&gt;&lt;wsp:rsid wsp:val=&quot;000864D5&quot;/&gt;&lt;wsp:rsid wsp:val=&quot;00086CF7&quot;/&gt;&lt;wsp:rsid wsp:val=&quot;00087257&quot;/&gt;&lt;wsp:rsid wsp:val=&quot;00087498&quot;/&gt;&lt;wsp:rsid wsp:val=&quot;000877C8&quot;/&gt;&lt;wsp:rsid wsp:val=&quot;00087FE8&quot;/&gt;&lt;wsp:rsid wsp:val=&quot;00090424&quot;/&gt;&lt;wsp:rsid wsp:val=&quot;000909D8&quot;/&gt;&lt;wsp:rsid wsp:val=&quot;00090C5E&quot;/&gt;&lt;wsp:rsid wsp:val=&quot;000917E6&quot;/&gt;&lt;wsp:rsid wsp:val=&quot;00091B7C&quot;/&gt;&lt;wsp:rsid wsp:val=&quot;00092B59&quot;/&gt;&lt;wsp:rsid wsp:val=&quot;000930C4&quot;/&gt;&lt;wsp:rsid wsp:val=&quot;00093812&quot;/&gt;&lt;wsp:rsid wsp:val=&quot;000964A7&quot;/&gt;&lt;wsp:rsid wsp:val=&quot;000978C5&quot;/&gt;&lt;wsp:rsid wsp:val=&quot;000A08F1&quot;/&gt;&lt;wsp:rsid wsp:val=&quot;000A1217&quot;/&gt;&lt;wsp:rsid wsp:val=&quot;000A20E0&quot;/&gt;&lt;wsp:rsid wsp:val=&quot;000A2264&quot;/&gt;&lt;wsp:rsid wsp:val=&quot;000A38FB&quot;/&gt;&lt;wsp:rsid wsp:val=&quot;000A457D&quot;/&gt;&lt;wsp:rsid wsp:val=&quot;000A4F2C&quot;/&gt;&lt;wsp:rsid wsp:val=&quot;000A589B&quot;/&gt;&lt;wsp:rsid wsp:val=&quot;000A5F49&quot;/&gt;&lt;wsp:rsid wsp:val=&quot;000A64EA&quot;/&gt;&lt;wsp:rsid wsp:val=&quot;000A7A05&quot;/&gt;&lt;wsp:rsid wsp:val=&quot;000B1DD7&quot;/&gt;&lt;wsp:rsid wsp:val=&quot;000B34F4&quot;/&gt;&lt;wsp:rsid wsp:val=&quot;000B487E&quot;/&gt;&lt;wsp:rsid wsp:val=&quot;000B4973&quot;/&gt;&lt;wsp:rsid wsp:val=&quot;000B49B2&quot;/&gt;&lt;wsp:rsid wsp:val=&quot;000B4C16&quot;/&gt;&lt;wsp:rsid wsp:val=&quot;000B4EE4&quot;/&gt;&lt;wsp:rsid wsp:val=&quot;000B56C3&quot;/&gt;&lt;wsp:rsid wsp:val=&quot;000B69BE&quot;/&gt;&lt;wsp:rsid wsp:val=&quot;000B6AF4&quot;/&gt;&lt;wsp:rsid wsp:val=&quot;000C2528&quot;/&gt;&lt;wsp:rsid wsp:val=&quot;000C2696&quot;/&gt;&lt;wsp:rsid wsp:val=&quot;000C2B0E&quot;/&gt;&lt;wsp:rsid wsp:val=&quot;000C3650&quot;/&gt;&lt;wsp:rsid wsp:val=&quot;000C366B&quot;/&gt;&lt;wsp:rsid wsp:val=&quot;000C4235&quot;/&gt;&lt;wsp:rsid wsp:val=&quot;000C54D5&quot;/&gt;&lt;wsp:rsid wsp:val=&quot;000C57FB&quot;/&gt;&lt;wsp:rsid wsp:val=&quot;000C5E64&quot;/&gt;&lt;wsp:rsid wsp:val=&quot;000C6333&quot;/&gt;&lt;wsp:rsid wsp:val=&quot;000C64F8&quot;/&gt;&lt;wsp:rsid wsp:val=&quot;000D0338&quot;/&gt;&lt;wsp:rsid wsp:val=&quot;000D07AD&quot;/&gt;&lt;wsp:rsid wsp:val=&quot;000D08DB&quot;/&gt;&lt;wsp:rsid wsp:val=&quot;000D1088&quot;/&gt;&lt;wsp:rsid wsp:val=&quot;000D168E&quot;/&gt;&lt;wsp:rsid wsp:val=&quot;000D2F3D&quot;/&gt;&lt;wsp:rsid wsp:val=&quot;000D37FA&quot;/&gt;&lt;wsp:rsid wsp:val=&quot;000D6076&quot;/&gt;&lt;wsp:rsid wsp:val=&quot;000D7188&quot;/&gt;&lt;wsp:rsid wsp:val=&quot;000D7605&quot;/&gt;&lt;wsp:rsid wsp:val=&quot;000E0759&quot;/&gt;&lt;wsp:rsid wsp:val=&quot;000E0FF9&quot;/&gt;&lt;wsp:rsid wsp:val=&quot;000E37D9&quot;/&gt;&lt;wsp:rsid wsp:val=&quot;000E401E&quot;/&gt;&lt;wsp:rsid wsp:val=&quot;000E4700&quot;/&gt;&lt;wsp:rsid wsp:val=&quot;000E4DA3&quot;/&gt;&lt;wsp:rsid wsp:val=&quot;000E55BB&quot;/&gt;&lt;wsp:rsid wsp:val=&quot;000E5840&quot;/&gt;&lt;wsp:rsid wsp:val=&quot;000E5FD7&quot;/&gt;&lt;wsp:rsid wsp:val=&quot;000E68B4&quot;/&gt;&lt;wsp:rsid wsp:val=&quot;000E72E8&quot;/&gt;&lt;wsp:rsid wsp:val=&quot;000F03AE&quot;/&gt;&lt;wsp:rsid wsp:val=&quot;000F089B&quot;/&gt;&lt;wsp:rsid wsp:val=&quot;000F106C&quot;/&gt;&lt;wsp:rsid wsp:val=&quot;000F2649&quot;/&gt;&lt;wsp:rsid wsp:val=&quot;000F28E7&quot;/&gt;&lt;wsp:rsid wsp:val=&quot;000F39C8&quot;/&gt;&lt;wsp:rsid wsp:val=&quot;000F3B35&quot;/&gt;&lt;wsp:rsid wsp:val=&quot;000F3DB3&quot;/&gt;&lt;wsp:rsid wsp:val=&quot;000F508C&quot;/&gt;&lt;wsp:rsid wsp:val=&quot;000F53E1&quot;/&gt;&lt;wsp:rsid wsp:val=&quot;000F6B60&quot;/&gt;&lt;wsp:rsid wsp:val=&quot;00100E94&quot;/&gt;&lt;wsp:rsid wsp:val=&quot;0010109B&quot;/&gt;&lt;wsp:rsid wsp:val=&quot;00101299&quot;/&gt;&lt;wsp:rsid wsp:val=&quot;00102D42&quot;/&gt;&lt;wsp:rsid wsp:val=&quot;00102DA9&quot;/&gt;&lt;wsp:rsid wsp:val=&quot;00102EE0&quot;/&gt;&lt;wsp:rsid wsp:val=&quot;00103127&quot;/&gt;&lt;wsp:rsid wsp:val=&quot;001034EA&quot;/&gt;&lt;wsp:rsid wsp:val=&quot;00103B53&quot;/&gt;&lt;wsp:rsid wsp:val=&quot;001047B2&quot;/&gt;&lt;wsp:rsid wsp:val=&quot;00104C51&quot;/&gt;&lt;wsp:rsid wsp:val=&quot;00105B91&quot;/&gt;&lt;wsp:rsid wsp:val=&quot;00105BEB&quot;/&gt;&lt;wsp:rsid wsp:val=&quot;00106601&quot;/&gt;&lt;wsp:rsid wsp:val=&quot;00107554&quot;/&gt;&lt;wsp:rsid wsp:val=&quot;00107A60&quot;/&gt;&lt;wsp:rsid wsp:val=&quot;0011031F&quot;/&gt;&lt;wsp:rsid wsp:val=&quot;001103D2&quot;/&gt;&lt;wsp:rsid wsp:val=&quot;00110EB9&quot;/&gt;&lt;wsp:rsid wsp:val=&quot;00111636&quot;/&gt;&lt;wsp:rsid wsp:val=&quot;00111AC0&quot;/&gt;&lt;wsp:rsid wsp:val=&quot;001121D8&quot;/&gt;&lt;wsp:rsid wsp:val=&quot;00112217&quot;/&gt;&lt;wsp:rsid wsp:val=&quot;00112483&quot;/&gt;&lt;wsp:rsid wsp:val=&quot;00112B6C&quot;/&gt;&lt;wsp:rsid wsp:val=&quot;00113651&quot;/&gt;&lt;wsp:rsid wsp:val=&quot;001142E5&quot;/&gt;&lt;wsp:rsid wsp:val=&quot;001146BB&quot;/&gt;&lt;wsp:rsid wsp:val=&quot;001147D9&quot;/&gt;&lt;wsp:rsid wsp:val=&quot;00115ED6&quot;/&gt;&lt;wsp:rsid wsp:val=&quot;00116BC7&quot;/&gt;&lt;wsp:rsid wsp:val=&quot;00116F50&quot;/&gt;&lt;wsp:rsid wsp:val=&quot;001173B8&quot;/&gt;&lt;wsp:rsid wsp:val=&quot;00117F73&quot;/&gt;&lt;wsp:rsid wsp:val=&quot;00120383&quot;/&gt;&lt;wsp:rsid wsp:val=&quot;00120D7C&quot;/&gt;&lt;wsp:rsid wsp:val=&quot;00121C68&quot;/&gt;&lt;wsp:rsid wsp:val=&quot;001235CF&quot;/&gt;&lt;wsp:rsid wsp:val=&quot;00123A6C&quot;/&gt;&lt;wsp:rsid wsp:val=&quot;001241CD&quot;/&gt;&lt;wsp:rsid wsp:val=&quot;00125EC7&quot;/&gt;&lt;wsp:rsid wsp:val=&quot;0012609F&quot;/&gt;&lt;wsp:rsid wsp:val=&quot;00127F2B&quot;/&gt;&lt;wsp:rsid wsp:val=&quot;00130114&quot;/&gt;&lt;wsp:rsid wsp:val=&quot;0013076E&quot;/&gt;&lt;wsp:rsid wsp:val=&quot;00130B64&quot;/&gt;&lt;wsp:rsid wsp:val=&quot;00130E8C&quot;/&gt;&lt;wsp:rsid wsp:val=&quot;00131F6C&quot;/&gt;&lt;wsp:rsid wsp:val=&quot;00132836&quot;/&gt;&lt;wsp:rsid wsp:val=&quot;00133048&quot;/&gt;&lt;wsp:rsid wsp:val=&quot;00133949&quot;/&gt;&lt;wsp:rsid wsp:val=&quot;00135197&quot;/&gt;&lt;wsp:rsid wsp:val=&quot;00135B64&quot;/&gt;&lt;wsp:rsid wsp:val=&quot;001367F1&quot;/&gt;&lt;wsp:rsid wsp:val=&quot;0013719C&quot;/&gt;&lt;wsp:rsid wsp:val=&quot;001373F3&quot;/&gt;&lt;wsp:rsid wsp:val=&quot;001374BB&quot;/&gt;&lt;wsp:rsid wsp:val=&quot;001405F0&quot;/&gt;&lt;wsp:rsid wsp:val=&quot;0014082D&quot;/&gt;&lt;wsp:rsid wsp:val=&quot;00141038&quot;/&gt;&lt;wsp:rsid wsp:val=&quot;0014154B&quot;/&gt;&lt;wsp:rsid wsp:val=&quot;00141984&quot;/&gt;&lt;wsp:rsid wsp:val=&quot;00141E17&quot;/&gt;&lt;wsp:rsid wsp:val=&quot;00141EEB&quot;/&gt;&lt;wsp:rsid wsp:val=&quot;001421EA&quot;/&gt;&lt;wsp:rsid wsp:val=&quot;00142292&quot;/&gt;&lt;wsp:rsid wsp:val=&quot;001440A1&quot;/&gt;&lt;wsp:rsid wsp:val=&quot;001466ED&quot;/&gt;&lt;wsp:rsid wsp:val=&quot;001469B7&quot;/&gt;&lt;wsp:rsid wsp:val=&quot;00147BE4&quot;/&gt;&lt;wsp:rsid wsp:val=&quot;0015061D&quot;/&gt;&lt;wsp:rsid wsp:val=&quot;001508C4&quot;/&gt;&lt;wsp:rsid wsp:val=&quot;0015197D&quot;/&gt;&lt;wsp:rsid wsp:val=&quot;001523E9&quot;/&gt;&lt;wsp:rsid wsp:val=&quot;00152768&quot;/&gt;&lt;wsp:rsid wsp:val=&quot;001528FA&quot;/&gt;&lt;wsp:rsid wsp:val=&quot;00152B6D&quot;/&gt;&lt;wsp:rsid wsp:val=&quot;001532E7&quot;/&gt;&lt;wsp:rsid wsp:val=&quot;00153366&quot;/&gt;&lt;wsp:rsid wsp:val=&quot;001554B1&quot;/&gt;&lt;wsp:rsid wsp:val=&quot;00156550&quot;/&gt;&lt;wsp:rsid wsp:val=&quot;00156AA1&quot;/&gt;&lt;wsp:rsid wsp:val=&quot;00157B3E&quot;/&gt;&lt;wsp:rsid wsp:val=&quot;001611D0&quot;/&gt;&lt;wsp:rsid wsp:val=&quot;00162183&quot;/&gt;&lt;wsp:rsid wsp:val=&quot;00162845&quot;/&gt;&lt;wsp:rsid wsp:val=&quot;00162BD5&quot;/&gt;&lt;wsp:rsid wsp:val=&quot;001635E7&quot;/&gt;&lt;wsp:rsid wsp:val=&quot;001653F7&quot;/&gt;&lt;wsp:rsid wsp:val=&quot;00165B46&quot;/&gt;&lt;wsp:rsid wsp:val=&quot;00165FD3&quot;/&gt;&lt;wsp:rsid wsp:val=&quot;0016649E&quot;/&gt;&lt;wsp:rsid wsp:val=&quot;00166847&quot;/&gt;&lt;wsp:rsid wsp:val=&quot;0016733A&quot;/&gt;&lt;wsp:rsid wsp:val=&quot;001679DC&quot;/&gt;&lt;wsp:rsid wsp:val=&quot;00167AD0&quot;/&gt;&lt;wsp:rsid wsp:val=&quot;00171430&quot;/&gt;&lt;wsp:rsid wsp:val=&quot;00172401&quot;/&gt;&lt;wsp:rsid wsp:val=&quot;00172572&quot;/&gt;&lt;wsp:rsid wsp:val=&quot;00172F0A&quot;/&gt;&lt;wsp:rsid wsp:val=&quot;00172F4C&quot;/&gt;&lt;wsp:rsid wsp:val=&quot;00175205&quot;/&gt;&lt;wsp:rsid wsp:val=&quot;001774B1&quot;/&gt;&lt;wsp:rsid wsp:val=&quot;00177B4A&quot;/&gt;&lt;wsp:rsid wsp:val=&quot;0018367F&quot;/&gt;&lt;wsp:rsid wsp:val=&quot;00183C0F&quot;/&gt;&lt;wsp:rsid wsp:val=&quot;00185D25&quot;/&gt;&lt;wsp:rsid wsp:val=&quot;001873D2&quot;/&gt;&lt;wsp:rsid wsp:val=&quot;0019016D&quot;/&gt;&lt;wsp:rsid wsp:val=&quot;0019108E&quot;/&gt;&lt;wsp:rsid wsp:val=&quot;001910EB&quot;/&gt;&lt;wsp:rsid wsp:val=&quot;001916C6&quot;/&gt;&lt;wsp:rsid wsp:val=&quot;00191B64&quot;/&gt;&lt;wsp:rsid wsp:val=&quot;0019214B&quot;/&gt;&lt;wsp:rsid wsp:val=&quot;00192A2D&quot;/&gt;&lt;wsp:rsid wsp:val=&quot;00193742&quot;/&gt;&lt;wsp:rsid wsp:val=&quot;00193A8B&quot;/&gt;&lt;wsp:rsid wsp:val=&quot;00196E2A&quot;/&gt;&lt;wsp:rsid wsp:val=&quot;00197FB3&quot;/&gt;&lt;wsp:rsid wsp:val=&quot;001A0095&quot;/&gt;&lt;wsp:rsid wsp:val=&quot;001A018C&quot;/&gt;&lt;wsp:rsid wsp:val=&quot;001A1972&quot;/&gt;&lt;wsp:rsid wsp:val=&quot;001A26F3&quot;/&gt;&lt;wsp:rsid wsp:val=&quot;001A3A52&quot;/&gt;&lt;wsp:rsid wsp:val=&quot;001A5596&quot;/&gt;&lt;wsp:rsid wsp:val=&quot;001A581B&quot;/&gt;&lt;wsp:rsid wsp:val=&quot;001A5C74&quot;/&gt;&lt;wsp:rsid wsp:val=&quot;001A5CA5&quot;/&gt;&lt;wsp:rsid wsp:val=&quot;001A6E5E&quot;/&gt;&lt;wsp:rsid wsp:val=&quot;001A717A&quot;/&gt;&lt;wsp:rsid wsp:val=&quot;001A7265&quot;/&gt;&lt;wsp:rsid wsp:val=&quot;001A7B8D&quot;/&gt;&lt;wsp:rsid wsp:val=&quot;001A7E63&quot;/&gt;&lt;wsp:rsid wsp:val=&quot;001B0085&quot;/&gt;&lt;wsp:rsid wsp:val=&quot;001B1B8D&quot;/&gt;&lt;wsp:rsid wsp:val=&quot;001B1F70&quot;/&gt;&lt;wsp:rsid wsp:val=&quot;001B25A5&quot;/&gt;&lt;wsp:rsid wsp:val=&quot;001B2BA8&quot;/&gt;&lt;wsp:rsid wsp:val=&quot;001B50BD&quot;/&gt;&lt;wsp:rsid wsp:val=&quot;001B52F8&quot;/&gt;&lt;wsp:rsid wsp:val=&quot;001B5DDC&quot;/&gt;&lt;wsp:rsid wsp:val=&quot;001B755C&quot;/&gt;&lt;wsp:rsid wsp:val=&quot;001C0920&quot;/&gt;&lt;wsp:rsid wsp:val=&quot;001C1480&quot;/&gt;&lt;wsp:rsid wsp:val=&quot;001C1736&quot;/&gt;&lt;wsp:rsid wsp:val=&quot;001C20A5&quot;/&gt;&lt;wsp:rsid wsp:val=&quot;001C290B&quot;/&gt;&lt;wsp:rsid wsp:val=&quot;001C3A0D&quot;/&gt;&lt;wsp:rsid wsp:val=&quot;001C45F0&quot;/&gt;&lt;wsp:rsid wsp:val=&quot;001C6350&quot;/&gt;&lt;wsp:rsid wsp:val=&quot;001C67E3&quot;/&gt;&lt;wsp:rsid wsp:val=&quot;001C6E45&quot;/&gt;&lt;wsp:rsid wsp:val=&quot;001C777A&quot;/&gt;&lt;wsp:rsid wsp:val=&quot;001D047E&quot;/&gt;&lt;wsp:rsid wsp:val=&quot;001D081E&quot;/&gt;&lt;wsp:rsid wsp:val=&quot;001D0838&quot;/&gt;&lt;wsp:rsid wsp:val=&quot;001D0A77&quot;/&gt;&lt;wsp:rsid wsp:val=&quot;001D0EC1&quot;/&gt;&lt;wsp:rsid wsp:val=&quot;001D3440&quot;/&gt;&lt;wsp:rsid wsp:val=&quot;001D5301&quot;/&gt;&lt;wsp:rsid wsp:val=&quot;001D6606&quot;/&gt;&lt;wsp:rsid wsp:val=&quot;001D6CD5&quot;/&gt;&lt;wsp:rsid wsp:val=&quot;001D6FB8&quot;/&gt;&lt;wsp:rsid wsp:val=&quot;001D7950&quot;/&gt;&lt;wsp:rsid wsp:val=&quot;001E08A4&quot;/&gt;&lt;wsp:rsid wsp:val=&quot;001E128E&quot;/&gt;&lt;wsp:rsid wsp:val=&quot;001E17A1&quot;/&gt;&lt;wsp:rsid wsp:val=&quot;001E2F44&quot;/&gt;&lt;wsp:rsid wsp:val=&quot;001E30B2&quot;/&gt;&lt;wsp:rsid wsp:val=&quot;001E3279&quot;/&gt;&lt;wsp:rsid wsp:val=&quot;001E3E89&quot;/&gt;&lt;wsp:rsid wsp:val=&quot;001E42C4&quot;/&gt;&lt;wsp:rsid wsp:val=&quot;001E461F&quot;/&gt;&lt;wsp:rsid wsp:val=&quot;001E5821&quot;/&gt;&lt;wsp:rsid wsp:val=&quot;001E5E98&quot;/&gt;&lt;wsp:rsid wsp:val=&quot;001E7467&quot;/&gt;&lt;wsp:rsid wsp:val=&quot;001F09DB&quot;/&gt;&lt;wsp:rsid wsp:val=&quot;001F0B3E&quot;/&gt;&lt;wsp:rsid wsp:val=&quot;001F1A1C&quot;/&gt;&lt;wsp:rsid wsp:val=&quot;001F1A81&quot;/&gt;&lt;wsp:rsid wsp:val=&quot;001F2A1B&quot;/&gt;&lt;wsp:rsid wsp:val=&quot;001F339A&quot;/&gt;&lt;wsp:rsid wsp:val=&quot;001F3AAF&quot;/&gt;&lt;wsp:rsid wsp:val=&quot;001F4401&quot;/&gt;&lt;wsp:rsid wsp:val=&quot;001F531D&quot;/&gt;&lt;wsp:rsid wsp:val=&quot;001F56AD&quot;/&gt;&lt;wsp:rsid wsp:val=&quot;001F5F9E&quot;/&gt;&lt;wsp:rsid wsp:val=&quot;001F62CD&quot;/&gt;&lt;wsp:rsid wsp:val=&quot;001F6E1D&quot;/&gt;&lt;wsp:rsid wsp:val=&quot;001F7A51&quot;/&gt;&lt;wsp:rsid wsp:val=&quot;00200114&quot;/&gt;&lt;wsp:rsid wsp:val=&quot;00202547&quot;/&gt;&lt;wsp:rsid wsp:val=&quot;0020284C&quot;/&gt;&lt;wsp:rsid wsp:val=&quot;002031A3&quot;/&gt;&lt;wsp:rsid wsp:val=&quot;002048C5&quot;/&gt;&lt;wsp:rsid wsp:val=&quot;002049B5&quot;/&gt;&lt;wsp:rsid wsp:val=&quot;00205126&quot;/&gt;&lt;wsp:rsid wsp:val=&quot;002054AF&quot;/&gt;&lt;wsp:rsid wsp:val=&quot;002069AB&quot;/&gt;&lt;wsp:rsid wsp:val=&quot;0021064F&quot;/&gt;&lt;wsp:rsid wsp:val=&quot;00210F97&quot;/&gt;&lt;wsp:rsid wsp:val=&quot;002143D5&quot;/&gt;&lt;wsp:rsid wsp:val=&quot;00214737&quot;/&gt;&lt;wsp:rsid wsp:val=&quot;00214AE9&quot;/&gt;&lt;wsp:rsid wsp:val=&quot;00214C21&quot;/&gt;&lt;wsp:rsid wsp:val=&quot;00214CBA&quot;/&gt;&lt;wsp:rsid wsp:val=&quot;00215913&quot;/&gt;&lt;wsp:rsid wsp:val=&quot;00216726&quot;/&gt;&lt;wsp:rsid wsp:val=&quot;002169F3&quot;/&gt;&lt;wsp:rsid wsp:val=&quot;0021704F&quot;/&gt;&lt;wsp:rsid wsp:val=&quot;002175FC&quot;/&gt;&lt;wsp:rsid wsp:val=&quot;002206F6&quot;/&gt;&lt;wsp:rsid wsp:val=&quot;00220B1A&quot;/&gt;&lt;wsp:rsid wsp:val=&quot;00221715&quot;/&gt;&lt;wsp:rsid wsp:val=&quot;00221927&quot;/&gt;&lt;wsp:rsid wsp:val=&quot;0022225B&quot;/&gt;&lt;wsp:rsid wsp:val=&quot;002225CE&quot;/&gt;&lt;wsp:rsid wsp:val=&quot;00222F51&quot;/&gt;&lt;wsp:rsid wsp:val=&quot;00223A7A&quot;/&gt;&lt;wsp:rsid wsp:val=&quot;00227340&quot;/&gt;&lt;wsp:rsid wsp:val=&quot;002275C6&quot;/&gt;&lt;wsp:rsid wsp:val=&quot;002313B6&quot;/&gt;&lt;wsp:rsid wsp:val=&quot;002322A3&quot;/&gt;&lt;wsp:rsid wsp:val=&quot;00232642&quot;/&gt;&lt;wsp:rsid wsp:val=&quot;00233736&quot;/&gt;&lt;wsp:rsid wsp:val=&quot;00234497&quot;/&gt;&lt;wsp:rsid wsp:val=&quot;002344D7&quot;/&gt;&lt;wsp:rsid wsp:val=&quot;00234587&quot;/&gt;&lt;wsp:rsid wsp:val=&quot;00235031&quot;/&gt;&lt;wsp:rsid wsp:val=&quot;00235121&quot;/&gt;&lt;wsp:rsid wsp:val=&quot;00235496&quot;/&gt;&lt;wsp:rsid wsp:val=&quot;0023591D&quot;/&gt;&lt;wsp:rsid wsp:val=&quot;00237D7A&quot;/&gt;&lt;wsp:rsid wsp:val=&quot;00240263&quot;/&gt;&lt;wsp:rsid wsp:val=&quot;00240582&quot;/&gt;&lt;wsp:rsid wsp:val=&quot;00240D6F&quot;/&gt;&lt;wsp:rsid wsp:val=&quot;002410A6&quot;/&gt;&lt;wsp:rsid wsp:val=&quot;00242005&quot;/&gt;&lt;wsp:rsid wsp:val=&quot;00242177&quot;/&gt;&lt;wsp:rsid wsp:val=&quot;002421F8&quot;/&gt;&lt;wsp:rsid wsp:val=&quot;002435F4&quot;/&gt;&lt;wsp:rsid wsp:val=&quot;00243A36&quot;/&gt;&lt;wsp:rsid wsp:val=&quot;00243BAF&quot;/&gt;&lt;wsp:rsid wsp:val=&quot;0024531A&quot;/&gt;&lt;wsp:rsid wsp:val=&quot;00245C9D&quot;/&gt;&lt;wsp:rsid wsp:val=&quot;00245D36&quot;/&gt;&lt;wsp:rsid wsp:val=&quot;00245E1F&quot;/&gt;&lt;wsp:rsid wsp:val=&quot;00245EF6&quot;/&gt;&lt;wsp:rsid wsp:val=&quot;002460D6&quot;/&gt;&lt;wsp:rsid wsp:val=&quot;00246770&quot;/&gt;&lt;wsp:rsid wsp:val=&quot;0024718C&quot;/&gt;&lt;wsp:rsid wsp:val=&quot;002476CB&quot;/&gt;&lt;wsp:rsid wsp:val=&quot;00251FFD&quot;/&gt;&lt;wsp:rsid wsp:val=&quot;00252503&quot;/&gt;&lt;wsp:rsid wsp:val=&quot;0025273D&quot;/&gt;&lt;wsp:rsid wsp:val=&quot;00253ED6&quot;/&gt;&lt;wsp:rsid wsp:val=&quot;00254796&quot;/&gt;&lt;wsp:rsid wsp:val=&quot;002549BE&quot;/&gt;&lt;wsp:rsid wsp:val=&quot;00254EE7&quot;/&gt;&lt;wsp:rsid wsp:val=&quot;002550F7&quot;/&gt;&lt;wsp:rsid wsp:val=&quot;002569CB&quot;/&gt;&lt;wsp:rsid wsp:val=&quot;00257338&quot;/&gt;&lt;wsp:rsid wsp:val=&quot;00257427&quot;/&gt;&lt;wsp:rsid wsp:val=&quot;0025744B&quot;/&gt;&lt;wsp:rsid wsp:val=&quot;00257C57&quot;/&gt;&lt;wsp:rsid wsp:val=&quot;00260279&quot;/&gt;&lt;wsp:rsid wsp:val=&quot;002604C1&quot;/&gt;&lt;wsp:rsid wsp:val=&quot;00260538&quot;/&gt;&lt;wsp:rsid wsp:val=&quot;00260D0A&quot;/&gt;&lt;wsp:rsid wsp:val=&quot;00262177&quot;/&gt;&lt;wsp:rsid wsp:val=&quot;00262BF8&quot;/&gt;&lt;wsp:rsid wsp:val=&quot;0026364A&quot;/&gt;&lt;wsp:rsid wsp:val=&quot;00264B7E&quot;/&gt;&lt;wsp:rsid wsp:val=&quot;00265568&quot;/&gt;&lt;wsp:rsid wsp:val=&quot;00266219&quot;/&gt;&lt;wsp:rsid wsp:val=&quot;0026645C&quot;/&gt;&lt;wsp:rsid wsp:val=&quot;002666B9&quot;/&gt;&lt;wsp:rsid wsp:val=&quot;002666CC&quot;/&gt;&lt;wsp:rsid wsp:val=&quot;002677D6&quot;/&gt;&lt;wsp:rsid wsp:val=&quot;00270172&quot;/&gt;&lt;wsp:rsid wsp:val=&quot;00270802&quot;/&gt;&lt;wsp:rsid wsp:val=&quot;00270FE3&quot;/&gt;&lt;wsp:rsid wsp:val=&quot;002715FB&quot;/&gt;&lt;wsp:rsid wsp:val=&quot;0027304F&quot;/&gt;&lt;wsp:rsid wsp:val=&quot;002732D6&quot;/&gt;&lt;wsp:rsid wsp:val=&quot;00273916&quot;/&gt;&lt;wsp:rsid wsp:val=&quot;00274080&quot;/&gt;&lt;wsp:rsid wsp:val=&quot;00275000&quot;/&gt;&lt;wsp:rsid wsp:val=&quot;0027520C&quot;/&gt;&lt;wsp:rsid wsp:val=&quot;002764BD&quot;/&gt;&lt;wsp:rsid wsp:val=&quot;00276B4E&quot;/&gt;&lt;wsp:rsid wsp:val=&quot;002772BC&quot;/&gt;&lt;wsp:rsid wsp:val=&quot;00277A25&quot;/&gt;&lt;wsp:rsid wsp:val=&quot;0028000E&quot;/&gt;&lt;wsp:rsid wsp:val=&quot;00280889&quot;/&gt;&lt;wsp:rsid wsp:val=&quot;00281B3A&quot;/&gt;&lt;wsp:rsid wsp:val=&quot;00282755&quot;/&gt;&lt;wsp:rsid wsp:val=&quot;00282A5A&quot;/&gt;&lt;wsp:rsid wsp:val=&quot;00282D41&quot;/&gt;&lt;wsp:rsid wsp:val=&quot;00282D61&quot;/&gt;&lt;wsp:rsid wsp:val=&quot;00283BAB&quot;/&gt;&lt;wsp:rsid wsp:val=&quot;00283FD5&quot;/&gt;&lt;wsp:rsid wsp:val=&quot;002857BA&quot;/&gt;&lt;wsp:rsid wsp:val=&quot;0028643E&quot;/&gt;&lt;wsp:rsid wsp:val=&quot;00286759&quot;/&gt;&lt;wsp:rsid wsp:val=&quot;002873DA&quot;/&gt;&lt;wsp:rsid wsp:val=&quot;00290F19&quot;/&gt;&lt;wsp:rsid wsp:val=&quot;00292312&quot;/&gt;&lt;wsp:rsid wsp:val=&quot;0029231B&quot;/&gt;&lt;wsp:rsid wsp:val=&quot;00293998&quot;/&gt;&lt;wsp:rsid wsp:val=&quot;00295FB0&quot;/&gt;&lt;wsp:rsid wsp:val=&quot;0029646D&quot;/&gt;&lt;wsp:rsid wsp:val=&quot;00296E97&quot;/&gt;&lt;wsp:rsid wsp:val=&quot;002978EC&quot;/&gt;&lt;wsp:rsid wsp:val=&quot;00297925&quot;/&gt;&lt;wsp:rsid wsp:val=&quot;002A0A7E&quot;/&gt;&lt;wsp:rsid wsp:val=&quot;002A0E07&quot;/&gt;&lt;wsp:rsid wsp:val=&quot;002A1D0E&quot;/&gt;&lt;wsp:rsid wsp:val=&quot;002A2CC2&quot;/&gt;&lt;wsp:rsid wsp:val=&quot;002A2D71&quot;/&gt;&lt;wsp:rsid wsp:val=&quot;002A3B7E&quot;/&gt;&lt;wsp:rsid wsp:val=&quot;002A4724&quot;/&gt;&lt;wsp:rsid wsp:val=&quot;002A4E8F&quot;/&gt;&lt;wsp:rsid wsp:val=&quot;002A56F9&quot;/&gt;&lt;wsp:rsid wsp:val=&quot;002A6069&quot;/&gt;&lt;wsp:rsid wsp:val=&quot;002A654A&quot;/&gt;&lt;wsp:rsid wsp:val=&quot;002A77B9&quot;/&gt;&lt;wsp:rsid wsp:val=&quot;002B0590&quot;/&gt;&lt;wsp:rsid wsp:val=&quot;002B3A99&quot;/&gt;&lt;wsp:rsid wsp:val=&quot;002B3F77&quot;/&gt;&lt;wsp:rsid wsp:val=&quot;002B4274&quot;/&gt;&lt;wsp:rsid wsp:val=&quot;002B428A&quot;/&gt;&lt;wsp:rsid wsp:val=&quot;002B4AE6&quot;/&gt;&lt;wsp:rsid wsp:val=&quot;002B5F10&quot;/&gt;&lt;wsp:rsid wsp:val=&quot;002B60E9&quot;/&gt;&lt;wsp:rsid wsp:val=&quot;002B64F5&quot;/&gt;&lt;wsp:rsid wsp:val=&quot;002B78C4&quot;/&gt;&lt;wsp:rsid wsp:val=&quot;002B7B67&quot;/&gt;&lt;wsp:rsid wsp:val=&quot;002C0A39&quot;/&gt;&lt;wsp:rsid wsp:val=&quot;002C2F1A&quot;/&gt;&lt;wsp:rsid wsp:val=&quot;002C37F1&quot;/&gt;&lt;wsp:rsid wsp:val=&quot;002C3A74&quot;/&gt;&lt;wsp:rsid wsp:val=&quot;002C4A0B&quot;/&gt;&lt;wsp:rsid wsp:val=&quot;002C4F40&quot;/&gt;&lt;wsp:rsid wsp:val=&quot;002C5281&quot;/&gt;&lt;wsp:rsid wsp:val=&quot;002C56F0&quot;/&gt;&lt;wsp:rsid wsp:val=&quot;002C582D&quot;/&gt;&lt;wsp:rsid wsp:val=&quot;002C5D48&quot;/&gt;&lt;wsp:rsid wsp:val=&quot;002D13D7&quot;/&gt;&lt;wsp:rsid wsp:val=&quot;002D1968&quot;/&gt;&lt;wsp:rsid wsp:val=&quot;002D27D5&quot;/&gt;&lt;wsp:rsid wsp:val=&quot;002D4110&quot;/&gt;&lt;wsp:rsid wsp:val=&quot;002D4431&quot;/&gt;&lt;wsp:rsid wsp:val=&quot;002D5946&quot;/&gt;&lt;wsp:rsid wsp:val=&quot;002D5F40&quot;/&gt;&lt;wsp:rsid wsp:val=&quot;002D5FBE&quot;/&gt;&lt;wsp:rsid wsp:val=&quot;002D7D84&quot;/&gt;&lt;wsp:rsid wsp:val=&quot;002E06A9&quot;/&gt;&lt;wsp:rsid wsp:val=&quot;002E073D&quot;/&gt;&lt;wsp:rsid wsp:val=&quot;002E1CFC&quot;/&gt;&lt;wsp:rsid wsp:val=&quot;002E3138&quot;/&gt;&lt;wsp:rsid wsp:val=&quot;002E585E&quot;/&gt;&lt;wsp:rsid wsp:val=&quot;002E5A26&quot;/&gt;&lt;wsp:rsid wsp:val=&quot;002E7317&quot;/&gt;&lt;wsp:rsid wsp:val=&quot;002E7EEE&quot;/&gt;&lt;wsp:rsid wsp:val=&quot;002F0B7D&quot;/&gt;&lt;wsp:rsid wsp:val=&quot;002F1652&quot;/&gt;&lt;wsp:rsid wsp:val=&quot;002F3446&quot;/&gt;&lt;wsp:rsid wsp:val=&quot;002F4007&quot;/&gt;&lt;wsp:rsid wsp:val=&quot;002F48BA&quot;/&gt;&lt;wsp:rsid wsp:val=&quot;002F57AA&quot;/&gt;&lt;wsp:rsid wsp:val=&quot;002F61E2&quot;/&gt;&lt;wsp:rsid wsp:val=&quot;002F6E06&quot;/&gt;&lt;wsp:rsid wsp:val=&quot;002F79B9&quot;/&gt;&lt;wsp:rsid wsp:val=&quot;002F7F8D&quot;/&gt;&lt;wsp:rsid wsp:val=&quot;0030184C&quot;/&gt;&lt;wsp:rsid wsp:val=&quot;00301BC2&quot;/&gt;&lt;wsp:rsid wsp:val=&quot;00302F7A&quot;/&gt;&lt;wsp:rsid wsp:val=&quot;00303332&quot;/&gt;&lt;wsp:rsid wsp:val=&quot;00303D87&quot;/&gt;&lt;wsp:rsid wsp:val=&quot;0030706C&quot;/&gt;&lt;wsp:rsid wsp:val=&quot;00310DF4&quot;/&gt;&lt;wsp:rsid wsp:val=&quot;0031101A&quot;/&gt;&lt;wsp:rsid wsp:val=&quot;0031283E&quot;/&gt;&lt;wsp:rsid wsp:val=&quot;0031310C&quot;/&gt;&lt;wsp:rsid wsp:val=&quot;00313A45&quot;/&gt;&lt;wsp:rsid wsp:val=&quot;00313E49&quot;/&gt;&lt;wsp:rsid wsp:val=&quot;00314123&quot;/&gt;&lt;wsp:rsid wsp:val=&quot;003142ED&quot;/&gt;&lt;wsp:rsid wsp:val=&quot;003170E0&quot;/&gt;&lt;wsp:rsid wsp:val=&quot;00317888&quot;/&gt;&lt;wsp:rsid wsp:val=&quot;00317D2E&quot;/&gt;&lt;wsp:rsid wsp:val=&quot;003207DB&quot;/&gt;&lt;wsp:rsid wsp:val=&quot;003219A7&quot;/&gt;&lt;wsp:rsid wsp:val=&quot;00321A63&quot;/&gt;&lt;wsp:rsid wsp:val=&quot;00322808&quot;/&gt;&lt;wsp:rsid wsp:val=&quot;00323791&quot;/&gt;&lt;wsp:rsid wsp:val=&quot;00323EDF&quot;/&gt;&lt;wsp:rsid wsp:val=&quot;0032417A&quot;/&gt;&lt;wsp:rsid wsp:val=&quot;003244B0&quot;/&gt;&lt;wsp:rsid wsp:val=&quot;00324B17&quot;/&gt;&lt;wsp:rsid wsp:val=&quot;003257DA&quot;/&gt;&lt;wsp:rsid wsp:val=&quot;003263BD&quot;/&gt;&lt;wsp:rsid wsp:val=&quot;003263CC&quot;/&gt;&lt;wsp:rsid wsp:val=&quot;00326638&quot;/&gt;&lt;wsp:rsid wsp:val=&quot;0032678E&quot;/&gt;&lt;wsp:rsid wsp:val=&quot;003277BE&quot;/&gt;&lt;wsp:rsid wsp:val=&quot;00327ACB&quot;/&gt;&lt;wsp:rsid wsp:val=&quot;00330E85&quot;/&gt;&lt;wsp:rsid wsp:val=&quot;00331054&quot;/&gt;&lt;wsp:rsid wsp:val=&quot;003314C1&quot;/&gt;&lt;wsp:rsid wsp:val=&quot;003317B3&quot;/&gt;&lt;wsp:rsid wsp:val=&quot;00331F83&quot;/&gt;&lt;wsp:rsid wsp:val=&quot;003332C5&quot;/&gt;&lt;wsp:rsid wsp:val=&quot;00334A0A&quot;/&gt;&lt;wsp:rsid wsp:val=&quot;00340397&quot;/&gt;&lt;wsp:rsid wsp:val=&quot;0034088C&quot;/&gt;&lt;wsp:rsid wsp:val=&quot;003420D3&quot;/&gt;&lt;wsp:rsid wsp:val=&quot;00342FDB&quot;/&gt;&lt;wsp:rsid wsp:val=&quot;00343022&quot;/&gt;&lt;wsp:rsid wsp:val=&quot;00343D1A&quot;/&gt;&lt;wsp:rsid wsp:val=&quot;00344FF9&quot;/&gt;&lt;wsp:rsid wsp:val=&quot;003465E9&quot;/&gt;&lt;wsp:rsid wsp:val=&quot;00346636&quot;/&gt;&lt;wsp:rsid wsp:val=&quot;00346BFC&quot;/&gt;&lt;wsp:rsid wsp:val=&quot;00347631&quot;/&gt;&lt;wsp:rsid wsp:val=&quot;00350446&quot;/&gt;&lt;wsp:rsid wsp:val=&quot;003506D2&quot;/&gt;&lt;wsp:rsid wsp:val=&quot;003507FE&quot;/&gt;&lt;wsp:rsid wsp:val=&quot;003509C3&quot;/&gt;&lt;wsp:rsid wsp:val=&quot;00351A52&quot;/&gt;&lt;wsp:rsid wsp:val=&quot;00351BF3&quot;/&gt;&lt;wsp:rsid wsp:val=&quot;003521CC&quot;/&gt;&lt;wsp:rsid wsp:val=&quot;00352E2D&quot;/&gt;&lt;wsp:rsid wsp:val=&quot;003537B3&quot;/&gt;&lt;wsp:rsid wsp:val=&quot;00353D32&quot;/&gt;&lt;wsp:rsid wsp:val=&quot;0035408F&quot;/&gt;&lt;wsp:rsid wsp:val=&quot;003540E8&quot;/&gt;&lt;wsp:rsid wsp:val=&quot;0035503F&quot;/&gt;&lt;wsp:rsid wsp:val=&quot;003550EF&quot;/&gt;&lt;wsp:rsid wsp:val=&quot;003571BA&quot;/&gt;&lt;wsp:rsid wsp:val=&quot;00357518&quot;/&gt;&lt;wsp:rsid wsp:val=&quot;003578D8&quot;/&gt;&lt;wsp:rsid wsp:val=&quot;00360142&quot;/&gt;&lt;wsp:rsid wsp:val=&quot;00363716&quot;/&gt;&lt;wsp:rsid wsp:val=&quot;003639E9&quot;/&gt;&lt;wsp:rsid wsp:val=&quot;003644C8&quot;/&gt;&lt;wsp:rsid wsp:val=&quot;00365D36&quot;/&gt;&lt;wsp:rsid wsp:val=&quot;00366A05&quot;/&gt;&lt;wsp:rsid wsp:val=&quot;0036750A&quot;/&gt;&lt;wsp:rsid wsp:val=&quot;00370770&quot;/&gt;&lt;wsp:rsid wsp:val=&quot;00370909&quot;/&gt;&lt;wsp:rsid wsp:val=&quot;00370FD1&quot;/&gt;&lt;wsp:rsid wsp:val=&quot;0037341F&quot;/&gt;&lt;wsp:rsid wsp:val=&quot;00374057&quot;/&gt;&lt;wsp:rsid wsp:val=&quot;0037434F&quot;/&gt;&lt;wsp:rsid wsp:val=&quot;003764B7&quot;/&gt;&lt;wsp:rsid wsp:val=&quot;00377AE0&quot;/&gt;&lt;wsp:rsid wsp:val=&quot;00377B22&quot;/&gt;&lt;wsp:rsid wsp:val=&quot;00380A43&quot;/&gt;&lt;wsp:rsid wsp:val=&quot;00380AD2&quot;/&gt;&lt;wsp:rsid wsp:val=&quot;00381804&quot;/&gt;&lt;wsp:rsid wsp:val=&quot;00381859&quot;/&gt;&lt;wsp:rsid wsp:val=&quot;00382B61&quot;/&gt;&lt;wsp:rsid wsp:val=&quot;00382F7E&quot;/&gt;&lt;wsp:rsid wsp:val=&quot;00383A42&quot;/&gt;&lt;wsp:rsid wsp:val=&quot;00384D13&quot;/&gt;&lt;wsp:rsid wsp:val=&quot;003851CC&quot;/&gt;&lt;wsp:rsid wsp:val=&quot;00385D65&quot;/&gt;&lt;wsp:rsid wsp:val=&quot;00385F07&quot;/&gt;&lt;wsp:rsid wsp:val=&quot;00386053&quot;/&gt;&lt;wsp:rsid wsp:val=&quot;00386E2B&quot;/&gt;&lt;wsp:rsid wsp:val=&quot;00387509&quot;/&gt;&lt;wsp:rsid wsp:val=&quot;0039121B&quot;/&gt;&lt;wsp:rsid wsp:val=&quot;00391507&quot;/&gt;&lt;wsp:rsid wsp:val=&quot;00391B1A&quot;/&gt;&lt;wsp:rsid wsp:val=&quot;0039272D&quot;/&gt;&lt;wsp:rsid wsp:val=&quot;003932E9&quot;/&gt;&lt;wsp:rsid wsp:val=&quot;0039336D&quot;/&gt;&lt;wsp:rsid wsp:val=&quot;00393FA9&quot;/&gt;&lt;wsp:rsid wsp:val=&quot;00394873&quot;/&gt;&lt;wsp:rsid wsp:val=&quot;00394AF3&quot;/&gt;&lt;wsp:rsid wsp:val=&quot;00394F1C&quot;/&gt;&lt;wsp:rsid wsp:val=&quot;003950C1&quot;/&gt;&lt;wsp:rsid wsp:val=&quot;00395C88&quot;/&gt;&lt;wsp:rsid wsp:val=&quot;003967DC&quot;/&gt;&lt;wsp:rsid wsp:val=&quot;003970EA&quot;/&gt;&lt;wsp:rsid wsp:val=&quot;0039743F&quot;/&gt;&lt;wsp:rsid wsp:val=&quot;00397738&quot;/&gt;&lt;wsp:rsid wsp:val=&quot;00397FA1&quot;/&gt;&lt;wsp:rsid wsp:val=&quot;003A0212&quot;/&gt;&lt;wsp:rsid wsp:val=&quot;003A09E0&quot;/&gt;&lt;wsp:rsid wsp:val=&quot;003A25E1&quot;/&gt;&lt;wsp:rsid wsp:val=&quot;003A360B&quot;/&gt;&lt;wsp:rsid wsp:val=&quot;003A4833&quot;/&gt;&lt;wsp:rsid wsp:val=&quot;003A4B29&quot;/&gt;&lt;wsp:rsid wsp:val=&quot;003A4D06&quot;/&gt;&lt;wsp:rsid wsp:val=&quot;003A572E&quot;/&gt;&lt;wsp:rsid wsp:val=&quot;003A5779&quot;/&gt;&lt;wsp:rsid wsp:val=&quot;003A6725&quot;/&gt;&lt;wsp:rsid wsp:val=&quot;003A6FFE&quot;/&gt;&lt;wsp:rsid wsp:val=&quot;003A79F4&quot;/&gt;&lt;wsp:rsid wsp:val=&quot;003B158C&quot;/&gt;&lt;wsp:rsid wsp:val=&quot;003B189D&quot;/&gt;&lt;wsp:rsid wsp:val=&quot;003B2833&quot;/&gt;&lt;wsp:rsid wsp:val=&quot;003B3B90&quot;/&gt;&lt;wsp:rsid wsp:val=&quot;003B51C5&quot;/&gt;&lt;wsp:rsid wsp:val=&quot;003B54F9&quot;/&gt;&lt;wsp:rsid wsp:val=&quot;003B609A&quot;/&gt;&lt;wsp:rsid wsp:val=&quot;003B60E9&quot;/&gt;&lt;wsp:rsid wsp:val=&quot;003B63DC&quot;/&gt;&lt;wsp:rsid wsp:val=&quot;003B693C&quot;/&gt;&lt;wsp:rsid wsp:val=&quot;003B7213&quot;/&gt;&lt;wsp:rsid wsp:val=&quot;003C0BE2&quot;/&gt;&lt;wsp:rsid wsp:val=&quot;003C1AF6&quot;/&gt;&lt;wsp:rsid wsp:val=&quot;003C1C40&quot;/&gt;&lt;wsp:rsid wsp:val=&quot;003C2147&quot;/&gt;&lt;wsp:rsid wsp:val=&quot;003C2EB8&quot;/&gt;&lt;wsp:rsid wsp:val=&quot;003C3B77&quot;/&gt;&lt;wsp:rsid wsp:val=&quot;003C40E6&quot;/&gt;&lt;wsp:rsid wsp:val=&quot;003C50BE&quot;/&gt;&lt;wsp:rsid wsp:val=&quot;003D0ACC&quot;/&gt;&lt;wsp:rsid wsp:val=&quot;003D0B08&quot;/&gt;&lt;wsp:rsid wsp:val=&quot;003D0B6D&quot;/&gt;&lt;wsp:rsid wsp:val=&quot;003D0F0E&quot;/&gt;&lt;wsp:rsid wsp:val=&quot;003D1354&quot;/&gt;&lt;wsp:rsid wsp:val=&quot;003D14C5&quot;/&gt;&lt;wsp:rsid wsp:val=&quot;003D1A4E&quot;/&gt;&lt;wsp:rsid wsp:val=&quot;003D1B55&quot;/&gt;&lt;wsp:rsid wsp:val=&quot;003D274E&quot;/&gt;&lt;wsp:rsid wsp:val=&quot;003D284F&quot;/&gt;&lt;wsp:rsid wsp:val=&quot;003D2D27&quot;/&gt;&lt;wsp:rsid wsp:val=&quot;003D3A93&quot;/&gt;&lt;wsp:rsid wsp:val=&quot;003D4752&quot;/&gt;&lt;wsp:rsid wsp:val=&quot;003D4D51&quot;/&gt;&lt;wsp:rsid wsp:val=&quot;003D5C3E&quot;/&gt;&lt;wsp:rsid wsp:val=&quot;003D623F&quot;/&gt;&lt;wsp:rsid wsp:val=&quot;003D6CDC&quot;/&gt;&lt;wsp:rsid wsp:val=&quot;003D7EFC&quot;/&gt;&lt;wsp:rsid wsp:val=&quot;003E060F&quot;/&gt;&lt;wsp:rsid wsp:val=&quot;003E1A69&quot;/&gt;&lt;wsp:rsid wsp:val=&quot;003E1A78&quot;/&gt;&lt;wsp:rsid wsp:val=&quot;003E1B2E&quot;/&gt;&lt;wsp:rsid wsp:val=&quot;003E24D3&quot;/&gt;&lt;wsp:rsid wsp:val=&quot;003E30C8&quot;/&gt;&lt;wsp:rsid wsp:val=&quot;003E3136&quot;/&gt;&lt;wsp:rsid wsp:val=&quot;003E3454&quot;/&gt;&lt;wsp:rsid wsp:val=&quot;003E38F9&quot;/&gt;&lt;wsp:rsid wsp:val=&quot;003E4288&quot;/&gt;&lt;wsp:rsid wsp:val=&quot;003E4E57&quot;/&gt;&lt;wsp:rsid wsp:val=&quot;003E4F2E&quot;/&gt;&lt;wsp:rsid wsp:val=&quot;003E533C&quot;/&gt;&lt;wsp:rsid wsp:val=&quot;003E56E7&quot;/&gt;&lt;wsp:rsid wsp:val=&quot;003E612A&quot;/&gt;&lt;wsp:rsid wsp:val=&quot;003E6CDE&quot;/&gt;&lt;wsp:rsid wsp:val=&quot;003E6D6E&quot;/&gt;&lt;wsp:rsid wsp:val=&quot;003E70A8&quot;/&gt;&lt;wsp:rsid wsp:val=&quot;003E7A02&quot;/&gt;&lt;wsp:rsid wsp:val=&quot;003E7C6D&quot;/&gt;&lt;wsp:rsid wsp:val=&quot;003F16EF&quot;/&gt;&lt;wsp:rsid wsp:val=&quot;003F2B68&quot;/&gt;&lt;wsp:rsid wsp:val=&quot;003F35A4&quot;/&gt;&lt;wsp:rsid wsp:val=&quot;003F386C&quot;/&gt;&lt;wsp:rsid wsp:val=&quot;003F3AD4&quot;/&gt;&lt;wsp:rsid wsp:val=&quot;003F434C&quot;/&gt;&lt;wsp:rsid wsp:val=&quot;003F4E8E&quot;/&gt;&lt;wsp:rsid wsp:val=&quot;003F5510&quot;/&gt;&lt;wsp:rsid wsp:val=&quot;003F5BE8&quot;/&gt;&lt;wsp:rsid wsp:val=&quot;003F74AC&quot;/&gt;&lt;wsp:rsid wsp:val=&quot;003F7869&quot;/&gt;&lt;wsp:rsid wsp:val=&quot;00400A7B&quot;/&gt;&lt;wsp:rsid wsp:val=&quot;00400B8A&quot;/&gt;&lt;wsp:rsid wsp:val=&quot;004012C2&quot;/&gt;&lt;wsp:rsid wsp:val=&quot;00402008&quot;/&gt;&lt;wsp:rsid wsp:val=&quot;00402585&quot;/&gt;&lt;wsp:rsid wsp:val=&quot;00402987&quot;/&gt;&lt;wsp:rsid wsp:val=&quot;004032B0&quot;/&gt;&lt;wsp:rsid wsp:val=&quot;00403F02&quot;/&gt;&lt;wsp:rsid wsp:val=&quot;00404569&quot;/&gt;&lt;wsp:rsid wsp:val=&quot;00404587&quot;/&gt;&lt;wsp:rsid wsp:val=&quot;00404726&quot;/&gt;&lt;wsp:rsid wsp:val=&quot;00405D43&quot;/&gt;&lt;wsp:rsid wsp:val=&quot;004061FB&quot;/&gt;&lt;wsp:rsid wsp:val=&quot;00406210&quot;/&gt;&lt;wsp:rsid wsp:val=&quot;00406481&quot;/&gt;&lt;wsp:rsid wsp:val=&quot;004120C0&quot;/&gt;&lt;wsp:rsid wsp:val=&quot;00413635&quot;/&gt;&lt;wsp:rsid wsp:val=&quot;004145CD&quot;/&gt;&lt;wsp:rsid wsp:val=&quot;00416121&quot;/&gt;&lt;wsp:rsid wsp:val=&quot;00417486&quot;/&gt;&lt;wsp:rsid wsp:val=&quot;00417AB5&quot;/&gt;&lt;wsp:rsid wsp:val=&quot;004206D0&quot;/&gt;&lt;wsp:rsid wsp:val=&quot;00420D39&quot;/&gt;&lt;wsp:rsid wsp:val=&quot;004212FF&quot;/&gt;&lt;wsp:rsid wsp:val=&quot;004216B8&quot;/&gt;&lt;wsp:rsid wsp:val=&quot;00422094&quot;/&gt;&lt;wsp:rsid wsp:val=&quot;004231CE&quot;/&gt;&lt;wsp:rsid wsp:val=&quot;00423947&quot;/&gt;&lt;wsp:rsid wsp:val=&quot;004249D3&quot;/&gt;&lt;wsp:rsid wsp:val=&quot;00424FCD&quot;/&gt;&lt;wsp:rsid wsp:val=&quot;0042514F&quot;/&gt;&lt;wsp:rsid wsp:val=&quot;0042605F&quot;/&gt;&lt;wsp:rsid wsp:val=&quot;00430C6D&quot;/&gt;&lt;wsp:rsid wsp:val=&quot;0043112E&quot;/&gt;&lt;wsp:rsid wsp:val=&quot;00431536&quot;/&gt;&lt;wsp:rsid wsp:val=&quot;00431F04&quot;/&gt;&lt;wsp:rsid wsp:val=&quot;00432862&quot;/&gt;&lt;wsp:rsid wsp:val=&quot;004334C2&quot;/&gt;&lt;wsp:rsid wsp:val=&quot;004335F4&quot;/&gt;&lt;wsp:rsid wsp:val=&quot;0043486D&quot;/&gt;&lt;wsp:rsid wsp:val=&quot;00435771&quot;/&gt;&lt;wsp:rsid wsp:val=&quot;00435DBA&quot;/&gt;&lt;wsp:rsid wsp:val=&quot;00435F22&quot;/&gt;&lt;wsp:rsid wsp:val=&quot;00436C04&quot;/&gt;&lt;wsp:rsid wsp:val=&quot;004373B5&quot;/&gt;&lt;wsp:rsid wsp:val=&quot;00440990&quot;/&gt;&lt;wsp:rsid wsp:val=&quot;00441070&quot;/&gt;&lt;wsp:rsid wsp:val=&quot;004417FD&quot;/&gt;&lt;wsp:rsid wsp:val=&quot;004419C4&quot;/&gt;&lt;wsp:rsid wsp:val=&quot;00444014&quot;/&gt;&lt;wsp:rsid wsp:val=&quot;00444A86&quot;/&gt;&lt;wsp:rsid wsp:val=&quot;00444AAD&quot;/&gt;&lt;wsp:rsid wsp:val=&quot;004452E3&quot;/&gt;&lt;wsp:rsid wsp:val=&quot;00446DC6&quot;/&gt;&lt;wsp:rsid wsp:val=&quot;0044764C&quot;/&gt;&lt;wsp:rsid wsp:val=&quot;00447689&quot;/&gt;&lt;wsp:rsid wsp:val=&quot;00447BF7&quot;/&gt;&lt;wsp:rsid wsp:val=&quot;00450023&quot;/&gt;&lt;wsp:rsid wsp:val=&quot;004517FD&quot;/&gt;&lt;wsp:rsid wsp:val=&quot;00452229&quot;/&gt;&lt;wsp:rsid wsp:val=&quot;00456146&quot;/&gt;&lt;wsp:rsid wsp:val=&quot;004574FA&quot;/&gt;&lt;wsp:rsid wsp:val=&quot;004611F5&quot;/&gt;&lt;wsp:rsid wsp:val=&quot;0046229E&quot;/&gt;&lt;wsp:rsid wsp:val=&quot;0046269A&quot;/&gt;&lt;wsp:rsid wsp:val=&quot;00463A88&quot;/&gt;&lt;wsp:rsid wsp:val=&quot;004678DA&quot;/&gt;&lt;wsp:rsid wsp:val=&quot;004679D2&quot;/&gt;&lt;wsp:rsid wsp:val=&quot;00470342&quot;/&gt;&lt;wsp:rsid wsp:val=&quot;00470D0A&quot;/&gt;&lt;wsp:rsid wsp:val=&quot;00471498&quot;/&gt;&lt;wsp:rsid wsp:val=&quot;00472CE4&quot;/&gt;&lt;wsp:rsid wsp:val=&quot;0047399E&quot;/&gt;&lt;wsp:rsid wsp:val=&quot;00474109&quot;/&gt;&lt;wsp:rsid wsp:val=&quot;004744B5&quot;/&gt;&lt;wsp:rsid wsp:val=&quot;00474FE4&quot;/&gt;&lt;wsp:rsid wsp:val=&quot;0047533E&quot;/&gt;&lt;wsp:rsid wsp:val=&quot;004757A2&quot;/&gt;&lt;wsp:rsid wsp:val=&quot;00475DC4&quot;/&gt;&lt;wsp:rsid wsp:val=&quot;00475EE5&quot;/&gt;&lt;wsp:rsid wsp:val=&quot;00477187&quot;/&gt;&lt;wsp:rsid wsp:val=&quot;004774DA&quot;/&gt;&lt;wsp:rsid wsp:val=&quot;00477983&quot;/&gt;&lt;wsp:rsid wsp:val=&quot;004800C4&quot;/&gt;&lt;wsp:rsid wsp:val=&quot;00482239&quot;/&gt;&lt;wsp:rsid wsp:val=&quot;00482B9E&quot;/&gt;&lt;wsp:rsid wsp:val=&quot;00483178&quot;/&gt;&lt;wsp:rsid wsp:val=&quot;00483187&quot;/&gt;&lt;wsp:rsid wsp:val=&quot;0048350E&quot;/&gt;&lt;wsp:rsid wsp:val=&quot;00484AB6&quot;/&gt;&lt;wsp:rsid wsp:val=&quot;004865D1&quot;/&gt;&lt;wsp:rsid wsp:val=&quot;0048662D&quot;/&gt;&lt;wsp:rsid wsp:val=&quot;00486AC3&quot;/&gt;&lt;wsp:rsid wsp:val=&quot;004908BA&quot;/&gt;&lt;wsp:rsid wsp:val=&quot;0049186D&quot;/&gt;&lt;wsp:rsid wsp:val=&quot;00491E25&quot;/&gt;&lt;wsp:rsid wsp:val=&quot;00492D2B&quot;/&gt;&lt;wsp:rsid wsp:val=&quot;00493451&quot;/&gt;&lt;wsp:rsid wsp:val=&quot;00495972&quot;/&gt;&lt;wsp:rsid wsp:val=&quot;0049675B&quot;/&gt;&lt;wsp:rsid wsp:val=&quot;00497EC8&quot;/&gt;&lt;wsp:rsid wsp:val=&quot;004A00C2&quot;/&gt;&lt;wsp:rsid wsp:val=&quot;004A0124&quot;/&gt;&lt;wsp:rsid wsp:val=&quot;004A0475&quot;/&gt;&lt;wsp:rsid wsp:val=&quot;004A08A6&quot;/&gt;&lt;wsp:rsid wsp:val=&quot;004A1158&quot;/&gt;&lt;wsp:rsid wsp:val=&quot;004A1486&quot;/&gt;&lt;wsp:rsid wsp:val=&quot;004A1836&quot;/&gt;&lt;wsp:rsid wsp:val=&quot;004A279F&quot;/&gt;&lt;wsp:rsid wsp:val=&quot;004A2C40&quot;/&gt;&lt;wsp:rsid wsp:val=&quot;004A55E7&quot;/&gt;&lt;wsp:rsid wsp:val=&quot;004A579C&quot;/&gt;&lt;wsp:rsid wsp:val=&quot;004A7FF1&quot;/&gt;&lt;wsp:rsid wsp:val=&quot;004B0B9D&quot;/&gt;&lt;wsp:rsid wsp:val=&quot;004B1B88&quot;/&gt;&lt;wsp:rsid wsp:val=&quot;004B2AEE&quot;/&gt;&lt;wsp:rsid wsp:val=&quot;004B2E1C&quot;/&gt;&lt;wsp:rsid wsp:val=&quot;004B3375&quot;/&gt;&lt;wsp:rsid wsp:val=&quot;004B3A2D&quot;/&gt;&lt;wsp:rsid wsp:val=&quot;004B3E46&quot;/&gt;&lt;wsp:rsid wsp:val=&quot;004B5DA6&quot;/&gt;&lt;wsp:rsid wsp:val=&quot;004B5E90&quot;/&gt;&lt;wsp:rsid wsp:val=&quot;004B70AC&quot;/&gt;&lt;wsp:rsid wsp:val=&quot;004B7701&quot;/&gt;&lt;wsp:rsid wsp:val=&quot;004B78B4&quot;/&gt;&lt;wsp:rsid wsp:val=&quot;004B7C8F&quot;/&gt;&lt;wsp:rsid wsp:val=&quot;004C03BF&quot;/&gt;&lt;wsp:rsid wsp:val=&quot;004C094F&quot;/&gt;&lt;wsp:rsid wsp:val=&quot;004C15AA&quot;/&gt;&lt;wsp:rsid wsp:val=&quot;004C20AE&quot;/&gt;&lt;wsp:rsid wsp:val=&quot;004C2251&quot;/&gt;&lt;wsp:rsid wsp:val=&quot;004C2459&quot;/&gt;&lt;wsp:rsid wsp:val=&quot;004C390C&quot;/&gt;&lt;wsp:rsid wsp:val=&quot;004C431E&quot;/&gt;&lt;wsp:rsid wsp:val=&quot;004C48B5&quot;/&gt;&lt;wsp:rsid wsp:val=&quot;004C5044&quot;/&gt;&lt;wsp:rsid wsp:val=&quot;004C5918&quot;/&gt;&lt;wsp:rsid wsp:val=&quot;004C6325&quot;/&gt;&lt;wsp:rsid wsp:val=&quot;004C68F6&quot;/&gt;&lt;wsp:rsid wsp:val=&quot;004C6B5B&quot;/&gt;&lt;wsp:rsid wsp:val=&quot;004C6C07&quot;/&gt;&lt;wsp:rsid wsp:val=&quot;004C6D17&quot;/&gt;&lt;wsp:rsid wsp:val=&quot;004C702A&quot;/&gt;&lt;wsp:rsid wsp:val=&quot;004C75C6&quot;/&gt;&lt;wsp:rsid wsp:val=&quot;004C7D37&quot;/&gt;&lt;wsp:rsid wsp:val=&quot;004D0846&quot;/&gt;&lt;wsp:rsid wsp:val=&quot;004D0D2D&quot;/&gt;&lt;wsp:rsid wsp:val=&quot;004D11F4&quot;/&gt;&lt;wsp:rsid wsp:val=&quot;004D3592&quot;/&gt;&lt;wsp:rsid wsp:val=&quot;004D4718&quot;/&gt;&lt;wsp:rsid wsp:val=&quot;004D7FA4&quot;/&gt;&lt;wsp:rsid wsp:val=&quot;004E08A2&quot;/&gt;&lt;wsp:rsid wsp:val=&quot;004E0C50&quot;/&gt;&lt;wsp:rsid wsp:val=&quot;004E17A4&quot;/&gt;&lt;wsp:rsid wsp:val=&quot;004E3086&quot;/&gt;&lt;wsp:rsid wsp:val=&quot;004E3712&quot;/&gt;&lt;wsp:rsid wsp:val=&quot;004E3C9A&quot;/&gt;&lt;wsp:rsid wsp:val=&quot;004F0ABC&quot;/&gt;&lt;wsp:rsid wsp:val=&quot;004F2E30&quot;/&gt;&lt;wsp:rsid wsp:val=&quot;004F3B8F&quot;/&gt;&lt;wsp:rsid wsp:val=&quot;004F4C91&quot;/&gt;&lt;wsp:rsid wsp:val=&quot;004F540D&quot;/&gt;&lt;wsp:rsid wsp:val=&quot;004F6266&quot;/&gt;&lt;wsp:rsid wsp:val=&quot;004F7F3D&quot;/&gt;&lt;wsp:rsid wsp:val=&quot;005001FF&quot;/&gt;&lt;wsp:rsid wsp:val=&quot;00500C00&quot;/&gt;&lt;wsp:rsid wsp:val=&quot;00501FB9&quot;/&gt;&lt;wsp:rsid wsp:val=&quot;0050217C&quot;/&gt;&lt;wsp:rsid wsp:val=&quot;00503A8F&quot;/&gt;&lt;wsp:rsid wsp:val=&quot;00503CDF&quot;/&gt;&lt;wsp:rsid wsp:val=&quot;00503DB0&quot;/&gt;&lt;wsp:rsid wsp:val=&quot;00504C7C&quot;/&gt;&lt;wsp:rsid wsp:val=&quot;00504CEE&quot;/&gt;&lt;wsp:rsid wsp:val=&quot;0050582C&quot;/&gt;&lt;wsp:rsid wsp:val=&quot;00506897&quot;/&gt;&lt;wsp:rsid wsp:val=&quot;005072B0&quot;/&gt;&lt;wsp:rsid wsp:val=&quot;00507B74&quot;/&gt;&lt;wsp:rsid wsp:val=&quot;00511725&quot;/&gt;&lt;wsp:rsid wsp:val=&quot;005124FF&quot;/&gt;&lt;wsp:rsid wsp:val=&quot;005127EF&quot;/&gt;&lt;wsp:rsid wsp:val=&quot;00512BF2&quot;/&gt;&lt;wsp:rsid wsp:val=&quot;005132EA&quot;/&gt;&lt;wsp:rsid wsp:val=&quot;005142DF&quot;/&gt;&lt;wsp:rsid wsp:val=&quot;00514698&quot;/&gt;&lt;wsp:rsid wsp:val=&quot;00514E77&quot;/&gt;&lt;wsp:rsid wsp:val=&quot;00514FF5&quot;/&gt;&lt;wsp:rsid wsp:val=&quot;00515035&quot;/&gt;&lt;wsp:rsid wsp:val=&quot;00520A12&quot;/&gt;&lt;wsp:rsid wsp:val=&quot;00521B73&quot;/&gt;&lt;wsp:rsid wsp:val=&quot;00522227&quot;/&gt;&lt;wsp:rsid wsp:val=&quot;00524C57&quot;/&gt;&lt;wsp:rsid wsp:val=&quot;005271A7&quot;/&gt;&lt;wsp:rsid wsp:val=&quot;00527287&quot;/&gt;&lt;wsp:rsid wsp:val=&quot;005274EF&quot;/&gt;&lt;wsp:rsid wsp:val=&quot;005274FA&quot;/&gt;&lt;wsp:rsid wsp:val=&quot;00527E29&quot;/&gt;&lt;wsp:rsid wsp:val=&quot;00527E81&quot;/&gt;&lt;wsp:rsid wsp:val=&quot;00531A0F&quot;/&gt;&lt;wsp:rsid wsp:val=&quot;00533564&quot;/&gt;&lt;wsp:rsid wsp:val=&quot;00534245&quot;/&gt;&lt;wsp:rsid wsp:val=&quot;005344B9&quot;/&gt;&lt;wsp:rsid wsp:val=&quot;00534700&quot;/&gt;&lt;wsp:rsid wsp:val=&quot;005360BF&quot;/&gt;&lt;wsp:rsid wsp:val=&quot;0053640C&quot;/&gt;&lt;wsp:rsid wsp:val=&quot;005379F1&quot;/&gt;&lt;wsp:rsid wsp:val=&quot;00540395&quot;/&gt;&lt;wsp:rsid wsp:val=&quot;00542758&quot;/&gt;&lt;wsp:rsid wsp:val=&quot;005427E0&quot;/&gt;&lt;wsp:rsid wsp:val=&quot;005431DE&quot;/&gt;&lt;wsp:rsid wsp:val=&quot;005432B8&quot;/&gt;&lt;wsp:rsid wsp:val=&quot;005433B5&quot;/&gt;&lt;wsp:rsid wsp:val=&quot;00543667&quot;/&gt;&lt;wsp:rsid wsp:val=&quot;00544431&quot;/&gt;&lt;wsp:rsid wsp:val=&quot;00546BFF&quot;/&gt;&lt;wsp:rsid wsp:val=&quot;00550B0E&quot;/&gt;&lt;wsp:rsid wsp:val=&quot;00551E57&quot;/&gt;&lt;wsp:rsid wsp:val=&quot;00553D19&quot;/&gt;&lt;wsp:rsid wsp:val=&quot;0055441F&quot;/&gt;&lt;wsp:rsid wsp:val=&quot;005556EE&quot;/&gt;&lt;wsp:rsid wsp:val=&quot;00555AF7&quot;/&gt;&lt;wsp:rsid wsp:val=&quot;00556299&quot;/&gt;&lt;wsp:rsid wsp:val=&quot;00556566&quot;/&gt;&lt;wsp:rsid wsp:val=&quot;00556A1E&quot;/&gt;&lt;wsp:rsid wsp:val=&quot;005572CB&quot;/&gt;&lt;wsp:rsid wsp:val=&quot;005600B4&quot;/&gt;&lt;wsp:rsid wsp:val=&quot;0056067C&quot;/&gt;&lt;wsp:rsid wsp:val=&quot;00562236&quot;/&gt;&lt;wsp:rsid wsp:val=&quot;00563F14&quot;/&gt;&lt;wsp:rsid wsp:val=&quot;00564667&quot;/&gt;&lt;wsp:rsid wsp:val=&quot;005649FA&quot;/&gt;&lt;wsp:rsid wsp:val=&quot;0056622F&quot;/&gt;&lt;wsp:rsid wsp:val=&quot;005676DA&quot;/&gt;&lt;wsp:rsid wsp:val=&quot;00571890&quot;/&gt;&lt;wsp:rsid wsp:val=&quot;00571E81&quot;/&gt;&lt;wsp:rsid wsp:val=&quot;005726AF&quot;/&gt;&lt;wsp:rsid wsp:val=&quot;005730D3&quot;/&gt;&lt;wsp:rsid wsp:val=&quot;00573B9B&quot;/&gt;&lt;wsp:rsid wsp:val=&quot;00573F24&quot;/&gt;&lt;wsp:rsid wsp:val=&quot;005741C6&quot;/&gt;&lt;wsp:rsid wsp:val=&quot;005744E3&quot;/&gt;&lt;wsp:rsid wsp:val=&quot;005749DD&quot;/&gt;&lt;wsp:rsid wsp:val=&quot;00576F20&quot;/&gt;&lt;wsp:rsid wsp:val=&quot;0058157A&quot;/&gt;&lt;wsp:rsid wsp:val=&quot;005815C3&quot;/&gt;&lt;wsp:rsid wsp:val=&quot;00581902&quot;/&gt;&lt;wsp:rsid wsp:val=&quot;005819AE&quot;/&gt;&lt;wsp:rsid wsp:val=&quot;00582411&quot;/&gt;&lt;wsp:rsid wsp:val=&quot;005829AE&quot;/&gt;&lt;wsp:rsid wsp:val=&quot;00582D1A&quot;/&gt;&lt;wsp:rsid wsp:val=&quot;00582D94&quot;/&gt;&lt;wsp:rsid wsp:val=&quot;0058368C&quot;/&gt;&lt;wsp:rsid wsp:val=&quot;00585DC9&quot;/&gt;&lt;wsp:rsid wsp:val=&quot;0058605B&quot;/&gt;&lt;wsp:rsid wsp:val=&quot;00586184&quot;/&gt;&lt;wsp:rsid wsp:val=&quot;00586894&quot;/&gt;&lt;wsp:rsid wsp:val=&quot;00586ACA&quot;/&gt;&lt;wsp:rsid wsp:val=&quot;00587188&quot;/&gt;&lt;wsp:rsid wsp:val=&quot;00587363&quot;/&gt;&lt;wsp:rsid wsp:val=&quot;005909F9&quot;/&gt;&lt;wsp:rsid wsp:val=&quot;00592CED&quot;/&gt;&lt;wsp:rsid wsp:val=&quot;00592E32&quot;/&gt;&lt;wsp:rsid wsp:val=&quot;00593405&quot;/&gt;&lt;wsp:rsid wsp:val=&quot;00596C4F&quot;/&gt;&lt;wsp:rsid wsp:val=&quot;00596DB3&quot;/&gt;&lt;wsp:rsid wsp:val=&quot;00596EDC&quot;/&gt;&lt;wsp:rsid wsp:val=&quot;00597770&quot;/&gt;&lt;wsp:rsid wsp:val=&quot;00597C88&quot;/&gt;&lt;wsp:rsid wsp:val=&quot;005A0093&quot;/&gt;&lt;wsp:rsid wsp:val=&quot;005A03B9&quot;/&gt;&lt;wsp:rsid wsp:val=&quot;005A0517&quot;/&gt;&lt;wsp:rsid wsp:val=&quot;005A0D23&quot;/&gt;&lt;wsp:rsid wsp:val=&quot;005A1706&quot;/&gt;&lt;wsp:rsid wsp:val=&quot;005A1B4A&quot;/&gt;&lt;wsp:rsid wsp:val=&quot;005A2345&quot;/&gt;&lt;wsp:rsid wsp:val=&quot;005A2976&quot;/&gt;&lt;wsp:rsid wsp:val=&quot;005A35D0&quot;/&gt;&lt;wsp:rsid wsp:val=&quot;005A3670&quot;/&gt;&lt;wsp:rsid wsp:val=&quot;005A37C5&quot;/&gt;&lt;wsp:rsid wsp:val=&quot;005A3C34&quot;/&gt;&lt;wsp:rsid wsp:val=&quot;005A3DAC&quot;/&gt;&lt;wsp:rsid wsp:val=&quot;005A6050&quot;/&gt;&lt;wsp:rsid wsp:val=&quot;005A6632&quot;/&gt;&lt;wsp:rsid wsp:val=&quot;005A722A&quot;/&gt;&lt;wsp:rsid wsp:val=&quot;005A7DDA&quot;/&gt;&lt;wsp:rsid wsp:val=&quot;005B0C5B&quot;/&gt;&lt;wsp:rsid wsp:val=&quot;005B0FCB&quot;/&gt;&lt;wsp:rsid wsp:val=&quot;005B1323&quot;/&gt;&lt;wsp:rsid wsp:val=&quot;005B16BA&quot;/&gt;&lt;wsp:rsid wsp:val=&quot;005B1A9F&quot;/&gt;&lt;wsp:rsid wsp:val=&quot;005B1D8A&quot;/&gt;&lt;wsp:rsid wsp:val=&quot;005B2584&quot;/&gt;&lt;wsp:rsid wsp:val=&quot;005B37D7&quot;/&gt;&lt;wsp:rsid wsp:val=&quot;005B634D&quot;/&gt;&lt;wsp:rsid wsp:val=&quot;005B73CA&quot;/&gt;&lt;wsp:rsid wsp:val=&quot;005B7EB9&quot;/&gt;&lt;wsp:rsid wsp:val=&quot;005C1448&quot;/&gt;&lt;wsp:rsid wsp:val=&quot;005C1DB3&quot;/&gt;&lt;wsp:rsid wsp:val=&quot;005C3143&quot;/&gt;&lt;wsp:rsid wsp:val=&quot;005C32AF&quot;/&gt;&lt;wsp:rsid wsp:val=&quot;005C4529&quot;/&gt;&lt;wsp:rsid wsp:val=&quot;005C4787&quot;/&gt;&lt;wsp:rsid wsp:val=&quot;005C6407&quot;/&gt;&lt;wsp:rsid wsp:val=&quot;005C7D4E&quot;/&gt;&lt;wsp:rsid wsp:val=&quot;005C7E1E&quot;/&gt;&lt;wsp:rsid wsp:val=&quot;005D11CC&quot;/&gt;&lt;wsp:rsid wsp:val=&quot;005D240E&quot;/&gt;&lt;wsp:rsid wsp:val=&quot;005D2869&quot;/&gt;&lt;wsp:rsid wsp:val=&quot;005D2F2F&quot;/&gt;&lt;wsp:rsid wsp:val=&quot;005D3327&quot;/&gt;&lt;wsp:rsid wsp:val=&quot;005D3476&quot;/&gt;&lt;wsp:rsid wsp:val=&quot;005D3F9B&quot;/&gt;&lt;wsp:rsid wsp:val=&quot;005D4BE8&quot;/&gt;&lt;wsp:rsid wsp:val=&quot;005D4E1D&quot;/&gt;&lt;wsp:rsid wsp:val=&quot;005D5BAF&quot;/&gt;&lt;wsp:rsid wsp:val=&quot;005E11D5&quot;/&gt;&lt;wsp:rsid wsp:val=&quot;005E1558&quot;/&gt;&lt;wsp:rsid wsp:val=&quot;005E1AAF&quot;/&gt;&lt;wsp:rsid wsp:val=&quot;005E286C&quot;/&gt;&lt;wsp:rsid wsp:val=&quot;005E2BAD&quot;/&gt;&lt;wsp:rsid wsp:val=&quot;005E34FA&quot;/&gt;&lt;wsp:rsid wsp:val=&quot;005E37B7&quot;/&gt;&lt;wsp:rsid wsp:val=&quot;005E388B&quot;/&gt;&lt;wsp:rsid wsp:val=&quot;005E45DB&quot;/&gt;&lt;wsp:rsid wsp:val=&quot;005E49C1&quot;/&gt;&lt;wsp:rsid wsp:val=&quot;005E4E5E&quot;/&gt;&lt;wsp:rsid wsp:val=&quot;005E56ED&quot;/&gt;&lt;wsp:rsid wsp:val=&quot;005E6608&quot;/&gt;&lt;wsp:rsid wsp:val=&quot;005E6D40&quot;/&gt;&lt;wsp:rsid wsp:val=&quot;005E7505&quot;/&gt;&lt;wsp:rsid wsp:val=&quot;005E7CE0&quot;/&gt;&lt;wsp:rsid wsp:val=&quot;005F08A7&quot;/&gt;&lt;wsp:rsid wsp:val=&quot;005F0E85&quot;/&gt;&lt;wsp:rsid wsp:val=&quot;005F130E&quot;/&gt;&lt;wsp:rsid wsp:val=&quot;005F1433&quot;/&gt;&lt;wsp:rsid wsp:val=&quot;005F1705&quot;/&gt;&lt;wsp:rsid wsp:val=&quot;005F1747&quot;/&gt;&lt;wsp:rsid wsp:val=&quot;005F2511&quot;/&gt;&lt;wsp:rsid wsp:val=&quot;005F423C&quot;/&gt;&lt;wsp:rsid wsp:val=&quot;005F4ABF&quot;/&gt;&lt;wsp:rsid wsp:val=&quot;005F5071&quot;/&gt;&lt;wsp:rsid wsp:val=&quot;005F5BD3&quot;/&gt;&lt;wsp:rsid wsp:val=&quot;005F5C9C&quot;/&gt;&lt;wsp:rsid wsp:val=&quot;005F5E07&quot;/&gt;&lt;wsp:rsid wsp:val=&quot;005F663D&quot;/&gt;&lt;wsp:rsid wsp:val=&quot;005F6B82&quot;/&gt;&lt;wsp:rsid wsp:val=&quot;005F7471&quot;/&gt;&lt;wsp:rsid wsp:val=&quot;005F7F65&quot;/&gt;&lt;wsp:rsid wsp:val=&quot;006011B9&quot;/&gt;&lt;wsp:rsid wsp:val=&quot;00602B30&quot;/&gt;&lt;wsp:rsid wsp:val=&quot;006038DB&quot;/&gt;&lt;wsp:rsid wsp:val=&quot;00603AC2&quot;/&gt;&lt;wsp:rsid wsp:val=&quot;00603DB5&quot;/&gt;&lt;wsp:rsid wsp:val=&quot;00604012&quot;/&gt;&lt;wsp:rsid wsp:val=&quot;006049C7&quot;/&gt;&lt;wsp:rsid wsp:val=&quot;00604E44&quot;/&gt;&lt;wsp:rsid wsp:val=&quot;00606312&quot;/&gt;&lt;wsp:rsid wsp:val=&quot;006066CE&quot;/&gt;&lt;wsp:rsid wsp:val=&quot;006066D6&quot;/&gt;&lt;wsp:rsid wsp:val=&quot;0060723D&quot;/&gt;&lt;wsp:rsid wsp:val=&quot;0060752E&quot;/&gt;&lt;wsp:rsid wsp:val=&quot;006077AC&quot;/&gt;&lt;wsp:rsid wsp:val=&quot;00607BD8&quot;/&gt;&lt;wsp:rsid wsp:val=&quot;006109E0&quot;/&gt;&lt;wsp:rsid wsp:val=&quot;00610A76&quot;/&gt;&lt;wsp:rsid wsp:val=&quot;00611E04&quot;/&gt;&lt;wsp:rsid wsp:val=&quot;00611F42&quot;/&gt;&lt;wsp:rsid wsp:val=&quot;00611F7A&quot;/&gt;&lt;wsp:rsid wsp:val=&quot;00612B6F&quot;/&gt;&lt;wsp:rsid wsp:val=&quot;00613B3D&quot;/&gt;&lt;wsp:rsid wsp:val=&quot;006151B1&quot;/&gt;&lt;wsp:rsid wsp:val=&quot;00616946&quot;/&gt;&lt;wsp:rsid wsp:val=&quot;00620469&quot;/&gt;&lt;wsp:rsid wsp:val=&quot;006204E1&quot;/&gt;&lt;wsp:rsid wsp:val=&quot;00620A22&quot;/&gt;&lt;wsp:rsid wsp:val=&quot;00621211&quot;/&gt;&lt;wsp:rsid wsp:val=&quot;00621BB7&quot;/&gt;&lt;wsp:rsid wsp:val=&quot;00622871&quot;/&gt;&lt;wsp:rsid wsp:val=&quot;00622FC6&quot;/&gt;&lt;wsp:rsid wsp:val=&quot;00623326&quot;/&gt;&lt;wsp:rsid wsp:val=&quot;00623A74&quot;/&gt;&lt;wsp:rsid wsp:val=&quot;00623BF5&quot;/&gt;&lt;wsp:rsid wsp:val=&quot;00623C4B&quot;/&gt;&lt;wsp:rsid wsp:val=&quot;00623EFC&quot;/&gt;&lt;wsp:rsid wsp:val=&quot;0062456B&quot;/&gt;&lt;wsp:rsid wsp:val=&quot;00624D6C&quot;/&gt;&lt;wsp:rsid wsp:val=&quot;006258AA&quot;/&gt;&lt;wsp:rsid wsp:val=&quot;00626825&quot;/&gt;&lt;wsp:rsid wsp:val=&quot;00626FA2&quot;/&gt;&lt;wsp:rsid wsp:val=&quot;006279DB&quot;/&gt;&lt;wsp:rsid wsp:val=&quot;00627B32&quot;/&gt;&lt;wsp:rsid wsp:val=&quot;00627C6C&quot;/&gt;&lt;wsp:rsid wsp:val=&quot;00627DAC&quot;/&gt;&lt;wsp:rsid wsp:val=&quot;00630C1C&quot;/&gt;&lt;wsp:rsid wsp:val=&quot;00630C75&quot;/&gt;&lt;wsp:rsid wsp:val=&quot;00630D4F&quot;/&gt;&lt;wsp:rsid wsp:val=&quot;006313D8&quot;/&gt;&lt;wsp:rsid wsp:val=&quot;0063141A&quot;/&gt;&lt;wsp:rsid wsp:val=&quot;006318F3&quot;/&gt;&lt;wsp:rsid wsp:val=&quot;00632207&quot;/&gt;&lt;wsp:rsid wsp:val=&quot;0063280A&quot;/&gt;&lt;wsp:rsid wsp:val=&quot;00634B4C&quot;/&gt;&lt;wsp:rsid wsp:val=&quot;00634C90&quot;/&gt;&lt;wsp:rsid wsp:val=&quot;00635F70&quot;/&gt;&lt;wsp:rsid wsp:val=&quot;00637122&quot;/&gt;&lt;wsp:rsid wsp:val=&quot;006400D3&quot;/&gt;&lt;wsp:rsid wsp:val=&quot;0064029A&quot;/&gt;&lt;wsp:rsid wsp:val=&quot;00640614&quot;/&gt;&lt;wsp:rsid wsp:val=&quot;006411BF&quot;/&gt;&lt;wsp:rsid wsp:val=&quot;006423CD&quot;/&gt;&lt;wsp:rsid wsp:val=&quot;00642482&quot;/&gt;&lt;wsp:rsid wsp:val=&quot;00642486&quot;/&gt;&lt;wsp:rsid wsp:val=&quot;00642975&quot;/&gt;&lt;wsp:rsid wsp:val=&quot;00642D0B&quot;/&gt;&lt;wsp:rsid wsp:val=&quot;006430B7&quot;/&gt;&lt;wsp:rsid wsp:val=&quot;00643117&quot;/&gt;&lt;wsp:rsid wsp:val=&quot;00643C86&quot;/&gt;&lt;wsp:rsid wsp:val=&quot;00644A78&quot;/&gt;&lt;wsp:rsid wsp:val=&quot;006464DC&quot;/&gt;&lt;wsp:rsid wsp:val=&quot;00646846&quot;/&gt;&lt;wsp:rsid wsp:val=&quot;00647E01&quot;/&gt;&lt;wsp:rsid wsp:val=&quot;00650B7F&quot;/&gt;&lt;wsp:rsid wsp:val=&quot;00651205&quot;/&gt;&lt;wsp:rsid wsp:val=&quot;00651210&quot;/&gt;&lt;wsp:rsid wsp:val=&quot;00651701&quot;/&gt;&lt;wsp:rsid wsp:val=&quot;0065284F&quot;/&gt;&lt;wsp:rsid wsp:val=&quot;00652DBF&quot;/&gt;&lt;wsp:rsid wsp:val=&quot;00653F91&quot;/&gt;&lt;wsp:rsid wsp:val=&quot;0065450E&quot;/&gt;&lt;wsp:rsid wsp:val=&quot;00660115&quot;/&gt;&lt;wsp:rsid wsp:val=&quot;00661DA7&quot;/&gt;&lt;wsp:rsid wsp:val=&quot;00662418&quot;/&gt;&lt;wsp:rsid wsp:val=&quot;00663DA0&quot;/&gt;&lt;wsp:rsid wsp:val=&quot;006650A2&quot;/&gt;&lt;wsp:rsid wsp:val=&quot;0066575C&quot;/&gt;&lt;wsp:rsid wsp:val=&quot;00665C8D&quot;/&gt;&lt;wsp:rsid wsp:val=&quot;00665DB7&quot;/&gt;&lt;wsp:rsid wsp:val=&quot;0066641F&quot;/&gt;&lt;wsp:rsid wsp:val=&quot;00667BF7&quot;/&gt;&lt;wsp:rsid wsp:val=&quot;00671E7A&quot;/&gt;&lt;wsp:rsid wsp:val=&quot;0067257E&quot;/&gt;&lt;wsp:rsid wsp:val=&quot;00673309&quot;/&gt;&lt;wsp:rsid wsp:val=&quot;006745F9&quot;/&gt;&lt;wsp:rsid wsp:val=&quot;00674D40&quot;/&gt;&lt;wsp:rsid wsp:val=&quot;00675943&quot;/&gt;&lt;wsp:rsid wsp:val=&quot;0067613C&quot;/&gt;&lt;wsp:rsid wsp:val=&quot;00677983&quot;/&gt;&lt;wsp:rsid wsp:val=&quot;00677BD1&quot;/&gt;&lt;wsp:rsid wsp:val=&quot;00684570&quot;/&gt;&lt;wsp:rsid wsp:val=&quot;00684C44&quot;/&gt;&lt;wsp:rsid wsp:val=&quot;006851EC&quot;/&gt;&lt;wsp:rsid wsp:val=&quot;00686847&quot;/&gt;&lt;wsp:rsid wsp:val=&quot;0069108C&quot;/&gt;&lt;wsp:rsid wsp:val=&quot;0069272A&quot;/&gt;&lt;wsp:rsid wsp:val=&quot;00692B5B&quot;/&gt;&lt;wsp:rsid wsp:val=&quot;00692D5C&quot;/&gt;&lt;wsp:rsid wsp:val=&quot;00692E7A&quot;/&gt;&lt;wsp:rsid wsp:val=&quot;00692FF9&quot;/&gt;&lt;wsp:rsid wsp:val=&quot;006934EA&quot;/&gt;&lt;wsp:rsid wsp:val=&quot;00693F0F&quot;/&gt;&lt;wsp:rsid wsp:val=&quot;00697385&quot;/&gt;&lt;wsp:rsid wsp:val=&quot;00697471&quot;/&gt;&lt;wsp:rsid wsp:val=&quot;00697521&quot;/&gt;&lt;wsp:rsid wsp:val=&quot;00697CDC&quot;/&gt;&lt;wsp:rsid wsp:val=&quot;006A02C4&quot;/&gt;&lt;wsp:rsid wsp:val=&quot;006A0EBE&quot;/&gt;&lt;wsp:rsid wsp:val=&quot;006A1922&quot;/&gt;&lt;wsp:rsid wsp:val=&quot;006A21A0&quot;/&gt;&lt;wsp:rsid wsp:val=&quot;006A32F9&quot;/&gt;&lt;wsp:rsid wsp:val=&quot;006A470B&quot;/&gt;&lt;wsp:rsid wsp:val=&quot;006A502C&quot;/&gt;&lt;wsp:rsid wsp:val=&quot;006A60CA&quot;/&gt;&lt;wsp:rsid wsp:val=&quot;006A71B5&quot;/&gt;&lt;wsp:rsid wsp:val=&quot;006A78E0&quot;/&gt;&lt;wsp:rsid wsp:val=&quot;006B0769&quot;/&gt;&lt;wsp:rsid wsp:val=&quot;006B2423&quot;/&gt;&lt;wsp:rsid wsp:val=&quot;006B2687&quot;/&gt;&lt;wsp:rsid wsp:val=&quot;006B26E7&quot;/&gt;&lt;wsp:rsid wsp:val=&quot;006B2BC9&quot;/&gt;&lt;wsp:rsid wsp:val=&quot;006B331F&quot;/&gt;&lt;wsp:rsid wsp:val=&quot;006B3EEC&quot;/&gt;&lt;wsp:rsid wsp:val=&quot;006B44F2&quot;/&gt;&lt;wsp:rsid wsp:val=&quot;006B5B97&quot;/&gt;&lt;wsp:rsid wsp:val=&quot;006B62A7&quot;/&gt;&lt;wsp:rsid wsp:val=&quot;006B6CCD&quot;/&gt;&lt;wsp:rsid wsp:val=&quot;006C0A3A&quot;/&gt;&lt;wsp:rsid wsp:val=&quot;006C148B&quot;/&gt;&lt;wsp:rsid wsp:val=&quot;006C16D5&quot;/&gt;&lt;wsp:rsid wsp:val=&quot;006C18DC&quot;/&gt;&lt;wsp:rsid wsp:val=&quot;006C2053&quot;/&gt;&lt;wsp:rsid wsp:val=&quot;006C4D6D&quot;/&gt;&lt;wsp:rsid wsp:val=&quot;006C57A7&quot;/&gt;&lt;wsp:rsid wsp:val=&quot;006C5812&quot;/&gt;&lt;wsp:rsid wsp:val=&quot;006D0FA3&quot;/&gt;&lt;wsp:rsid wsp:val=&quot;006D139E&quot;/&gt;&lt;wsp:rsid wsp:val=&quot;006D13CC&quot;/&gt;&lt;wsp:rsid wsp:val=&quot;006D18E0&quot;/&gt;&lt;wsp:rsid wsp:val=&quot;006D1AEA&quot;/&gt;&lt;wsp:rsid wsp:val=&quot;006D1FE7&quot;/&gt;&lt;wsp:rsid wsp:val=&quot;006D38E8&quot;/&gt;&lt;wsp:rsid wsp:val=&quot;006D444A&quot;/&gt;&lt;wsp:rsid wsp:val=&quot;006D45D3&quot;/&gt;&lt;wsp:rsid wsp:val=&quot;006D5E16&quot;/&gt;&lt;wsp:rsid wsp:val=&quot;006D60FE&quot;/&gt;&lt;wsp:rsid wsp:val=&quot;006D7691&quot;/&gt;&lt;wsp:rsid wsp:val=&quot;006E03A1&quot;/&gt;&lt;wsp:rsid wsp:val=&quot;006E08D7&quot;/&gt;&lt;wsp:rsid wsp:val=&quot;006E097E&quot;/&gt;&lt;wsp:rsid wsp:val=&quot;006E172D&quot;/&gt;&lt;wsp:rsid wsp:val=&quot;006E2726&quot;/&gt;&lt;wsp:rsid wsp:val=&quot;006E30A6&quot;/&gt;&lt;wsp:rsid wsp:val=&quot;006E6254&quot;/&gt;&lt;wsp:rsid wsp:val=&quot;006E7E17&quot;/&gt;&lt;wsp:rsid wsp:val=&quot;006F0017&quot;/&gt;&lt;wsp:rsid wsp:val=&quot;006F048D&quot;/&gt;&lt;wsp:rsid wsp:val=&quot;006F0994&quot;/&gt;&lt;wsp:rsid wsp:val=&quot;006F101D&quot;/&gt;&lt;wsp:rsid wsp:val=&quot;006F1325&quot;/&gt;&lt;wsp:rsid wsp:val=&quot;006F2911&quot;/&gt;&lt;wsp:rsid wsp:val=&quot;006F2A0D&quot;/&gt;&lt;wsp:rsid wsp:val=&quot;006F3653&quot;/&gt;&lt;wsp:rsid wsp:val=&quot;006F3B17&quot;/&gt;&lt;wsp:rsid wsp:val=&quot;006F476C&quot;/&gt;&lt;wsp:rsid wsp:val=&quot;006F5494&quot;/&gt;&lt;wsp:rsid wsp:val=&quot;006F5A95&quot;/&gt;&lt;wsp:rsid wsp:val=&quot;006F6D65&quot;/&gt;&lt;wsp:rsid wsp:val=&quot;006F74A7&quot;/&gt;&lt;wsp:rsid wsp:val=&quot;0070090C&quot;/&gt;&lt;wsp:rsid wsp:val=&quot;00701171&quot;/&gt;&lt;wsp:rsid wsp:val=&quot;00701955&quot;/&gt;&lt;wsp:rsid wsp:val=&quot;007045A0&quot;/&gt;&lt;wsp:rsid wsp:val=&quot;00704910&quot;/&gt;&lt;wsp:rsid wsp:val=&quot;00704933&quot;/&gt;&lt;wsp:rsid wsp:val=&quot;007049F0&quot;/&gt;&lt;wsp:rsid wsp:val=&quot;007049FE&quot;/&gt;&lt;wsp:rsid wsp:val=&quot;00704C9C&quot;/&gt;&lt;wsp:rsid wsp:val=&quot;00705C88&quot;/&gt;&lt;wsp:rsid wsp:val=&quot;00707B3A&quot;/&gt;&lt;wsp:rsid wsp:val=&quot;00710C8C&quot;/&gt;&lt;wsp:rsid wsp:val=&quot;007119E2&quot;/&gt;&lt;wsp:rsid wsp:val=&quot;00711AFB&quot;/&gt;&lt;wsp:rsid wsp:val=&quot;0071293A&quot;/&gt;&lt;wsp:rsid wsp:val=&quot;00714886&quot;/&gt;&lt;wsp:rsid wsp:val=&quot;00715133&quot;/&gt;&lt;wsp:rsid wsp:val=&quot;007158F1&quot;/&gt;&lt;wsp:rsid wsp:val=&quot;00715CEF&quot;/&gt;&lt;wsp:rsid wsp:val=&quot;00715F99&quot;/&gt;&lt;wsp:rsid wsp:val=&quot;0071604B&quot;/&gt;&lt;wsp:rsid wsp:val=&quot;0071744D&quot;/&gt;&lt;wsp:rsid wsp:val=&quot;007176F3&quot;/&gt;&lt;wsp:rsid wsp:val=&quot;00717AD1&quot;/&gt;&lt;wsp:rsid wsp:val=&quot;00717EC9&quot;/&gt;&lt;wsp:rsid wsp:val=&quot;0072137A&quot;/&gt;&lt;wsp:rsid wsp:val=&quot;007216BA&quot;/&gt;&lt;wsp:rsid wsp:val=&quot;00722202&quot;/&gt;&lt;wsp:rsid wsp:val=&quot;00723314&quot;/&gt;&lt;wsp:rsid wsp:val=&quot;007242F6&quot;/&gt;&lt;wsp:rsid wsp:val=&quot;00724B00&quot;/&gt;&lt;wsp:rsid wsp:val=&quot;00724B19&quot;/&gt;&lt;wsp:rsid wsp:val=&quot;00725517&quot;/&gt;&lt;wsp:rsid wsp:val=&quot;00725604&quot;/&gt;&lt;wsp:rsid wsp:val=&quot;007257B2&quot;/&gt;&lt;wsp:rsid wsp:val=&quot;00725A97&quot;/&gt;&lt;wsp:rsid wsp:val=&quot;00725B60&quot;/&gt;&lt;wsp:rsid wsp:val=&quot;007261AB&quot;/&gt;&lt;wsp:rsid wsp:val=&quot;00730305&quot;/&gt;&lt;wsp:rsid wsp:val=&quot;00730A72&quot;/&gt;&lt;wsp:rsid wsp:val=&quot;007314A3&quot;/&gt;&lt;wsp:rsid wsp:val=&quot;00731DC0&quot;/&gt;&lt;wsp:rsid wsp:val=&quot;00732355&quot;/&gt;&lt;wsp:rsid wsp:val=&quot;0073297C&quot;/&gt;&lt;wsp:rsid wsp:val=&quot;00733886&quot;/&gt;&lt;wsp:rsid wsp:val=&quot;00734C98&quot;/&gt;&lt;wsp:rsid wsp:val=&quot;00734E83&quot;/&gt;&lt;wsp:rsid wsp:val=&quot;00735239&quot;/&gt;&lt;wsp:rsid wsp:val=&quot;00740ED5&quot;/&gt;&lt;wsp:rsid wsp:val=&quot;00743B56&quot;/&gt;&lt;wsp:rsid wsp:val=&quot;00746828&quot;/&gt;&lt;wsp:rsid wsp:val=&quot;00747D8C&quot;/&gt;&lt;wsp:rsid wsp:val=&quot;007503C0&quot;/&gt;&lt;wsp:rsid wsp:val=&quot;00750825&quot;/&gt;&lt;wsp:rsid wsp:val=&quot;007509DA&quot;/&gt;&lt;wsp:rsid wsp:val=&quot;00750DFF&quot;/&gt;&lt;wsp:rsid wsp:val=&quot;00751A6A&quot;/&gt;&lt;wsp:rsid wsp:val=&quot;00751EF8&quot;/&gt;&lt;wsp:rsid wsp:val=&quot;0075256E&quot;/&gt;&lt;wsp:rsid wsp:val=&quot;00753240&quot;/&gt;&lt;wsp:rsid wsp:val=&quot;007536CD&quot;/&gt;&lt;wsp:rsid wsp:val=&quot;00753914&quot;/&gt;&lt;wsp:rsid wsp:val=&quot;00753C64&quot;/&gt;&lt;wsp:rsid wsp:val=&quot;007549E9&quot;/&gt;&lt;wsp:rsid wsp:val=&quot;00754F25&quot;/&gt;&lt;wsp:rsid wsp:val=&quot;00756128&quot;/&gt;&lt;wsp:rsid wsp:val=&quot;00756840&quot;/&gt;&lt;wsp:rsid wsp:val=&quot;00756E84&quot;/&gt;&lt;wsp:rsid wsp:val=&quot;00757F28&quot;/&gt;&lt;wsp:rsid wsp:val=&quot;00760394&quot;/&gt;&lt;wsp:rsid wsp:val=&quot;0076243E&quot;/&gt;&lt;wsp:rsid wsp:val=&quot;00764CAF&quot;/&gt;&lt;wsp:rsid wsp:val=&quot;00765C52&quot;/&gt;&lt;wsp:rsid wsp:val=&quot;00766AFD&quot;/&gt;&lt;wsp:rsid wsp:val=&quot;0077022D&quot;/&gt;&lt;wsp:rsid wsp:val=&quot;0077088A&quot;/&gt;&lt;wsp:rsid wsp:val=&quot;00770D88&quot;/&gt;&lt;wsp:rsid wsp:val=&quot;007712EA&quot;/&gt;&lt;wsp:rsid wsp:val=&quot;00773B4C&quot;/&gt;&lt;wsp:rsid wsp:val=&quot;00773D05&quot;/&gt;&lt;wsp:rsid wsp:val=&quot;00773DF3&quot;/&gt;&lt;wsp:rsid wsp:val=&quot;00773FA7&quot;/&gt;&lt;wsp:rsid wsp:val=&quot;00774752&quot;/&gt;&lt;wsp:rsid wsp:val=&quot;0077496E&quot;/&gt;&lt;wsp:rsid wsp:val=&quot;00774A8B&quot;/&gt;&lt;wsp:rsid wsp:val=&quot;00774D4A&quot;/&gt;&lt;wsp:rsid wsp:val=&quot;00775433&quot;/&gt;&lt;wsp:rsid wsp:val=&quot;00775D0A&quot;/&gt;&lt;wsp:rsid wsp:val=&quot;00775FDD&quot;/&gt;&lt;wsp:rsid wsp:val=&quot;00776C11&quot;/&gt;&lt;wsp:rsid wsp:val=&quot;00777B19&quot;/&gt;&lt;wsp:rsid wsp:val=&quot;00777D82&quot;/&gt;&lt;wsp:rsid wsp:val=&quot;007805BC&quot;/&gt;&lt;wsp:rsid wsp:val=&quot;0078078E&quot;/&gt;&lt;wsp:rsid wsp:val=&quot;00781611&quot;/&gt;&lt;wsp:rsid wsp:val=&quot;007818E2&quot;/&gt;&lt;wsp:rsid wsp:val=&quot;00781943&quot;/&gt;&lt;wsp:rsid wsp:val=&quot;0078218A&quot;/&gt;&lt;wsp:rsid wsp:val=&quot;00784493&quot;/&gt;&lt;wsp:rsid wsp:val=&quot;00784E74&quot;/&gt;&lt;wsp:rsid wsp:val=&quot;0078533B&quot;/&gt;&lt;wsp:rsid wsp:val=&quot;00785F22&quot;/&gt;&lt;wsp:rsid wsp:val=&quot;00786B08&quot;/&gt;&lt;wsp:rsid wsp:val=&quot;00786E28&quot;/&gt;&lt;wsp:rsid wsp:val=&quot;007918C0&quot;/&gt;&lt;wsp:rsid wsp:val=&quot;00791CD2&quot;/&gt;&lt;wsp:rsid wsp:val=&quot;00791EAC&quot;/&gt;&lt;wsp:rsid wsp:val=&quot;00792953&quot;/&gt;&lt;wsp:rsid wsp:val=&quot;007929C5&quot;/&gt;&lt;wsp:rsid wsp:val=&quot;00793B39&quot;/&gt;&lt;wsp:rsid wsp:val=&quot;00793D47&quot;/&gt;&lt;wsp:rsid wsp:val=&quot;00795C41&quot;/&gt;&lt;wsp:rsid wsp:val=&quot;00795DFF&quot;/&gt;&lt;wsp:rsid wsp:val=&quot;0079617C&quot;/&gt;&lt;wsp:rsid wsp:val=&quot;007967F3&quot;/&gt;&lt;wsp:rsid wsp:val=&quot;00797C10&quot;/&gt;&lt;wsp:rsid wsp:val=&quot;007A0D8F&quot;/&gt;&lt;wsp:rsid wsp:val=&quot;007A0EC9&quot;/&gt;&lt;wsp:rsid wsp:val=&quot;007A1108&quot;/&gt;&lt;wsp:rsid wsp:val=&quot;007A18B9&quot;/&gt;&lt;wsp:rsid wsp:val=&quot;007A2B64&quot;/&gt;&lt;wsp:rsid wsp:val=&quot;007A2BFC&quot;/&gt;&lt;wsp:rsid wsp:val=&quot;007A2FC2&quot;/&gt;&lt;wsp:rsid wsp:val=&quot;007A405E&quot;/&gt;&lt;wsp:rsid wsp:val=&quot;007A4B7D&quot;/&gt;&lt;wsp:rsid wsp:val=&quot;007A4E8E&quot;/&gt;&lt;wsp:rsid wsp:val=&quot;007A52A6&quot;/&gt;&lt;wsp:rsid wsp:val=&quot;007A52A7&quot;/&gt;&lt;wsp:rsid wsp:val=&quot;007A6151&quot;/&gt;&lt;wsp:rsid wsp:val=&quot;007A62B7&quot;/&gt;&lt;wsp:rsid wsp:val=&quot;007A637F&quot;/&gt;&lt;wsp:rsid wsp:val=&quot;007A63C8&quot;/&gt;&lt;wsp:rsid wsp:val=&quot;007A794E&quot;/&gt;&lt;wsp:rsid wsp:val=&quot;007B114D&quot;/&gt;&lt;wsp:rsid wsp:val=&quot;007B1A83&quot;/&gt;&lt;wsp:rsid wsp:val=&quot;007B204B&quot;/&gt;&lt;wsp:rsid wsp:val=&quot;007B2C5A&quot;/&gt;&lt;wsp:rsid wsp:val=&quot;007B5508&quot;/&gt;&lt;wsp:rsid wsp:val=&quot;007B5A6F&quot;/&gt;&lt;wsp:rsid wsp:val=&quot;007B6510&quot;/&gt;&lt;wsp:rsid wsp:val=&quot;007B7409&quot;/&gt;&lt;wsp:rsid wsp:val=&quot;007B7ED5&quot;/&gt;&lt;wsp:rsid wsp:val=&quot;007C04ED&quot;/&gt;&lt;wsp:rsid wsp:val=&quot;007C12BA&quot;/&gt;&lt;wsp:rsid wsp:val=&quot;007C2AFB&quot;/&gt;&lt;wsp:rsid wsp:val=&quot;007C2CCD&quot;/&gt;&lt;wsp:rsid wsp:val=&quot;007C2E01&quot;/&gt;&lt;wsp:rsid wsp:val=&quot;007C2F24&quot;/&gt;&lt;wsp:rsid wsp:val=&quot;007C303C&quot;/&gt;&lt;wsp:rsid wsp:val=&quot;007C3D46&quot;/&gt;&lt;wsp:rsid wsp:val=&quot;007C3D6B&quot;/&gt;&lt;wsp:rsid wsp:val=&quot;007C48B8&quot;/&gt;&lt;wsp:rsid wsp:val=&quot;007C5398&quot;/&gt;&lt;wsp:rsid wsp:val=&quot;007C53B7&quot;/&gt;&lt;wsp:rsid wsp:val=&quot;007C61FC&quot;/&gt;&lt;wsp:rsid wsp:val=&quot;007C64C2&quot;/&gt;&lt;wsp:rsid wsp:val=&quot;007C6B86&quot;/&gt;&lt;wsp:rsid wsp:val=&quot;007C6CC8&quot;/&gt;&lt;wsp:rsid wsp:val=&quot;007C7350&quot;/&gt;&lt;wsp:rsid wsp:val=&quot;007C76EE&quot;/&gt;&lt;wsp:rsid wsp:val=&quot;007D0294&quot;/&gt;&lt;wsp:rsid wsp:val=&quot;007D0490&quot;/&gt;&lt;wsp:rsid wsp:val=&quot;007D0F55&quot;/&gt;&lt;wsp:rsid wsp:val=&quot;007D2ADD&quot;/&gt;&lt;wsp:rsid wsp:val=&quot;007D2CAC&quot;/&gt;&lt;wsp:rsid wsp:val=&quot;007D348B&quot;/&gt;&lt;wsp:rsid wsp:val=&quot;007D3914&quot;/&gt;&lt;wsp:rsid wsp:val=&quot;007D3EFF&quot;/&gt;&lt;wsp:rsid wsp:val=&quot;007D412B&quot;/&gt;&lt;wsp:rsid wsp:val=&quot;007D502C&quot;/&gt;&lt;wsp:rsid wsp:val=&quot;007D5527&quot;/&gt;&lt;wsp:rsid wsp:val=&quot;007D5F17&quot;/&gt;&lt;wsp:rsid wsp:val=&quot;007D6FAC&quot;/&gt;&lt;wsp:rsid wsp:val=&quot;007E0391&quot;/&gt;&lt;wsp:rsid wsp:val=&quot;007E087D&quot;/&gt;&lt;wsp:rsid wsp:val=&quot;007E097B&quot;/&gt;&lt;wsp:rsid wsp:val=&quot;007E1BAF&quot;/&gt;&lt;wsp:rsid wsp:val=&quot;007E2337&quot;/&gt;&lt;wsp:rsid wsp:val=&quot;007E30A8&quot;/&gt;&lt;wsp:rsid wsp:val=&quot;007E36F1&quot;/&gt;&lt;wsp:rsid wsp:val=&quot;007E3BE2&quot;/&gt;&lt;wsp:rsid wsp:val=&quot;007E4989&quot;/&gt;&lt;wsp:rsid wsp:val=&quot;007E4F9D&quot;/&gt;&lt;wsp:rsid wsp:val=&quot;007E5215&quot;/&gt;&lt;wsp:rsid wsp:val=&quot;007E55E7&quot;/&gt;&lt;wsp:rsid wsp:val=&quot;007E7AEC&quot;/&gt;&lt;wsp:rsid wsp:val=&quot;007F29AE&quot;/&gt;&lt;wsp:rsid wsp:val=&quot;007F3053&quot;/&gt;&lt;wsp:rsid wsp:val=&quot;007F33D8&quot;/&gt;&lt;wsp:rsid wsp:val=&quot;007F444D&quot;/&gt;&lt;wsp:rsid wsp:val=&quot;007F4519&quot;/&gt;&lt;wsp:rsid wsp:val=&quot;007F4636&quot;/&gt;&lt;wsp:rsid wsp:val=&quot;007F51FE&quot;/&gt;&lt;wsp:rsid wsp:val=&quot;007F65B3&quot;/&gt;&lt;wsp:rsid wsp:val=&quot;007F6CCE&quot;/&gt;&lt;wsp:rsid wsp:val=&quot;007F79C1&quot;/&gt;&lt;wsp:rsid wsp:val=&quot;008003B9&quot;/&gt;&lt;wsp:rsid wsp:val=&quot;008004D1&quot;/&gt;&lt;wsp:rsid wsp:val=&quot;0080069D&quot;/&gt;&lt;wsp:rsid wsp:val=&quot;00801487&quot;/&gt;&lt;wsp:rsid wsp:val=&quot;00801AF6&quot;/&gt;&lt;wsp:rsid wsp:val=&quot;00802A0B&quot;/&gt;&lt;wsp:rsid wsp:val=&quot;00803F39&quot;/&gt;&lt;wsp:rsid wsp:val=&quot;008049D0&quot;/&gt;&lt;wsp:rsid wsp:val=&quot;0080633A&quot;/&gt;&lt;wsp:rsid wsp:val=&quot;00806DD8&quot;/&gt;&lt;wsp:rsid wsp:val=&quot;008071AA&quot;/&gt;&lt;wsp:rsid wsp:val=&quot;00810177&quot;/&gt;&lt;wsp:rsid wsp:val=&quot;008109BB&quot;/&gt;&lt;wsp:rsid wsp:val=&quot;00810F24&quot;/&gt;&lt;wsp:rsid wsp:val=&quot;00811E54&quot;/&gt;&lt;wsp:rsid wsp:val=&quot;00812496&quot;/&gt;&lt;wsp:rsid wsp:val=&quot;008127DD&quot;/&gt;&lt;wsp:rsid wsp:val=&quot;00812A68&quot;/&gt;&lt;wsp:rsid wsp:val=&quot;00812A69&quot;/&gt;&lt;wsp:rsid wsp:val=&quot;00812A7E&quot;/&gt;&lt;wsp:rsid wsp:val=&quot;00813473&quot;/&gt;&lt;wsp:rsid wsp:val=&quot;0081408B&quot;/&gt;&lt;wsp:rsid wsp:val=&quot;00814093&quot;/&gt;&lt;wsp:rsid wsp:val=&quot;00815C11&quot;/&gt;&lt;wsp:rsid wsp:val=&quot;00815D3F&quot;/&gt;&lt;wsp:rsid wsp:val=&quot;00816551&quot;/&gt;&lt;wsp:rsid wsp:val=&quot;008167E2&quot;/&gt;&lt;wsp:rsid wsp:val=&quot;00817A6B&quot;/&gt;&lt;wsp:rsid wsp:val=&quot;00820AC3&quot;/&gt;&lt;wsp:rsid wsp:val=&quot;00821579&quot;/&gt;&lt;wsp:rsid wsp:val=&quot;00822113&quot;/&gt;&lt;wsp:rsid wsp:val=&quot;00822AA4&quot;/&gt;&lt;wsp:rsid wsp:val=&quot;00823281&quot;/&gt;&lt;wsp:rsid wsp:val=&quot;008240CD&quot;/&gt;&lt;wsp:rsid wsp:val=&quot;008256BF&quot;/&gt;&lt;wsp:rsid wsp:val=&quot;008257A8&quot;/&gt;&lt;wsp:rsid wsp:val=&quot;00825A1E&quot;/&gt;&lt;wsp:rsid wsp:val=&quot;0082743F&quot;/&gt;&lt;wsp:rsid wsp:val=&quot;008274D0&quot;/&gt;&lt;wsp:rsid wsp:val=&quot;00827EF7&quot;/&gt;&lt;wsp:rsid wsp:val=&quot;00830BCE&quot;/&gt;&lt;wsp:rsid wsp:val=&quot;00831AF5&quot;/&gt;&lt;wsp:rsid wsp:val=&quot;00832080&quot;/&gt;&lt;wsp:rsid wsp:val=&quot;00833009&quot;/&gt;&lt;wsp:rsid wsp:val=&quot;0083373D&quot;/&gt;&lt;wsp:rsid wsp:val=&quot;0083400F&quot;/&gt;&lt;wsp:rsid wsp:val=&quot;00834C21&quot;/&gt;&lt;wsp:rsid wsp:val=&quot;00834E9D&quot;/&gt;&lt;wsp:rsid wsp:val=&quot;00835FB8&quot;/&gt;&lt;wsp:rsid wsp:val=&quot;00836440&quot;/&gt;&lt;wsp:rsid wsp:val=&quot;00836994&quot;/&gt;&lt;wsp:rsid wsp:val=&quot;00836F5E&quot;/&gt;&lt;wsp:rsid wsp:val=&quot;008372D5&quot;/&gt;&lt;wsp:rsid wsp:val=&quot;008378FF&quot;/&gt;&lt;wsp:rsid wsp:val=&quot;00837A73&quot;/&gt;&lt;wsp:rsid wsp:val=&quot;00837B45&quot;/&gt;&lt;wsp:rsid wsp:val=&quot;00837BBB&quot;/&gt;&lt;wsp:rsid wsp:val=&quot;008411D0&quot;/&gt;&lt;wsp:rsid wsp:val=&quot;008441AB&quot;/&gt;&lt;wsp:rsid wsp:val=&quot;008441C9&quot;/&gt;&lt;wsp:rsid wsp:val=&quot;008446DC&quot;/&gt;&lt;wsp:rsid wsp:val=&quot;0084591A&quot;/&gt;&lt;wsp:rsid wsp:val=&quot;00845FD9&quot;/&gt;&lt;wsp:rsid wsp:val=&quot;00846486&quot;/&gt;&lt;wsp:rsid wsp:val=&quot;00846693&quot;/&gt;&lt;wsp:rsid wsp:val=&quot;00846CD7&quot;/&gt;&lt;wsp:rsid wsp:val=&quot;008478AB&quot;/&gt;&lt;wsp:rsid wsp:val=&quot;0085169C&quot;/&gt;&lt;wsp:rsid wsp:val=&quot;00851703&quot;/&gt;&lt;wsp:rsid wsp:val=&quot;008519D4&quot;/&gt;&lt;wsp:rsid wsp:val=&quot;008533A3&quot;/&gt;&lt;wsp:rsid wsp:val=&quot;00854DE3&quot;/&gt;&lt;wsp:rsid wsp:val=&quot;00854FBD&quot;/&gt;&lt;wsp:rsid wsp:val=&quot;00855B2E&quot;/&gt;&lt;wsp:rsid wsp:val=&quot;0085607E&quot;/&gt;&lt;wsp:rsid wsp:val=&quot;00856BEE&quot;/&gt;&lt;wsp:rsid wsp:val=&quot;00856D30&quot;/&gt;&lt;wsp:rsid wsp:val=&quot;00860B8B&quot;/&gt;&lt;wsp:rsid wsp:val=&quot;00863041&quot;/&gt;&lt;wsp:rsid wsp:val=&quot;0086326E&quot;/&gt;&lt;wsp:rsid wsp:val=&quot;008634A0&quot;/&gt;&lt;wsp:rsid wsp:val=&quot;00864AE9&quot;/&gt;&lt;wsp:rsid wsp:val=&quot;00864CBB&quot;/&gt;&lt;wsp:rsid wsp:val=&quot;00864D0C&quot;/&gt;&lt;wsp:rsid wsp:val=&quot;008660E2&quot;/&gt;&lt;wsp:rsid wsp:val=&quot;00866F1F&quot;/&gt;&lt;wsp:rsid wsp:val=&quot;0086787B&quot;/&gt;&lt;wsp:rsid wsp:val=&quot;008701BC&quot;/&gt;&lt;wsp:rsid wsp:val=&quot;0087057D&quot;/&gt;&lt;wsp:rsid wsp:val=&quot;008712B5&quot;/&gt;&lt;wsp:rsid wsp:val=&quot;00871897&quot;/&gt;&lt;wsp:rsid wsp:val=&quot;008744E5&quot;/&gt;&lt;wsp:rsid wsp:val=&quot;00874964&quot;/&gt;&lt;wsp:rsid wsp:val=&quot;008755DE&quot;/&gt;&lt;wsp:rsid wsp:val=&quot;008759BE&quot;/&gt;&lt;wsp:rsid wsp:val=&quot;00875FD7&quot;/&gt;&lt;wsp:rsid wsp:val=&quot;008775C4&quot;/&gt;&lt;wsp:rsid wsp:val=&quot;00877FEC&quot;/&gt;&lt;wsp:rsid wsp:val=&quot;0088074E&quot;/&gt;&lt;wsp:rsid wsp:val=&quot;00880AB0&quot;/&gt;&lt;wsp:rsid wsp:val=&quot;008821BF&quot;/&gt;&lt;wsp:rsid wsp:val=&quot;008823C3&quot;/&gt;&lt;wsp:rsid wsp:val=&quot;00882951&quot;/&gt;&lt;wsp:rsid wsp:val=&quot;00883DD7&quot;/&gt;&lt;wsp:rsid wsp:val=&quot;008847BD&quot;/&gt;&lt;wsp:rsid wsp:val=&quot;00885415&quot;/&gt;&lt;wsp:rsid wsp:val=&quot;00886CFA&quot;/&gt;&lt;wsp:rsid wsp:val=&quot;00886E85&quot;/&gt;&lt;wsp:rsid wsp:val=&quot;0088771A&quot;/&gt;&lt;wsp:rsid wsp:val=&quot;0088779D&quot;/&gt;&lt;wsp:rsid wsp:val=&quot;008904AE&quot;/&gt;&lt;wsp:rsid wsp:val=&quot;008938F3&quot;/&gt;&lt;wsp:rsid wsp:val=&quot;008941D0&quot;/&gt;&lt;wsp:rsid wsp:val=&quot;0089716F&quot;/&gt;&lt;wsp:rsid wsp:val=&quot;00897FC8&quot;/&gt;&lt;wsp:rsid wsp:val=&quot;008A05CE&quot;/&gt;&lt;wsp:rsid wsp:val=&quot;008A067E&quot;/&gt;&lt;wsp:rsid wsp:val=&quot;008A095C&quot;/&gt;&lt;wsp:rsid wsp:val=&quot;008A1230&quot;/&gt;&lt;wsp:rsid wsp:val=&quot;008A161C&quot;/&gt;&lt;wsp:rsid wsp:val=&quot;008A1AD4&quot;/&gt;&lt;wsp:rsid wsp:val=&quot;008A26BA&quot;/&gt;&lt;wsp:rsid wsp:val=&quot;008A39EF&quot;/&gt;&lt;wsp:rsid wsp:val=&quot;008A3A2E&quot;/&gt;&lt;wsp:rsid wsp:val=&quot;008A3EA8&quot;/&gt;&lt;wsp:rsid wsp:val=&quot;008A413C&quot;/&gt;&lt;wsp:rsid wsp:val=&quot;008A451C&quot;/&gt;&lt;wsp:rsid wsp:val=&quot;008A4802&quot;/&gt;&lt;wsp:rsid wsp:val=&quot;008A4A95&quot;/&gt;&lt;wsp:rsid wsp:val=&quot;008A4B16&quot;/&gt;&lt;wsp:rsid wsp:val=&quot;008A4B30&quot;/&gt;&lt;wsp:rsid wsp:val=&quot;008A598B&quot;/&gt;&lt;wsp:rsid wsp:val=&quot;008A65E1&quot;/&gt;&lt;wsp:rsid wsp:val=&quot;008A6BD6&quot;/&gt;&lt;wsp:rsid wsp:val=&quot;008A7C36&quot;/&gt;&lt;wsp:rsid wsp:val=&quot;008B0390&quot;/&gt;&lt;wsp:rsid wsp:val=&quot;008B04ED&quot;/&gt;&lt;wsp:rsid wsp:val=&quot;008B115A&quot;/&gt;&lt;wsp:rsid wsp:val=&quot;008B1CF1&quot;/&gt;&lt;wsp:rsid wsp:val=&quot;008B255F&quot;/&gt;&lt;wsp:rsid wsp:val=&quot;008B29B4&quot;/&gt;&lt;wsp:rsid wsp:val=&quot;008B3B19&quot;/&gt;&lt;wsp:rsid wsp:val=&quot;008B4073&quot;/&gt;&lt;wsp:rsid wsp:val=&quot;008B47C7&quot;/&gt;&lt;wsp:rsid wsp:val=&quot;008B49B3&quot;/&gt;&lt;wsp:rsid wsp:val=&quot;008B6C65&quot;/&gt;&lt;wsp:rsid wsp:val=&quot;008B6F44&quot;/&gt;&lt;wsp:rsid wsp:val=&quot;008C0051&quot;/&gt;&lt;wsp:rsid wsp:val=&quot;008C01A1&quot;/&gt;&lt;wsp:rsid wsp:val=&quot;008C0BC1&quot;/&gt;&lt;wsp:rsid wsp:val=&quot;008C169D&quot;/&gt;&lt;wsp:rsid wsp:val=&quot;008C2D2B&quot;/&gt;&lt;wsp:rsid wsp:val=&quot;008C2EBA&quot;/&gt;&lt;wsp:rsid wsp:val=&quot;008C3488&quot;/&gt;&lt;wsp:rsid wsp:val=&quot;008C370C&quot;/&gt;&lt;wsp:rsid wsp:val=&quot;008C46DA&quot;/&gt;&lt;wsp:rsid wsp:val=&quot;008C49B3&quot;/&gt;&lt;wsp:rsid wsp:val=&quot;008C4CEB&quot;/&gt;&lt;wsp:rsid wsp:val=&quot;008C5B7A&quot;/&gt;&lt;wsp:rsid wsp:val=&quot;008C5FEE&quot;/&gt;&lt;wsp:rsid wsp:val=&quot;008C7566&quot;/&gt;&lt;wsp:rsid wsp:val=&quot;008D150B&quot;/&gt;&lt;wsp:rsid wsp:val=&quot;008D172C&quot;/&gt;&lt;wsp:rsid wsp:val=&quot;008D2EC7&quot;/&gt;&lt;wsp:rsid wsp:val=&quot;008D2F23&quot;/&gt;&lt;wsp:rsid wsp:val=&quot;008D3106&quot;/&gt;&lt;wsp:rsid wsp:val=&quot;008D36B0&quot;/&gt;&lt;wsp:rsid wsp:val=&quot;008D3DD9&quot;/&gt;&lt;wsp:rsid wsp:val=&quot;008D3F23&quot;/&gt;&lt;wsp:rsid wsp:val=&quot;008D459E&quot;/&gt;&lt;wsp:rsid wsp:val=&quot;008D4654&quot;/&gt;&lt;wsp:rsid wsp:val=&quot;008D4851&quot;/&gt;&lt;wsp:rsid wsp:val=&quot;008D4F68&quot;/&gt;&lt;wsp:rsid wsp:val=&quot;008D686F&quot;/&gt;&lt;wsp:rsid wsp:val=&quot;008D6B6E&quot;/&gt;&lt;wsp:rsid wsp:val=&quot;008D6F20&quot;/&gt;&lt;wsp:rsid wsp:val=&quot;008D7727&quot;/&gt;&lt;wsp:rsid wsp:val=&quot;008E0385&quot;/&gt;&lt;wsp:rsid wsp:val=&quot;008E08EE&quot;/&gt;&lt;wsp:rsid wsp:val=&quot;008E23F0&quot;/&gt;&lt;wsp:rsid wsp:val=&quot;008E3651&quot;/&gt;&lt;wsp:rsid wsp:val=&quot;008E3BDA&quot;/&gt;&lt;wsp:rsid wsp:val=&quot;008E462C&quot;/&gt;&lt;wsp:rsid wsp:val=&quot;008E5FF7&quot;/&gt;&lt;wsp:rsid wsp:val=&quot;008E62B9&quot;/&gt;&lt;wsp:rsid wsp:val=&quot;008E6389&quot;/&gt;&lt;wsp:rsid wsp:val=&quot;008E78D2&quot;/&gt;&lt;wsp:rsid wsp:val=&quot;008E7949&quot;/&gt;&lt;wsp:rsid wsp:val=&quot;008F065F&quot;/&gt;&lt;wsp:rsid wsp:val=&quot;008F184F&quot;/&gt;&lt;wsp:rsid wsp:val=&quot;008F1EA1&quot;/&gt;&lt;wsp:rsid wsp:val=&quot;008F26B2&quot;/&gt;&lt;wsp:rsid wsp:val=&quot;008F28A2&quot;/&gt;&lt;wsp:rsid wsp:val=&quot;008F37E2&quot;/&gt;&lt;wsp:rsid wsp:val=&quot;008F3AC2&quot;/&gt;&lt;wsp:rsid wsp:val=&quot;008F435E&quot;/&gt;&lt;wsp:rsid wsp:val=&quot;008F4B29&quot;/&gt;&lt;wsp:rsid wsp:val=&quot;008F59C8&quot;/&gt;&lt;wsp:rsid wsp:val=&quot;008F73F8&quot;/&gt;&lt;wsp:rsid wsp:val=&quot;008F759A&quot;/&gt;&lt;wsp:rsid wsp:val=&quot;00900BDD&quot;/&gt;&lt;wsp:rsid wsp:val=&quot;00900F3A&quot;/&gt;&lt;wsp:rsid wsp:val=&quot;00901B4B&quot;/&gt;&lt;wsp:rsid wsp:val=&quot;00901BE6&quot;/&gt;&lt;wsp:rsid wsp:val=&quot;00901FDD&quot;/&gt;&lt;wsp:rsid wsp:val=&quot;00903168&quot;/&gt;&lt;wsp:rsid wsp:val=&quot;00903624&quot;/&gt;&lt;wsp:rsid wsp:val=&quot;0090480E&quot;/&gt;&lt;wsp:rsid wsp:val=&quot;00905234&quot;/&gt;&lt;wsp:rsid wsp:val=&quot;009056EA&quot;/&gt;&lt;wsp:rsid wsp:val=&quot;009059ED&quot;/&gt;&lt;wsp:rsid wsp:val=&quot;00905B68&quot;/&gt;&lt;wsp:rsid wsp:val=&quot;0090602D&quot;/&gt;&lt;wsp:rsid wsp:val=&quot;00906818&quot;/&gt;&lt;wsp:rsid wsp:val=&quot;009069EE&quot;/&gt;&lt;wsp:rsid wsp:val=&quot;00910F8F&quot;/&gt;&lt;wsp:rsid wsp:val=&quot;0091276A&quot;/&gt;&lt;wsp:rsid wsp:val=&quot;009132CC&quot;/&gt;&lt;wsp:rsid wsp:val=&quot;00913B48&quot;/&gt;&lt;wsp:rsid wsp:val=&quot;00914A2F&quot;/&gt;&lt;wsp:rsid wsp:val=&quot;009151A9&quot;/&gt;&lt;wsp:rsid wsp:val=&quot;00915AAB&quot;/&gt;&lt;wsp:rsid wsp:val=&quot;009166A4&quot;/&gt;&lt;wsp:rsid wsp:val=&quot;00916C37&quot;/&gt;&lt;wsp:rsid wsp:val=&quot;00916D41&quot;/&gt;&lt;wsp:rsid wsp:val=&quot;00917D32&quot;/&gt;&lt;wsp:rsid wsp:val=&quot;00921B68&quot;/&gt;&lt;wsp:rsid wsp:val=&quot;00922118&quot;/&gt;&lt;wsp:rsid wsp:val=&quot;00924415&quot;/&gt;&lt;wsp:rsid wsp:val=&quot;00924DFE&quot;/&gt;&lt;wsp:rsid wsp:val=&quot;009250D5&quot;/&gt;&lt;wsp:rsid wsp:val=&quot;00926A1B&quot;/&gt;&lt;wsp:rsid wsp:val=&quot;00926BC2&quot;/&gt;&lt;wsp:rsid wsp:val=&quot;00930541&quot;/&gt;&lt;wsp:rsid wsp:val=&quot;00930CF4&quot;/&gt;&lt;wsp:rsid wsp:val=&quot;00931168&quot;/&gt;&lt;wsp:rsid wsp:val=&quot;00931411&quot;/&gt;&lt;wsp:rsid wsp:val=&quot;00931998&quot;/&gt;&lt;wsp:rsid wsp:val=&quot;00934492&quot;/&gt;&lt;wsp:rsid wsp:val=&quot;009344F7&quot;/&gt;&lt;wsp:rsid wsp:val=&quot;00935FD0&quot;/&gt;&lt;wsp:rsid wsp:val=&quot;00936E8D&quot;/&gt;&lt;wsp:rsid wsp:val=&quot;00937F75&quot;/&gt;&lt;wsp:rsid wsp:val=&quot;009408EA&quot;/&gt;&lt;wsp:rsid wsp:val=&quot;00940A6C&quot;/&gt;&lt;wsp:rsid wsp:val=&quot;00940ADD&quot;/&gt;&lt;wsp:rsid wsp:val=&quot;00940AF8&quot;/&gt;&lt;wsp:rsid wsp:val=&quot;00944384&quot;/&gt;&lt;wsp:rsid wsp:val=&quot;0094560A&quot;/&gt;&lt;wsp:rsid wsp:val=&quot;00945EFB&quot;/&gt;&lt;wsp:rsid wsp:val=&quot;0094625C&quot;/&gt;&lt;wsp:rsid wsp:val=&quot;00946DBD&quot;/&gt;&lt;wsp:rsid wsp:val=&quot;00946FE4&quot;/&gt;&lt;wsp:rsid wsp:val=&quot;00946FF9&quot;/&gt;&lt;wsp:rsid wsp:val=&quot;00947BD9&quot;/&gt;&lt;wsp:rsid wsp:val=&quot;00950082&quot;/&gt;&lt;wsp:rsid wsp:val=&quot;00950473&quot;/&gt;&lt;wsp:rsid wsp:val=&quot;009504BF&quot;/&gt;&lt;wsp:rsid wsp:val=&quot;00952275&quot;/&gt;&lt;wsp:rsid wsp:val=&quot;00952ED5&quot;/&gt;&lt;wsp:rsid wsp:val=&quot;009534DE&quot;/&gt;&lt;wsp:rsid wsp:val=&quot;00953AED&quot;/&gt;&lt;wsp:rsid wsp:val=&quot;009549B0&quot;/&gt;&lt;wsp:rsid wsp:val=&quot;00955F5D&quot;/&gt;&lt;wsp:rsid wsp:val=&quot;00956609&quot;/&gt;&lt;wsp:rsid wsp:val=&quot;00956B82&quot;/&gt;&lt;wsp:rsid wsp:val=&quot;009606BE&quot;/&gt;&lt;wsp:rsid wsp:val=&quot;009609F2&quot;/&gt;&lt;wsp:rsid wsp:val=&quot;00960D2F&quot;/&gt;&lt;wsp:rsid wsp:val=&quot;00962874&quot;/&gt;&lt;wsp:rsid wsp:val=&quot;00963897&quot;/&gt;&lt;wsp:rsid wsp:val=&quot;00964334&quot;/&gt;&lt;wsp:rsid wsp:val=&quot;00964863&quot;/&gt;&lt;wsp:rsid wsp:val=&quot;009649A0&quot;/&gt;&lt;wsp:rsid wsp:val=&quot;0096582F&quot;/&gt;&lt;wsp:rsid wsp:val=&quot;00965A0E&quot;/&gt;&lt;wsp:rsid wsp:val=&quot;00965E5B&quot;/&gt;&lt;wsp:rsid wsp:val=&quot;00966EB6&quot;/&gt;&lt;wsp:rsid wsp:val=&quot;009711C3&quot;/&gt;&lt;wsp:rsid wsp:val=&quot;0097129D&quot;/&gt;&lt;wsp:rsid wsp:val=&quot;00971E42&quot;/&gt;&lt;wsp:rsid wsp:val=&quot;00972328&quot;/&gt;&lt;wsp:rsid wsp:val=&quot;0097299B&quot;/&gt;&lt;wsp:rsid wsp:val=&quot;00973701&quot;/&gt;&lt;wsp:rsid wsp:val=&quot;00973F74&quot;/&gt;&lt;wsp:rsid wsp:val=&quot;00974A67&quot;/&gt;&lt;wsp:rsid wsp:val=&quot;00974B40&quot;/&gt;&lt;wsp:rsid wsp:val=&quot;0097685E&quot;/&gt;&lt;wsp:rsid wsp:val=&quot;0097693F&quot;/&gt;&lt;wsp:rsid wsp:val=&quot;00980BAE&quot;/&gt;&lt;wsp:rsid wsp:val=&quot;00980EE1&quot;/&gt;&lt;wsp:rsid wsp:val=&quot;009819A6&quot;/&gt;&lt;wsp:rsid wsp:val=&quot;00983D60&quot;/&gt;&lt;wsp:rsid wsp:val=&quot;00984698&quot;/&gt;&lt;wsp:rsid wsp:val=&quot;009849C8&quot;/&gt;&lt;wsp:rsid wsp:val=&quot;00984D7F&quot;/&gt;&lt;wsp:rsid wsp:val=&quot;00985680&quot;/&gt;&lt;wsp:rsid wsp:val=&quot;009860A7&quot;/&gt;&lt;wsp:rsid wsp:val=&quot;0098645E&quot;/&gt;&lt;wsp:rsid wsp:val=&quot;00990FCD&quot;/&gt;&lt;wsp:rsid wsp:val=&quot;009918A9&quot;/&gt;&lt;wsp:rsid wsp:val=&quot;00991BDA&quot;/&gt;&lt;wsp:rsid wsp:val=&quot;00993545&quot;/&gt;&lt;wsp:rsid wsp:val=&quot;009950D9&quot;/&gt;&lt;wsp:rsid wsp:val=&quot;00996A49&quot;/&gt;&lt;wsp:rsid wsp:val=&quot;009A0F59&quot;/&gt;&lt;wsp:rsid wsp:val=&quot;009A166A&quot;/&gt;&lt;wsp:rsid wsp:val=&quot;009A17CE&quot;/&gt;&lt;wsp:rsid wsp:val=&quot;009A2C51&quot;/&gt;&lt;wsp:rsid wsp:val=&quot;009A409D&quot;/&gt;&lt;wsp:rsid wsp:val=&quot;009A427F&quot;/&gt;&lt;wsp:rsid wsp:val=&quot;009A459E&quot;/&gt;&lt;wsp:rsid wsp:val=&quot;009A4ECD&quot;/&gt;&lt;wsp:rsid wsp:val=&quot;009A56A7&quot;/&gt;&lt;wsp:rsid wsp:val=&quot;009A5874&quot;/&gt;&lt;wsp:rsid wsp:val=&quot;009A734C&quot;/&gt;&lt;wsp:rsid wsp:val=&quot;009A7964&quot;/&gt;&lt;wsp:rsid wsp:val=&quot;009A7F95&quot;/&gt;&lt;wsp:rsid wsp:val=&quot;009B03E4&quot;/&gt;&lt;wsp:rsid wsp:val=&quot;009B0820&quot;/&gt;&lt;wsp:rsid wsp:val=&quot;009B11D7&quot;/&gt;&lt;wsp:rsid wsp:val=&quot;009B1952&quot;/&gt;&lt;wsp:rsid wsp:val=&quot;009B1FA7&quot;/&gt;&lt;wsp:rsid wsp:val=&quot;009B2F4A&quot;/&gt;&lt;wsp:rsid wsp:val=&quot;009B35F4&quot;/&gt;&lt;wsp:rsid wsp:val=&quot;009B4D96&quot;/&gt;&lt;wsp:rsid wsp:val=&quot;009B6133&quot;/&gt;&lt;wsp:rsid wsp:val=&quot;009B643E&quot;/&gt;&lt;wsp:rsid wsp:val=&quot;009B724A&quot;/&gt;&lt;wsp:rsid wsp:val=&quot;009C02A7&quot;/&gt;&lt;wsp:rsid wsp:val=&quot;009C044D&quot;/&gt;&lt;wsp:rsid wsp:val=&quot;009C086A&quot;/&gt;&lt;wsp:rsid wsp:val=&quot;009C2016&quot;/&gt;&lt;wsp:rsid wsp:val=&quot;009C21EC&quot;/&gt;&lt;wsp:rsid wsp:val=&quot;009C3190&quot;/&gt;&lt;wsp:rsid wsp:val=&quot;009C328D&quot;/&gt;&lt;wsp:rsid wsp:val=&quot;009C3E22&quot;/&gt;&lt;wsp:rsid wsp:val=&quot;009C50CB&quot;/&gt;&lt;wsp:rsid wsp:val=&quot;009C5348&quot;/&gt;&lt;wsp:rsid wsp:val=&quot;009C6D39&quot;/&gt;&lt;wsp:rsid wsp:val=&quot;009C6F27&quot;/&gt;&lt;wsp:rsid wsp:val=&quot;009C7ACD&quot;/&gt;&lt;wsp:rsid wsp:val=&quot;009D1962&quot;/&gt;&lt;wsp:rsid wsp:val=&quot;009D20A1&quot;/&gt;&lt;wsp:rsid wsp:val=&quot;009D2297&quot;/&gt;&lt;wsp:rsid wsp:val=&quot;009D2B0E&quot;/&gt;&lt;wsp:rsid wsp:val=&quot;009D2F26&quot;/&gt;&lt;wsp:rsid wsp:val=&quot;009D31F3&quot;/&gt;&lt;wsp:rsid wsp:val=&quot;009D3B4F&quot;/&gt;&lt;wsp:rsid wsp:val=&quot;009D48A0&quot;/&gt;&lt;wsp:rsid wsp:val=&quot;009D4AC2&quot;/&gt;&lt;wsp:rsid wsp:val=&quot;009D6377&quot;/&gt;&lt;wsp:rsid wsp:val=&quot;009D69D0&quot;/&gt;&lt;wsp:rsid wsp:val=&quot;009D72C5&quot;/&gt;&lt;wsp:rsid wsp:val=&quot;009E1291&quot;/&gt;&lt;wsp:rsid wsp:val=&quot;009E1AC8&quot;/&gt;&lt;wsp:rsid wsp:val=&quot;009E1F2D&quot;/&gt;&lt;wsp:rsid wsp:val=&quot;009E2AD8&quot;/&gt;&lt;wsp:rsid wsp:val=&quot;009E3BAB&quot;/&gt;&lt;wsp:rsid wsp:val=&quot;009E40C4&quot;/&gt;&lt;wsp:rsid wsp:val=&quot;009E45FD&quot;/&gt;&lt;wsp:rsid wsp:val=&quot;009E486A&quot;/&gt;&lt;wsp:rsid wsp:val=&quot;009E6321&quot;/&gt;&lt;wsp:rsid wsp:val=&quot;009E6884&quot;/&gt;&lt;wsp:rsid wsp:val=&quot;009E689A&quot;/&gt;&lt;wsp:rsid wsp:val=&quot;009E68DA&quot;/&gt;&lt;wsp:rsid wsp:val=&quot;009E6EA8&quot;/&gt;&lt;wsp:rsid wsp:val=&quot;009E6EF9&quot;/&gt;&lt;wsp:rsid wsp:val=&quot;009E7921&quot;/&gt;&lt;wsp:rsid wsp:val=&quot;009F0676&quot;/&gt;&lt;wsp:rsid wsp:val=&quot;009F0B64&quot;/&gt;&lt;wsp:rsid wsp:val=&quot;009F0BB7&quot;/&gt;&lt;wsp:rsid wsp:val=&quot;009F112E&quot;/&gt;&lt;wsp:rsid wsp:val=&quot;009F1DC3&quot;/&gt;&lt;wsp:rsid wsp:val=&quot;009F2039&quot;/&gt;&lt;wsp:rsid wsp:val=&quot;009F4CFC&quot;/&gt;&lt;wsp:rsid wsp:val=&quot;009F4EF0&quot;/&gt;&lt;wsp:rsid wsp:val=&quot;009F55E0&quot;/&gt;&lt;wsp:rsid wsp:val=&quot;009F6E3C&quot;/&gt;&lt;wsp:rsid wsp:val=&quot;009F7008&quot;/&gt;&lt;wsp:rsid wsp:val=&quot;009F79C7&quot;/&gt;&lt;wsp:rsid wsp:val=&quot;009F7D47&quot;/&gt;&lt;wsp:rsid wsp:val=&quot;00A022FF&quot;/&gt;&lt;wsp:rsid wsp:val=&quot;00A023BC&quot;/&gt;&lt;wsp:rsid wsp:val=&quot;00A0258B&quot;/&gt;&lt;wsp:rsid wsp:val=&quot;00A054D6&quot;/&gt;&lt;wsp:rsid wsp:val=&quot;00A05D39&quot;/&gt;&lt;wsp:rsid wsp:val=&quot;00A0604B&quot;/&gt;&lt;wsp:rsid wsp:val=&quot;00A061C7&quot;/&gt;&lt;wsp:rsid wsp:val=&quot;00A06F5C&quot;/&gt;&lt;wsp:rsid wsp:val=&quot;00A077BB&quot;/&gt;&lt;wsp:rsid wsp:val=&quot;00A07917&quot;/&gt;&lt;wsp:rsid wsp:val=&quot;00A07CFC&quot;/&gt;&lt;wsp:rsid wsp:val=&quot;00A10533&quot;/&gt;&lt;wsp:rsid wsp:val=&quot;00A10DE8&quot;/&gt;&lt;wsp:rsid wsp:val=&quot;00A11573&quot;/&gt;&lt;wsp:rsid wsp:val=&quot;00A12F5C&quot;/&gt;&lt;wsp:rsid wsp:val=&quot;00A134EE&quot;/&gt;&lt;wsp:rsid wsp:val=&quot;00A13A68&quot;/&gt;&lt;wsp:rsid wsp:val=&quot;00A13B6E&quot;/&gt;&lt;wsp:rsid wsp:val=&quot;00A14381&quot;/&gt;&lt;wsp:rsid wsp:val=&quot;00A1446D&quot;/&gt;&lt;wsp:rsid wsp:val=&quot;00A161FA&quot;/&gt;&lt;wsp:rsid wsp:val=&quot;00A16476&quot;/&gt;&lt;wsp:rsid wsp:val=&quot;00A168A9&quot;/&gt;&lt;wsp:rsid wsp:val=&quot;00A16FA0&quot;/&gt;&lt;wsp:rsid wsp:val=&quot;00A17087&quot;/&gt;&lt;wsp:rsid wsp:val=&quot;00A17741&quot;/&gt;&lt;wsp:rsid wsp:val=&quot;00A1776B&quot;/&gt;&lt;wsp:rsid wsp:val=&quot;00A21843&quot;/&gt;&lt;wsp:rsid wsp:val=&quot;00A23858&quot;/&gt;&lt;wsp:rsid wsp:val=&quot;00A243EE&quot;/&gt;&lt;wsp:rsid wsp:val=&quot;00A24838&quot;/&gt;&lt;wsp:rsid wsp:val=&quot;00A24D17&quot;/&gt;&lt;wsp:rsid wsp:val=&quot;00A272BA&quot;/&gt;&lt;wsp:rsid wsp:val=&quot;00A27C16&quot;/&gt;&lt;wsp:rsid wsp:val=&quot;00A3060E&quot;/&gt;&lt;wsp:rsid wsp:val=&quot;00A30853&quot;/&gt;&lt;wsp:rsid wsp:val=&quot;00A31400&quot;/&gt;&lt;wsp:rsid wsp:val=&quot;00A31507&quot;/&gt;&lt;wsp:rsid wsp:val=&quot;00A3170F&quot;/&gt;&lt;wsp:rsid wsp:val=&quot;00A323C2&quot;/&gt;&lt;wsp:rsid wsp:val=&quot;00A33437&quot;/&gt;&lt;wsp:rsid wsp:val=&quot;00A33735&quot;/&gt;&lt;wsp:rsid wsp:val=&quot;00A36048&quot;/&gt;&lt;wsp:rsid wsp:val=&quot;00A36939&quot;/&gt;&lt;wsp:rsid wsp:val=&quot;00A36BF0&quot;/&gt;&lt;wsp:rsid wsp:val=&quot;00A37690&quot;/&gt;&lt;wsp:rsid wsp:val=&quot;00A37789&quot;/&gt;&lt;wsp:rsid wsp:val=&quot;00A37826&quot;/&gt;&lt;wsp:rsid wsp:val=&quot;00A401B4&quot;/&gt;&lt;wsp:rsid wsp:val=&quot;00A40665&quot;/&gt;&lt;wsp:rsid wsp:val=&quot;00A40686&quot;/&gt;&lt;wsp:rsid wsp:val=&quot;00A41241&quot;/&gt;&lt;wsp:rsid wsp:val=&quot;00A42BE9&quot;/&gt;&lt;wsp:rsid wsp:val=&quot;00A42C5E&quot;/&gt;&lt;wsp:rsid wsp:val=&quot;00A456D4&quot;/&gt;&lt;wsp:rsid wsp:val=&quot;00A457E7&quot;/&gt;&lt;wsp:rsid wsp:val=&quot;00A45AC9&quot;/&gt;&lt;wsp:rsid wsp:val=&quot;00A4768D&quot;/&gt;&lt;wsp:rsid wsp:val=&quot;00A47C2F&quot;/&gt;&lt;wsp:rsid wsp:val=&quot;00A47E0D&quot;/&gt;&lt;wsp:rsid wsp:val=&quot;00A51022&quot;/&gt;&lt;wsp:rsid wsp:val=&quot;00A5195F&quot;/&gt;&lt;wsp:rsid wsp:val=&quot;00A51C8C&quot;/&gt;&lt;wsp:rsid wsp:val=&quot;00A5274D&quot;/&gt;&lt;wsp:rsid wsp:val=&quot;00A52CE0&quot;/&gt;&lt;wsp:rsid wsp:val=&quot;00A52D24&quot;/&gt;&lt;wsp:rsid wsp:val=&quot;00A53A46&quot;/&gt;&lt;wsp:rsid wsp:val=&quot;00A54451&quot;/&gt;&lt;wsp:rsid wsp:val=&quot;00A605AB&quot;/&gt;&lt;wsp:rsid wsp:val=&quot;00A60703&quot;/&gt;&lt;wsp:rsid wsp:val=&quot;00A60C00&quot;/&gt;&lt;wsp:rsid wsp:val=&quot;00A618B6&quot;/&gt;&lt;wsp:rsid wsp:val=&quot;00A6280C&quot;/&gt;&lt;wsp:rsid wsp:val=&quot;00A62CFC&quot;/&gt;&lt;wsp:rsid wsp:val=&quot;00A62D1D&quot;/&gt;&lt;wsp:rsid wsp:val=&quot;00A62F21&quot;/&gt;&lt;wsp:rsid wsp:val=&quot;00A63060&quot;/&gt;&lt;wsp:rsid wsp:val=&quot;00A6342A&quot;/&gt;&lt;wsp:rsid wsp:val=&quot;00A63A15&quot;/&gt;&lt;wsp:rsid wsp:val=&quot;00A63D4C&quot;/&gt;&lt;wsp:rsid wsp:val=&quot;00A64825&quot;/&gt;&lt;wsp:rsid wsp:val=&quot;00A64DE2&quot;/&gt;&lt;wsp:rsid wsp:val=&quot;00A65CA3&quot;/&gt;&lt;wsp:rsid wsp:val=&quot;00A66499&quot;/&gt;&lt;wsp:rsid wsp:val=&quot;00A667C2&quot;/&gt;&lt;wsp:rsid wsp:val=&quot;00A72C67&quot;/&gt;&lt;wsp:rsid wsp:val=&quot;00A731EB&quot;/&gt;&lt;wsp:rsid wsp:val=&quot;00A73E9B&quot;/&gt;&lt;wsp:rsid wsp:val=&quot;00A73F05&quot;/&gt;&lt;wsp:rsid wsp:val=&quot;00A7465B&quot;/&gt;&lt;wsp:rsid wsp:val=&quot;00A74984&quot;/&gt;&lt;wsp:rsid wsp:val=&quot;00A74A17&quot;/&gt;&lt;wsp:rsid wsp:val=&quot;00A75CE7&quot;/&gt;&lt;wsp:rsid wsp:val=&quot;00A76718&quot;/&gt;&lt;wsp:rsid wsp:val=&quot;00A76D92&quot;/&gt;&lt;wsp:rsid wsp:val=&quot;00A77808&quot;/&gt;&lt;wsp:rsid wsp:val=&quot;00A80064&quot;/&gt;&lt;wsp:rsid wsp:val=&quot;00A8070F&quot;/&gt;&lt;wsp:rsid wsp:val=&quot;00A80D28&quot;/&gt;&lt;wsp:rsid wsp:val=&quot;00A80F15&quot;/&gt;&lt;wsp:rsid wsp:val=&quot;00A81398&quot;/&gt;&lt;wsp:rsid wsp:val=&quot;00A82BDB&quot;/&gt;&lt;wsp:rsid wsp:val=&quot;00A83363&quot;/&gt;&lt;wsp:rsid wsp:val=&quot;00A84976&quot;/&gt;&lt;wsp:rsid wsp:val=&quot;00A85057&quot;/&gt;&lt;wsp:rsid wsp:val=&quot;00A85792&quot;/&gt;&lt;wsp:rsid wsp:val=&quot;00A86C31&quot;/&gt;&lt;wsp:rsid wsp:val=&quot;00A86D8B&quot;/&gt;&lt;wsp:rsid wsp:val=&quot;00A87151&quot;/&gt;&lt;wsp:rsid wsp:val=&quot;00A90198&quot;/&gt;&lt;wsp:rsid wsp:val=&quot;00A90215&quot;/&gt;&lt;wsp:rsid wsp:val=&quot;00A90F4B&quot;/&gt;&lt;wsp:rsid wsp:val=&quot;00A918E4&quot;/&gt;&lt;wsp:rsid wsp:val=&quot;00A919C9&quot;/&gt;&lt;wsp:rsid wsp:val=&quot;00A91A2B&quot;/&gt;&lt;wsp:rsid wsp:val=&quot;00A91A84&quot;/&gt;&lt;wsp:rsid wsp:val=&quot;00A91BC0&quot;/&gt;&lt;wsp:rsid wsp:val=&quot;00A91CDF&quot;/&gt;&lt;wsp:rsid wsp:val=&quot;00A91E3C&quot;/&gt;&lt;wsp:rsid wsp:val=&quot;00A9206E&quot;/&gt;&lt;wsp:rsid wsp:val=&quot;00A94950&quot;/&gt;&lt;wsp:rsid wsp:val=&quot;00A94DEC&quot;/&gt;&lt;wsp:rsid wsp:val=&quot;00A95043&quot;/&gt;&lt;wsp:rsid wsp:val=&quot;00A954EE&quot;/&gt;&lt;wsp:rsid wsp:val=&quot;00A95778&quot;/&gt;&lt;wsp:rsid wsp:val=&quot;00A96831&quot;/&gt;&lt;wsp:rsid wsp:val=&quot;00A96E6B&quot;/&gt;&lt;wsp:rsid wsp:val=&quot;00A97073&quot;/&gt;&lt;wsp:rsid wsp:val=&quot;00A97831&quot;/&gt;&lt;wsp:rsid wsp:val=&quot;00AA01F7&quot;/&gt;&lt;wsp:rsid wsp:val=&quot;00AA2420&quot;/&gt;&lt;wsp:rsid wsp:val=&quot;00AA3222&quot;/&gt;&lt;wsp:rsid wsp:val=&quot;00AA34E5&quot;/&gt;&lt;wsp:rsid wsp:val=&quot;00AA3A38&quot;/&gt;&lt;wsp:rsid wsp:val=&quot;00AA3B4B&quot;/&gt;&lt;wsp:rsid wsp:val=&quot;00AA4734&quot;/&gt;&lt;wsp:rsid wsp:val=&quot;00AA4F01&quot;/&gt;&lt;wsp:rsid wsp:val=&quot;00AA50ED&quot;/&gt;&lt;wsp:rsid wsp:val=&quot;00AA5642&quot;/&gt;&lt;wsp:rsid wsp:val=&quot;00AA6341&quot;/&gt;&lt;wsp:rsid wsp:val=&quot;00AA6948&quot;/&gt;&lt;wsp:rsid wsp:val=&quot;00AA6CA9&quot;/&gt;&lt;wsp:rsid wsp:val=&quot;00AA6E3C&quot;/&gt;&lt;wsp:rsid wsp:val=&quot;00AB06DF&quot;/&gt;&lt;wsp:rsid wsp:val=&quot;00AB0F91&quot;/&gt;&lt;wsp:rsid wsp:val=&quot;00AB201A&quot;/&gt;&lt;wsp:rsid wsp:val=&quot;00AB2F43&quot;/&gt;&lt;wsp:rsid wsp:val=&quot;00AB315C&quot;/&gt;&lt;wsp:rsid wsp:val=&quot;00AB4907&quot;/&gt;&lt;wsp:rsid wsp:val=&quot;00AB499A&quot;/&gt;&lt;wsp:rsid wsp:val=&quot;00AB543D&quot;/&gt;&lt;wsp:rsid wsp:val=&quot;00AB7B6B&quot;/&gt;&lt;wsp:rsid wsp:val=&quot;00AC0180&quot;/&gt;&lt;wsp:rsid wsp:val=&quot;00AC13B9&quot;/&gt;&lt;wsp:rsid wsp:val=&quot;00AC15AC&quot;/&gt;&lt;wsp:rsid wsp:val=&quot;00AC2C4E&quot;/&gt;&lt;wsp:rsid wsp:val=&quot;00AC33C1&quot;/&gt;&lt;wsp:rsid wsp:val=&quot;00AC426E&quot;/&gt;&lt;wsp:rsid wsp:val=&quot;00AC4579&quot;/&gt;&lt;wsp:rsid wsp:val=&quot;00AC51B3&quot;/&gt;&lt;wsp:rsid wsp:val=&quot;00AC64CE&quot;/&gt;&lt;wsp:rsid wsp:val=&quot;00AC71BC&quot;/&gt;&lt;wsp:rsid wsp:val=&quot;00AC770C&quot;/&gt;&lt;wsp:rsid wsp:val=&quot;00AD0092&quot;/&gt;&lt;wsp:rsid wsp:val=&quot;00AD034D&quot;/&gt;&lt;wsp:rsid wsp:val=&quot;00AD059D&quot;/&gt;&lt;wsp:rsid wsp:val=&quot;00AD1323&quot;/&gt;&lt;wsp:rsid wsp:val=&quot;00AD1BA0&quot;/&gt;&lt;wsp:rsid wsp:val=&quot;00AD33DF&quot;/&gt;&lt;wsp:rsid wsp:val=&quot;00AD3E06&quot;/&gt;&lt;wsp:rsid wsp:val=&quot;00AD41D9&quot;/&gt;&lt;wsp:rsid wsp:val=&quot;00AD696F&quot;/&gt;&lt;wsp:rsid wsp:val=&quot;00AE01CE&quot;/&gt;&lt;wsp:rsid wsp:val=&quot;00AE1923&quot;/&gt;&lt;wsp:rsid wsp:val=&quot;00AE210E&quot;/&gt;&lt;wsp:rsid wsp:val=&quot;00AE317F&quot;/&gt;&lt;wsp:rsid wsp:val=&quot;00AE3F2D&quot;/&gt;&lt;wsp:rsid wsp:val=&quot;00AE41DD&quot;/&gt;&lt;wsp:rsid wsp:val=&quot;00AE53A3&quot;/&gt;&lt;wsp:rsid wsp:val=&quot;00AE53B5&quot;/&gt;&lt;wsp:rsid wsp:val=&quot;00AE569F&quot;/&gt;&lt;wsp:rsid wsp:val=&quot;00AE56F9&quot;/&gt;&lt;wsp:rsid wsp:val=&quot;00AE5DB1&quot;/&gt;&lt;wsp:rsid wsp:val=&quot;00AE6962&quot;/&gt;&lt;wsp:rsid wsp:val=&quot;00AF0899&quot;/&gt;&lt;wsp:rsid wsp:val=&quot;00AF0E35&quot;/&gt;&lt;wsp:rsid wsp:val=&quot;00AF1590&quot;/&gt;&lt;wsp:rsid wsp:val=&quot;00AF1E66&quot;/&gt;&lt;wsp:rsid wsp:val=&quot;00AF2490&quot;/&gt;&lt;wsp:rsid wsp:val=&quot;00AF3705&quot;/&gt;&lt;wsp:rsid wsp:val=&quot;00AF483C&quot;/&gt;&lt;wsp:rsid wsp:val=&quot;00AF4D24&quot;/&gt;&lt;wsp:rsid wsp:val=&quot;00AF5B50&quot;/&gt;&lt;wsp:rsid wsp:val=&quot;00AF5D7D&quot;/&gt;&lt;wsp:rsid wsp:val=&quot;00AF75B8&quot;/&gt;&lt;wsp:rsid wsp:val=&quot;00B00A7B&quot;/&gt;&lt;wsp:rsid wsp:val=&quot;00B01073&quot;/&gt;&lt;wsp:rsid wsp:val=&quot;00B018D8&quot;/&gt;&lt;wsp:rsid wsp:val=&quot;00B01D90&quot;/&gt;&lt;wsp:rsid wsp:val=&quot;00B02049&quot;/&gt;&lt;wsp:rsid wsp:val=&quot;00B0257A&quot;/&gt;&lt;wsp:rsid wsp:val=&quot;00B02F0E&quot;/&gt;&lt;wsp:rsid wsp:val=&quot;00B0355B&quot;/&gt;&lt;wsp:rsid wsp:val=&quot;00B03ADB&quot;/&gt;&lt;wsp:rsid wsp:val=&quot;00B04BD5&quot;/&gt;&lt;wsp:rsid wsp:val=&quot;00B059AA&quot;/&gt;&lt;wsp:rsid wsp:val=&quot;00B06963&quot;/&gt;&lt;wsp:rsid wsp:val=&quot;00B07596&quot;/&gt;&lt;wsp:rsid wsp:val=&quot;00B076CE&quot;/&gt;&lt;wsp:rsid wsp:val=&quot;00B101EF&quot;/&gt;&lt;wsp:rsid wsp:val=&quot;00B111A8&quot;/&gt;&lt;wsp:rsid wsp:val=&quot;00B11556&quot;/&gt;&lt;wsp:rsid wsp:val=&quot;00B1178D&quot;/&gt;&lt;wsp:rsid wsp:val=&quot;00B11F97&quot;/&gt;&lt;wsp:rsid wsp:val=&quot;00B120B1&quot;/&gt;&lt;wsp:rsid wsp:val=&quot;00B12861&quot;/&gt;&lt;wsp:rsid wsp:val=&quot;00B12D36&quot;/&gt;&lt;wsp:rsid wsp:val=&quot;00B13278&quot;/&gt;&lt;wsp:rsid wsp:val=&quot;00B13E93&quot;/&gt;&lt;wsp:rsid wsp:val=&quot;00B148CC&quot;/&gt;&lt;wsp:rsid wsp:val=&quot;00B15031&quot;/&gt;&lt;wsp:rsid wsp:val=&quot;00B153E2&quot;/&gt;&lt;wsp:rsid wsp:val=&quot;00B1561A&quot;/&gt;&lt;wsp:rsid wsp:val=&quot;00B15799&quot;/&gt;&lt;wsp:rsid wsp:val=&quot;00B17589&quot;/&gt;&lt;wsp:rsid wsp:val=&quot;00B20820&quot;/&gt;&lt;wsp:rsid wsp:val=&quot;00B20E7C&quot;/&gt;&lt;wsp:rsid wsp:val=&quot;00B214D9&quot;/&gt;&lt;wsp:rsid wsp:val=&quot;00B214EF&quot;/&gt;&lt;wsp:rsid wsp:val=&quot;00B21C98&quot;/&gt;&lt;wsp:rsid wsp:val=&quot;00B22240&quot;/&gt;&lt;wsp:rsid wsp:val=&quot;00B2354F&quot;/&gt;&lt;wsp:rsid wsp:val=&quot;00B2376E&quot;/&gt;&lt;wsp:rsid wsp:val=&quot;00B23787&quot;/&gt;&lt;wsp:rsid wsp:val=&quot;00B23792&quot;/&gt;&lt;wsp:rsid wsp:val=&quot;00B2396B&quot;/&gt;&lt;wsp:rsid wsp:val=&quot;00B23DAC&quot;/&gt;&lt;wsp:rsid wsp:val=&quot;00B2422A&quot;/&gt;&lt;wsp:rsid wsp:val=&quot;00B255D5&quot;/&gt;&lt;wsp:rsid wsp:val=&quot;00B2590F&quot;/&gt;&lt;wsp:rsid wsp:val=&quot;00B26080&quot;/&gt;&lt;wsp:rsid wsp:val=&quot;00B278F4&quot;/&gt;&lt;wsp:rsid wsp:val=&quot;00B3049F&quot;/&gt;&lt;wsp:rsid wsp:val=&quot;00B31149&quot;/&gt;&lt;wsp:rsid wsp:val=&quot;00B31D0D&quot;/&gt;&lt;wsp:rsid wsp:val=&quot;00B32526&quot;/&gt;&lt;wsp:rsid wsp:val=&quot;00B32AD4&quot;/&gt;&lt;wsp:rsid wsp:val=&quot;00B331D2&quot;/&gt;&lt;wsp:rsid wsp:val=&quot;00B33959&quot;/&gt;&lt;wsp:rsid wsp:val=&quot;00B3409D&quot;/&gt;&lt;wsp:rsid wsp:val=&quot;00B35328&quot;/&gt;&lt;wsp:rsid wsp:val=&quot;00B355DF&quot;/&gt;&lt;wsp:rsid wsp:val=&quot;00B36382&quot;/&gt;&lt;wsp:rsid wsp:val=&quot;00B3748B&quot;/&gt;&lt;wsp:rsid wsp:val=&quot;00B378CA&quot;/&gt;&lt;wsp:rsid wsp:val=&quot;00B37948&quot;/&gt;&lt;wsp:rsid wsp:val=&quot;00B4248D&quot;/&gt;&lt;wsp:rsid wsp:val=&quot;00B42957&quot;/&gt;&lt;wsp:rsid wsp:val=&quot;00B44E2C&quot;/&gt;&lt;wsp:rsid wsp:val=&quot;00B45D0D&quot;/&gt;&lt;wsp:rsid wsp:val=&quot;00B46680&quot;/&gt;&lt;wsp:rsid wsp:val=&quot;00B46A69&quot;/&gt;&lt;wsp:rsid wsp:val=&quot;00B507D4&quot;/&gt;&lt;wsp:rsid wsp:val=&quot;00B50973&quot;/&gt;&lt;wsp:rsid wsp:val=&quot;00B50EEB&quot;/&gt;&lt;wsp:rsid wsp:val=&quot;00B52253&quot;/&gt;&lt;wsp:rsid wsp:val=&quot;00B52334&quot;/&gt;&lt;wsp:rsid wsp:val=&quot;00B52603&quot;/&gt;&lt;wsp:rsid wsp:val=&quot;00B5273C&quot;/&gt;&lt;wsp:rsid wsp:val=&quot;00B5332D&quot;/&gt;&lt;wsp:rsid wsp:val=&quot;00B53624&quot;/&gt;&lt;wsp:rsid wsp:val=&quot;00B5379C&quot;/&gt;&lt;wsp:rsid wsp:val=&quot;00B54075&quot;/&gt;&lt;wsp:rsid wsp:val=&quot;00B54736&quot;/&gt;&lt;wsp:rsid wsp:val=&quot;00B548A0&quot;/&gt;&lt;wsp:rsid wsp:val=&quot;00B54E5A&quot;/&gt;&lt;wsp:rsid wsp:val=&quot;00B55417&quot;/&gt;&lt;wsp:rsid wsp:val=&quot;00B5581C&quot;/&gt;&lt;wsp:rsid wsp:val=&quot;00B571D1&quot;/&gt;&lt;wsp:rsid wsp:val=&quot;00B57537&quot;/&gt;&lt;wsp:rsid wsp:val=&quot;00B57BAA&quot;/&gt;&lt;wsp:rsid wsp:val=&quot;00B6016F&quot;/&gt;&lt;wsp:rsid wsp:val=&quot;00B602A2&quot;/&gt;&lt;wsp:rsid wsp:val=&quot;00B60B91&quot;/&gt;&lt;wsp:rsid wsp:val=&quot;00B61A50&quot;/&gt;&lt;wsp:rsid wsp:val=&quot;00B6211A&quot;/&gt;&lt;wsp:rsid wsp:val=&quot;00B62E4F&quot;/&gt;&lt;wsp:rsid wsp:val=&quot;00B639C8&quot;/&gt;&lt;wsp:rsid wsp:val=&quot;00B64A10&quot;/&gt;&lt;wsp:rsid wsp:val=&quot;00B6638F&quot;/&gt;&lt;wsp:rsid wsp:val=&quot;00B66D60&quot;/&gt;&lt;wsp:rsid wsp:val=&quot;00B67925&quot;/&gt;&lt;wsp:rsid wsp:val=&quot;00B7014D&quot;/&gt;&lt;wsp:rsid wsp:val=&quot;00B701CD&quot;/&gt;&lt;wsp:rsid wsp:val=&quot;00B70268&quot;/&gt;&lt;wsp:rsid wsp:val=&quot;00B70B21&quot;/&gt;&lt;wsp:rsid wsp:val=&quot;00B7184F&quot;/&gt;&lt;wsp:rsid wsp:val=&quot;00B72675&quot;/&gt;&lt;wsp:rsid wsp:val=&quot;00B72960&quot;/&gt;&lt;wsp:rsid wsp:val=&quot;00B72A23&quot;/&gt;&lt;wsp:rsid wsp:val=&quot;00B737A5&quot;/&gt;&lt;wsp:rsid wsp:val=&quot;00B73FDE&quot;/&gt;&lt;wsp:rsid wsp:val=&quot;00B7471F&quot;/&gt;&lt;wsp:rsid wsp:val=&quot;00B76E56&quot;/&gt;&lt;wsp:rsid wsp:val=&quot;00B770A2&quot;/&gt;&lt;wsp:rsid wsp:val=&quot;00B80538&quot;/&gt;&lt;wsp:rsid wsp:val=&quot;00B808F5&quot;/&gt;&lt;wsp:rsid wsp:val=&quot;00B813DB&quot;/&gt;&lt;wsp:rsid wsp:val=&quot;00B81A22&quot;/&gt;&lt;wsp:rsid wsp:val=&quot;00B825E2&quot;/&gt;&lt;wsp:rsid wsp:val=&quot;00B82892&quot;/&gt;&lt;wsp:rsid wsp:val=&quot;00B83662&quot;/&gt;&lt;wsp:rsid wsp:val=&quot;00B8406C&quot;/&gt;&lt;wsp:rsid wsp:val=&quot;00B8442A&quot;/&gt;&lt;wsp:rsid wsp:val=&quot;00B84BA6&quot;/&gt;&lt;wsp:rsid wsp:val=&quot;00B85343&quot;/&gt;&lt;wsp:rsid wsp:val=&quot;00B853E0&quot;/&gt;&lt;wsp:rsid wsp:val=&quot;00B85CEB&quot;/&gt;&lt;wsp:rsid wsp:val=&quot;00B860A8&quot;/&gt;&lt;wsp:rsid wsp:val=&quot;00B865D8&quot;/&gt;&lt;wsp:rsid wsp:val=&quot;00B867CC&quot;/&gt;&lt;wsp:rsid wsp:val=&quot;00B86A4F&quot;/&gt;&lt;wsp:rsid wsp:val=&quot;00B86B1D&quot;/&gt;&lt;wsp:rsid wsp:val=&quot;00B8708E&quot;/&gt;&lt;wsp:rsid wsp:val=&quot;00B901A9&quot;/&gt;&lt;wsp:rsid wsp:val=&quot;00B90F82&quot;/&gt;&lt;wsp:rsid wsp:val=&quot;00B91A06&quot;/&gt;&lt;wsp:rsid wsp:val=&quot;00B91ACF&quot;/&gt;&lt;wsp:rsid wsp:val=&quot;00B91ED5&quot;/&gt;&lt;wsp:rsid wsp:val=&quot;00B925AA&quot;/&gt;&lt;wsp:rsid wsp:val=&quot;00B92926&quot;/&gt;&lt;wsp:rsid wsp:val=&quot;00B929CE&quot;/&gt;&lt;wsp:rsid wsp:val=&quot;00B93168&quot;/&gt;&lt;wsp:rsid wsp:val=&quot;00B93D65&quot;/&gt;&lt;wsp:rsid wsp:val=&quot;00B93FD4&quot;/&gt;&lt;wsp:rsid wsp:val=&quot;00B94867&quot;/&gt;&lt;wsp:rsid wsp:val=&quot;00B949FB&quot;/&gt;&lt;wsp:rsid wsp:val=&quot;00B94EDE&quot;/&gt;&lt;wsp:rsid wsp:val=&quot;00B961D6&quot;/&gt;&lt;wsp:rsid wsp:val=&quot;00B96404&quot;/&gt;&lt;wsp:rsid wsp:val=&quot;00B97854&quot;/&gt;&lt;wsp:rsid wsp:val=&quot;00B97F95&quot;/&gt;&lt;wsp:rsid wsp:val=&quot;00BA0B19&quot;/&gt;&lt;wsp:rsid wsp:val=&quot;00BA1093&quot;/&gt;&lt;wsp:rsid wsp:val=&quot;00BA146B&quot;/&gt;&lt;wsp:rsid wsp:val=&quot;00BA1E7F&quot;/&gt;&lt;wsp:rsid wsp:val=&quot;00BA20AB&quot;/&gt;&lt;wsp:rsid wsp:val=&quot;00BA467F&quot;/&gt;&lt;wsp:rsid wsp:val=&quot;00BA48E4&quot;/&gt;&lt;wsp:rsid wsp:val=&quot;00BA4BB7&quot;/&gt;&lt;wsp:rsid wsp:val=&quot;00BA5523&quot;/&gt;&lt;wsp:rsid wsp:val=&quot;00BA59B7&quot;/&gt;&lt;wsp:rsid wsp:val=&quot;00BA5CF8&quot;/&gt;&lt;wsp:rsid wsp:val=&quot;00BA66E3&quot;/&gt;&lt;wsp:rsid wsp:val=&quot;00BA69E8&quot;/&gt;&lt;wsp:rsid wsp:val=&quot;00BB0403&quot;/&gt;&lt;wsp:rsid wsp:val=&quot;00BB2328&quot;/&gt;&lt;wsp:rsid wsp:val=&quot;00BB2DA1&quot;/&gt;&lt;wsp:rsid wsp:val=&quot;00BB3AAB&quot;/&gt;&lt;wsp:rsid wsp:val=&quot;00BB47A5&quot;/&gt;&lt;wsp:rsid wsp:val=&quot;00BB48AD&quot;/&gt;&lt;wsp:rsid wsp:val=&quot;00BB626B&quot;/&gt;&lt;wsp:rsid wsp:val=&quot;00BB6339&quot;/&gt;&lt;wsp:rsid wsp:val=&quot;00BB7258&quot;/&gt;&lt;wsp:rsid wsp:val=&quot;00BB7666&quot;/&gt;&lt;wsp:rsid wsp:val=&quot;00BC00AE&quot;/&gt;&lt;wsp:rsid wsp:val=&quot;00BC021D&quot;/&gt;&lt;wsp:rsid wsp:val=&quot;00BC0CA9&quot;/&gt;&lt;wsp:rsid wsp:val=&quot;00BC0E97&quot;/&gt;&lt;wsp:rsid wsp:val=&quot;00BC168A&quot;/&gt;&lt;wsp:rsid wsp:val=&quot;00BC25A8&quot;/&gt;&lt;wsp:rsid wsp:val=&quot;00BC3855&quot;/&gt;&lt;wsp:rsid wsp:val=&quot;00BC3D20&quot;/&gt;&lt;wsp:rsid wsp:val=&quot;00BC433E&quot;/&gt;&lt;wsp:rsid wsp:val=&quot;00BC5328&quot;/&gt;&lt;wsp:rsid wsp:val=&quot;00BC6728&quot;/&gt;&lt;wsp:rsid wsp:val=&quot;00BC67D3&quot;/&gt;&lt;wsp:rsid wsp:val=&quot;00BC7410&quot;/&gt;&lt;wsp:rsid wsp:val=&quot;00BC7CCE&quot;/&gt;&lt;wsp:rsid wsp:val=&quot;00BC7E5E&quot;/&gt;&lt;wsp:rsid wsp:val=&quot;00BD21A9&quot;/&gt;&lt;wsp:rsid wsp:val=&quot;00BD2EED&quot;/&gt;&lt;wsp:rsid wsp:val=&quot;00BD314D&quot;/&gt;&lt;wsp:rsid wsp:val=&quot;00BD4B52&quot;/&gt;&lt;wsp:rsid wsp:val=&quot;00BD59E3&quot;/&gt;&lt;wsp:rsid wsp:val=&quot;00BD5B28&quot;/&gt;&lt;wsp:rsid wsp:val=&quot;00BD61B9&quot;/&gt;&lt;wsp:rsid wsp:val=&quot;00BD647A&quot;/&gt;&lt;wsp:rsid wsp:val=&quot;00BE01EA&quot;/&gt;&lt;wsp:rsid wsp:val=&quot;00BE0714&quot;/&gt;&lt;wsp:rsid wsp:val=&quot;00BE0F34&quot;/&gt;&lt;wsp:rsid wsp:val=&quot;00BE153A&quot;/&gt;&lt;wsp:rsid wsp:val=&quot;00BE3C76&quot;/&gt;&lt;wsp:rsid wsp:val=&quot;00BE439F&quot;/&gt;&lt;wsp:rsid wsp:val=&quot;00BE4423&quot;/&gt;&lt;wsp:rsid wsp:val=&quot;00BE4BF7&quot;/&gt;&lt;wsp:rsid wsp:val=&quot;00BE4F27&quot;/&gt;&lt;wsp:rsid wsp:val=&quot;00BE732B&quot;/&gt;&lt;wsp:rsid wsp:val=&quot;00BF03A5&quot;/&gt;&lt;wsp:rsid wsp:val=&quot;00BF0CF8&quot;/&gt;&lt;wsp:rsid wsp:val=&quot;00BF16C8&quot;/&gt;&lt;wsp:rsid wsp:val=&quot;00BF1FED&quot;/&gt;&lt;wsp:rsid wsp:val=&quot;00BF2522&quot;/&gt;&lt;wsp:rsid wsp:val=&quot;00BF254C&quot;/&gt;&lt;wsp:rsid wsp:val=&quot;00BF37DD&quot;/&gt;&lt;wsp:rsid wsp:val=&quot;00BF3996&quot;/&gt;&lt;wsp:rsid wsp:val=&quot;00BF3E86&quot;/&gt;&lt;wsp:rsid wsp:val=&quot;00BF471D&quot;/&gt;&lt;wsp:rsid wsp:val=&quot;00BF64B7&quot;/&gt;&lt;wsp:rsid wsp:val=&quot;00BF680B&quot;/&gt;&lt;wsp:rsid wsp:val=&quot;00BF71C1&quot;/&gt;&lt;wsp:rsid wsp:val=&quot;00C01368&quot;/&gt;&lt;wsp:rsid wsp:val=&quot;00C0237F&quot;/&gt;&lt;wsp:rsid wsp:val=&quot;00C03EA2&quot;/&gt;&lt;wsp:rsid wsp:val=&quot;00C04020&quot;/&gt;&lt;wsp:rsid wsp:val=&quot;00C049D7&quot;/&gt;&lt;wsp:rsid wsp:val=&quot;00C04AB2&quot;/&gt;&lt;wsp:rsid wsp:val=&quot;00C04E35&quot;/&gt;&lt;wsp:rsid wsp:val=&quot;00C05678&quot;/&gt;&lt;wsp:rsid wsp:val=&quot;00C06B9D&quot;/&gt;&lt;wsp:rsid wsp:val=&quot;00C07994&quot;/&gt;&lt;wsp:rsid wsp:val=&quot;00C07B83&quot;/&gt;&lt;wsp:rsid wsp:val=&quot;00C10E9A&quot;/&gt;&lt;wsp:rsid wsp:val=&quot;00C114BA&quot;/&gt;&lt;wsp:rsid wsp:val=&quot;00C121DF&quot;/&gt;&lt;wsp:rsid wsp:val=&quot;00C129DC&quot;/&gt;&lt;wsp:rsid wsp:val=&quot;00C12A50&quot;/&gt;&lt;wsp:rsid wsp:val=&quot;00C1388A&quot;/&gt;&lt;wsp:rsid wsp:val=&quot;00C13E42&quot;/&gt;&lt;wsp:rsid wsp:val=&quot;00C14406&quot;/&gt;&lt;wsp:rsid wsp:val=&quot;00C14737&quot;/&gt;&lt;wsp:rsid wsp:val=&quot;00C14828&quot;/&gt;&lt;wsp:rsid wsp:val=&quot;00C14A6F&quot;/&gt;&lt;wsp:rsid wsp:val=&quot;00C158F6&quot;/&gt;&lt;wsp:rsid wsp:val=&quot;00C15D88&quot;/&gt;&lt;wsp:rsid wsp:val=&quot;00C161CC&quot;/&gt;&lt;wsp:rsid wsp:val=&quot;00C1671E&quot;/&gt;&lt;wsp:rsid wsp:val=&quot;00C167E6&quot;/&gt;&lt;wsp:rsid wsp:val=&quot;00C1680D&quot;/&gt;&lt;wsp:rsid wsp:val=&quot;00C16950&quot;/&gt;&lt;wsp:rsid wsp:val=&quot;00C16E2E&quot;/&gt;&lt;wsp:rsid wsp:val=&quot;00C1776B&quot;/&gt;&lt;wsp:rsid wsp:val=&quot;00C17D78&quot;/&gt;&lt;wsp:rsid wsp:val=&quot;00C17D7C&quot;/&gt;&lt;wsp:rsid wsp:val=&quot;00C20071&quot;/&gt;&lt;wsp:rsid wsp:val=&quot;00C201DA&quot;/&gt;&lt;wsp:rsid wsp:val=&quot;00C213F3&quot;/&gt;&lt;wsp:rsid wsp:val=&quot;00C21657&quot;/&gt;&lt;wsp:rsid wsp:val=&quot;00C21A78&quot;/&gt;&lt;wsp:rsid wsp:val=&quot;00C21D41&quot;/&gt;&lt;wsp:rsid wsp:val=&quot;00C22067&quot;/&gt;&lt;wsp:rsid wsp:val=&quot;00C2276F&quot;/&gt;&lt;wsp:rsid wsp:val=&quot;00C22991&quot;/&gt;&lt;wsp:rsid wsp:val=&quot;00C23F48&quot;/&gt;&lt;wsp:rsid wsp:val=&quot;00C24D8E&quot;/&gt;&lt;wsp:rsid wsp:val=&quot;00C25704&quot;/&gt;&lt;wsp:rsid wsp:val=&quot;00C2573C&quot;/&gt;&lt;wsp:rsid wsp:val=&quot;00C25B33&quot;/&gt;&lt;wsp:rsid wsp:val=&quot;00C25E18&quot;/&gt;&lt;wsp:rsid wsp:val=&quot;00C26579&quot;/&gt;&lt;wsp:rsid wsp:val=&quot;00C27127&quot;/&gt;&lt;wsp:rsid wsp:val=&quot;00C27F6B&quot;/&gt;&lt;wsp:rsid wsp:val=&quot;00C31C55&quot;/&gt;&lt;wsp:rsid wsp:val=&quot;00C3225C&quot;/&gt;&lt;wsp:rsid wsp:val=&quot;00C32FE5&quot;/&gt;&lt;wsp:rsid wsp:val=&quot;00C33B9A&quot;/&gt;&lt;wsp:rsid wsp:val=&quot;00C362E1&quot;/&gt;&lt;wsp:rsid wsp:val=&quot;00C3678D&quot;/&gt;&lt;wsp:rsid wsp:val=&quot;00C36D41&quot;/&gt;&lt;wsp:rsid wsp:val=&quot;00C374BC&quot;/&gt;&lt;wsp:rsid wsp:val=&quot;00C37D1A&quot;/&gt;&lt;wsp:rsid wsp:val=&quot;00C40988&quot;/&gt;&lt;wsp:rsid wsp:val=&quot;00C40BF6&quot;/&gt;&lt;wsp:rsid wsp:val=&quot;00C413E7&quot;/&gt;&lt;wsp:rsid wsp:val=&quot;00C41854&quot;/&gt;&lt;wsp:rsid wsp:val=&quot;00C43C77&quot;/&gt;&lt;wsp:rsid wsp:val=&quot;00C44165&quot;/&gt;&lt;wsp:rsid wsp:val=&quot;00C452BA&quot;/&gt;&lt;wsp:rsid wsp:val=&quot;00C454F0&quot;/&gt;&lt;wsp:rsid wsp:val=&quot;00C4570A&quot;/&gt;&lt;wsp:rsid wsp:val=&quot;00C50358&quot;/&gt;&lt;wsp:rsid wsp:val=&quot;00C50D55&quot;/&gt;&lt;wsp:rsid wsp:val=&quot;00C50FE9&quot;/&gt;&lt;wsp:rsid wsp:val=&quot;00C51B52&quot;/&gt;&lt;wsp:rsid wsp:val=&quot;00C52108&quot;/&gt;&lt;wsp:rsid wsp:val=&quot;00C52AD0&quot;/&gt;&lt;wsp:rsid wsp:val=&quot;00C5448E&quot;/&gt;&lt;wsp:rsid wsp:val=&quot;00C546A1&quot;/&gt;&lt;wsp:rsid wsp:val=&quot;00C54946&quot;/&gt;&lt;wsp:rsid wsp:val=&quot;00C567DE&quot;/&gt;&lt;wsp:rsid wsp:val=&quot;00C5764F&quot;/&gt;&lt;wsp:rsid wsp:val=&quot;00C57F81&quot;/&gt;&lt;wsp:rsid wsp:val=&quot;00C60915&quot;/&gt;&lt;wsp:rsid wsp:val=&quot;00C61E1C&quot;/&gt;&lt;wsp:rsid wsp:val=&quot;00C63AAC&quot;/&gt;&lt;wsp:rsid wsp:val=&quot;00C64ED4&quot;/&gt;&lt;wsp:rsid wsp:val=&quot;00C657FD&quot;/&gt;&lt;wsp:rsid wsp:val=&quot;00C6589A&quot;/&gt;&lt;wsp:rsid wsp:val=&quot;00C663B9&quot;/&gt;&lt;wsp:rsid wsp:val=&quot;00C678C0&quot;/&gt;&lt;wsp:rsid wsp:val=&quot;00C72E84&quot;/&gt;&lt;wsp:rsid wsp:val=&quot;00C732A8&quot;/&gt;&lt;wsp:rsid wsp:val=&quot;00C7344B&quot;/&gt;&lt;wsp:rsid wsp:val=&quot;00C743FD&quot;/&gt;&lt;wsp:rsid wsp:val=&quot;00C76243&quot;/&gt;&lt;wsp:rsid wsp:val=&quot;00C76886&quot;/&gt;&lt;wsp:rsid wsp:val=&quot;00C76E31&quot;/&gt;&lt;wsp:rsid wsp:val=&quot;00C77C8D&quot;/&gt;&lt;wsp:rsid wsp:val=&quot;00C77E17&quot;/&gt;&lt;wsp:rsid wsp:val=&quot;00C80BC5&quot;/&gt;&lt;wsp:rsid wsp:val=&quot;00C83027&quot;/&gt;&lt;wsp:rsid wsp:val=&quot;00C84F5F&quot;/&gt;&lt;wsp:rsid wsp:val=&quot;00C85468&quot;/&gt;&lt;wsp:rsid wsp:val=&quot;00C858E5&quot;/&gt;&lt;wsp:rsid wsp:val=&quot;00C85A8A&quot;/&gt;&lt;wsp:rsid wsp:val=&quot;00C869E6&quot;/&gt;&lt;wsp:rsid wsp:val=&quot;00C86ECD&quot;/&gt;&lt;wsp:rsid wsp:val=&quot;00C86F36&quot;/&gt;&lt;wsp:rsid wsp:val=&quot;00C874C4&quot;/&gt;&lt;wsp:rsid wsp:val=&quot;00C87535&quot;/&gt;&lt;wsp:rsid wsp:val=&quot;00C8791E&quot;/&gt;&lt;wsp:rsid wsp:val=&quot;00C87B21&quot;/&gt;&lt;wsp:rsid wsp:val=&quot;00C9046B&quot;/&gt;&lt;wsp:rsid wsp:val=&quot;00C905C4&quot;/&gt;&lt;wsp:rsid wsp:val=&quot;00C90C9C&quot;/&gt;&lt;wsp:rsid wsp:val=&quot;00C90E2F&quot;/&gt;&lt;wsp:rsid wsp:val=&quot;00C90F66&quot;/&gt;&lt;wsp:rsid wsp:val=&quot;00C90FB5&quot;/&gt;&lt;wsp:rsid wsp:val=&quot;00C91D87&quot;/&gt;&lt;wsp:rsid wsp:val=&quot;00C92257&quot;/&gt;&lt;wsp:rsid wsp:val=&quot;00C922B3&quot;/&gt;&lt;wsp:rsid wsp:val=&quot;00C926B1&quot;/&gt;&lt;wsp:rsid wsp:val=&quot;00C927A0&quot;/&gt;&lt;wsp:rsid wsp:val=&quot;00C92BE6&quot;/&gt;&lt;wsp:rsid wsp:val=&quot;00C94CD1&quot;/&gt;&lt;wsp:rsid wsp:val=&quot;00C95214&quot;/&gt;&lt;wsp:rsid wsp:val=&quot;00C95700&quot;/&gt;&lt;wsp:rsid wsp:val=&quot;00C95DF3&quot;/&gt;&lt;wsp:rsid wsp:val=&quot;00C966B2&quot;/&gt;&lt;wsp:rsid wsp:val=&quot;00C973A2&quot;/&gt;&lt;wsp:rsid wsp:val=&quot;00CA0450&quot;/&gt;&lt;wsp:rsid wsp:val=&quot;00CA06DD&quot;/&gt;&lt;wsp:rsid wsp:val=&quot;00CA0AE8&quot;/&gt;&lt;wsp:rsid wsp:val=&quot;00CA0EB1&quot;/&gt;&lt;wsp:rsid wsp:val=&quot;00CA189F&quot;/&gt;&lt;wsp:rsid wsp:val=&quot;00CA1EB1&quot;/&gt;&lt;wsp:rsid wsp:val=&quot;00CA3218&quot;/&gt;&lt;wsp:rsid wsp:val=&quot;00CA5D70&quot;/&gt;&lt;wsp:rsid wsp:val=&quot;00CA7447&quot;/&gt;&lt;wsp:rsid wsp:val=&quot;00CA7531&quot;/&gt;&lt;wsp:rsid wsp:val=&quot;00CB0003&quot;/&gt;&lt;wsp:rsid wsp:val=&quot;00CB02D0&quot;/&gt;&lt;wsp:rsid wsp:val=&quot;00CB04AB&quot;/&gt;&lt;wsp:rsid wsp:val=&quot;00CB0528&quot;/&gt;&lt;wsp:rsid wsp:val=&quot;00CB18B3&quot;/&gt;&lt;wsp:rsid wsp:val=&quot;00CB1AEC&quot;/&gt;&lt;wsp:rsid wsp:val=&quot;00CB2654&quot;/&gt;&lt;wsp:rsid wsp:val=&quot;00CB2DC3&quot;/&gt;&lt;wsp:rsid wsp:val=&quot;00CB3E50&quot;/&gt;&lt;wsp:rsid wsp:val=&quot;00CB4017&quot;/&gt;&lt;wsp:rsid wsp:val=&quot;00CB592F&quot;/&gt;&lt;wsp:rsid wsp:val=&quot;00CC02C1&quot;/&gt;&lt;wsp:rsid wsp:val=&quot;00CC1297&quot;/&gt;&lt;wsp:rsid wsp:val=&quot;00CC1736&quot;/&gt;&lt;wsp:rsid wsp:val=&quot;00CC1B3A&quot;/&gt;&lt;wsp:rsid wsp:val=&quot;00CC2227&quot;/&gt;&lt;wsp:rsid wsp:val=&quot;00CC2777&quot;/&gt;&lt;wsp:rsid wsp:val=&quot;00CC39CC&quot;/&gt;&lt;wsp:rsid wsp:val=&quot;00CC44D5&quot;/&gt;&lt;wsp:rsid wsp:val=&quot;00CC4BB3&quot;/&gt;&lt;wsp:rsid wsp:val=&quot;00CC520E&quot;/&gt;&lt;wsp:rsid wsp:val=&quot;00CC614D&quot;/&gt;&lt;wsp:rsid wsp:val=&quot;00CC6AD1&quot;/&gt;&lt;wsp:rsid wsp:val=&quot;00CC7AFC&quot;/&gt;&lt;wsp:rsid wsp:val=&quot;00CD05C8&quot;/&gt;&lt;wsp:rsid wsp:val=&quot;00CD0E33&quot;/&gt;&lt;wsp:rsid wsp:val=&quot;00CD0F35&quot;/&gt;&lt;wsp:rsid wsp:val=&quot;00CD1B46&quot;/&gt;&lt;wsp:rsid wsp:val=&quot;00CD1FBD&quot;/&gt;&lt;wsp:rsid wsp:val=&quot;00CD22A3&quot;/&gt;&lt;wsp:rsid wsp:val=&quot;00CD29B8&quot;/&gt;&lt;wsp:rsid wsp:val=&quot;00CD357A&quot;/&gt;&lt;wsp:rsid wsp:val=&quot;00CD475E&quot;/&gt;&lt;wsp:rsid wsp:val=&quot;00CD5089&quot;/&gt;&lt;wsp:rsid wsp:val=&quot;00CD51B5&quot;/&gt;&lt;wsp:rsid wsp:val=&quot;00CD614C&quot;/&gt;&lt;wsp:rsid wsp:val=&quot;00CD6D0F&quot;/&gt;&lt;wsp:rsid wsp:val=&quot;00CE18CC&quot;/&gt;&lt;wsp:rsid wsp:val=&quot;00CE1C42&quot;/&gt;&lt;wsp:rsid wsp:val=&quot;00CE3A03&quot;/&gt;&lt;wsp:rsid wsp:val=&quot;00CE3E4C&quot;/&gt;&lt;wsp:rsid wsp:val=&quot;00CE40B1&quot;/&gt;&lt;wsp:rsid wsp:val=&quot;00CE4E00&quot;/&gt;&lt;wsp:rsid wsp:val=&quot;00CE5B25&quot;/&gt;&lt;wsp:rsid wsp:val=&quot;00CE727E&quot;/&gt;&lt;wsp:rsid wsp:val=&quot;00CE7B23&quot;/&gt;&lt;wsp:rsid wsp:val=&quot;00CF0181&quot;/&gt;&lt;wsp:rsid wsp:val=&quot;00CF16AD&quot;/&gt;&lt;wsp:rsid wsp:val=&quot;00CF254B&quot;/&gt;&lt;wsp:rsid wsp:val=&quot;00CF2BAB&quot;/&gt;&lt;wsp:rsid wsp:val=&quot;00CF3231&quot;/&gt;&lt;wsp:rsid wsp:val=&quot;00CF478C&quot;/&gt;&lt;wsp:rsid wsp:val=&quot;00CF5198&quot;/&gt;&lt;wsp:rsid wsp:val=&quot;00CF5230&quot;/&gt;&lt;wsp:rsid wsp:val=&quot;00CF5EE1&quot;/&gt;&lt;wsp:rsid wsp:val=&quot;00CF6460&quot;/&gt;&lt;wsp:rsid wsp:val=&quot;00CF78AC&quot;/&gt;&lt;wsp:rsid wsp:val=&quot;00CF7A85&quot;/&gt;&lt;wsp:rsid wsp:val=&quot;00D000D2&quot;/&gt;&lt;wsp:rsid wsp:val=&quot;00D01104&quot;/&gt;&lt;wsp:rsid wsp:val=&quot;00D01E08&quot;/&gt;&lt;wsp:rsid wsp:val=&quot;00D026DD&quot;/&gt;&lt;wsp:rsid wsp:val=&quot;00D045DA&quot;/&gt;&lt;wsp:rsid wsp:val=&quot;00D0461E&quot;/&gt;&lt;wsp:rsid wsp:val=&quot;00D05C73&quot;/&gt;&lt;wsp:rsid wsp:val=&quot;00D06820&quot;/&gt;&lt;wsp:rsid wsp:val=&quot;00D06882&quot;/&gt;&lt;wsp:rsid wsp:val=&quot;00D07C92&quot;/&gt;&lt;wsp:rsid wsp:val=&quot;00D11295&quot;/&gt;&lt;wsp:rsid wsp:val=&quot;00D11334&quot;/&gt;&lt;wsp:rsid wsp:val=&quot;00D11553&quot;/&gt;&lt;wsp:rsid wsp:val=&quot;00D126E9&quot;/&gt;&lt;wsp:rsid wsp:val=&quot;00D1564E&quot;/&gt;&lt;wsp:rsid wsp:val=&quot;00D15908&quot;/&gt;&lt;wsp:rsid wsp:val=&quot;00D160B0&quot;/&gt;&lt;wsp:rsid wsp:val=&quot;00D16550&quot;/&gt;&lt;wsp:rsid wsp:val=&quot;00D168FD&quot;/&gt;&lt;wsp:rsid wsp:val=&quot;00D1771A&quot;/&gt;&lt;wsp:rsid wsp:val=&quot;00D178FD&quot;/&gt;&lt;wsp:rsid wsp:val=&quot;00D20466&quot;/&gt;&lt;wsp:rsid wsp:val=&quot;00D20697&quot;/&gt;&lt;wsp:rsid wsp:val=&quot;00D20EA8&quot;/&gt;&lt;wsp:rsid wsp:val=&quot;00D210CA&quot;/&gt;&lt;wsp:rsid wsp:val=&quot;00D21582&quot;/&gt;&lt;wsp:rsid wsp:val=&quot;00D21897&quot;/&gt;&lt;wsp:rsid wsp:val=&quot;00D21B00&quot;/&gt;&lt;wsp:rsid wsp:val=&quot;00D21BCE&quot;/&gt;&lt;wsp:rsid wsp:val=&quot;00D21DA8&quot;/&gt;&lt;wsp:rsid wsp:val=&quot;00D24A59&quot;/&gt;&lt;wsp:rsid wsp:val=&quot;00D24B99&quot;/&gt;&lt;wsp:rsid wsp:val=&quot;00D25538&quot;/&gt;&lt;wsp:rsid wsp:val=&quot;00D26371&quot;/&gt;&lt;wsp:rsid wsp:val=&quot;00D2735C&quot;/&gt;&lt;wsp:rsid wsp:val=&quot;00D27576&quot;/&gt;&lt;wsp:rsid wsp:val=&quot;00D27C94&quot;/&gt;&lt;wsp:rsid wsp:val=&quot;00D308CD&quot;/&gt;&lt;wsp:rsid wsp:val=&quot;00D3090F&quot;/&gt;&lt;wsp:rsid wsp:val=&quot;00D30D33&quot;/&gt;&lt;wsp:rsid wsp:val=&quot;00D318CF&quot;/&gt;&lt;wsp:rsid wsp:val=&quot;00D325CC&quot;/&gt;&lt;wsp:rsid wsp:val=&quot;00D3360C&quot;/&gt;&lt;wsp:rsid wsp:val=&quot;00D33B36&quot;/&gt;&lt;wsp:rsid wsp:val=&quot;00D34000&quot;/&gt;&lt;wsp:rsid wsp:val=&quot;00D352E9&quot;/&gt;&lt;wsp:rsid wsp:val=&quot;00D364ED&quot;/&gt;&lt;wsp:rsid wsp:val=&quot;00D36667&quot;/&gt;&lt;wsp:rsid wsp:val=&quot;00D369E9&quot;/&gt;&lt;wsp:rsid wsp:val=&quot;00D3765B&quot;/&gt;&lt;wsp:rsid wsp:val=&quot;00D413CF&quot;/&gt;&lt;wsp:rsid wsp:val=&quot;00D41E54&quot;/&gt;&lt;wsp:rsid wsp:val=&quot;00D42F14&quot;/&gt;&lt;wsp:rsid wsp:val=&quot;00D44D43&quot;/&gt;&lt;wsp:rsid wsp:val=&quot;00D44EAB&quot;/&gt;&lt;wsp:rsid wsp:val=&quot;00D45A0B&quot;/&gt;&lt;wsp:rsid wsp:val=&quot;00D45CC8&quot;/&gt;&lt;wsp:rsid wsp:val=&quot;00D45DE3&quot;/&gt;&lt;wsp:rsid wsp:val=&quot;00D4615A&quot;/&gt;&lt;wsp:rsid wsp:val=&quot;00D46595&quot;/&gt;&lt;wsp:rsid wsp:val=&quot;00D4674E&quot;/&gt;&lt;wsp:rsid wsp:val=&quot;00D47871&quot;/&gt;&lt;wsp:rsid wsp:val=&quot;00D507E2&quot;/&gt;&lt;wsp:rsid wsp:val=&quot;00D51FED&quot;/&gt;&lt;wsp:rsid wsp:val=&quot;00D53111&quot;/&gt;&lt;wsp:rsid wsp:val=&quot;00D53EC7&quot;/&gt;&lt;wsp:rsid wsp:val=&quot;00D5424C&quot;/&gt;&lt;wsp:rsid wsp:val=&quot;00D557DD&quot;/&gt;&lt;wsp:rsid wsp:val=&quot;00D558B9&quot;/&gt;&lt;wsp:rsid wsp:val=&quot;00D55A57&quot;/&gt;&lt;wsp:rsid wsp:val=&quot;00D5626A&quot;/&gt;&lt;wsp:rsid wsp:val=&quot;00D56C95&quot;/&gt;&lt;wsp:rsid wsp:val=&quot;00D573CC&quot;/&gt;&lt;wsp:rsid wsp:val=&quot;00D57C7C&quot;/&gt;&lt;wsp:rsid wsp:val=&quot;00D607AD&quot;/&gt;&lt;wsp:rsid wsp:val=&quot;00D608D6&quot;/&gt;&lt;wsp:rsid wsp:val=&quot;00D60FC8&quot;/&gt;&lt;wsp:rsid wsp:val=&quot;00D6150F&quot;/&gt;&lt;wsp:rsid wsp:val=&quot;00D6254F&quot;/&gt;&lt;wsp:rsid wsp:val=&quot;00D62804&quot;/&gt;&lt;wsp:rsid wsp:val=&quot;00D62D54&quot;/&gt;&lt;wsp:rsid wsp:val=&quot;00D63971&quot;/&gt;&lt;wsp:rsid wsp:val=&quot;00D64C0E&quot;/&gt;&lt;wsp:rsid wsp:val=&quot;00D6629D&quot;/&gt;&lt;wsp:rsid wsp:val=&quot;00D6677F&quot;/&gt;&lt;wsp:rsid wsp:val=&quot;00D669DE&quot;/&gt;&lt;wsp:rsid wsp:val=&quot;00D66E62&quot;/&gt;&lt;wsp:rsid wsp:val=&quot;00D67252&quot;/&gt;&lt;wsp:rsid wsp:val=&quot;00D7043B&quot;/&gt;&lt;wsp:rsid wsp:val=&quot;00D7141D&quot;/&gt;&lt;wsp:rsid wsp:val=&quot;00D73539&quot;/&gt;&lt;wsp:rsid wsp:val=&quot;00D748C3&quot;/&gt;&lt;wsp:rsid wsp:val=&quot;00D76E14&quot;/&gt;&lt;wsp:rsid wsp:val=&quot;00D773C1&quot;/&gt;&lt;wsp:rsid wsp:val=&quot;00D77CB2&quot;/&gt;&lt;wsp:rsid wsp:val=&quot;00D8215C&quot;/&gt;&lt;wsp:rsid wsp:val=&quot;00D84BD5&quot;/&gt;&lt;wsp:rsid wsp:val=&quot;00D869DC&quot;/&gt;&lt;wsp:rsid wsp:val=&quot;00D86C7D&quot;/&gt;&lt;wsp:rsid wsp:val=&quot;00D872FD&quot;/&gt;&lt;wsp:rsid wsp:val=&quot;00D878A0&quot;/&gt;&lt;wsp:rsid wsp:val=&quot;00D9077C&quot;/&gt;&lt;wsp:rsid wsp:val=&quot;00D9099C&quot;/&gt;&lt;wsp:rsid wsp:val=&quot;00D91545&quot;/&gt;&lt;wsp:rsid wsp:val=&quot;00D91685&quot;/&gt;&lt;wsp:rsid wsp:val=&quot;00D91B78&quot;/&gt;&lt;wsp:rsid wsp:val=&quot;00D945E8&quot;/&gt;&lt;wsp:rsid wsp:val=&quot;00D947FF&quot;/&gt;&lt;wsp:rsid wsp:val=&quot;00D94BD4&quot;/&gt;&lt;wsp:rsid wsp:val=&quot;00D95361&quot;/&gt;&lt;wsp:rsid wsp:val=&quot;00D9601C&quot;/&gt;&lt;wsp:rsid wsp:val=&quot;00D96B02&quot;/&gt;&lt;wsp:rsid wsp:val=&quot;00D96CAE&quot;/&gt;&lt;wsp:rsid wsp:val=&quot;00D97467&quot;/&gt;&lt;wsp:rsid wsp:val=&quot;00D97557&quot;/&gt;&lt;wsp:rsid wsp:val=&quot;00DA1036&quot;/&gt;&lt;wsp:rsid wsp:val=&quot;00DA10BF&quot;/&gt;&lt;wsp:rsid wsp:val=&quot;00DA1144&quot;/&gt;&lt;wsp:rsid wsp:val=&quot;00DA11BD&quot;/&gt;&lt;wsp:rsid wsp:val=&quot;00DA1816&quot;/&gt;&lt;wsp:rsid wsp:val=&quot;00DA32C1&quot;/&gt;&lt;wsp:rsid wsp:val=&quot;00DA3439&quot;/&gt;&lt;wsp:rsid wsp:val=&quot;00DA4AA2&quot;/&gt;&lt;wsp:rsid wsp:val=&quot;00DA5055&quot;/&gt;&lt;wsp:rsid wsp:val=&quot;00DA57AB&quot;/&gt;&lt;wsp:rsid wsp:val=&quot;00DA6190&quot;/&gt;&lt;wsp:rsid wsp:val=&quot;00DA6F61&quot;/&gt;&lt;wsp:rsid wsp:val=&quot;00DA7235&quot;/&gt;&lt;wsp:rsid wsp:val=&quot;00DA7676&quot;/&gt;&lt;wsp:rsid wsp:val=&quot;00DA7C34&quot;/&gt;&lt;wsp:rsid wsp:val=&quot;00DB0AAD&quot;/&gt;&lt;wsp:rsid wsp:val=&quot;00DB0C5D&quot;/&gt;&lt;wsp:rsid wsp:val=&quot;00DB1287&quot;/&gt;&lt;wsp:rsid wsp:val=&quot;00DB1797&quot;/&gt;&lt;wsp:rsid wsp:val=&quot;00DB320C&quot;/&gt;&lt;wsp:rsid wsp:val=&quot;00DB39BD&quot;/&gt;&lt;wsp:rsid wsp:val=&quot;00DB5DB8&quot;/&gt;&lt;wsp:rsid wsp:val=&quot;00DB5EAD&quot;/&gt;&lt;wsp:rsid wsp:val=&quot;00DB65AE&quot;/&gt;&lt;wsp:rsid wsp:val=&quot;00DB76CB&quot;/&gt;&lt;wsp:rsid wsp:val=&quot;00DB788C&quot;/&gt;&lt;wsp:rsid wsp:val=&quot;00DC0B2D&quot;/&gt;&lt;wsp:rsid wsp:val=&quot;00DC0FA7&quot;/&gt;&lt;wsp:rsid wsp:val=&quot;00DC19B6&quot;/&gt;&lt;wsp:rsid wsp:val=&quot;00DC1C2E&quot;/&gt;&lt;wsp:rsid wsp:val=&quot;00DC1ED9&quot;/&gt;&lt;wsp:rsid wsp:val=&quot;00DC22D3&quot;/&gt;&lt;wsp:rsid wsp:val=&quot;00DC2507&quot;/&gt;&lt;wsp:rsid wsp:val=&quot;00DC2DFB&quot;/&gt;&lt;wsp:rsid wsp:val=&quot;00DC3235&quot;/&gt;&lt;wsp:rsid wsp:val=&quot;00DC48A8&quot;/&gt;&lt;wsp:rsid wsp:val=&quot;00DC546E&quot;/&gt;&lt;wsp:rsid wsp:val=&quot;00DC58B4&quot;/&gt;&lt;wsp:rsid wsp:val=&quot;00DC5A3B&quot;/&gt;&lt;wsp:rsid wsp:val=&quot;00DC6869&quot;/&gt;&lt;wsp:rsid wsp:val=&quot;00DD09C7&quot;/&gt;&lt;wsp:rsid wsp:val=&quot;00DD1C09&quot;/&gt;&lt;wsp:rsid wsp:val=&quot;00DD2D5C&quot;/&gt;&lt;wsp:rsid wsp:val=&quot;00DD2E44&quot;/&gt;&lt;wsp:rsid wsp:val=&quot;00DD39A7&quot;/&gt;&lt;wsp:rsid wsp:val=&quot;00DD5529&quot;/&gt;&lt;wsp:rsid wsp:val=&quot;00DD56C7&quot;/&gt;&lt;wsp:rsid wsp:val=&quot;00DD679D&quot;/&gt;&lt;wsp:rsid wsp:val=&quot;00DE0365&quot;/&gt;&lt;wsp:rsid wsp:val=&quot;00DE1715&quot;/&gt;&lt;wsp:rsid wsp:val=&quot;00DE1F81&quot;/&gt;&lt;wsp:rsid wsp:val=&quot;00DE2B8D&quot;/&gt;&lt;wsp:rsid wsp:val=&quot;00DE3273&quot;/&gt;&lt;wsp:rsid wsp:val=&quot;00DE3715&quot;/&gt;&lt;wsp:rsid wsp:val=&quot;00DE58C7&quot;/&gt;&lt;wsp:rsid wsp:val=&quot;00DE5DC8&quot;/&gt;&lt;wsp:rsid wsp:val=&quot;00DE7D91&quot;/&gt;&lt;wsp:rsid wsp:val=&quot;00DF047E&quot;/&gt;&lt;wsp:rsid wsp:val=&quot;00DF051F&quot;/&gt;&lt;wsp:rsid wsp:val=&quot;00DF0586&quot;/&gt;&lt;wsp:rsid wsp:val=&quot;00DF07BF&quot;/&gt;&lt;wsp:rsid wsp:val=&quot;00DF192E&quot;/&gt;&lt;wsp:rsid wsp:val=&quot;00DF3803&quot;/&gt;&lt;wsp:rsid wsp:val=&quot;00DF3937&quot;/&gt;&lt;wsp:rsid wsp:val=&quot;00DF4168&quot;/&gt;&lt;wsp:rsid wsp:val=&quot;00DF5015&quot;/&gt;&lt;wsp:rsid wsp:val=&quot;00DF6084&quot;/&gt;&lt;wsp:rsid wsp:val=&quot;00DF6B96&quot;/&gt;&lt;wsp:rsid wsp:val=&quot;00DF705B&quot;/&gt;&lt;wsp:rsid wsp:val=&quot;00DF79B9&quot;/&gt;&lt;wsp:rsid wsp:val=&quot;00E005AF&quot;/&gt;&lt;wsp:rsid wsp:val=&quot;00E04232&quot;/&gt;&lt;wsp:rsid wsp:val=&quot;00E045C3&quot;/&gt;&lt;wsp:rsid wsp:val=&quot;00E0473E&quot;/&gt;&lt;wsp:rsid wsp:val=&quot;00E047B1&quot;/&gt;&lt;wsp:rsid wsp:val=&quot;00E051C2&quot;/&gt;&lt;wsp:rsid wsp:val=&quot;00E0532D&quot;/&gt;&lt;wsp:rsid wsp:val=&quot;00E05D14&quot;/&gt;&lt;wsp:rsid wsp:val=&quot;00E06348&quot;/&gt;&lt;wsp:rsid wsp:val=&quot;00E07142&quot;/&gt;&lt;wsp:rsid wsp:val=&quot;00E07603&quot;/&gt;&lt;wsp:rsid wsp:val=&quot;00E105C7&quot;/&gt;&lt;wsp:rsid wsp:val=&quot;00E11928&quot;/&gt;&lt;wsp:rsid wsp:val=&quot;00E1242F&quot;/&gt;&lt;wsp:rsid wsp:val=&quot;00E13BFF&quot;/&gt;&lt;wsp:rsid wsp:val=&quot;00E13C16&quot;/&gt;&lt;wsp:rsid wsp:val=&quot;00E147F3&quot;/&gt;&lt;wsp:rsid wsp:val=&quot;00E160F5&quot;/&gt;&lt;wsp:rsid wsp:val=&quot;00E165B7&quot;/&gt;&lt;wsp:rsid wsp:val=&quot;00E1761C&quot;/&gt;&lt;wsp:rsid wsp:val=&quot;00E17779&quot;/&gt;&lt;wsp:rsid wsp:val=&quot;00E209E7&quot;/&gt;&lt;wsp:rsid wsp:val=&quot;00E212A0&quot;/&gt;&lt;wsp:rsid wsp:val=&quot;00E217CC&quot;/&gt;&lt;wsp:rsid wsp:val=&quot;00E21FAD&quot;/&gt;&lt;wsp:rsid wsp:val=&quot;00E22F8F&quot;/&gt;&lt;wsp:rsid wsp:val=&quot;00E2325C&quot;/&gt;&lt;wsp:rsid wsp:val=&quot;00E23AA0&quot;/&gt;&lt;wsp:rsid wsp:val=&quot;00E23B89&quot;/&gt;&lt;wsp:rsid wsp:val=&quot;00E244B0&quot;/&gt;&lt;wsp:rsid wsp:val=&quot;00E25BB1&quot;/&gt;&lt;wsp:rsid wsp:val=&quot;00E2619B&quot;/&gt;&lt;wsp:rsid wsp:val=&quot;00E267AB&quot;/&gt;&lt;wsp:rsid wsp:val=&quot;00E27C08&quot;/&gt;&lt;wsp:rsid wsp:val=&quot;00E30613&quot;/&gt;&lt;wsp:rsid wsp:val=&quot;00E31A5A&quot;/&gt;&lt;wsp:rsid wsp:val=&quot;00E31C1A&quot;/&gt;&lt;wsp:rsid wsp:val=&quot;00E326C9&quot;/&gt;&lt;wsp:rsid wsp:val=&quot;00E32CEA&quot;/&gt;&lt;wsp:rsid wsp:val=&quot;00E3311D&quot;/&gt;&lt;wsp:rsid wsp:val=&quot;00E33A60&quot;/&gt;&lt;wsp:rsid wsp:val=&quot;00E33BAC&quot;/&gt;&lt;wsp:rsid wsp:val=&quot;00E33F65&quot;/&gt;&lt;wsp:rsid wsp:val=&quot;00E35104&quot;/&gt;&lt;wsp:rsid wsp:val=&quot;00E35884&quot;/&gt;&lt;wsp:rsid wsp:val=&quot;00E36B24&quot;/&gt;&lt;wsp:rsid wsp:val=&quot;00E3755E&quot;/&gt;&lt;wsp:rsid wsp:val=&quot;00E37B1F&quot;/&gt;&lt;wsp:rsid wsp:val=&quot;00E37D2D&quot;/&gt;&lt;wsp:rsid wsp:val=&quot;00E401B0&quot;/&gt;&lt;wsp:rsid wsp:val=&quot;00E40B4F&quot;/&gt;&lt;wsp:rsid wsp:val=&quot;00E40DE7&quot;/&gt;&lt;wsp:rsid wsp:val=&quot;00E41664&quot;/&gt;&lt;wsp:rsid wsp:val=&quot;00E41BCD&quot;/&gt;&lt;wsp:rsid wsp:val=&quot;00E43FFA&quot;/&gt;&lt;wsp:rsid wsp:val=&quot;00E4425B&quot;/&gt;&lt;wsp:rsid wsp:val=&quot;00E45DC1&quot;/&gt;&lt;wsp:rsid wsp:val=&quot;00E45F39&quot;/&gt;&lt;wsp:rsid wsp:val=&quot;00E46BFB&quot;/&gt;&lt;wsp:rsid wsp:val=&quot;00E477D5&quot;/&gt;&lt;wsp:rsid wsp:val=&quot;00E47CD9&quot;/&gt;&lt;wsp:rsid wsp:val=&quot;00E50269&quot;/&gt;&lt;wsp:rsid wsp:val=&quot;00E511D2&quot;/&gt;&lt;wsp:rsid wsp:val=&quot;00E51D0C&quot;/&gt;&lt;wsp:rsid wsp:val=&quot;00E52328&quot;/&gt;&lt;wsp:rsid wsp:val=&quot;00E524E6&quot;/&gt;&lt;wsp:rsid wsp:val=&quot;00E535B4&quot;/&gt;&lt;wsp:rsid wsp:val=&quot;00E53A35&quot;/&gt;&lt;wsp:rsid wsp:val=&quot;00E53EDA&quot;/&gt;&lt;wsp:rsid wsp:val=&quot;00E542C5&quot;/&gt;&lt;wsp:rsid wsp:val=&quot;00E54494&quot;/&gt;&lt;wsp:rsid wsp:val=&quot;00E54CB5&quot;/&gt;&lt;wsp:rsid wsp:val=&quot;00E55039&quot;/&gt;&lt;wsp:rsid wsp:val=&quot;00E55156&quot;/&gt;&lt;wsp:rsid wsp:val=&quot;00E55CC8&quot;/&gt;&lt;wsp:rsid wsp:val=&quot;00E577A9&quot;/&gt;&lt;wsp:rsid wsp:val=&quot;00E60352&quot;/&gt;&lt;wsp:rsid wsp:val=&quot;00E616AF&quot;/&gt;&lt;wsp:rsid wsp:val=&quot;00E6245F&quot;/&gt;&lt;wsp:rsid wsp:val=&quot;00E6309C&quot;/&gt;&lt;wsp:rsid wsp:val=&quot;00E633A3&quot;/&gt;&lt;wsp:rsid wsp:val=&quot;00E643E6&quot;/&gt;&lt;wsp:rsid wsp:val=&quot;00E64649&quot;/&gt;&lt;wsp:rsid wsp:val=&quot;00E6665B&quot;/&gt;&lt;wsp:rsid wsp:val=&quot;00E67C09&quot;/&gt;&lt;wsp:rsid wsp:val=&quot;00E67D7D&quot;/&gt;&lt;wsp:rsid wsp:val=&quot;00E7028F&quot;/&gt;&lt;wsp:rsid wsp:val=&quot;00E704BD&quot;/&gt;&lt;wsp:rsid wsp:val=&quot;00E73187&quot;/&gt;&lt;wsp:rsid wsp:val=&quot;00E74789&quot;/&gt;&lt;wsp:rsid wsp:val=&quot;00E749A8&quot;/&gt;&lt;wsp:rsid wsp:val=&quot;00E76924&quot;/&gt;&lt;wsp:rsid wsp:val=&quot;00E76BBE&quot;/&gt;&lt;wsp:rsid wsp:val=&quot;00E771AB&quot;/&gt;&lt;wsp:rsid wsp:val=&quot;00E779F0&quot;/&gt;&lt;wsp:rsid wsp:val=&quot;00E80DEE&quot;/&gt;&lt;wsp:rsid wsp:val=&quot;00E81636&quot;/&gt;&lt;wsp:rsid wsp:val=&quot;00E819D8&quot;/&gt;&lt;wsp:rsid wsp:val=&quot;00E829A6&quot;/&gt;&lt;wsp:rsid wsp:val=&quot;00E82EFF&quot;/&gt;&lt;wsp:rsid wsp:val=&quot;00E830CD&quot;/&gt;&lt;wsp:rsid wsp:val=&quot;00E83233&quot;/&gt;&lt;wsp:rsid wsp:val=&quot;00E833FE&quot;/&gt;&lt;wsp:rsid wsp:val=&quot;00E846B2&quot;/&gt;&lt;wsp:rsid wsp:val=&quot;00E84C10&quot;/&gt;&lt;wsp:rsid wsp:val=&quot;00E856FC&quot;/&gt;&lt;wsp:rsid wsp:val=&quot;00E85CC9&quot;/&gt;&lt;wsp:rsid wsp:val=&quot;00E85CF8&quot;/&gt;&lt;wsp:rsid wsp:val=&quot;00E86242&quot;/&gt;&lt;wsp:rsid wsp:val=&quot;00E90126&quot;/&gt;&lt;wsp:rsid wsp:val=&quot;00E90BAE&quot;/&gt;&lt;wsp:rsid wsp:val=&quot;00E91D57&quot;/&gt;&lt;wsp:rsid wsp:val=&quot;00E93045&quot;/&gt;&lt;wsp:rsid wsp:val=&quot;00E94641&quot;/&gt;&lt;wsp:rsid wsp:val=&quot;00E94993&quot;/&gt;&lt;wsp:rsid wsp:val=&quot;00E9555B&quot;/&gt;&lt;wsp:rsid wsp:val=&quot;00E958BF&quot;/&gt;&lt;wsp:rsid wsp:val=&quot;00E96B35&quot;/&gt;&lt;wsp:rsid wsp:val=&quot;00E9700A&quot;/&gt;&lt;wsp:rsid wsp:val=&quot;00E97199&quot;/&gt;&lt;wsp:rsid wsp:val=&quot;00EA0E3F&quot;/&gt;&lt;wsp:rsid wsp:val=&quot;00EA1857&quot;/&gt;&lt;wsp:rsid wsp:val=&quot;00EA193E&quot;/&gt;&lt;wsp:rsid wsp:val=&quot;00EA2923&quot;/&gt;&lt;wsp:rsid wsp:val=&quot;00EA2DA0&quot;/&gt;&lt;wsp:rsid wsp:val=&quot;00EA36D4&quot;/&gt;&lt;wsp:rsid wsp:val=&quot;00EA4209&quot;/&gt;&lt;wsp:rsid wsp:val=&quot;00EA517B&quot;/&gt;&lt;wsp:rsid wsp:val=&quot;00EA63C7&quot;/&gt;&lt;wsp:rsid wsp:val=&quot;00EA7D48&quot;/&gt;&lt;wsp:rsid wsp:val=&quot;00EA7D90&quot;/&gt;&lt;wsp:rsid wsp:val=&quot;00EB0272&quot;/&gt;&lt;wsp:rsid wsp:val=&quot;00EB0342&quot;/&gt;&lt;wsp:rsid wsp:val=&quot;00EB03C3&quot;/&gt;&lt;wsp:rsid wsp:val=&quot;00EB07A4&quot;/&gt;&lt;wsp:rsid wsp:val=&quot;00EB1130&quot;/&gt;&lt;wsp:rsid wsp:val=&quot;00EB1F12&quot;/&gt;&lt;wsp:rsid wsp:val=&quot;00EB220C&quot;/&gt;&lt;wsp:rsid wsp:val=&quot;00EB2525&quot;/&gt;&lt;wsp:rsid wsp:val=&quot;00EB3193&quot;/&gt;&lt;wsp:rsid wsp:val=&quot;00EB3369&quot;/&gt;&lt;wsp:rsid wsp:val=&quot;00EB41A6&quot;/&gt;&lt;wsp:rsid wsp:val=&quot;00EB4886&quot;/&gt;&lt;wsp:rsid wsp:val=&quot;00EB4F10&quot;/&gt;&lt;wsp:rsid wsp:val=&quot;00EB53AA&quot;/&gt;&lt;wsp:rsid wsp:val=&quot;00EB598A&quot;/&gt;&lt;wsp:rsid wsp:val=&quot;00EB6198&quot;/&gt;&lt;wsp:rsid wsp:val=&quot;00EC0396&quot;/&gt;&lt;wsp:rsid wsp:val=&quot;00EC0785&quot;/&gt;&lt;wsp:rsid wsp:val=&quot;00EC10FF&quot;/&gt;&lt;wsp:rsid wsp:val=&quot;00EC1407&quot;/&gt;&lt;wsp:rsid wsp:val=&quot;00EC15F6&quot;/&gt;&lt;wsp:rsid wsp:val=&quot;00EC2CEE&quot;/&gt;&lt;wsp:rsid wsp:val=&quot;00EC3838&quot;/&gt;&lt;wsp:rsid wsp:val=&quot;00EC3EC5&quot;/&gt;&lt;wsp:rsid wsp:val=&quot;00EC3F5C&quot;/&gt;&lt;wsp:rsid wsp:val=&quot;00EC4197&quot;/&gt;&lt;wsp:rsid wsp:val=&quot;00EC43D5&quot;/&gt;&lt;wsp:rsid wsp:val=&quot;00EC4563&quot;/&gt;&lt;wsp:rsid wsp:val=&quot;00EC64A2&quot;/&gt;&lt;wsp:rsid wsp:val=&quot;00EC6767&quot;/&gt;&lt;wsp:rsid wsp:val=&quot;00EC6B92&quot;/&gt;&lt;wsp:rsid wsp:val=&quot;00ED0536&quot;/&gt;&lt;wsp:rsid wsp:val=&quot;00ED142E&quot;/&gt;&lt;wsp:rsid wsp:val=&quot;00ED243E&quot;/&gt;&lt;wsp:rsid wsp:val=&quot;00ED3685&quot;/&gt;&lt;wsp:rsid wsp:val=&quot;00ED36A3&quot;/&gt;&lt;wsp:rsid wsp:val=&quot;00ED39C6&quot;/&gt;&lt;wsp:rsid wsp:val=&quot;00ED4A7A&quot;/&gt;&lt;wsp:rsid wsp:val=&quot;00ED4F85&quot;/&gt;&lt;wsp:rsid wsp:val=&quot;00ED5987&quot;/&gt;&lt;wsp:rsid wsp:val=&quot;00ED7F24&quot;/&gt;&lt;wsp:rsid wsp:val=&quot;00EE05C2&quot;/&gt;&lt;wsp:rsid wsp:val=&quot;00EE088C&quot;/&gt;&lt;wsp:rsid wsp:val=&quot;00EE0EB9&quot;/&gt;&lt;wsp:rsid wsp:val=&quot;00EE14CE&quot;/&gt;&lt;wsp:rsid wsp:val=&quot;00EE2443&quot;/&gt;&lt;wsp:rsid wsp:val=&quot;00EE29C0&quot;/&gt;&lt;wsp:rsid wsp:val=&quot;00EE2B52&quot;/&gt;&lt;wsp:rsid wsp:val=&quot;00EE4C36&quot;/&gt;&lt;wsp:rsid wsp:val=&quot;00EE4C3F&quot;/&gt;&lt;wsp:rsid wsp:val=&quot;00EE5823&quot;/&gt;&lt;wsp:rsid wsp:val=&quot;00EE63E0&quot;/&gt;&lt;wsp:rsid wsp:val=&quot;00EF08E1&quot;/&gt;&lt;wsp:rsid wsp:val=&quot;00EF181A&quot;/&gt;&lt;wsp:rsid wsp:val=&quot;00EF19F1&quot;/&gt;&lt;wsp:rsid wsp:val=&quot;00EF1C6F&quot;/&gt;&lt;wsp:rsid wsp:val=&quot;00EF26EF&quot;/&gt;&lt;wsp:rsid wsp:val=&quot;00EF402D&quot;/&gt;&lt;wsp:rsid wsp:val=&quot;00EF4B6D&quot;/&gt;&lt;wsp:rsid wsp:val=&quot;00EF500B&quot;/&gt;&lt;wsp:rsid wsp:val=&quot;00EF6913&quot;/&gt;&lt;wsp:rsid wsp:val=&quot;00EF696D&quot;/&gt;&lt;wsp:rsid wsp:val=&quot;00EF6AE6&quot;/&gt;&lt;wsp:rsid wsp:val=&quot;00EF6D58&quot;/&gt;&lt;wsp:rsid wsp:val=&quot;00EF7F6C&quot;/&gt;&lt;wsp:rsid wsp:val=&quot;00F01D2D&quot;/&gt;&lt;wsp:rsid wsp:val=&quot;00F020BA&quot;/&gt;&lt;wsp:rsid wsp:val=&quot;00F02203&quot;/&gt;&lt;wsp:rsid wsp:val=&quot;00F025CA&quot;/&gt;&lt;wsp:rsid wsp:val=&quot;00F05A56&quot;/&gt;&lt;wsp:rsid wsp:val=&quot;00F05B9C&quot;/&gt;&lt;wsp:rsid wsp:val=&quot;00F067A5&quot;/&gt;&lt;wsp:rsid wsp:val=&quot;00F069D0&quot;/&gt;&lt;wsp:rsid wsp:val=&quot;00F0712C&quot;/&gt;&lt;wsp:rsid wsp:val=&quot;00F079CE&quot;/&gt;&lt;wsp:rsid wsp:val=&quot;00F079FE&quot;/&gt;&lt;wsp:rsid wsp:val=&quot;00F104D6&quot;/&gt;&lt;wsp:rsid wsp:val=&quot;00F112BB&quot;/&gt;&lt;wsp:rsid wsp:val=&quot;00F1162A&quot;/&gt;&lt;wsp:rsid wsp:val=&quot;00F11F49&quot;/&gt;&lt;wsp:rsid wsp:val=&quot;00F12151&quot;/&gt;&lt;wsp:rsid wsp:val=&quot;00F13341&quot;/&gt;&lt;wsp:rsid wsp:val=&quot;00F13656&quot;/&gt;&lt;wsp:rsid wsp:val=&quot;00F137CC&quot;/&gt;&lt;wsp:rsid wsp:val=&quot;00F140F0&quot;/&gt;&lt;wsp:rsid wsp:val=&quot;00F14ADA&quot;/&gt;&lt;wsp:rsid wsp:val=&quot;00F14DE7&quot;/&gt;&lt;wsp:rsid wsp:val=&quot;00F15056&quot;/&gt;&lt;wsp:rsid wsp:val=&quot;00F1665E&quot;/&gt;&lt;wsp:rsid wsp:val=&quot;00F16696&quot;/&gt;&lt;wsp:rsid wsp:val=&quot;00F17D18&quot;/&gt;&lt;wsp:rsid wsp:val=&quot;00F20A5D&quot;/&gt;&lt;wsp:rsid wsp:val=&quot;00F20E3F&quot;/&gt;&lt;wsp:rsid wsp:val=&quot;00F21912&quot;/&gt;&lt;wsp:rsid wsp:val=&quot;00F21F21&quot;/&gt;&lt;wsp:rsid wsp:val=&quot;00F2212E&quot;/&gt;&lt;wsp:rsid wsp:val=&quot;00F22659&quot;/&gt;&lt;wsp:rsid wsp:val=&quot;00F22830&quot;/&gt;&lt;wsp:rsid wsp:val=&quot;00F2324D&quot;/&gt;&lt;wsp:rsid wsp:val=&quot;00F23CB9&quot;/&gt;&lt;wsp:rsid wsp:val=&quot;00F23DF5&quot;/&gt;&lt;wsp:rsid wsp:val=&quot;00F2430C&quot;/&gt;&lt;wsp:rsid wsp:val=&quot;00F246D0&quot;/&gt;&lt;wsp:rsid wsp:val=&quot;00F251BD&quot;/&gt;&lt;wsp:rsid wsp:val=&quot;00F26155&quot;/&gt;&lt;wsp:rsid wsp:val=&quot;00F263C6&quot;/&gt;&lt;wsp:rsid wsp:val=&quot;00F30197&quot;/&gt;&lt;wsp:rsid wsp:val=&quot;00F3313D&quot;/&gt;&lt;wsp:rsid wsp:val=&quot;00F3469A&quot;/&gt;&lt;wsp:rsid wsp:val=&quot;00F3473D&quot;/&gt;&lt;wsp:rsid wsp:val=&quot;00F34AA1&quot;/&gt;&lt;wsp:rsid wsp:val=&quot;00F35111&quot;/&gt;&lt;wsp:rsid wsp:val=&quot;00F35F7D&quot;/&gt;&lt;wsp:rsid wsp:val=&quot;00F36448&quot;/&gt;&lt;wsp:rsid wsp:val=&quot;00F36B5C&quot;/&gt;&lt;wsp:rsid wsp:val=&quot;00F3704E&quot;/&gt;&lt;wsp:rsid wsp:val=&quot;00F40113&quot;/&gt;&lt;wsp:rsid wsp:val=&quot;00F40477&quot;/&gt;&lt;wsp:rsid wsp:val=&quot;00F40BF7&quot;/&gt;&lt;wsp:rsid wsp:val=&quot;00F40CF2&quot;/&gt;&lt;wsp:rsid wsp:val=&quot;00F40FBA&quot;/&gt;&lt;wsp:rsid wsp:val=&quot;00F41D3E&quot;/&gt;&lt;wsp:rsid wsp:val=&quot;00F43088&quot;/&gt;&lt;wsp:rsid wsp:val=&quot;00F44620&quot;/&gt;&lt;wsp:rsid wsp:val=&quot;00F44850&quot;/&gt;&lt;wsp:rsid wsp:val=&quot;00F45037&quot;/&gt;&lt;wsp:rsid wsp:val=&quot;00F456EA&quot;/&gt;&lt;wsp:rsid wsp:val=&quot;00F45FB8&quot;/&gt;&lt;wsp:rsid wsp:val=&quot;00F46268&quot;/&gt;&lt;wsp:rsid wsp:val=&quot;00F4723B&quot;/&gt;&lt;wsp:rsid wsp:val=&quot;00F475D7&quot;/&gt;&lt;wsp:rsid wsp:val=&quot;00F504D5&quot;/&gt;&lt;wsp:rsid wsp:val=&quot;00F50726&quot;/&gt;&lt;wsp:rsid wsp:val=&quot;00F50C88&quot;/&gt;&lt;wsp:rsid wsp:val=&quot;00F51136&quot;/&gt;&lt;wsp:rsid wsp:val=&quot;00F517E7&quot;/&gt;&lt;wsp:rsid wsp:val=&quot;00F51B68&quot;/&gt;&lt;wsp:rsid wsp:val=&quot;00F51CD0&quot;/&gt;&lt;wsp:rsid wsp:val=&quot;00F5209B&quot;/&gt;&lt;wsp:rsid wsp:val=&quot;00F5234D&quot;/&gt;&lt;wsp:rsid wsp:val=&quot;00F52A4C&quot;/&gt;&lt;wsp:rsid wsp:val=&quot;00F53384&quot;/&gt;&lt;wsp:rsid wsp:val=&quot;00F53ADD&quot;/&gt;&lt;wsp:rsid wsp:val=&quot;00F54197&quot;/&gt;&lt;wsp:rsid wsp:val=&quot;00F541B9&quot;/&gt;&lt;wsp:rsid wsp:val=&quot;00F54A29&quot;/&gt;&lt;wsp:rsid wsp:val=&quot;00F554DE&quot;/&gt;&lt;wsp:rsid wsp:val=&quot;00F56C9C&quot;/&gt;&lt;wsp:rsid wsp:val=&quot;00F5753C&quot;/&gt;&lt;wsp:rsid wsp:val=&quot;00F57F6D&quot;/&gt;&lt;wsp:rsid wsp:val=&quot;00F60A9F&quot;/&gt;&lt;wsp:rsid wsp:val=&quot;00F60CFE&quot;/&gt;&lt;wsp:rsid wsp:val=&quot;00F613A1&quot;/&gt;&lt;wsp:rsid wsp:val=&quot;00F6210B&quot;/&gt;&lt;wsp:rsid wsp:val=&quot;00F627CC&quot;/&gt;&lt;wsp:rsid wsp:val=&quot;00F6281A&quot;/&gt;&lt;wsp:rsid wsp:val=&quot;00F62B74&quot;/&gt;&lt;wsp:rsid wsp:val=&quot;00F63BC1&quot;/&gt;&lt;wsp:rsid wsp:val=&quot;00F64143&quot;/&gt;&lt;wsp:rsid wsp:val=&quot;00F6479C&quot;/&gt;&lt;wsp:rsid wsp:val=&quot;00F65C21&quot;/&gt;&lt;wsp:rsid wsp:val=&quot;00F66664&quot;/&gt;&lt;wsp:rsid wsp:val=&quot;00F66761&quot;/&gt;&lt;wsp:rsid wsp:val=&quot;00F66D01&quot;/&gt;&lt;wsp:rsid wsp:val=&quot;00F671E2&quot;/&gt;&lt;wsp:rsid wsp:val=&quot;00F67E22&quot;/&gt;&lt;wsp:rsid wsp:val=&quot;00F70B71&quot;/&gt;&lt;wsp:rsid wsp:val=&quot;00F711F1&quot;/&gt;&lt;wsp:rsid wsp:val=&quot;00F71EA4&quot;/&gt;&lt;wsp:rsid wsp:val=&quot;00F72525&quot;/&gt;&lt;wsp:rsid wsp:val=&quot;00F72D06&quot;/&gt;&lt;wsp:rsid wsp:val=&quot;00F74C0D&quot;/&gt;&lt;wsp:rsid wsp:val=&quot;00F752D4&quot;/&gt;&lt;wsp:rsid wsp:val=&quot;00F75427&quot;/&gt;&lt;wsp:rsid wsp:val=&quot;00F76426&quot;/&gt;&lt;wsp:rsid wsp:val=&quot;00F7716D&quot;/&gt;&lt;wsp:rsid wsp:val=&quot;00F81164&quot;/&gt;&lt;wsp:rsid wsp:val=&quot;00F82E4E&quot;/&gt;&lt;wsp:rsid wsp:val=&quot;00F8356F&quot;/&gt;&lt;wsp:rsid wsp:val=&quot;00F8372B&quot;/&gt;&lt;wsp:rsid wsp:val=&quot;00F8421E&quot;/&gt;&lt;wsp:rsid wsp:val=&quot;00F84A7B&quot;/&gt;&lt;wsp:rsid wsp:val=&quot;00F84B6A&quot;/&gt;&lt;wsp:rsid wsp:val=&quot;00F8546E&quot;/&gt;&lt;wsp:rsid wsp:val=&quot;00F858E1&quot;/&gt;&lt;wsp:rsid wsp:val=&quot;00F85DCB&quot;/&gt;&lt;wsp:rsid wsp:val=&quot;00F86FF9&quot;/&gt;&lt;wsp:rsid wsp:val=&quot;00F87206&quot;/&gt;&lt;wsp:rsid wsp:val=&quot;00F906B7&quot;/&gt;&lt;wsp:rsid wsp:val=&quot;00F9116A&quot;/&gt;&lt;wsp:rsid wsp:val=&quot;00F91AC4&quot;/&gt;&lt;wsp:rsid wsp:val=&quot;00F923EB&quot;/&gt;&lt;wsp:rsid wsp:val=&quot;00F936C1&quot;/&gt;&lt;wsp:rsid wsp:val=&quot;00F93DC2&quot;/&gt;&lt;wsp:rsid wsp:val=&quot;00F93F81&quot;/&gt;&lt;wsp:rsid wsp:val=&quot;00F9592F&quot;/&gt;&lt;wsp:rsid wsp:val=&quot;00F96FAB&quot;/&gt;&lt;wsp:rsid wsp:val=&quot;00F9701A&quot;/&gt;&lt;wsp:rsid wsp:val=&quot;00F97A56&quot;/&gt;&lt;wsp:rsid wsp:val=&quot;00FA047D&quot;/&gt;&lt;wsp:rsid wsp:val=&quot;00FA1063&quot;/&gt;&lt;wsp:rsid wsp:val=&quot;00FA1461&quot;/&gt;&lt;wsp:rsid wsp:val=&quot;00FA1697&quot;/&gt;&lt;wsp:rsid wsp:val=&quot;00FA171D&quot;/&gt;&lt;wsp:rsid wsp:val=&quot;00FA17BE&quot;/&gt;&lt;wsp:rsid wsp:val=&quot;00FA1A2F&quot;/&gt;&lt;wsp:rsid wsp:val=&quot;00FA3379&quot;/&gt;&lt;wsp:rsid wsp:val=&quot;00FA3A94&quot;/&gt;&lt;wsp:rsid wsp:val=&quot;00FA3C3F&quot;/&gt;&lt;wsp:rsid wsp:val=&quot;00FA5AAE&quot;/&gt;&lt;wsp:rsid wsp:val=&quot;00FA5D8F&quot;/&gt;&lt;wsp:rsid wsp:val=&quot;00FA7D2E&quot;/&gt;&lt;wsp:rsid wsp:val=&quot;00FB09E1&quot;/&gt;&lt;wsp:rsid wsp:val=&quot;00FB158E&quot;/&gt;&lt;wsp:rsid wsp:val=&quot;00FB1CF9&quot;/&gt;&lt;wsp:rsid wsp:val=&quot;00FB20B1&quot;/&gt;&lt;wsp:rsid wsp:val=&quot;00FB23C1&quot;/&gt;&lt;wsp:rsid wsp:val=&quot;00FB4AFF&quot;/&gt;&lt;wsp:rsid wsp:val=&quot;00FB5576&quot;/&gt;&lt;wsp:rsid wsp:val=&quot;00FB56CF&quot;/&gt;&lt;wsp:rsid wsp:val=&quot;00FB636D&quot;/&gt;&lt;wsp:rsid wsp:val=&quot;00FB6629&quot;/&gt;&lt;wsp:rsid wsp:val=&quot;00FB6CFB&quot;/&gt;&lt;wsp:rsid wsp:val=&quot;00FB7945&quot;/&gt;&lt;wsp:rsid wsp:val=&quot;00FC0D58&quot;/&gt;&lt;wsp:rsid wsp:val=&quot;00FC12B0&quot;/&gt;&lt;wsp:rsid wsp:val=&quot;00FC27AA&quot;/&gt;&lt;wsp:rsid wsp:val=&quot;00FC2CE6&quot;/&gt;&lt;wsp:rsid wsp:val=&quot;00FC31B7&quot;/&gt;&lt;wsp:rsid wsp:val=&quot;00FC325F&quot;/&gt;&lt;wsp:rsid wsp:val=&quot;00FC3E54&quot;/&gt;&lt;wsp:rsid wsp:val=&quot;00FC4370&quot;/&gt;&lt;wsp:rsid wsp:val=&quot;00FC4E1E&quot;/&gt;&lt;wsp:rsid wsp:val=&quot;00FC5E51&quot;/&gt;&lt;wsp:rsid wsp:val=&quot;00FC70FB&quot;/&gt;&lt;wsp:rsid wsp:val=&quot;00FD0180&quot;/&gt;&lt;wsp:rsid wsp:val=&quot;00FD1482&quot;/&gt;&lt;wsp:rsid wsp:val=&quot;00FD171C&quot;/&gt;&lt;wsp:rsid wsp:val=&quot;00FD1B97&quot;/&gt;&lt;wsp:rsid wsp:val=&quot;00FD3507&quot;/&gt;&lt;wsp:rsid wsp:val=&quot;00FD3EBE&quot;/&gt;&lt;wsp:rsid wsp:val=&quot;00FD3F04&quot;/&gt;&lt;wsp:rsid wsp:val=&quot;00FD4604&quot;/&gt;&lt;wsp:rsid wsp:val=&quot;00FD6BD6&quot;/&gt;&lt;wsp:rsid wsp:val=&quot;00FD7C07&quot;/&gt;&lt;wsp:rsid wsp:val=&quot;00FE05F7&quot;/&gt;&lt;wsp:rsid wsp:val=&quot;00FE06AB&quot;/&gt;&lt;wsp:rsid wsp:val=&quot;00FE261C&quot;/&gt;&lt;wsp:rsid wsp:val=&quot;00FE3151&quot;/&gt;&lt;wsp:rsid wsp:val=&quot;00FE333D&quot;/&gt;&lt;wsp:rsid wsp:val=&quot;00FE36C3&quot;/&gt;&lt;wsp:rsid wsp:val=&quot;00FE44F0&quot;/&gt;&lt;wsp:rsid wsp:val=&quot;00FE5DAC&quot;/&gt;&lt;wsp:rsid wsp:val=&quot;00FE60B9&quot;/&gt;&lt;wsp:rsid wsp:val=&quot;00FE6FB2&quot;/&gt;&lt;wsp:rsid wsp:val=&quot;00FE76E0&quot;/&gt;&lt;wsp:rsid wsp:val=&quot;00FF046C&quot;/&gt;&lt;wsp:rsid wsp:val=&quot;00FF07B8&quot;/&gt;&lt;wsp:rsid wsp:val=&quot;00FF0B63&quot;/&gt;&lt;wsp:rsid wsp:val=&quot;00FF0DEB&quot;/&gt;&lt;wsp:rsid wsp:val=&quot;00FF21EB&quot;/&gt;&lt;wsp:rsid wsp:val=&quot;00FF2E08&quot;/&gt;&lt;wsp:rsid wsp:val=&quot;00FF37A1&quot;/&gt;&lt;wsp:rsid wsp:val=&quot;00FF4661&quot;/&gt;&lt;wsp:rsid wsp:val=&quot;00FF4C34&quot;/&gt;&lt;wsp:rsid wsp:val=&quot;00FF4F75&quot;/&gt;&lt;wsp:rsid wsp:val=&quot;00FF5E04&quot;/&gt;&lt;wsp:rsid wsp:val=&quot;00FF6515&quot;/&gt;&lt;wsp:rsid wsp:val=&quot;00FF669D&quot;/&gt;&lt;wsp:rsid wsp:val=&quot;00FF6979&quot;/&gt;&lt;wsp:rsid wsp:val=&quot;00FF7011&quot;/&gt;&lt;wsp:rsid wsp:val=&quot;00FF7723&quot;/&gt;&lt;wsp:rsid wsp:val=&quot;00FF79DE&quot;/&gt;&lt;wsp:rsid wsp:val=&quot;0471177E&quot;/&gt;&lt;wsp:rsid wsp:val=&quot;05E3020F&quot;/&gt;&lt;wsp:rsid wsp:val=&quot;08724604&quot;/&gt;&lt;wsp:rsid wsp:val=&quot;0C1803E3&quot;/&gt;&lt;wsp:rsid wsp:val=&quot;0C990E7C&quot;/&gt;&lt;wsp:rsid wsp:val=&quot;0CAD7F05&quot;/&gt;&lt;wsp:rsid wsp:val=&quot;11873A80&quot;/&gt;&lt;wsp:rsid wsp:val=&quot;17BC422F&quot;/&gt;&lt;wsp:rsid wsp:val=&quot;18E707A5&quot;/&gt;&lt;wsp:rsid wsp:val=&quot;1A433BB2&quot;/&gt;&lt;wsp:rsid wsp:val=&quot;23D3070A&quot;/&gt;&lt;wsp:rsid wsp:val=&quot;25350811&quot;/&gt;&lt;wsp:rsid wsp:val=&quot;289B1E8D&quot;/&gt;&lt;wsp:rsid wsp:val=&quot;2E6F0B8E&quot;/&gt;&lt;wsp:rsid wsp:val=&quot;304D5659&quot;/&gt;&lt;wsp:rsid wsp:val=&quot;317F025F&quot;/&gt;&lt;wsp:rsid wsp:val=&quot;368D0334&quot;/&gt;&lt;wsp:rsid wsp:val=&quot;40055E36&quot;/&gt;&lt;wsp:rsid wsp:val=&quot;40CE4415&quot;/&gt;&lt;wsp:rsid wsp:val=&quot;46A25A7F&quot;/&gt;&lt;wsp:rsid wsp:val=&quot;485A4EA6&quot;/&gt;&lt;wsp:rsid wsp:val=&quot;49CB60E5&quot;/&gt;&lt;wsp:rsid wsp:val=&quot;546859EB&quot;/&gt;&lt;wsp:rsid wsp:val=&quot;58D46D47&quot;/&gt;&lt;wsp:rsid wsp:val=&quot;5CD44510&quot;/&gt;&lt;wsp:rsid wsp:val=&quot;5D4516CB&quot;/&gt;&lt;wsp:rsid wsp:val=&quot;5D860F6B&quot;/&gt;&lt;wsp:rsid wsp:val=&quot;68B430FC&quot;/&gt;&lt;wsp:rsid wsp:val=&quot;6A2A4C91&quot;/&gt;&lt;wsp:rsid wsp:val=&quot;715012E2&quot;/&gt;&lt;wsp:rsid wsp:val=&quot;71DF487E&quot;/&gt;&lt;wsp:rsid wsp:val=&quot;735343C5&quot;/&gt;&lt;wsp:rsid wsp:val=&quot;78F91B53&quot;/&gt;&lt;wsp:rsid wsp:val=&quot;7C64631E&quot;/&gt;&lt;wsp:rsid wsp:val=&quot;7D423CE2&quot;/&gt;&lt;/wsp:rsids&gt;&lt;/w:docPr&gt;&lt;w:body&gt;&lt;wx:sect&gt;&lt;w:p wsp:rsidR=&quot;00000000&quot; wsp:rsidRDefault=&quot;006D18E0&quot; wsp:rsidP=&quot;006D18E0&quot;&gt;&lt;m:oMathPara&gt;&lt;m:oMath&gt;&lt;m:sSubSup&gt;&lt;m:sSubSupPr&gt;&lt;m:ctrlPr&gt;&lt;w:rPr&gt;&lt;w:rFonts w:ascii=&quot;Cambria Math&quot; w:h-ansi=&quot;Cambria Math&quot;/&gt;&lt;wx:font wx:val=&quot;Cambria Math&quot;/&gt;&lt;/w:rPr&gt;&lt;/m:ctrlPr&gt;&lt;/m:sSubSupPr&gt;&lt;m:e&gt;&lt;m:r&gt;&lt;w:rPr&gt;&lt;w:rFonts w:ascii=&quot;Cambria Math&quot; w:h-ansi=&quot;Cambria Math&quot;/&gt;&lt;wx:font wx:val=&quot;Cambria Math&quot;/&gt;&lt;w:i/&gt;&lt;/w:rPr&gt;&lt;m:t&gt;u&lt;/m:t&gt;&lt;/m:r&gt;&lt;/m:e&gt;&lt;m:sub&gt;&lt;m:r&gt;&lt;w:rPr&gt;&lt;w:rFonts w:ascii=&quot;Cambria Math&quot; w:h-ansi=&quot;Cambria Math&quot;/&gt;&lt;wx:font wx:val=&quot;Cambria Math&quot;/&gt;&lt;w:i/&gt;&lt;/w:rPr&gt;&lt;m:t&gt;t&lt;/m:t&gt;&lt;/m:r&gt;&lt;/m:sub&gt;&lt;m:sup&gt;&lt;m:r&gt;&lt;w:rPr&gt;&lt;w:rFonts w:ascii=&quot;Cambria Math&quot; w:h-ansi=&quot;Cambria Math&quot;/&gt;&lt;wx:font wx:val=&quot;Cambria Math&quot;/&gt;&lt;w:i/&gt;&lt;/w:rPr&gt;&lt;m:t&gt;*&lt;/m:t&gt;&lt;/m:r&gt;&lt;/m:sup&gt;&lt;/m:sSub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23" chromakey="#FFFFFF" o:title=""/>
                  <o:lock v:ext="edit" aspectratio="t"/>
                  <w10:wrap type="none"/>
                  <w10:anchorlock/>
                </v:shape>
              </w:pict>
            </w:r>
            <w:r>
              <w:rPr>
                <w:rFonts w:hint="default" w:ascii="Times New Roman" w:hAnsi="Times New Roman" w:eastAsia="宋体" w:cs="Times New Roman"/>
                <w:color w:val="auto"/>
                <w:sz w:val="24"/>
                <w:szCs w:val="24"/>
                <w:highlight w:val="none"/>
              </w:rPr>
              <w:instrText xml:space="preserve">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position w:val="-8"/>
                <w:sz w:val="24"/>
                <w:szCs w:val="24"/>
                <w:highlight w:val="none"/>
              </w:rPr>
              <w:pict>
                <v:shape id="_x0000_i1034" o:spt="75" type="#_x0000_t75" style="height:15.75pt;width:10.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94&quot;/&gt;&lt;w:displayBackgroundShape/&gt;&lt;w:doNotEmbedSystemFonts/&gt;&lt;w:bordersDontSurroundHeader/&gt;&lt;w:bordersDontSurroundFooter/&gt;&lt;w:hideSpellingErrors/&gt;&lt;w:defaultTabStop w:val=&quot;420&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82A5A&quot;/&gt;&lt;wsp:rsid wsp:val=&quot;00000D02&quot;/&gt;&lt;wsp:rsid wsp:val=&quot;00000F90&quot;/&gt;&lt;wsp:rsid wsp:val=&quot;00002DD6&quot;/&gt;&lt;wsp:rsid wsp:val=&quot;00003C3B&quot;/&gt;&lt;wsp:rsid wsp:val=&quot;00004137&quot;/&gt;&lt;wsp:rsid wsp:val=&quot;00004407&quot;/&gt;&lt;wsp:rsid wsp:val=&quot;000048CB&quot;/&gt;&lt;wsp:rsid wsp:val=&quot;00004FFF&quot;/&gt;&lt;wsp:rsid wsp:val=&quot;000052ED&quot;/&gt;&lt;wsp:rsid wsp:val=&quot;000068EA&quot;/&gt;&lt;wsp:rsid wsp:val=&quot;000079C0&quot;/&gt;&lt;wsp:rsid wsp:val=&quot;00010579&quot;/&gt;&lt;wsp:rsid wsp:val=&quot;000108D9&quot;/&gt;&lt;wsp:rsid wsp:val=&quot;00011409&quot;/&gt;&lt;wsp:rsid wsp:val=&quot;0001296A&quot;/&gt;&lt;wsp:rsid wsp:val=&quot;00014275&quot;/&gt;&lt;wsp:rsid wsp:val=&quot;00014351&quot;/&gt;&lt;wsp:rsid wsp:val=&quot;0001449A&quot;/&gt;&lt;wsp:rsid wsp:val=&quot;00015DD0&quot;/&gt;&lt;wsp:rsid wsp:val=&quot;0001650C&quot;/&gt;&lt;wsp:rsid wsp:val=&quot;00017297&quot;/&gt;&lt;wsp:rsid wsp:val=&quot;00017B9C&quot;/&gt;&lt;wsp:rsid wsp:val=&quot;000205C8&quot;/&gt;&lt;wsp:rsid wsp:val=&quot;000235A3&quot;/&gt;&lt;wsp:rsid wsp:val=&quot;00023D8F&quot;/&gt;&lt;wsp:rsid wsp:val=&quot;0002422E&quot;/&gt;&lt;wsp:rsid wsp:val=&quot;000243AF&quot;/&gt;&lt;wsp:rsid wsp:val=&quot;00024BAD&quot;/&gt;&lt;wsp:rsid wsp:val=&quot;00025526&quot;/&gt;&lt;wsp:rsid wsp:val=&quot;0002623A&quot;/&gt;&lt;wsp:rsid wsp:val=&quot;000262D7&quot;/&gt;&lt;wsp:rsid wsp:val=&quot;0002637C&quot;/&gt;&lt;wsp:rsid wsp:val=&quot;0002690B&quot;/&gt;&lt;wsp:rsid wsp:val=&quot;00026B3C&quot;/&gt;&lt;wsp:rsid wsp:val=&quot;0002708F&quot;/&gt;&lt;wsp:rsid wsp:val=&quot;0003165E&quot;/&gt;&lt;wsp:rsid wsp:val=&quot;0003172F&quot;/&gt;&lt;wsp:rsid wsp:val=&quot;0003188D&quot;/&gt;&lt;wsp:rsid wsp:val=&quot;00031D66&quot;/&gt;&lt;wsp:rsid wsp:val=&quot;00031F5A&quot;/&gt;&lt;wsp:rsid wsp:val=&quot;000333B7&quot;/&gt;&lt;wsp:rsid wsp:val=&quot;00034880&quot;/&gt;&lt;wsp:rsid wsp:val=&quot;00034881&quot;/&gt;&lt;wsp:rsid wsp:val=&quot;000355F3&quot;/&gt;&lt;wsp:rsid wsp:val=&quot;0003581E&quot;/&gt;&lt;wsp:rsid wsp:val=&quot;000363A7&quot;/&gt;&lt;wsp:rsid wsp:val=&quot;000368BC&quot;/&gt;&lt;wsp:rsid wsp:val=&quot;000370F0&quot;/&gt;&lt;wsp:rsid wsp:val=&quot;00037309&quot;/&gt;&lt;wsp:rsid wsp:val=&quot;00037E96&quot;/&gt;&lt;wsp:rsid wsp:val=&quot;000400F4&quot;/&gt;&lt;wsp:rsid wsp:val=&quot;000407EF&quot;/&gt;&lt;wsp:rsid wsp:val=&quot;000408A6&quot;/&gt;&lt;wsp:rsid wsp:val=&quot;000408AB&quot;/&gt;&lt;wsp:rsid wsp:val=&quot;0004180C&quot;/&gt;&lt;wsp:rsid wsp:val=&quot;00041E3C&quot;/&gt;&lt;wsp:rsid wsp:val=&quot;00042180&quot;/&gt;&lt;wsp:rsid wsp:val=&quot;00042E92&quot;/&gt;&lt;wsp:rsid wsp:val=&quot;0004360D&quot;/&gt;&lt;wsp:rsid wsp:val=&quot;0004371E&quot;/&gt;&lt;wsp:rsid wsp:val=&quot;00043952&quot;/&gt;&lt;wsp:rsid wsp:val=&quot;00044DE2&quot;/&gt;&lt;wsp:rsid wsp:val=&quot;00045662&quot;/&gt;&lt;wsp:rsid wsp:val=&quot;00046772&quot;/&gt;&lt;wsp:rsid wsp:val=&quot;0004683B&quot;/&gt;&lt;wsp:rsid wsp:val=&quot;0004701E&quot;/&gt;&lt;wsp:rsid wsp:val=&quot;00050BF0&quot;/&gt;&lt;wsp:rsid wsp:val=&quot;00051A43&quot;/&gt;&lt;wsp:rsid wsp:val=&quot;000533F2&quot;/&gt;&lt;wsp:rsid wsp:val=&quot;000535D6&quot;/&gt;&lt;wsp:rsid wsp:val=&quot;00054EE6&quot;/&gt;&lt;wsp:rsid wsp:val=&quot;0005634C&quot;/&gt;&lt;wsp:rsid wsp:val=&quot;00056B61&quot;/&gt;&lt;wsp:rsid wsp:val=&quot;00057E6E&quot;/&gt;&lt;wsp:rsid wsp:val=&quot;000607AD&quot;/&gt;&lt;wsp:rsid wsp:val=&quot;0006125E&quot;/&gt;&lt;wsp:rsid wsp:val=&quot;00061796&quot;/&gt;&lt;wsp:rsid wsp:val=&quot;00061812&quot;/&gt;&lt;wsp:rsid wsp:val=&quot;00064956&quot;/&gt;&lt;wsp:rsid wsp:val=&quot;00064F3B&quot;/&gt;&lt;wsp:rsid wsp:val=&quot;00065A8F&quot;/&gt;&lt;wsp:rsid wsp:val=&quot;00065F29&quot;/&gt;&lt;wsp:rsid wsp:val=&quot;00070A09&quot;/&gt;&lt;wsp:rsid wsp:val=&quot;00070C7F&quot;/&gt;&lt;wsp:rsid wsp:val=&quot;00073CB1&quot;/&gt;&lt;wsp:rsid wsp:val=&quot;00074058&quot;/&gt;&lt;wsp:rsid wsp:val=&quot;00074AFD&quot;/&gt;&lt;wsp:rsid wsp:val=&quot;00074E15&quot;/&gt;&lt;wsp:rsid wsp:val=&quot;00075C0B&quot;/&gt;&lt;wsp:rsid wsp:val=&quot;00075F90&quot;/&gt;&lt;wsp:rsid wsp:val=&quot;00075FF9&quot;/&gt;&lt;wsp:rsid wsp:val=&quot;000763A0&quot;/&gt;&lt;wsp:rsid wsp:val=&quot;00076760&quot;/&gt;&lt;wsp:rsid wsp:val=&quot;00077C6E&quot;/&gt;&lt;wsp:rsid wsp:val=&quot;00077EBB&quot;/&gt;&lt;wsp:rsid wsp:val=&quot;0008028D&quot;/&gt;&lt;wsp:rsid wsp:val=&quot;00080AA2&quot;/&gt;&lt;wsp:rsid wsp:val=&quot;00080BDD&quot;/&gt;&lt;wsp:rsid wsp:val=&quot;0008159D&quot;/&gt;&lt;wsp:rsid wsp:val=&quot;00082D36&quot;/&gt;&lt;wsp:rsid wsp:val=&quot;0008396F&quot;/&gt;&lt;wsp:rsid wsp:val=&quot;00083C18&quot;/&gt;&lt;wsp:rsid wsp:val=&quot;0008442F&quot;/&gt;&lt;wsp:rsid wsp:val=&quot;000864D5&quot;/&gt;&lt;wsp:rsid wsp:val=&quot;00086CF7&quot;/&gt;&lt;wsp:rsid wsp:val=&quot;00087257&quot;/&gt;&lt;wsp:rsid wsp:val=&quot;00087498&quot;/&gt;&lt;wsp:rsid wsp:val=&quot;000877C8&quot;/&gt;&lt;wsp:rsid wsp:val=&quot;00087FE8&quot;/&gt;&lt;wsp:rsid wsp:val=&quot;00090424&quot;/&gt;&lt;wsp:rsid wsp:val=&quot;000909D8&quot;/&gt;&lt;wsp:rsid wsp:val=&quot;00090C5E&quot;/&gt;&lt;wsp:rsid wsp:val=&quot;000917E6&quot;/&gt;&lt;wsp:rsid wsp:val=&quot;00091B7C&quot;/&gt;&lt;wsp:rsid wsp:val=&quot;00092B59&quot;/&gt;&lt;wsp:rsid wsp:val=&quot;000930C4&quot;/&gt;&lt;wsp:rsid wsp:val=&quot;00093812&quot;/&gt;&lt;wsp:rsid wsp:val=&quot;000964A7&quot;/&gt;&lt;wsp:rsid wsp:val=&quot;000978C5&quot;/&gt;&lt;wsp:rsid wsp:val=&quot;000A08F1&quot;/&gt;&lt;wsp:rsid wsp:val=&quot;000A1217&quot;/&gt;&lt;wsp:rsid wsp:val=&quot;000A20E0&quot;/&gt;&lt;wsp:rsid wsp:val=&quot;000A2264&quot;/&gt;&lt;wsp:rsid wsp:val=&quot;000A38FB&quot;/&gt;&lt;wsp:rsid wsp:val=&quot;000A457D&quot;/&gt;&lt;wsp:rsid wsp:val=&quot;000A4F2C&quot;/&gt;&lt;wsp:rsid wsp:val=&quot;000A589B&quot;/&gt;&lt;wsp:rsid wsp:val=&quot;000A5F49&quot;/&gt;&lt;wsp:rsid wsp:val=&quot;000A64EA&quot;/&gt;&lt;wsp:rsid wsp:val=&quot;000A7A05&quot;/&gt;&lt;wsp:rsid wsp:val=&quot;000B1DD7&quot;/&gt;&lt;wsp:rsid wsp:val=&quot;000B34F4&quot;/&gt;&lt;wsp:rsid wsp:val=&quot;000B487E&quot;/&gt;&lt;wsp:rsid wsp:val=&quot;000B4973&quot;/&gt;&lt;wsp:rsid wsp:val=&quot;000B49B2&quot;/&gt;&lt;wsp:rsid wsp:val=&quot;000B4C16&quot;/&gt;&lt;wsp:rsid wsp:val=&quot;000B4EE4&quot;/&gt;&lt;wsp:rsid wsp:val=&quot;000B56C3&quot;/&gt;&lt;wsp:rsid wsp:val=&quot;000B69BE&quot;/&gt;&lt;wsp:rsid wsp:val=&quot;000B6AF4&quot;/&gt;&lt;wsp:rsid wsp:val=&quot;000C2528&quot;/&gt;&lt;wsp:rsid wsp:val=&quot;000C2696&quot;/&gt;&lt;wsp:rsid wsp:val=&quot;000C2B0E&quot;/&gt;&lt;wsp:rsid wsp:val=&quot;000C3650&quot;/&gt;&lt;wsp:rsid wsp:val=&quot;000C366B&quot;/&gt;&lt;wsp:rsid wsp:val=&quot;000C4235&quot;/&gt;&lt;wsp:rsid wsp:val=&quot;000C54D5&quot;/&gt;&lt;wsp:rsid wsp:val=&quot;000C57FB&quot;/&gt;&lt;wsp:rsid wsp:val=&quot;000C5E64&quot;/&gt;&lt;wsp:rsid wsp:val=&quot;000C6333&quot;/&gt;&lt;wsp:rsid wsp:val=&quot;000C64F8&quot;/&gt;&lt;wsp:rsid wsp:val=&quot;000D0338&quot;/&gt;&lt;wsp:rsid wsp:val=&quot;000D07AD&quot;/&gt;&lt;wsp:rsid wsp:val=&quot;000D08DB&quot;/&gt;&lt;wsp:rsid wsp:val=&quot;000D1088&quot;/&gt;&lt;wsp:rsid wsp:val=&quot;000D168E&quot;/&gt;&lt;wsp:rsid wsp:val=&quot;000D2F3D&quot;/&gt;&lt;wsp:rsid wsp:val=&quot;000D37FA&quot;/&gt;&lt;wsp:rsid wsp:val=&quot;000D6076&quot;/&gt;&lt;wsp:rsid wsp:val=&quot;000D7188&quot;/&gt;&lt;wsp:rsid wsp:val=&quot;000D7605&quot;/&gt;&lt;wsp:rsid wsp:val=&quot;000E0759&quot;/&gt;&lt;wsp:rsid wsp:val=&quot;000E0FF9&quot;/&gt;&lt;wsp:rsid wsp:val=&quot;000E37D9&quot;/&gt;&lt;wsp:rsid wsp:val=&quot;000E401E&quot;/&gt;&lt;wsp:rsid wsp:val=&quot;000E4700&quot;/&gt;&lt;wsp:rsid wsp:val=&quot;000E4DA3&quot;/&gt;&lt;wsp:rsid wsp:val=&quot;000E55BB&quot;/&gt;&lt;wsp:rsid wsp:val=&quot;000E5840&quot;/&gt;&lt;wsp:rsid wsp:val=&quot;000E5FD7&quot;/&gt;&lt;wsp:rsid wsp:val=&quot;000E68B4&quot;/&gt;&lt;wsp:rsid wsp:val=&quot;000E72E8&quot;/&gt;&lt;wsp:rsid wsp:val=&quot;000F03AE&quot;/&gt;&lt;wsp:rsid wsp:val=&quot;000F089B&quot;/&gt;&lt;wsp:rsid wsp:val=&quot;000F106C&quot;/&gt;&lt;wsp:rsid wsp:val=&quot;000F2649&quot;/&gt;&lt;wsp:rsid wsp:val=&quot;000F28E7&quot;/&gt;&lt;wsp:rsid wsp:val=&quot;000F39C8&quot;/&gt;&lt;wsp:rsid wsp:val=&quot;000F3B35&quot;/&gt;&lt;wsp:rsid wsp:val=&quot;000F3DB3&quot;/&gt;&lt;wsp:rsid wsp:val=&quot;000F508C&quot;/&gt;&lt;wsp:rsid wsp:val=&quot;000F53E1&quot;/&gt;&lt;wsp:rsid wsp:val=&quot;000F6B60&quot;/&gt;&lt;wsp:rsid wsp:val=&quot;00100E94&quot;/&gt;&lt;wsp:rsid wsp:val=&quot;0010109B&quot;/&gt;&lt;wsp:rsid wsp:val=&quot;00101299&quot;/&gt;&lt;wsp:rsid wsp:val=&quot;00102D42&quot;/&gt;&lt;wsp:rsid wsp:val=&quot;00102DA9&quot;/&gt;&lt;wsp:rsid wsp:val=&quot;00102EE0&quot;/&gt;&lt;wsp:rsid wsp:val=&quot;00103127&quot;/&gt;&lt;wsp:rsid wsp:val=&quot;001034EA&quot;/&gt;&lt;wsp:rsid wsp:val=&quot;00103B53&quot;/&gt;&lt;wsp:rsid wsp:val=&quot;001047B2&quot;/&gt;&lt;wsp:rsid wsp:val=&quot;00104C51&quot;/&gt;&lt;wsp:rsid wsp:val=&quot;00105B91&quot;/&gt;&lt;wsp:rsid wsp:val=&quot;00105BEB&quot;/&gt;&lt;wsp:rsid wsp:val=&quot;00106601&quot;/&gt;&lt;wsp:rsid wsp:val=&quot;00107554&quot;/&gt;&lt;wsp:rsid wsp:val=&quot;00107A60&quot;/&gt;&lt;wsp:rsid wsp:val=&quot;0011031F&quot;/&gt;&lt;wsp:rsid wsp:val=&quot;001103D2&quot;/&gt;&lt;wsp:rsid wsp:val=&quot;00110EB9&quot;/&gt;&lt;wsp:rsid wsp:val=&quot;00111636&quot;/&gt;&lt;wsp:rsid wsp:val=&quot;00111AC0&quot;/&gt;&lt;wsp:rsid wsp:val=&quot;001121D8&quot;/&gt;&lt;wsp:rsid wsp:val=&quot;00112217&quot;/&gt;&lt;wsp:rsid wsp:val=&quot;00112483&quot;/&gt;&lt;wsp:rsid wsp:val=&quot;00112B6C&quot;/&gt;&lt;wsp:rsid wsp:val=&quot;00113651&quot;/&gt;&lt;wsp:rsid wsp:val=&quot;001142E5&quot;/&gt;&lt;wsp:rsid wsp:val=&quot;001146BB&quot;/&gt;&lt;wsp:rsid wsp:val=&quot;001147D9&quot;/&gt;&lt;wsp:rsid wsp:val=&quot;00115ED6&quot;/&gt;&lt;wsp:rsid wsp:val=&quot;00116BC7&quot;/&gt;&lt;wsp:rsid wsp:val=&quot;00116F50&quot;/&gt;&lt;wsp:rsid wsp:val=&quot;001173B8&quot;/&gt;&lt;wsp:rsid wsp:val=&quot;00117F73&quot;/&gt;&lt;wsp:rsid wsp:val=&quot;00120383&quot;/&gt;&lt;wsp:rsid wsp:val=&quot;00120D7C&quot;/&gt;&lt;wsp:rsid wsp:val=&quot;00121C68&quot;/&gt;&lt;wsp:rsid wsp:val=&quot;001235CF&quot;/&gt;&lt;wsp:rsid wsp:val=&quot;00123A6C&quot;/&gt;&lt;wsp:rsid wsp:val=&quot;001241CD&quot;/&gt;&lt;wsp:rsid wsp:val=&quot;00125EC7&quot;/&gt;&lt;wsp:rsid wsp:val=&quot;0012609F&quot;/&gt;&lt;wsp:rsid wsp:val=&quot;00127F2B&quot;/&gt;&lt;wsp:rsid wsp:val=&quot;00130114&quot;/&gt;&lt;wsp:rsid wsp:val=&quot;0013076E&quot;/&gt;&lt;wsp:rsid wsp:val=&quot;00130B64&quot;/&gt;&lt;wsp:rsid wsp:val=&quot;00130E8C&quot;/&gt;&lt;wsp:rsid wsp:val=&quot;00131F6C&quot;/&gt;&lt;wsp:rsid wsp:val=&quot;00132836&quot;/&gt;&lt;wsp:rsid wsp:val=&quot;00133048&quot;/&gt;&lt;wsp:rsid wsp:val=&quot;00133949&quot;/&gt;&lt;wsp:rsid wsp:val=&quot;00135197&quot;/&gt;&lt;wsp:rsid wsp:val=&quot;00135B64&quot;/&gt;&lt;wsp:rsid wsp:val=&quot;001367F1&quot;/&gt;&lt;wsp:rsid wsp:val=&quot;0013719C&quot;/&gt;&lt;wsp:rsid wsp:val=&quot;001373F3&quot;/&gt;&lt;wsp:rsid wsp:val=&quot;001374BB&quot;/&gt;&lt;wsp:rsid wsp:val=&quot;001405F0&quot;/&gt;&lt;wsp:rsid wsp:val=&quot;0014082D&quot;/&gt;&lt;wsp:rsid wsp:val=&quot;00141038&quot;/&gt;&lt;wsp:rsid wsp:val=&quot;0014154B&quot;/&gt;&lt;wsp:rsid wsp:val=&quot;00141984&quot;/&gt;&lt;wsp:rsid wsp:val=&quot;00141E17&quot;/&gt;&lt;wsp:rsid wsp:val=&quot;00141EEB&quot;/&gt;&lt;wsp:rsid wsp:val=&quot;001421EA&quot;/&gt;&lt;wsp:rsid wsp:val=&quot;00142292&quot;/&gt;&lt;wsp:rsid wsp:val=&quot;001440A1&quot;/&gt;&lt;wsp:rsid wsp:val=&quot;001466ED&quot;/&gt;&lt;wsp:rsid wsp:val=&quot;001469B7&quot;/&gt;&lt;wsp:rsid wsp:val=&quot;00147BE4&quot;/&gt;&lt;wsp:rsid wsp:val=&quot;0015061D&quot;/&gt;&lt;wsp:rsid wsp:val=&quot;001508C4&quot;/&gt;&lt;wsp:rsid wsp:val=&quot;0015197D&quot;/&gt;&lt;wsp:rsid wsp:val=&quot;001523E9&quot;/&gt;&lt;wsp:rsid wsp:val=&quot;00152768&quot;/&gt;&lt;wsp:rsid wsp:val=&quot;001528FA&quot;/&gt;&lt;wsp:rsid wsp:val=&quot;00152B6D&quot;/&gt;&lt;wsp:rsid wsp:val=&quot;001532E7&quot;/&gt;&lt;wsp:rsid wsp:val=&quot;00153366&quot;/&gt;&lt;wsp:rsid wsp:val=&quot;001554B1&quot;/&gt;&lt;wsp:rsid wsp:val=&quot;00156550&quot;/&gt;&lt;wsp:rsid wsp:val=&quot;00156AA1&quot;/&gt;&lt;wsp:rsid wsp:val=&quot;00157B3E&quot;/&gt;&lt;wsp:rsid wsp:val=&quot;001611D0&quot;/&gt;&lt;wsp:rsid wsp:val=&quot;00162183&quot;/&gt;&lt;wsp:rsid wsp:val=&quot;00162845&quot;/&gt;&lt;wsp:rsid wsp:val=&quot;00162BD5&quot;/&gt;&lt;wsp:rsid wsp:val=&quot;001635E7&quot;/&gt;&lt;wsp:rsid wsp:val=&quot;001653F7&quot;/&gt;&lt;wsp:rsid wsp:val=&quot;00165B46&quot;/&gt;&lt;wsp:rsid wsp:val=&quot;00165FD3&quot;/&gt;&lt;wsp:rsid wsp:val=&quot;0016649E&quot;/&gt;&lt;wsp:rsid wsp:val=&quot;00166847&quot;/&gt;&lt;wsp:rsid wsp:val=&quot;0016733A&quot;/&gt;&lt;wsp:rsid wsp:val=&quot;001679DC&quot;/&gt;&lt;wsp:rsid wsp:val=&quot;00167AD0&quot;/&gt;&lt;wsp:rsid wsp:val=&quot;00171430&quot;/&gt;&lt;wsp:rsid wsp:val=&quot;00172401&quot;/&gt;&lt;wsp:rsid wsp:val=&quot;00172572&quot;/&gt;&lt;wsp:rsid wsp:val=&quot;00172F0A&quot;/&gt;&lt;wsp:rsid wsp:val=&quot;00172F4C&quot;/&gt;&lt;wsp:rsid wsp:val=&quot;00175205&quot;/&gt;&lt;wsp:rsid wsp:val=&quot;001774B1&quot;/&gt;&lt;wsp:rsid wsp:val=&quot;00177B4A&quot;/&gt;&lt;wsp:rsid wsp:val=&quot;0018367F&quot;/&gt;&lt;wsp:rsid wsp:val=&quot;00183C0F&quot;/&gt;&lt;wsp:rsid wsp:val=&quot;00185D25&quot;/&gt;&lt;wsp:rsid wsp:val=&quot;001873D2&quot;/&gt;&lt;wsp:rsid wsp:val=&quot;0019016D&quot;/&gt;&lt;wsp:rsid wsp:val=&quot;0019108E&quot;/&gt;&lt;wsp:rsid wsp:val=&quot;001910EB&quot;/&gt;&lt;wsp:rsid wsp:val=&quot;001916C6&quot;/&gt;&lt;wsp:rsid wsp:val=&quot;00191B64&quot;/&gt;&lt;wsp:rsid wsp:val=&quot;0019214B&quot;/&gt;&lt;wsp:rsid wsp:val=&quot;00192A2D&quot;/&gt;&lt;wsp:rsid wsp:val=&quot;00193742&quot;/&gt;&lt;wsp:rsid wsp:val=&quot;00193A8B&quot;/&gt;&lt;wsp:rsid wsp:val=&quot;00196E2A&quot;/&gt;&lt;wsp:rsid wsp:val=&quot;00197FB3&quot;/&gt;&lt;wsp:rsid wsp:val=&quot;001A0095&quot;/&gt;&lt;wsp:rsid wsp:val=&quot;001A018C&quot;/&gt;&lt;wsp:rsid wsp:val=&quot;001A1972&quot;/&gt;&lt;wsp:rsid wsp:val=&quot;001A26F3&quot;/&gt;&lt;wsp:rsid wsp:val=&quot;001A3A52&quot;/&gt;&lt;wsp:rsid wsp:val=&quot;001A5596&quot;/&gt;&lt;wsp:rsid wsp:val=&quot;001A581B&quot;/&gt;&lt;wsp:rsid wsp:val=&quot;001A5C74&quot;/&gt;&lt;wsp:rsid wsp:val=&quot;001A5CA5&quot;/&gt;&lt;wsp:rsid wsp:val=&quot;001A6E5E&quot;/&gt;&lt;wsp:rsid wsp:val=&quot;001A717A&quot;/&gt;&lt;wsp:rsid wsp:val=&quot;001A7265&quot;/&gt;&lt;wsp:rsid wsp:val=&quot;001A7B8D&quot;/&gt;&lt;wsp:rsid wsp:val=&quot;001A7E63&quot;/&gt;&lt;wsp:rsid wsp:val=&quot;001B0085&quot;/&gt;&lt;wsp:rsid wsp:val=&quot;001B1B8D&quot;/&gt;&lt;wsp:rsid wsp:val=&quot;001B1F70&quot;/&gt;&lt;wsp:rsid wsp:val=&quot;001B25A5&quot;/&gt;&lt;wsp:rsid wsp:val=&quot;001B2BA8&quot;/&gt;&lt;wsp:rsid wsp:val=&quot;001B50BD&quot;/&gt;&lt;wsp:rsid wsp:val=&quot;001B52F8&quot;/&gt;&lt;wsp:rsid wsp:val=&quot;001B5DDC&quot;/&gt;&lt;wsp:rsid wsp:val=&quot;001B755C&quot;/&gt;&lt;wsp:rsid wsp:val=&quot;001C0920&quot;/&gt;&lt;wsp:rsid wsp:val=&quot;001C1480&quot;/&gt;&lt;wsp:rsid wsp:val=&quot;001C1736&quot;/&gt;&lt;wsp:rsid wsp:val=&quot;001C20A5&quot;/&gt;&lt;wsp:rsid wsp:val=&quot;001C290B&quot;/&gt;&lt;wsp:rsid wsp:val=&quot;001C3A0D&quot;/&gt;&lt;wsp:rsid wsp:val=&quot;001C45F0&quot;/&gt;&lt;wsp:rsid wsp:val=&quot;001C6350&quot;/&gt;&lt;wsp:rsid wsp:val=&quot;001C67E3&quot;/&gt;&lt;wsp:rsid wsp:val=&quot;001C6E45&quot;/&gt;&lt;wsp:rsid wsp:val=&quot;001C777A&quot;/&gt;&lt;wsp:rsid wsp:val=&quot;001D047E&quot;/&gt;&lt;wsp:rsid wsp:val=&quot;001D081E&quot;/&gt;&lt;wsp:rsid wsp:val=&quot;001D0838&quot;/&gt;&lt;wsp:rsid wsp:val=&quot;001D0A77&quot;/&gt;&lt;wsp:rsid wsp:val=&quot;001D0EC1&quot;/&gt;&lt;wsp:rsid wsp:val=&quot;001D3440&quot;/&gt;&lt;wsp:rsid wsp:val=&quot;001D5301&quot;/&gt;&lt;wsp:rsid wsp:val=&quot;001D6606&quot;/&gt;&lt;wsp:rsid wsp:val=&quot;001D6CD5&quot;/&gt;&lt;wsp:rsid wsp:val=&quot;001D6FB8&quot;/&gt;&lt;wsp:rsid wsp:val=&quot;001D7950&quot;/&gt;&lt;wsp:rsid wsp:val=&quot;001E08A4&quot;/&gt;&lt;wsp:rsid wsp:val=&quot;001E128E&quot;/&gt;&lt;wsp:rsid wsp:val=&quot;001E17A1&quot;/&gt;&lt;wsp:rsid wsp:val=&quot;001E2F44&quot;/&gt;&lt;wsp:rsid wsp:val=&quot;001E30B2&quot;/&gt;&lt;wsp:rsid wsp:val=&quot;001E3279&quot;/&gt;&lt;wsp:rsid wsp:val=&quot;001E3E89&quot;/&gt;&lt;wsp:rsid wsp:val=&quot;001E42C4&quot;/&gt;&lt;wsp:rsid wsp:val=&quot;001E461F&quot;/&gt;&lt;wsp:rsid wsp:val=&quot;001E5821&quot;/&gt;&lt;wsp:rsid wsp:val=&quot;001E5E98&quot;/&gt;&lt;wsp:rsid wsp:val=&quot;001E7467&quot;/&gt;&lt;wsp:rsid wsp:val=&quot;001F09DB&quot;/&gt;&lt;wsp:rsid wsp:val=&quot;001F0B3E&quot;/&gt;&lt;wsp:rsid wsp:val=&quot;001F1A1C&quot;/&gt;&lt;wsp:rsid wsp:val=&quot;001F1A81&quot;/&gt;&lt;wsp:rsid wsp:val=&quot;001F2A1B&quot;/&gt;&lt;wsp:rsid wsp:val=&quot;001F339A&quot;/&gt;&lt;wsp:rsid wsp:val=&quot;001F3AAF&quot;/&gt;&lt;wsp:rsid wsp:val=&quot;001F4401&quot;/&gt;&lt;wsp:rsid wsp:val=&quot;001F531D&quot;/&gt;&lt;wsp:rsid wsp:val=&quot;001F56AD&quot;/&gt;&lt;wsp:rsid wsp:val=&quot;001F5F9E&quot;/&gt;&lt;wsp:rsid wsp:val=&quot;001F62CD&quot;/&gt;&lt;wsp:rsid wsp:val=&quot;001F6E1D&quot;/&gt;&lt;wsp:rsid wsp:val=&quot;001F7A51&quot;/&gt;&lt;wsp:rsid wsp:val=&quot;00200114&quot;/&gt;&lt;wsp:rsid wsp:val=&quot;00202547&quot;/&gt;&lt;wsp:rsid wsp:val=&quot;0020284C&quot;/&gt;&lt;wsp:rsid wsp:val=&quot;002031A3&quot;/&gt;&lt;wsp:rsid wsp:val=&quot;002048C5&quot;/&gt;&lt;wsp:rsid wsp:val=&quot;002049B5&quot;/&gt;&lt;wsp:rsid wsp:val=&quot;00205126&quot;/&gt;&lt;wsp:rsid wsp:val=&quot;002054AF&quot;/&gt;&lt;wsp:rsid wsp:val=&quot;002069AB&quot;/&gt;&lt;wsp:rsid wsp:val=&quot;0021064F&quot;/&gt;&lt;wsp:rsid wsp:val=&quot;00210F97&quot;/&gt;&lt;wsp:rsid wsp:val=&quot;002143D5&quot;/&gt;&lt;wsp:rsid wsp:val=&quot;00214737&quot;/&gt;&lt;wsp:rsid wsp:val=&quot;00214AE9&quot;/&gt;&lt;wsp:rsid wsp:val=&quot;00214C21&quot;/&gt;&lt;wsp:rsid wsp:val=&quot;00214CBA&quot;/&gt;&lt;wsp:rsid wsp:val=&quot;00215913&quot;/&gt;&lt;wsp:rsid wsp:val=&quot;00216726&quot;/&gt;&lt;wsp:rsid wsp:val=&quot;002169F3&quot;/&gt;&lt;wsp:rsid wsp:val=&quot;0021704F&quot;/&gt;&lt;wsp:rsid wsp:val=&quot;002175FC&quot;/&gt;&lt;wsp:rsid wsp:val=&quot;002206F6&quot;/&gt;&lt;wsp:rsid wsp:val=&quot;00220B1A&quot;/&gt;&lt;wsp:rsid wsp:val=&quot;00221715&quot;/&gt;&lt;wsp:rsid wsp:val=&quot;00221927&quot;/&gt;&lt;wsp:rsid wsp:val=&quot;0022225B&quot;/&gt;&lt;wsp:rsid wsp:val=&quot;002225CE&quot;/&gt;&lt;wsp:rsid wsp:val=&quot;00222F51&quot;/&gt;&lt;wsp:rsid wsp:val=&quot;00223A7A&quot;/&gt;&lt;wsp:rsid wsp:val=&quot;00227340&quot;/&gt;&lt;wsp:rsid wsp:val=&quot;002275C6&quot;/&gt;&lt;wsp:rsid wsp:val=&quot;002313B6&quot;/&gt;&lt;wsp:rsid wsp:val=&quot;002322A3&quot;/&gt;&lt;wsp:rsid wsp:val=&quot;00232642&quot;/&gt;&lt;wsp:rsid wsp:val=&quot;00233736&quot;/&gt;&lt;wsp:rsid wsp:val=&quot;00234497&quot;/&gt;&lt;wsp:rsid wsp:val=&quot;002344D7&quot;/&gt;&lt;wsp:rsid wsp:val=&quot;00234587&quot;/&gt;&lt;wsp:rsid wsp:val=&quot;00235031&quot;/&gt;&lt;wsp:rsid wsp:val=&quot;00235121&quot;/&gt;&lt;wsp:rsid wsp:val=&quot;00235496&quot;/&gt;&lt;wsp:rsid wsp:val=&quot;0023591D&quot;/&gt;&lt;wsp:rsid wsp:val=&quot;00237D7A&quot;/&gt;&lt;wsp:rsid wsp:val=&quot;00240263&quot;/&gt;&lt;wsp:rsid wsp:val=&quot;00240582&quot;/&gt;&lt;wsp:rsid wsp:val=&quot;00240D6F&quot;/&gt;&lt;wsp:rsid wsp:val=&quot;002410A6&quot;/&gt;&lt;wsp:rsid wsp:val=&quot;00242005&quot;/&gt;&lt;wsp:rsid wsp:val=&quot;00242177&quot;/&gt;&lt;wsp:rsid wsp:val=&quot;002421F8&quot;/&gt;&lt;wsp:rsid wsp:val=&quot;002435F4&quot;/&gt;&lt;wsp:rsid wsp:val=&quot;00243A36&quot;/&gt;&lt;wsp:rsid wsp:val=&quot;00243BAF&quot;/&gt;&lt;wsp:rsid wsp:val=&quot;0024531A&quot;/&gt;&lt;wsp:rsid wsp:val=&quot;00245C9D&quot;/&gt;&lt;wsp:rsid wsp:val=&quot;00245D36&quot;/&gt;&lt;wsp:rsid wsp:val=&quot;00245E1F&quot;/&gt;&lt;wsp:rsid wsp:val=&quot;00245EF6&quot;/&gt;&lt;wsp:rsid wsp:val=&quot;002460D6&quot;/&gt;&lt;wsp:rsid wsp:val=&quot;00246770&quot;/&gt;&lt;wsp:rsid wsp:val=&quot;0024718C&quot;/&gt;&lt;wsp:rsid wsp:val=&quot;002476CB&quot;/&gt;&lt;wsp:rsid wsp:val=&quot;00251FFD&quot;/&gt;&lt;wsp:rsid wsp:val=&quot;00252503&quot;/&gt;&lt;wsp:rsid wsp:val=&quot;0025273D&quot;/&gt;&lt;wsp:rsid wsp:val=&quot;00253ED6&quot;/&gt;&lt;wsp:rsid wsp:val=&quot;00254796&quot;/&gt;&lt;wsp:rsid wsp:val=&quot;002549BE&quot;/&gt;&lt;wsp:rsid wsp:val=&quot;00254EE7&quot;/&gt;&lt;wsp:rsid wsp:val=&quot;002550F7&quot;/&gt;&lt;wsp:rsid wsp:val=&quot;002569CB&quot;/&gt;&lt;wsp:rsid wsp:val=&quot;00257338&quot;/&gt;&lt;wsp:rsid wsp:val=&quot;00257427&quot;/&gt;&lt;wsp:rsid wsp:val=&quot;0025744B&quot;/&gt;&lt;wsp:rsid wsp:val=&quot;00257C57&quot;/&gt;&lt;wsp:rsid wsp:val=&quot;00260279&quot;/&gt;&lt;wsp:rsid wsp:val=&quot;002604C1&quot;/&gt;&lt;wsp:rsid wsp:val=&quot;00260538&quot;/&gt;&lt;wsp:rsid wsp:val=&quot;00260D0A&quot;/&gt;&lt;wsp:rsid wsp:val=&quot;00262177&quot;/&gt;&lt;wsp:rsid wsp:val=&quot;00262BF8&quot;/&gt;&lt;wsp:rsid wsp:val=&quot;0026364A&quot;/&gt;&lt;wsp:rsid wsp:val=&quot;00264B7E&quot;/&gt;&lt;wsp:rsid wsp:val=&quot;00265568&quot;/&gt;&lt;wsp:rsid wsp:val=&quot;00266219&quot;/&gt;&lt;wsp:rsid wsp:val=&quot;0026645C&quot;/&gt;&lt;wsp:rsid wsp:val=&quot;002666B9&quot;/&gt;&lt;wsp:rsid wsp:val=&quot;002666CC&quot;/&gt;&lt;wsp:rsid wsp:val=&quot;002677D6&quot;/&gt;&lt;wsp:rsid wsp:val=&quot;00270172&quot;/&gt;&lt;wsp:rsid wsp:val=&quot;00270802&quot;/&gt;&lt;wsp:rsid wsp:val=&quot;00270FE3&quot;/&gt;&lt;wsp:rsid wsp:val=&quot;002715FB&quot;/&gt;&lt;wsp:rsid wsp:val=&quot;0027304F&quot;/&gt;&lt;wsp:rsid wsp:val=&quot;002732D6&quot;/&gt;&lt;wsp:rsid wsp:val=&quot;00273916&quot;/&gt;&lt;wsp:rsid wsp:val=&quot;00274080&quot;/&gt;&lt;wsp:rsid wsp:val=&quot;00275000&quot;/&gt;&lt;wsp:rsid wsp:val=&quot;0027520C&quot;/&gt;&lt;wsp:rsid wsp:val=&quot;002764BD&quot;/&gt;&lt;wsp:rsid wsp:val=&quot;00276B4E&quot;/&gt;&lt;wsp:rsid wsp:val=&quot;002772BC&quot;/&gt;&lt;wsp:rsid wsp:val=&quot;00277A25&quot;/&gt;&lt;wsp:rsid wsp:val=&quot;0028000E&quot;/&gt;&lt;wsp:rsid wsp:val=&quot;00280889&quot;/&gt;&lt;wsp:rsid wsp:val=&quot;00281B3A&quot;/&gt;&lt;wsp:rsid wsp:val=&quot;00282755&quot;/&gt;&lt;wsp:rsid wsp:val=&quot;00282A5A&quot;/&gt;&lt;wsp:rsid wsp:val=&quot;00282D41&quot;/&gt;&lt;wsp:rsid wsp:val=&quot;00282D61&quot;/&gt;&lt;wsp:rsid wsp:val=&quot;00283BAB&quot;/&gt;&lt;wsp:rsid wsp:val=&quot;00283FD5&quot;/&gt;&lt;wsp:rsid wsp:val=&quot;002857BA&quot;/&gt;&lt;wsp:rsid wsp:val=&quot;0028643E&quot;/&gt;&lt;wsp:rsid wsp:val=&quot;00286759&quot;/&gt;&lt;wsp:rsid wsp:val=&quot;002873DA&quot;/&gt;&lt;wsp:rsid wsp:val=&quot;00290F19&quot;/&gt;&lt;wsp:rsid wsp:val=&quot;00292312&quot;/&gt;&lt;wsp:rsid wsp:val=&quot;0029231B&quot;/&gt;&lt;wsp:rsid wsp:val=&quot;00293998&quot;/&gt;&lt;wsp:rsid wsp:val=&quot;00295FB0&quot;/&gt;&lt;wsp:rsid wsp:val=&quot;0029646D&quot;/&gt;&lt;wsp:rsid wsp:val=&quot;00296E97&quot;/&gt;&lt;wsp:rsid wsp:val=&quot;002978EC&quot;/&gt;&lt;wsp:rsid wsp:val=&quot;00297925&quot;/&gt;&lt;wsp:rsid wsp:val=&quot;002A0A7E&quot;/&gt;&lt;wsp:rsid wsp:val=&quot;002A0E07&quot;/&gt;&lt;wsp:rsid wsp:val=&quot;002A1D0E&quot;/&gt;&lt;wsp:rsid wsp:val=&quot;002A2CC2&quot;/&gt;&lt;wsp:rsid wsp:val=&quot;002A2D71&quot;/&gt;&lt;wsp:rsid wsp:val=&quot;002A3B7E&quot;/&gt;&lt;wsp:rsid wsp:val=&quot;002A4724&quot;/&gt;&lt;wsp:rsid wsp:val=&quot;002A4E8F&quot;/&gt;&lt;wsp:rsid wsp:val=&quot;002A56F9&quot;/&gt;&lt;wsp:rsid wsp:val=&quot;002A6069&quot;/&gt;&lt;wsp:rsid wsp:val=&quot;002A654A&quot;/&gt;&lt;wsp:rsid wsp:val=&quot;002A77B9&quot;/&gt;&lt;wsp:rsid wsp:val=&quot;002B0590&quot;/&gt;&lt;wsp:rsid wsp:val=&quot;002B3A99&quot;/&gt;&lt;wsp:rsid wsp:val=&quot;002B3F77&quot;/&gt;&lt;wsp:rsid wsp:val=&quot;002B4274&quot;/&gt;&lt;wsp:rsid wsp:val=&quot;002B428A&quot;/&gt;&lt;wsp:rsid wsp:val=&quot;002B4AE6&quot;/&gt;&lt;wsp:rsid wsp:val=&quot;002B5F10&quot;/&gt;&lt;wsp:rsid wsp:val=&quot;002B60E9&quot;/&gt;&lt;wsp:rsid wsp:val=&quot;002B64F5&quot;/&gt;&lt;wsp:rsid wsp:val=&quot;002B78C4&quot;/&gt;&lt;wsp:rsid wsp:val=&quot;002B7B67&quot;/&gt;&lt;wsp:rsid wsp:val=&quot;002C0A39&quot;/&gt;&lt;wsp:rsid wsp:val=&quot;002C2F1A&quot;/&gt;&lt;wsp:rsid wsp:val=&quot;002C37F1&quot;/&gt;&lt;wsp:rsid wsp:val=&quot;002C3A74&quot;/&gt;&lt;wsp:rsid wsp:val=&quot;002C4A0B&quot;/&gt;&lt;wsp:rsid wsp:val=&quot;002C4F40&quot;/&gt;&lt;wsp:rsid wsp:val=&quot;002C5281&quot;/&gt;&lt;wsp:rsid wsp:val=&quot;002C56F0&quot;/&gt;&lt;wsp:rsid wsp:val=&quot;002C582D&quot;/&gt;&lt;wsp:rsid wsp:val=&quot;002C5D48&quot;/&gt;&lt;wsp:rsid wsp:val=&quot;002D13D7&quot;/&gt;&lt;wsp:rsid wsp:val=&quot;002D1968&quot;/&gt;&lt;wsp:rsid wsp:val=&quot;002D27D5&quot;/&gt;&lt;wsp:rsid wsp:val=&quot;002D4110&quot;/&gt;&lt;wsp:rsid wsp:val=&quot;002D4431&quot;/&gt;&lt;wsp:rsid wsp:val=&quot;002D5946&quot;/&gt;&lt;wsp:rsid wsp:val=&quot;002D5F40&quot;/&gt;&lt;wsp:rsid wsp:val=&quot;002D5FBE&quot;/&gt;&lt;wsp:rsid wsp:val=&quot;002D7D84&quot;/&gt;&lt;wsp:rsid wsp:val=&quot;002E06A9&quot;/&gt;&lt;wsp:rsid wsp:val=&quot;002E073D&quot;/&gt;&lt;wsp:rsid wsp:val=&quot;002E1CFC&quot;/&gt;&lt;wsp:rsid wsp:val=&quot;002E3138&quot;/&gt;&lt;wsp:rsid wsp:val=&quot;002E585E&quot;/&gt;&lt;wsp:rsid wsp:val=&quot;002E5A26&quot;/&gt;&lt;wsp:rsid wsp:val=&quot;002E7317&quot;/&gt;&lt;wsp:rsid wsp:val=&quot;002E7EEE&quot;/&gt;&lt;wsp:rsid wsp:val=&quot;002F0B7D&quot;/&gt;&lt;wsp:rsid wsp:val=&quot;002F1652&quot;/&gt;&lt;wsp:rsid wsp:val=&quot;002F3446&quot;/&gt;&lt;wsp:rsid wsp:val=&quot;002F4007&quot;/&gt;&lt;wsp:rsid wsp:val=&quot;002F48BA&quot;/&gt;&lt;wsp:rsid wsp:val=&quot;002F57AA&quot;/&gt;&lt;wsp:rsid wsp:val=&quot;002F61E2&quot;/&gt;&lt;wsp:rsid wsp:val=&quot;002F6E06&quot;/&gt;&lt;wsp:rsid wsp:val=&quot;002F79B9&quot;/&gt;&lt;wsp:rsid wsp:val=&quot;002F7F8D&quot;/&gt;&lt;wsp:rsid wsp:val=&quot;0030184C&quot;/&gt;&lt;wsp:rsid wsp:val=&quot;00301BC2&quot;/&gt;&lt;wsp:rsid wsp:val=&quot;00302F7A&quot;/&gt;&lt;wsp:rsid wsp:val=&quot;00303332&quot;/&gt;&lt;wsp:rsid wsp:val=&quot;00303D87&quot;/&gt;&lt;wsp:rsid wsp:val=&quot;0030706C&quot;/&gt;&lt;wsp:rsid wsp:val=&quot;00310DF4&quot;/&gt;&lt;wsp:rsid wsp:val=&quot;0031101A&quot;/&gt;&lt;wsp:rsid wsp:val=&quot;0031283E&quot;/&gt;&lt;wsp:rsid wsp:val=&quot;0031310C&quot;/&gt;&lt;wsp:rsid wsp:val=&quot;00313A45&quot;/&gt;&lt;wsp:rsid wsp:val=&quot;00313E49&quot;/&gt;&lt;wsp:rsid wsp:val=&quot;00314123&quot;/&gt;&lt;wsp:rsid wsp:val=&quot;003142ED&quot;/&gt;&lt;wsp:rsid wsp:val=&quot;003170E0&quot;/&gt;&lt;wsp:rsid wsp:val=&quot;00317888&quot;/&gt;&lt;wsp:rsid wsp:val=&quot;00317D2E&quot;/&gt;&lt;wsp:rsid wsp:val=&quot;003207DB&quot;/&gt;&lt;wsp:rsid wsp:val=&quot;003219A7&quot;/&gt;&lt;wsp:rsid wsp:val=&quot;00321A63&quot;/&gt;&lt;wsp:rsid wsp:val=&quot;00322808&quot;/&gt;&lt;wsp:rsid wsp:val=&quot;00323791&quot;/&gt;&lt;wsp:rsid wsp:val=&quot;00323EDF&quot;/&gt;&lt;wsp:rsid wsp:val=&quot;0032417A&quot;/&gt;&lt;wsp:rsid wsp:val=&quot;003244B0&quot;/&gt;&lt;wsp:rsid wsp:val=&quot;00324B17&quot;/&gt;&lt;wsp:rsid wsp:val=&quot;003257DA&quot;/&gt;&lt;wsp:rsid wsp:val=&quot;003263BD&quot;/&gt;&lt;wsp:rsid wsp:val=&quot;003263CC&quot;/&gt;&lt;wsp:rsid wsp:val=&quot;00326638&quot;/&gt;&lt;wsp:rsid wsp:val=&quot;0032678E&quot;/&gt;&lt;wsp:rsid wsp:val=&quot;003277BE&quot;/&gt;&lt;wsp:rsid wsp:val=&quot;00327ACB&quot;/&gt;&lt;wsp:rsid wsp:val=&quot;00330E85&quot;/&gt;&lt;wsp:rsid wsp:val=&quot;00331054&quot;/&gt;&lt;wsp:rsid wsp:val=&quot;003314C1&quot;/&gt;&lt;wsp:rsid wsp:val=&quot;003317B3&quot;/&gt;&lt;wsp:rsid wsp:val=&quot;00331F83&quot;/&gt;&lt;wsp:rsid wsp:val=&quot;003332C5&quot;/&gt;&lt;wsp:rsid wsp:val=&quot;00334A0A&quot;/&gt;&lt;wsp:rsid wsp:val=&quot;00340397&quot;/&gt;&lt;wsp:rsid wsp:val=&quot;0034088C&quot;/&gt;&lt;wsp:rsid wsp:val=&quot;003420D3&quot;/&gt;&lt;wsp:rsid wsp:val=&quot;00342FDB&quot;/&gt;&lt;wsp:rsid wsp:val=&quot;00343022&quot;/&gt;&lt;wsp:rsid wsp:val=&quot;00343D1A&quot;/&gt;&lt;wsp:rsid wsp:val=&quot;00344FF9&quot;/&gt;&lt;wsp:rsid wsp:val=&quot;003465E9&quot;/&gt;&lt;wsp:rsid wsp:val=&quot;00346636&quot;/&gt;&lt;wsp:rsid wsp:val=&quot;00346BFC&quot;/&gt;&lt;wsp:rsid wsp:val=&quot;00347631&quot;/&gt;&lt;wsp:rsid wsp:val=&quot;00350446&quot;/&gt;&lt;wsp:rsid wsp:val=&quot;003506D2&quot;/&gt;&lt;wsp:rsid wsp:val=&quot;003507FE&quot;/&gt;&lt;wsp:rsid wsp:val=&quot;003509C3&quot;/&gt;&lt;wsp:rsid wsp:val=&quot;00351A52&quot;/&gt;&lt;wsp:rsid wsp:val=&quot;00351BF3&quot;/&gt;&lt;wsp:rsid wsp:val=&quot;003521CC&quot;/&gt;&lt;wsp:rsid wsp:val=&quot;00352E2D&quot;/&gt;&lt;wsp:rsid wsp:val=&quot;003537B3&quot;/&gt;&lt;wsp:rsid wsp:val=&quot;00353D32&quot;/&gt;&lt;wsp:rsid wsp:val=&quot;0035408F&quot;/&gt;&lt;wsp:rsid wsp:val=&quot;003540E8&quot;/&gt;&lt;wsp:rsid wsp:val=&quot;0035503F&quot;/&gt;&lt;wsp:rsid wsp:val=&quot;003550EF&quot;/&gt;&lt;wsp:rsid wsp:val=&quot;003571BA&quot;/&gt;&lt;wsp:rsid wsp:val=&quot;00357518&quot;/&gt;&lt;wsp:rsid wsp:val=&quot;003578D8&quot;/&gt;&lt;wsp:rsid wsp:val=&quot;00360142&quot;/&gt;&lt;wsp:rsid wsp:val=&quot;00363716&quot;/&gt;&lt;wsp:rsid wsp:val=&quot;003639E9&quot;/&gt;&lt;wsp:rsid wsp:val=&quot;003644C8&quot;/&gt;&lt;wsp:rsid wsp:val=&quot;00365D36&quot;/&gt;&lt;wsp:rsid wsp:val=&quot;00366A05&quot;/&gt;&lt;wsp:rsid wsp:val=&quot;0036750A&quot;/&gt;&lt;wsp:rsid wsp:val=&quot;00370770&quot;/&gt;&lt;wsp:rsid wsp:val=&quot;00370909&quot;/&gt;&lt;wsp:rsid wsp:val=&quot;00370FD1&quot;/&gt;&lt;wsp:rsid wsp:val=&quot;0037341F&quot;/&gt;&lt;wsp:rsid wsp:val=&quot;00374057&quot;/&gt;&lt;wsp:rsid wsp:val=&quot;0037434F&quot;/&gt;&lt;wsp:rsid wsp:val=&quot;003764B7&quot;/&gt;&lt;wsp:rsid wsp:val=&quot;00377AE0&quot;/&gt;&lt;wsp:rsid wsp:val=&quot;00377B22&quot;/&gt;&lt;wsp:rsid wsp:val=&quot;00380A43&quot;/&gt;&lt;wsp:rsid wsp:val=&quot;00380AD2&quot;/&gt;&lt;wsp:rsid wsp:val=&quot;00381804&quot;/&gt;&lt;wsp:rsid wsp:val=&quot;00381859&quot;/&gt;&lt;wsp:rsid wsp:val=&quot;00382B61&quot;/&gt;&lt;wsp:rsid wsp:val=&quot;00382F7E&quot;/&gt;&lt;wsp:rsid wsp:val=&quot;00383A42&quot;/&gt;&lt;wsp:rsid wsp:val=&quot;00384D13&quot;/&gt;&lt;wsp:rsid wsp:val=&quot;003851CC&quot;/&gt;&lt;wsp:rsid wsp:val=&quot;00385D65&quot;/&gt;&lt;wsp:rsid wsp:val=&quot;00385F07&quot;/&gt;&lt;wsp:rsid wsp:val=&quot;00386053&quot;/&gt;&lt;wsp:rsid wsp:val=&quot;00386E2B&quot;/&gt;&lt;wsp:rsid wsp:val=&quot;00387509&quot;/&gt;&lt;wsp:rsid wsp:val=&quot;0039121B&quot;/&gt;&lt;wsp:rsid wsp:val=&quot;00391507&quot;/&gt;&lt;wsp:rsid wsp:val=&quot;00391B1A&quot;/&gt;&lt;wsp:rsid wsp:val=&quot;0039272D&quot;/&gt;&lt;wsp:rsid wsp:val=&quot;003932E9&quot;/&gt;&lt;wsp:rsid wsp:val=&quot;0039336D&quot;/&gt;&lt;wsp:rsid wsp:val=&quot;00393FA9&quot;/&gt;&lt;wsp:rsid wsp:val=&quot;00394873&quot;/&gt;&lt;wsp:rsid wsp:val=&quot;00394AF3&quot;/&gt;&lt;wsp:rsid wsp:val=&quot;00394F1C&quot;/&gt;&lt;wsp:rsid wsp:val=&quot;003950C1&quot;/&gt;&lt;wsp:rsid wsp:val=&quot;00395C88&quot;/&gt;&lt;wsp:rsid wsp:val=&quot;003967DC&quot;/&gt;&lt;wsp:rsid wsp:val=&quot;003970EA&quot;/&gt;&lt;wsp:rsid wsp:val=&quot;0039743F&quot;/&gt;&lt;wsp:rsid wsp:val=&quot;00397738&quot;/&gt;&lt;wsp:rsid wsp:val=&quot;00397FA1&quot;/&gt;&lt;wsp:rsid wsp:val=&quot;003A0212&quot;/&gt;&lt;wsp:rsid wsp:val=&quot;003A09E0&quot;/&gt;&lt;wsp:rsid wsp:val=&quot;003A25E1&quot;/&gt;&lt;wsp:rsid wsp:val=&quot;003A360B&quot;/&gt;&lt;wsp:rsid wsp:val=&quot;003A4833&quot;/&gt;&lt;wsp:rsid wsp:val=&quot;003A4B29&quot;/&gt;&lt;wsp:rsid wsp:val=&quot;003A4D06&quot;/&gt;&lt;wsp:rsid wsp:val=&quot;003A572E&quot;/&gt;&lt;wsp:rsid wsp:val=&quot;003A5779&quot;/&gt;&lt;wsp:rsid wsp:val=&quot;003A6725&quot;/&gt;&lt;wsp:rsid wsp:val=&quot;003A6FFE&quot;/&gt;&lt;wsp:rsid wsp:val=&quot;003A79F4&quot;/&gt;&lt;wsp:rsid wsp:val=&quot;003B158C&quot;/&gt;&lt;wsp:rsid wsp:val=&quot;003B189D&quot;/&gt;&lt;wsp:rsid wsp:val=&quot;003B2833&quot;/&gt;&lt;wsp:rsid wsp:val=&quot;003B3B90&quot;/&gt;&lt;wsp:rsid wsp:val=&quot;003B51C5&quot;/&gt;&lt;wsp:rsid wsp:val=&quot;003B54F9&quot;/&gt;&lt;wsp:rsid wsp:val=&quot;003B609A&quot;/&gt;&lt;wsp:rsid wsp:val=&quot;003B60E9&quot;/&gt;&lt;wsp:rsid wsp:val=&quot;003B63DC&quot;/&gt;&lt;wsp:rsid wsp:val=&quot;003B693C&quot;/&gt;&lt;wsp:rsid wsp:val=&quot;003B7213&quot;/&gt;&lt;wsp:rsid wsp:val=&quot;003C0BE2&quot;/&gt;&lt;wsp:rsid wsp:val=&quot;003C1AF6&quot;/&gt;&lt;wsp:rsid wsp:val=&quot;003C1C40&quot;/&gt;&lt;wsp:rsid wsp:val=&quot;003C2147&quot;/&gt;&lt;wsp:rsid wsp:val=&quot;003C2EB8&quot;/&gt;&lt;wsp:rsid wsp:val=&quot;003C3B77&quot;/&gt;&lt;wsp:rsid wsp:val=&quot;003C40E6&quot;/&gt;&lt;wsp:rsid wsp:val=&quot;003C50BE&quot;/&gt;&lt;wsp:rsid wsp:val=&quot;003D0ACC&quot;/&gt;&lt;wsp:rsid wsp:val=&quot;003D0B08&quot;/&gt;&lt;wsp:rsid wsp:val=&quot;003D0B6D&quot;/&gt;&lt;wsp:rsid wsp:val=&quot;003D0F0E&quot;/&gt;&lt;wsp:rsid wsp:val=&quot;003D1354&quot;/&gt;&lt;wsp:rsid wsp:val=&quot;003D14C5&quot;/&gt;&lt;wsp:rsid wsp:val=&quot;003D1A4E&quot;/&gt;&lt;wsp:rsid wsp:val=&quot;003D1B55&quot;/&gt;&lt;wsp:rsid wsp:val=&quot;003D274E&quot;/&gt;&lt;wsp:rsid wsp:val=&quot;003D284F&quot;/&gt;&lt;wsp:rsid wsp:val=&quot;003D2D27&quot;/&gt;&lt;wsp:rsid wsp:val=&quot;003D3A93&quot;/&gt;&lt;wsp:rsid wsp:val=&quot;003D4752&quot;/&gt;&lt;wsp:rsid wsp:val=&quot;003D4D51&quot;/&gt;&lt;wsp:rsid wsp:val=&quot;003D5C3E&quot;/&gt;&lt;wsp:rsid wsp:val=&quot;003D623F&quot;/&gt;&lt;wsp:rsid wsp:val=&quot;003D6CDC&quot;/&gt;&lt;wsp:rsid wsp:val=&quot;003D7EFC&quot;/&gt;&lt;wsp:rsid wsp:val=&quot;003E060F&quot;/&gt;&lt;wsp:rsid wsp:val=&quot;003E1A69&quot;/&gt;&lt;wsp:rsid wsp:val=&quot;003E1A78&quot;/&gt;&lt;wsp:rsid wsp:val=&quot;003E1B2E&quot;/&gt;&lt;wsp:rsid wsp:val=&quot;003E24D3&quot;/&gt;&lt;wsp:rsid wsp:val=&quot;003E30C8&quot;/&gt;&lt;wsp:rsid wsp:val=&quot;003E3136&quot;/&gt;&lt;wsp:rsid wsp:val=&quot;003E3454&quot;/&gt;&lt;wsp:rsid wsp:val=&quot;003E38F9&quot;/&gt;&lt;wsp:rsid wsp:val=&quot;003E4288&quot;/&gt;&lt;wsp:rsid wsp:val=&quot;003E4E57&quot;/&gt;&lt;wsp:rsid wsp:val=&quot;003E4F2E&quot;/&gt;&lt;wsp:rsid wsp:val=&quot;003E533C&quot;/&gt;&lt;wsp:rsid wsp:val=&quot;003E56E7&quot;/&gt;&lt;wsp:rsid wsp:val=&quot;003E612A&quot;/&gt;&lt;wsp:rsid wsp:val=&quot;003E6CDE&quot;/&gt;&lt;wsp:rsid wsp:val=&quot;003E6D6E&quot;/&gt;&lt;wsp:rsid wsp:val=&quot;003E70A8&quot;/&gt;&lt;wsp:rsid wsp:val=&quot;003E7A02&quot;/&gt;&lt;wsp:rsid wsp:val=&quot;003E7C6D&quot;/&gt;&lt;wsp:rsid wsp:val=&quot;003F16EF&quot;/&gt;&lt;wsp:rsid wsp:val=&quot;003F2B68&quot;/&gt;&lt;wsp:rsid wsp:val=&quot;003F35A4&quot;/&gt;&lt;wsp:rsid wsp:val=&quot;003F386C&quot;/&gt;&lt;wsp:rsid wsp:val=&quot;003F3AD4&quot;/&gt;&lt;wsp:rsid wsp:val=&quot;003F434C&quot;/&gt;&lt;wsp:rsid wsp:val=&quot;003F4E8E&quot;/&gt;&lt;wsp:rsid wsp:val=&quot;003F5510&quot;/&gt;&lt;wsp:rsid wsp:val=&quot;003F5BE8&quot;/&gt;&lt;wsp:rsid wsp:val=&quot;003F74AC&quot;/&gt;&lt;wsp:rsid wsp:val=&quot;003F7869&quot;/&gt;&lt;wsp:rsid wsp:val=&quot;00400A7B&quot;/&gt;&lt;wsp:rsid wsp:val=&quot;00400B8A&quot;/&gt;&lt;wsp:rsid wsp:val=&quot;004012C2&quot;/&gt;&lt;wsp:rsid wsp:val=&quot;00402008&quot;/&gt;&lt;wsp:rsid wsp:val=&quot;00402585&quot;/&gt;&lt;wsp:rsid wsp:val=&quot;00402987&quot;/&gt;&lt;wsp:rsid wsp:val=&quot;004032B0&quot;/&gt;&lt;wsp:rsid wsp:val=&quot;00403F02&quot;/&gt;&lt;wsp:rsid wsp:val=&quot;00404569&quot;/&gt;&lt;wsp:rsid wsp:val=&quot;00404587&quot;/&gt;&lt;wsp:rsid wsp:val=&quot;00404726&quot;/&gt;&lt;wsp:rsid wsp:val=&quot;00405D43&quot;/&gt;&lt;wsp:rsid wsp:val=&quot;004061FB&quot;/&gt;&lt;wsp:rsid wsp:val=&quot;00406210&quot;/&gt;&lt;wsp:rsid wsp:val=&quot;00406481&quot;/&gt;&lt;wsp:rsid wsp:val=&quot;004120C0&quot;/&gt;&lt;wsp:rsid wsp:val=&quot;00413635&quot;/&gt;&lt;wsp:rsid wsp:val=&quot;004145CD&quot;/&gt;&lt;wsp:rsid wsp:val=&quot;00416121&quot;/&gt;&lt;wsp:rsid wsp:val=&quot;00417486&quot;/&gt;&lt;wsp:rsid wsp:val=&quot;00417AB5&quot;/&gt;&lt;wsp:rsid wsp:val=&quot;004206D0&quot;/&gt;&lt;wsp:rsid wsp:val=&quot;00420D39&quot;/&gt;&lt;wsp:rsid wsp:val=&quot;004212FF&quot;/&gt;&lt;wsp:rsid wsp:val=&quot;004216B8&quot;/&gt;&lt;wsp:rsid wsp:val=&quot;00422094&quot;/&gt;&lt;wsp:rsid wsp:val=&quot;004231CE&quot;/&gt;&lt;wsp:rsid wsp:val=&quot;00423947&quot;/&gt;&lt;wsp:rsid wsp:val=&quot;004249D3&quot;/&gt;&lt;wsp:rsid wsp:val=&quot;00424FCD&quot;/&gt;&lt;wsp:rsid wsp:val=&quot;0042514F&quot;/&gt;&lt;wsp:rsid wsp:val=&quot;0042605F&quot;/&gt;&lt;wsp:rsid wsp:val=&quot;00430C6D&quot;/&gt;&lt;wsp:rsid wsp:val=&quot;0043112E&quot;/&gt;&lt;wsp:rsid wsp:val=&quot;00431536&quot;/&gt;&lt;wsp:rsid wsp:val=&quot;00431F04&quot;/&gt;&lt;wsp:rsid wsp:val=&quot;00432862&quot;/&gt;&lt;wsp:rsid wsp:val=&quot;004334C2&quot;/&gt;&lt;wsp:rsid wsp:val=&quot;004335F4&quot;/&gt;&lt;wsp:rsid wsp:val=&quot;0043486D&quot;/&gt;&lt;wsp:rsid wsp:val=&quot;00435771&quot;/&gt;&lt;wsp:rsid wsp:val=&quot;00435DBA&quot;/&gt;&lt;wsp:rsid wsp:val=&quot;00435F22&quot;/&gt;&lt;wsp:rsid wsp:val=&quot;00436C04&quot;/&gt;&lt;wsp:rsid wsp:val=&quot;004373B5&quot;/&gt;&lt;wsp:rsid wsp:val=&quot;00440990&quot;/&gt;&lt;wsp:rsid wsp:val=&quot;00441070&quot;/&gt;&lt;wsp:rsid wsp:val=&quot;004417FD&quot;/&gt;&lt;wsp:rsid wsp:val=&quot;004419C4&quot;/&gt;&lt;wsp:rsid wsp:val=&quot;00444014&quot;/&gt;&lt;wsp:rsid wsp:val=&quot;00444A86&quot;/&gt;&lt;wsp:rsid wsp:val=&quot;00444AAD&quot;/&gt;&lt;wsp:rsid wsp:val=&quot;004452E3&quot;/&gt;&lt;wsp:rsid wsp:val=&quot;00446DC6&quot;/&gt;&lt;wsp:rsid wsp:val=&quot;0044764C&quot;/&gt;&lt;wsp:rsid wsp:val=&quot;00447689&quot;/&gt;&lt;wsp:rsid wsp:val=&quot;00447BF7&quot;/&gt;&lt;wsp:rsid wsp:val=&quot;00450023&quot;/&gt;&lt;wsp:rsid wsp:val=&quot;004517FD&quot;/&gt;&lt;wsp:rsid wsp:val=&quot;00452229&quot;/&gt;&lt;wsp:rsid wsp:val=&quot;00456146&quot;/&gt;&lt;wsp:rsid wsp:val=&quot;004574FA&quot;/&gt;&lt;wsp:rsid wsp:val=&quot;004611F5&quot;/&gt;&lt;wsp:rsid wsp:val=&quot;0046229E&quot;/&gt;&lt;wsp:rsid wsp:val=&quot;0046269A&quot;/&gt;&lt;wsp:rsid wsp:val=&quot;00463A88&quot;/&gt;&lt;wsp:rsid wsp:val=&quot;004678DA&quot;/&gt;&lt;wsp:rsid wsp:val=&quot;004679D2&quot;/&gt;&lt;wsp:rsid wsp:val=&quot;00470342&quot;/&gt;&lt;wsp:rsid wsp:val=&quot;00470D0A&quot;/&gt;&lt;wsp:rsid wsp:val=&quot;00471498&quot;/&gt;&lt;wsp:rsid wsp:val=&quot;00472CE4&quot;/&gt;&lt;wsp:rsid wsp:val=&quot;0047399E&quot;/&gt;&lt;wsp:rsid wsp:val=&quot;00474109&quot;/&gt;&lt;wsp:rsid wsp:val=&quot;004744B5&quot;/&gt;&lt;wsp:rsid wsp:val=&quot;00474FE4&quot;/&gt;&lt;wsp:rsid wsp:val=&quot;0047533E&quot;/&gt;&lt;wsp:rsid wsp:val=&quot;004757A2&quot;/&gt;&lt;wsp:rsid wsp:val=&quot;00475DC4&quot;/&gt;&lt;wsp:rsid wsp:val=&quot;00475EE5&quot;/&gt;&lt;wsp:rsid wsp:val=&quot;00477187&quot;/&gt;&lt;wsp:rsid wsp:val=&quot;004774DA&quot;/&gt;&lt;wsp:rsid wsp:val=&quot;00477983&quot;/&gt;&lt;wsp:rsid wsp:val=&quot;004800C4&quot;/&gt;&lt;wsp:rsid wsp:val=&quot;00482239&quot;/&gt;&lt;wsp:rsid wsp:val=&quot;00482B9E&quot;/&gt;&lt;wsp:rsid wsp:val=&quot;00483178&quot;/&gt;&lt;wsp:rsid wsp:val=&quot;00483187&quot;/&gt;&lt;wsp:rsid wsp:val=&quot;0048350E&quot;/&gt;&lt;wsp:rsid wsp:val=&quot;00484AB6&quot;/&gt;&lt;wsp:rsid wsp:val=&quot;004865D1&quot;/&gt;&lt;wsp:rsid wsp:val=&quot;0048662D&quot;/&gt;&lt;wsp:rsid wsp:val=&quot;00486AC3&quot;/&gt;&lt;wsp:rsid wsp:val=&quot;004908BA&quot;/&gt;&lt;wsp:rsid wsp:val=&quot;0049186D&quot;/&gt;&lt;wsp:rsid wsp:val=&quot;00491E25&quot;/&gt;&lt;wsp:rsid wsp:val=&quot;00492D2B&quot;/&gt;&lt;wsp:rsid wsp:val=&quot;00493451&quot;/&gt;&lt;wsp:rsid wsp:val=&quot;00495972&quot;/&gt;&lt;wsp:rsid wsp:val=&quot;0049675B&quot;/&gt;&lt;wsp:rsid wsp:val=&quot;00497EC8&quot;/&gt;&lt;wsp:rsid wsp:val=&quot;004A00C2&quot;/&gt;&lt;wsp:rsid wsp:val=&quot;004A0124&quot;/&gt;&lt;wsp:rsid wsp:val=&quot;004A0475&quot;/&gt;&lt;wsp:rsid wsp:val=&quot;004A08A6&quot;/&gt;&lt;wsp:rsid wsp:val=&quot;004A1158&quot;/&gt;&lt;wsp:rsid wsp:val=&quot;004A1486&quot;/&gt;&lt;wsp:rsid wsp:val=&quot;004A1836&quot;/&gt;&lt;wsp:rsid wsp:val=&quot;004A279F&quot;/&gt;&lt;wsp:rsid wsp:val=&quot;004A2C40&quot;/&gt;&lt;wsp:rsid wsp:val=&quot;004A55E7&quot;/&gt;&lt;wsp:rsid wsp:val=&quot;004A579C&quot;/&gt;&lt;wsp:rsid wsp:val=&quot;004A7FF1&quot;/&gt;&lt;wsp:rsid wsp:val=&quot;004B0B9D&quot;/&gt;&lt;wsp:rsid wsp:val=&quot;004B1B88&quot;/&gt;&lt;wsp:rsid wsp:val=&quot;004B2AEE&quot;/&gt;&lt;wsp:rsid wsp:val=&quot;004B2E1C&quot;/&gt;&lt;wsp:rsid wsp:val=&quot;004B3375&quot;/&gt;&lt;wsp:rsid wsp:val=&quot;004B3A2D&quot;/&gt;&lt;wsp:rsid wsp:val=&quot;004B3E46&quot;/&gt;&lt;wsp:rsid wsp:val=&quot;004B5DA6&quot;/&gt;&lt;wsp:rsid wsp:val=&quot;004B5E90&quot;/&gt;&lt;wsp:rsid wsp:val=&quot;004B70AC&quot;/&gt;&lt;wsp:rsid wsp:val=&quot;004B7701&quot;/&gt;&lt;wsp:rsid wsp:val=&quot;004B78B4&quot;/&gt;&lt;wsp:rsid wsp:val=&quot;004B7C8F&quot;/&gt;&lt;wsp:rsid wsp:val=&quot;004C03BF&quot;/&gt;&lt;wsp:rsid wsp:val=&quot;004C094F&quot;/&gt;&lt;wsp:rsid wsp:val=&quot;004C15AA&quot;/&gt;&lt;wsp:rsid wsp:val=&quot;004C20AE&quot;/&gt;&lt;wsp:rsid wsp:val=&quot;004C2251&quot;/&gt;&lt;wsp:rsid wsp:val=&quot;004C2459&quot;/&gt;&lt;wsp:rsid wsp:val=&quot;004C390C&quot;/&gt;&lt;wsp:rsid wsp:val=&quot;004C431E&quot;/&gt;&lt;wsp:rsid wsp:val=&quot;004C48B5&quot;/&gt;&lt;wsp:rsid wsp:val=&quot;004C5044&quot;/&gt;&lt;wsp:rsid wsp:val=&quot;004C5918&quot;/&gt;&lt;wsp:rsid wsp:val=&quot;004C6325&quot;/&gt;&lt;wsp:rsid wsp:val=&quot;004C68F6&quot;/&gt;&lt;wsp:rsid wsp:val=&quot;004C6B5B&quot;/&gt;&lt;wsp:rsid wsp:val=&quot;004C6C07&quot;/&gt;&lt;wsp:rsid wsp:val=&quot;004C6D17&quot;/&gt;&lt;wsp:rsid wsp:val=&quot;004C702A&quot;/&gt;&lt;wsp:rsid wsp:val=&quot;004C75C6&quot;/&gt;&lt;wsp:rsid wsp:val=&quot;004C7D37&quot;/&gt;&lt;wsp:rsid wsp:val=&quot;004D0846&quot;/&gt;&lt;wsp:rsid wsp:val=&quot;004D0D2D&quot;/&gt;&lt;wsp:rsid wsp:val=&quot;004D11F4&quot;/&gt;&lt;wsp:rsid wsp:val=&quot;004D3592&quot;/&gt;&lt;wsp:rsid wsp:val=&quot;004D4718&quot;/&gt;&lt;wsp:rsid wsp:val=&quot;004D7FA4&quot;/&gt;&lt;wsp:rsid wsp:val=&quot;004E08A2&quot;/&gt;&lt;wsp:rsid wsp:val=&quot;004E0C50&quot;/&gt;&lt;wsp:rsid wsp:val=&quot;004E17A4&quot;/&gt;&lt;wsp:rsid wsp:val=&quot;004E3086&quot;/&gt;&lt;wsp:rsid wsp:val=&quot;004E3712&quot;/&gt;&lt;wsp:rsid wsp:val=&quot;004E3C9A&quot;/&gt;&lt;wsp:rsid wsp:val=&quot;004F0ABC&quot;/&gt;&lt;wsp:rsid wsp:val=&quot;004F2E30&quot;/&gt;&lt;wsp:rsid wsp:val=&quot;004F3B8F&quot;/&gt;&lt;wsp:rsid wsp:val=&quot;004F4C91&quot;/&gt;&lt;wsp:rsid wsp:val=&quot;004F540D&quot;/&gt;&lt;wsp:rsid wsp:val=&quot;004F6266&quot;/&gt;&lt;wsp:rsid wsp:val=&quot;004F7F3D&quot;/&gt;&lt;wsp:rsid wsp:val=&quot;005001FF&quot;/&gt;&lt;wsp:rsid wsp:val=&quot;00500C00&quot;/&gt;&lt;wsp:rsid wsp:val=&quot;00501FB9&quot;/&gt;&lt;wsp:rsid wsp:val=&quot;0050217C&quot;/&gt;&lt;wsp:rsid wsp:val=&quot;00503A8F&quot;/&gt;&lt;wsp:rsid wsp:val=&quot;00503CDF&quot;/&gt;&lt;wsp:rsid wsp:val=&quot;00503DB0&quot;/&gt;&lt;wsp:rsid wsp:val=&quot;00504C7C&quot;/&gt;&lt;wsp:rsid wsp:val=&quot;00504CEE&quot;/&gt;&lt;wsp:rsid wsp:val=&quot;0050582C&quot;/&gt;&lt;wsp:rsid wsp:val=&quot;00506897&quot;/&gt;&lt;wsp:rsid wsp:val=&quot;005072B0&quot;/&gt;&lt;wsp:rsid wsp:val=&quot;00507B74&quot;/&gt;&lt;wsp:rsid wsp:val=&quot;00511725&quot;/&gt;&lt;wsp:rsid wsp:val=&quot;005124FF&quot;/&gt;&lt;wsp:rsid wsp:val=&quot;005127EF&quot;/&gt;&lt;wsp:rsid wsp:val=&quot;00512BF2&quot;/&gt;&lt;wsp:rsid wsp:val=&quot;005132EA&quot;/&gt;&lt;wsp:rsid wsp:val=&quot;005142DF&quot;/&gt;&lt;wsp:rsid wsp:val=&quot;00514698&quot;/&gt;&lt;wsp:rsid wsp:val=&quot;00514E77&quot;/&gt;&lt;wsp:rsid wsp:val=&quot;00514FF5&quot;/&gt;&lt;wsp:rsid wsp:val=&quot;00515035&quot;/&gt;&lt;wsp:rsid wsp:val=&quot;00520A12&quot;/&gt;&lt;wsp:rsid wsp:val=&quot;00521B73&quot;/&gt;&lt;wsp:rsid wsp:val=&quot;00522227&quot;/&gt;&lt;wsp:rsid wsp:val=&quot;00524C57&quot;/&gt;&lt;wsp:rsid wsp:val=&quot;005271A7&quot;/&gt;&lt;wsp:rsid wsp:val=&quot;00527287&quot;/&gt;&lt;wsp:rsid wsp:val=&quot;005274EF&quot;/&gt;&lt;wsp:rsid wsp:val=&quot;005274FA&quot;/&gt;&lt;wsp:rsid wsp:val=&quot;00527E29&quot;/&gt;&lt;wsp:rsid wsp:val=&quot;00527E81&quot;/&gt;&lt;wsp:rsid wsp:val=&quot;00531A0F&quot;/&gt;&lt;wsp:rsid wsp:val=&quot;00533564&quot;/&gt;&lt;wsp:rsid wsp:val=&quot;00534245&quot;/&gt;&lt;wsp:rsid wsp:val=&quot;005344B9&quot;/&gt;&lt;wsp:rsid wsp:val=&quot;00534700&quot;/&gt;&lt;wsp:rsid wsp:val=&quot;005360BF&quot;/&gt;&lt;wsp:rsid wsp:val=&quot;0053640C&quot;/&gt;&lt;wsp:rsid wsp:val=&quot;005379F1&quot;/&gt;&lt;wsp:rsid wsp:val=&quot;00540395&quot;/&gt;&lt;wsp:rsid wsp:val=&quot;00542758&quot;/&gt;&lt;wsp:rsid wsp:val=&quot;005427E0&quot;/&gt;&lt;wsp:rsid wsp:val=&quot;005431DE&quot;/&gt;&lt;wsp:rsid wsp:val=&quot;005432B8&quot;/&gt;&lt;wsp:rsid wsp:val=&quot;005433B5&quot;/&gt;&lt;wsp:rsid wsp:val=&quot;00543667&quot;/&gt;&lt;wsp:rsid wsp:val=&quot;00544431&quot;/&gt;&lt;wsp:rsid wsp:val=&quot;00546BFF&quot;/&gt;&lt;wsp:rsid wsp:val=&quot;00550B0E&quot;/&gt;&lt;wsp:rsid wsp:val=&quot;00551E57&quot;/&gt;&lt;wsp:rsid wsp:val=&quot;00553D19&quot;/&gt;&lt;wsp:rsid wsp:val=&quot;0055441F&quot;/&gt;&lt;wsp:rsid wsp:val=&quot;005556EE&quot;/&gt;&lt;wsp:rsid wsp:val=&quot;00555AF7&quot;/&gt;&lt;wsp:rsid wsp:val=&quot;00556299&quot;/&gt;&lt;wsp:rsid wsp:val=&quot;00556566&quot;/&gt;&lt;wsp:rsid wsp:val=&quot;00556A1E&quot;/&gt;&lt;wsp:rsid wsp:val=&quot;005572CB&quot;/&gt;&lt;wsp:rsid wsp:val=&quot;005600B4&quot;/&gt;&lt;wsp:rsid wsp:val=&quot;0056067C&quot;/&gt;&lt;wsp:rsid wsp:val=&quot;00562236&quot;/&gt;&lt;wsp:rsid wsp:val=&quot;00563F14&quot;/&gt;&lt;wsp:rsid wsp:val=&quot;00564667&quot;/&gt;&lt;wsp:rsid wsp:val=&quot;005649FA&quot;/&gt;&lt;wsp:rsid wsp:val=&quot;0056622F&quot;/&gt;&lt;wsp:rsid wsp:val=&quot;005676DA&quot;/&gt;&lt;wsp:rsid wsp:val=&quot;00571890&quot;/&gt;&lt;wsp:rsid wsp:val=&quot;00571E81&quot;/&gt;&lt;wsp:rsid wsp:val=&quot;005726AF&quot;/&gt;&lt;wsp:rsid wsp:val=&quot;005730D3&quot;/&gt;&lt;wsp:rsid wsp:val=&quot;00573B9B&quot;/&gt;&lt;wsp:rsid wsp:val=&quot;00573F24&quot;/&gt;&lt;wsp:rsid wsp:val=&quot;005741C6&quot;/&gt;&lt;wsp:rsid wsp:val=&quot;005744E3&quot;/&gt;&lt;wsp:rsid wsp:val=&quot;005749DD&quot;/&gt;&lt;wsp:rsid wsp:val=&quot;00576F20&quot;/&gt;&lt;wsp:rsid wsp:val=&quot;0058157A&quot;/&gt;&lt;wsp:rsid wsp:val=&quot;005815C3&quot;/&gt;&lt;wsp:rsid wsp:val=&quot;00581902&quot;/&gt;&lt;wsp:rsid wsp:val=&quot;005819AE&quot;/&gt;&lt;wsp:rsid wsp:val=&quot;00582411&quot;/&gt;&lt;wsp:rsid wsp:val=&quot;005829AE&quot;/&gt;&lt;wsp:rsid wsp:val=&quot;00582D1A&quot;/&gt;&lt;wsp:rsid wsp:val=&quot;00582D94&quot;/&gt;&lt;wsp:rsid wsp:val=&quot;0058368C&quot;/&gt;&lt;wsp:rsid wsp:val=&quot;00585DC9&quot;/&gt;&lt;wsp:rsid wsp:val=&quot;0058605B&quot;/&gt;&lt;wsp:rsid wsp:val=&quot;00586184&quot;/&gt;&lt;wsp:rsid wsp:val=&quot;00586894&quot;/&gt;&lt;wsp:rsid wsp:val=&quot;00586ACA&quot;/&gt;&lt;wsp:rsid wsp:val=&quot;00587188&quot;/&gt;&lt;wsp:rsid wsp:val=&quot;00587363&quot;/&gt;&lt;wsp:rsid wsp:val=&quot;005909F9&quot;/&gt;&lt;wsp:rsid wsp:val=&quot;00592CED&quot;/&gt;&lt;wsp:rsid wsp:val=&quot;00592E32&quot;/&gt;&lt;wsp:rsid wsp:val=&quot;00593405&quot;/&gt;&lt;wsp:rsid wsp:val=&quot;00596C4F&quot;/&gt;&lt;wsp:rsid wsp:val=&quot;00596DB3&quot;/&gt;&lt;wsp:rsid wsp:val=&quot;00596EDC&quot;/&gt;&lt;wsp:rsid wsp:val=&quot;00597770&quot;/&gt;&lt;wsp:rsid wsp:val=&quot;00597C88&quot;/&gt;&lt;wsp:rsid wsp:val=&quot;005A0093&quot;/&gt;&lt;wsp:rsid wsp:val=&quot;005A03B9&quot;/&gt;&lt;wsp:rsid wsp:val=&quot;005A0517&quot;/&gt;&lt;wsp:rsid wsp:val=&quot;005A0D23&quot;/&gt;&lt;wsp:rsid wsp:val=&quot;005A1706&quot;/&gt;&lt;wsp:rsid wsp:val=&quot;005A1B4A&quot;/&gt;&lt;wsp:rsid wsp:val=&quot;005A2345&quot;/&gt;&lt;wsp:rsid wsp:val=&quot;005A2976&quot;/&gt;&lt;wsp:rsid wsp:val=&quot;005A35D0&quot;/&gt;&lt;wsp:rsid wsp:val=&quot;005A3670&quot;/&gt;&lt;wsp:rsid wsp:val=&quot;005A37C5&quot;/&gt;&lt;wsp:rsid wsp:val=&quot;005A3C34&quot;/&gt;&lt;wsp:rsid wsp:val=&quot;005A3DAC&quot;/&gt;&lt;wsp:rsid wsp:val=&quot;005A6050&quot;/&gt;&lt;wsp:rsid wsp:val=&quot;005A6632&quot;/&gt;&lt;wsp:rsid wsp:val=&quot;005A722A&quot;/&gt;&lt;wsp:rsid wsp:val=&quot;005A7DDA&quot;/&gt;&lt;wsp:rsid wsp:val=&quot;005B0C5B&quot;/&gt;&lt;wsp:rsid wsp:val=&quot;005B0FCB&quot;/&gt;&lt;wsp:rsid wsp:val=&quot;005B1323&quot;/&gt;&lt;wsp:rsid wsp:val=&quot;005B16BA&quot;/&gt;&lt;wsp:rsid wsp:val=&quot;005B1A9F&quot;/&gt;&lt;wsp:rsid wsp:val=&quot;005B1D8A&quot;/&gt;&lt;wsp:rsid wsp:val=&quot;005B2584&quot;/&gt;&lt;wsp:rsid wsp:val=&quot;005B37D7&quot;/&gt;&lt;wsp:rsid wsp:val=&quot;005B634D&quot;/&gt;&lt;wsp:rsid wsp:val=&quot;005B73CA&quot;/&gt;&lt;wsp:rsid wsp:val=&quot;005B7EB9&quot;/&gt;&lt;wsp:rsid wsp:val=&quot;005C1448&quot;/&gt;&lt;wsp:rsid wsp:val=&quot;005C1DB3&quot;/&gt;&lt;wsp:rsid wsp:val=&quot;005C3143&quot;/&gt;&lt;wsp:rsid wsp:val=&quot;005C32AF&quot;/&gt;&lt;wsp:rsid wsp:val=&quot;005C4529&quot;/&gt;&lt;wsp:rsid wsp:val=&quot;005C4787&quot;/&gt;&lt;wsp:rsid wsp:val=&quot;005C6407&quot;/&gt;&lt;wsp:rsid wsp:val=&quot;005C7D4E&quot;/&gt;&lt;wsp:rsid wsp:val=&quot;005C7E1E&quot;/&gt;&lt;wsp:rsid wsp:val=&quot;005D11CC&quot;/&gt;&lt;wsp:rsid wsp:val=&quot;005D240E&quot;/&gt;&lt;wsp:rsid wsp:val=&quot;005D2869&quot;/&gt;&lt;wsp:rsid wsp:val=&quot;005D2F2F&quot;/&gt;&lt;wsp:rsid wsp:val=&quot;005D3327&quot;/&gt;&lt;wsp:rsid wsp:val=&quot;005D3476&quot;/&gt;&lt;wsp:rsid wsp:val=&quot;005D3F9B&quot;/&gt;&lt;wsp:rsid wsp:val=&quot;005D4BE8&quot;/&gt;&lt;wsp:rsid wsp:val=&quot;005D4E1D&quot;/&gt;&lt;wsp:rsid wsp:val=&quot;005D5BAF&quot;/&gt;&lt;wsp:rsid wsp:val=&quot;005E11D5&quot;/&gt;&lt;wsp:rsid wsp:val=&quot;005E1558&quot;/&gt;&lt;wsp:rsid wsp:val=&quot;005E1AAF&quot;/&gt;&lt;wsp:rsid wsp:val=&quot;005E286C&quot;/&gt;&lt;wsp:rsid wsp:val=&quot;005E2BAD&quot;/&gt;&lt;wsp:rsid wsp:val=&quot;005E34FA&quot;/&gt;&lt;wsp:rsid wsp:val=&quot;005E37B7&quot;/&gt;&lt;wsp:rsid wsp:val=&quot;005E388B&quot;/&gt;&lt;wsp:rsid wsp:val=&quot;005E45DB&quot;/&gt;&lt;wsp:rsid wsp:val=&quot;005E49C1&quot;/&gt;&lt;wsp:rsid wsp:val=&quot;005E4E5E&quot;/&gt;&lt;wsp:rsid wsp:val=&quot;005E56ED&quot;/&gt;&lt;wsp:rsid wsp:val=&quot;005E6608&quot;/&gt;&lt;wsp:rsid wsp:val=&quot;005E6D40&quot;/&gt;&lt;wsp:rsid wsp:val=&quot;005E7505&quot;/&gt;&lt;wsp:rsid wsp:val=&quot;005E7CE0&quot;/&gt;&lt;wsp:rsid wsp:val=&quot;005F08A7&quot;/&gt;&lt;wsp:rsid wsp:val=&quot;005F0E85&quot;/&gt;&lt;wsp:rsid wsp:val=&quot;005F130E&quot;/&gt;&lt;wsp:rsid wsp:val=&quot;005F1433&quot;/&gt;&lt;wsp:rsid wsp:val=&quot;005F1705&quot;/&gt;&lt;wsp:rsid wsp:val=&quot;005F1747&quot;/&gt;&lt;wsp:rsid wsp:val=&quot;005F2511&quot;/&gt;&lt;wsp:rsid wsp:val=&quot;005F423C&quot;/&gt;&lt;wsp:rsid wsp:val=&quot;005F4ABF&quot;/&gt;&lt;wsp:rsid wsp:val=&quot;005F5071&quot;/&gt;&lt;wsp:rsid wsp:val=&quot;005F5BD3&quot;/&gt;&lt;wsp:rsid wsp:val=&quot;005F5C9C&quot;/&gt;&lt;wsp:rsid wsp:val=&quot;005F5E07&quot;/&gt;&lt;wsp:rsid wsp:val=&quot;005F663D&quot;/&gt;&lt;wsp:rsid wsp:val=&quot;005F6B82&quot;/&gt;&lt;wsp:rsid wsp:val=&quot;005F7471&quot;/&gt;&lt;wsp:rsid wsp:val=&quot;005F7F65&quot;/&gt;&lt;wsp:rsid wsp:val=&quot;006011B9&quot;/&gt;&lt;wsp:rsid wsp:val=&quot;00602B30&quot;/&gt;&lt;wsp:rsid wsp:val=&quot;006038DB&quot;/&gt;&lt;wsp:rsid wsp:val=&quot;00603AC2&quot;/&gt;&lt;wsp:rsid wsp:val=&quot;00603DB5&quot;/&gt;&lt;wsp:rsid wsp:val=&quot;00604012&quot;/&gt;&lt;wsp:rsid wsp:val=&quot;006049C7&quot;/&gt;&lt;wsp:rsid wsp:val=&quot;00604E44&quot;/&gt;&lt;wsp:rsid wsp:val=&quot;00606312&quot;/&gt;&lt;wsp:rsid wsp:val=&quot;006066CE&quot;/&gt;&lt;wsp:rsid wsp:val=&quot;006066D6&quot;/&gt;&lt;wsp:rsid wsp:val=&quot;0060723D&quot;/&gt;&lt;wsp:rsid wsp:val=&quot;0060752E&quot;/&gt;&lt;wsp:rsid wsp:val=&quot;006077AC&quot;/&gt;&lt;wsp:rsid wsp:val=&quot;00607BD8&quot;/&gt;&lt;wsp:rsid wsp:val=&quot;006109E0&quot;/&gt;&lt;wsp:rsid wsp:val=&quot;00610A76&quot;/&gt;&lt;wsp:rsid wsp:val=&quot;00611E04&quot;/&gt;&lt;wsp:rsid wsp:val=&quot;00611F42&quot;/&gt;&lt;wsp:rsid wsp:val=&quot;00611F7A&quot;/&gt;&lt;wsp:rsid wsp:val=&quot;00612B6F&quot;/&gt;&lt;wsp:rsid wsp:val=&quot;00613B3D&quot;/&gt;&lt;wsp:rsid wsp:val=&quot;006151B1&quot;/&gt;&lt;wsp:rsid wsp:val=&quot;00616946&quot;/&gt;&lt;wsp:rsid wsp:val=&quot;00620469&quot;/&gt;&lt;wsp:rsid wsp:val=&quot;006204E1&quot;/&gt;&lt;wsp:rsid wsp:val=&quot;00620A22&quot;/&gt;&lt;wsp:rsid wsp:val=&quot;00621211&quot;/&gt;&lt;wsp:rsid wsp:val=&quot;00621BB7&quot;/&gt;&lt;wsp:rsid wsp:val=&quot;00622871&quot;/&gt;&lt;wsp:rsid wsp:val=&quot;00622FC6&quot;/&gt;&lt;wsp:rsid wsp:val=&quot;00623326&quot;/&gt;&lt;wsp:rsid wsp:val=&quot;00623A74&quot;/&gt;&lt;wsp:rsid wsp:val=&quot;00623BF5&quot;/&gt;&lt;wsp:rsid wsp:val=&quot;00623C4B&quot;/&gt;&lt;wsp:rsid wsp:val=&quot;00623EFC&quot;/&gt;&lt;wsp:rsid wsp:val=&quot;0062456B&quot;/&gt;&lt;wsp:rsid wsp:val=&quot;00624D6C&quot;/&gt;&lt;wsp:rsid wsp:val=&quot;006258AA&quot;/&gt;&lt;wsp:rsid wsp:val=&quot;00626825&quot;/&gt;&lt;wsp:rsid wsp:val=&quot;00626FA2&quot;/&gt;&lt;wsp:rsid wsp:val=&quot;006279DB&quot;/&gt;&lt;wsp:rsid wsp:val=&quot;00627B32&quot;/&gt;&lt;wsp:rsid wsp:val=&quot;00627C6C&quot;/&gt;&lt;wsp:rsid wsp:val=&quot;00627DAC&quot;/&gt;&lt;wsp:rsid wsp:val=&quot;00630C1C&quot;/&gt;&lt;wsp:rsid wsp:val=&quot;00630C75&quot;/&gt;&lt;wsp:rsid wsp:val=&quot;00630D4F&quot;/&gt;&lt;wsp:rsid wsp:val=&quot;006313D8&quot;/&gt;&lt;wsp:rsid wsp:val=&quot;0063141A&quot;/&gt;&lt;wsp:rsid wsp:val=&quot;006318F3&quot;/&gt;&lt;wsp:rsid wsp:val=&quot;00632207&quot;/&gt;&lt;wsp:rsid wsp:val=&quot;0063280A&quot;/&gt;&lt;wsp:rsid wsp:val=&quot;00634B4C&quot;/&gt;&lt;wsp:rsid wsp:val=&quot;00634C90&quot;/&gt;&lt;wsp:rsid wsp:val=&quot;00635F70&quot;/&gt;&lt;wsp:rsid wsp:val=&quot;00637122&quot;/&gt;&lt;wsp:rsid wsp:val=&quot;006400D3&quot;/&gt;&lt;wsp:rsid wsp:val=&quot;0064029A&quot;/&gt;&lt;wsp:rsid wsp:val=&quot;00640614&quot;/&gt;&lt;wsp:rsid wsp:val=&quot;006411BF&quot;/&gt;&lt;wsp:rsid wsp:val=&quot;006423CD&quot;/&gt;&lt;wsp:rsid wsp:val=&quot;00642482&quot;/&gt;&lt;wsp:rsid wsp:val=&quot;00642486&quot;/&gt;&lt;wsp:rsid wsp:val=&quot;00642975&quot;/&gt;&lt;wsp:rsid wsp:val=&quot;00642D0B&quot;/&gt;&lt;wsp:rsid wsp:val=&quot;006430B7&quot;/&gt;&lt;wsp:rsid wsp:val=&quot;00643117&quot;/&gt;&lt;wsp:rsid wsp:val=&quot;00643C86&quot;/&gt;&lt;wsp:rsid wsp:val=&quot;00644A78&quot;/&gt;&lt;wsp:rsid wsp:val=&quot;006464DC&quot;/&gt;&lt;wsp:rsid wsp:val=&quot;00646846&quot;/&gt;&lt;wsp:rsid wsp:val=&quot;00647E01&quot;/&gt;&lt;wsp:rsid wsp:val=&quot;00650B7F&quot;/&gt;&lt;wsp:rsid wsp:val=&quot;00651205&quot;/&gt;&lt;wsp:rsid wsp:val=&quot;00651210&quot;/&gt;&lt;wsp:rsid wsp:val=&quot;00651701&quot;/&gt;&lt;wsp:rsid wsp:val=&quot;0065284F&quot;/&gt;&lt;wsp:rsid wsp:val=&quot;00652DBF&quot;/&gt;&lt;wsp:rsid wsp:val=&quot;00653F91&quot;/&gt;&lt;wsp:rsid wsp:val=&quot;0065450E&quot;/&gt;&lt;wsp:rsid wsp:val=&quot;00660115&quot;/&gt;&lt;wsp:rsid wsp:val=&quot;00661DA7&quot;/&gt;&lt;wsp:rsid wsp:val=&quot;00662418&quot;/&gt;&lt;wsp:rsid wsp:val=&quot;00663DA0&quot;/&gt;&lt;wsp:rsid wsp:val=&quot;006650A2&quot;/&gt;&lt;wsp:rsid wsp:val=&quot;0066575C&quot;/&gt;&lt;wsp:rsid wsp:val=&quot;00665C8D&quot;/&gt;&lt;wsp:rsid wsp:val=&quot;00665DB7&quot;/&gt;&lt;wsp:rsid wsp:val=&quot;0066641F&quot;/&gt;&lt;wsp:rsid wsp:val=&quot;00667BF7&quot;/&gt;&lt;wsp:rsid wsp:val=&quot;00671E7A&quot;/&gt;&lt;wsp:rsid wsp:val=&quot;0067257E&quot;/&gt;&lt;wsp:rsid wsp:val=&quot;00673309&quot;/&gt;&lt;wsp:rsid wsp:val=&quot;006745F9&quot;/&gt;&lt;wsp:rsid wsp:val=&quot;00674D40&quot;/&gt;&lt;wsp:rsid wsp:val=&quot;00675943&quot;/&gt;&lt;wsp:rsid wsp:val=&quot;0067613C&quot;/&gt;&lt;wsp:rsid wsp:val=&quot;00677983&quot;/&gt;&lt;wsp:rsid wsp:val=&quot;00677BD1&quot;/&gt;&lt;wsp:rsid wsp:val=&quot;00684570&quot;/&gt;&lt;wsp:rsid wsp:val=&quot;00684C44&quot;/&gt;&lt;wsp:rsid wsp:val=&quot;006851EC&quot;/&gt;&lt;wsp:rsid wsp:val=&quot;00686847&quot;/&gt;&lt;wsp:rsid wsp:val=&quot;0069108C&quot;/&gt;&lt;wsp:rsid wsp:val=&quot;0069272A&quot;/&gt;&lt;wsp:rsid wsp:val=&quot;00692B5B&quot;/&gt;&lt;wsp:rsid wsp:val=&quot;00692D5C&quot;/&gt;&lt;wsp:rsid wsp:val=&quot;00692E7A&quot;/&gt;&lt;wsp:rsid wsp:val=&quot;00692FF9&quot;/&gt;&lt;wsp:rsid wsp:val=&quot;006934EA&quot;/&gt;&lt;wsp:rsid wsp:val=&quot;00693F0F&quot;/&gt;&lt;wsp:rsid wsp:val=&quot;00697385&quot;/&gt;&lt;wsp:rsid wsp:val=&quot;00697471&quot;/&gt;&lt;wsp:rsid wsp:val=&quot;00697521&quot;/&gt;&lt;wsp:rsid wsp:val=&quot;00697CDC&quot;/&gt;&lt;wsp:rsid wsp:val=&quot;006A02C4&quot;/&gt;&lt;wsp:rsid wsp:val=&quot;006A0EBE&quot;/&gt;&lt;wsp:rsid wsp:val=&quot;006A1922&quot;/&gt;&lt;wsp:rsid wsp:val=&quot;006A21A0&quot;/&gt;&lt;wsp:rsid wsp:val=&quot;006A32F9&quot;/&gt;&lt;wsp:rsid wsp:val=&quot;006A470B&quot;/&gt;&lt;wsp:rsid wsp:val=&quot;006A502C&quot;/&gt;&lt;wsp:rsid wsp:val=&quot;006A60CA&quot;/&gt;&lt;wsp:rsid wsp:val=&quot;006A71B5&quot;/&gt;&lt;wsp:rsid wsp:val=&quot;006A78E0&quot;/&gt;&lt;wsp:rsid wsp:val=&quot;006B0769&quot;/&gt;&lt;wsp:rsid wsp:val=&quot;006B2423&quot;/&gt;&lt;wsp:rsid wsp:val=&quot;006B2687&quot;/&gt;&lt;wsp:rsid wsp:val=&quot;006B26E7&quot;/&gt;&lt;wsp:rsid wsp:val=&quot;006B2BC9&quot;/&gt;&lt;wsp:rsid wsp:val=&quot;006B331F&quot;/&gt;&lt;wsp:rsid wsp:val=&quot;006B3EEC&quot;/&gt;&lt;wsp:rsid wsp:val=&quot;006B44F2&quot;/&gt;&lt;wsp:rsid wsp:val=&quot;006B5B97&quot;/&gt;&lt;wsp:rsid wsp:val=&quot;006B62A7&quot;/&gt;&lt;wsp:rsid wsp:val=&quot;006B6CCD&quot;/&gt;&lt;wsp:rsid wsp:val=&quot;006C0A3A&quot;/&gt;&lt;wsp:rsid wsp:val=&quot;006C148B&quot;/&gt;&lt;wsp:rsid wsp:val=&quot;006C16D5&quot;/&gt;&lt;wsp:rsid wsp:val=&quot;006C18DC&quot;/&gt;&lt;wsp:rsid wsp:val=&quot;006C2053&quot;/&gt;&lt;wsp:rsid wsp:val=&quot;006C4D6D&quot;/&gt;&lt;wsp:rsid wsp:val=&quot;006C57A7&quot;/&gt;&lt;wsp:rsid wsp:val=&quot;006C5812&quot;/&gt;&lt;wsp:rsid wsp:val=&quot;006D0FA3&quot;/&gt;&lt;wsp:rsid wsp:val=&quot;006D139E&quot;/&gt;&lt;wsp:rsid wsp:val=&quot;006D13CC&quot;/&gt;&lt;wsp:rsid wsp:val=&quot;006D18E0&quot;/&gt;&lt;wsp:rsid wsp:val=&quot;006D1AEA&quot;/&gt;&lt;wsp:rsid wsp:val=&quot;006D1FE7&quot;/&gt;&lt;wsp:rsid wsp:val=&quot;006D38E8&quot;/&gt;&lt;wsp:rsid wsp:val=&quot;006D444A&quot;/&gt;&lt;wsp:rsid wsp:val=&quot;006D45D3&quot;/&gt;&lt;wsp:rsid wsp:val=&quot;006D5E16&quot;/&gt;&lt;wsp:rsid wsp:val=&quot;006D60FE&quot;/&gt;&lt;wsp:rsid wsp:val=&quot;006D7691&quot;/&gt;&lt;wsp:rsid wsp:val=&quot;006E03A1&quot;/&gt;&lt;wsp:rsid wsp:val=&quot;006E08D7&quot;/&gt;&lt;wsp:rsid wsp:val=&quot;006E097E&quot;/&gt;&lt;wsp:rsid wsp:val=&quot;006E172D&quot;/&gt;&lt;wsp:rsid wsp:val=&quot;006E2726&quot;/&gt;&lt;wsp:rsid wsp:val=&quot;006E30A6&quot;/&gt;&lt;wsp:rsid wsp:val=&quot;006E6254&quot;/&gt;&lt;wsp:rsid wsp:val=&quot;006E7E17&quot;/&gt;&lt;wsp:rsid wsp:val=&quot;006F0017&quot;/&gt;&lt;wsp:rsid wsp:val=&quot;006F048D&quot;/&gt;&lt;wsp:rsid wsp:val=&quot;006F0994&quot;/&gt;&lt;wsp:rsid wsp:val=&quot;006F101D&quot;/&gt;&lt;wsp:rsid wsp:val=&quot;006F1325&quot;/&gt;&lt;wsp:rsid wsp:val=&quot;006F2911&quot;/&gt;&lt;wsp:rsid wsp:val=&quot;006F2A0D&quot;/&gt;&lt;wsp:rsid wsp:val=&quot;006F3653&quot;/&gt;&lt;wsp:rsid wsp:val=&quot;006F3B17&quot;/&gt;&lt;wsp:rsid wsp:val=&quot;006F476C&quot;/&gt;&lt;wsp:rsid wsp:val=&quot;006F5494&quot;/&gt;&lt;wsp:rsid wsp:val=&quot;006F5A95&quot;/&gt;&lt;wsp:rsid wsp:val=&quot;006F6D65&quot;/&gt;&lt;wsp:rsid wsp:val=&quot;006F74A7&quot;/&gt;&lt;wsp:rsid wsp:val=&quot;0070090C&quot;/&gt;&lt;wsp:rsid wsp:val=&quot;00701171&quot;/&gt;&lt;wsp:rsid wsp:val=&quot;00701955&quot;/&gt;&lt;wsp:rsid wsp:val=&quot;007045A0&quot;/&gt;&lt;wsp:rsid wsp:val=&quot;00704910&quot;/&gt;&lt;wsp:rsid wsp:val=&quot;00704933&quot;/&gt;&lt;wsp:rsid wsp:val=&quot;007049F0&quot;/&gt;&lt;wsp:rsid wsp:val=&quot;007049FE&quot;/&gt;&lt;wsp:rsid wsp:val=&quot;00704C9C&quot;/&gt;&lt;wsp:rsid wsp:val=&quot;00705C88&quot;/&gt;&lt;wsp:rsid wsp:val=&quot;00707B3A&quot;/&gt;&lt;wsp:rsid wsp:val=&quot;00710C8C&quot;/&gt;&lt;wsp:rsid wsp:val=&quot;007119E2&quot;/&gt;&lt;wsp:rsid wsp:val=&quot;00711AFB&quot;/&gt;&lt;wsp:rsid wsp:val=&quot;0071293A&quot;/&gt;&lt;wsp:rsid wsp:val=&quot;00714886&quot;/&gt;&lt;wsp:rsid wsp:val=&quot;00715133&quot;/&gt;&lt;wsp:rsid wsp:val=&quot;007158F1&quot;/&gt;&lt;wsp:rsid wsp:val=&quot;00715CEF&quot;/&gt;&lt;wsp:rsid wsp:val=&quot;00715F99&quot;/&gt;&lt;wsp:rsid wsp:val=&quot;0071604B&quot;/&gt;&lt;wsp:rsid wsp:val=&quot;0071744D&quot;/&gt;&lt;wsp:rsid wsp:val=&quot;007176F3&quot;/&gt;&lt;wsp:rsid wsp:val=&quot;00717AD1&quot;/&gt;&lt;wsp:rsid wsp:val=&quot;00717EC9&quot;/&gt;&lt;wsp:rsid wsp:val=&quot;0072137A&quot;/&gt;&lt;wsp:rsid wsp:val=&quot;007216BA&quot;/&gt;&lt;wsp:rsid wsp:val=&quot;00722202&quot;/&gt;&lt;wsp:rsid wsp:val=&quot;00723314&quot;/&gt;&lt;wsp:rsid wsp:val=&quot;007242F6&quot;/&gt;&lt;wsp:rsid wsp:val=&quot;00724B00&quot;/&gt;&lt;wsp:rsid wsp:val=&quot;00724B19&quot;/&gt;&lt;wsp:rsid wsp:val=&quot;00725517&quot;/&gt;&lt;wsp:rsid wsp:val=&quot;00725604&quot;/&gt;&lt;wsp:rsid wsp:val=&quot;007257B2&quot;/&gt;&lt;wsp:rsid wsp:val=&quot;00725A97&quot;/&gt;&lt;wsp:rsid wsp:val=&quot;00725B60&quot;/&gt;&lt;wsp:rsid wsp:val=&quot;007261AB&quot;/&gt;&lt;wsp:rsid wsp:val=&quot;00730305&quot;/&gt;&lt;wsp:rsid wsp:val=&quot;00730A72&quot;/&gt;&lt;wsp:rsid wsp:val=&quot;007314A3&quot;/&gt;&lt;wsp:rsid wsp:val=&quot;00731DC0&quot;/&gt;&lt;wsp:rsid wsp:val=&quot;00732355&quot;/&gt;&lt;wsp:rsid wsp:val=&quot;0073297C&quot;/&gt;&lt;wsp:rsid wsp:val=&quot;00733886&quot;/&gt;&lt;wsp:rsid wsp:val=&quot;00734C98&quot;/&gt;&lt;wsp:rsid wsp:val=&quot;00734E83&quot;/&gt;&lt;wsp:rsid wsp:val=&quot;00735239&quot;/&gt;&lt;wsp:rsid wsp:val=&quot;00740ED5&quot;/&gt;&lt;wsp:rsid wsp:val=&quot;00743B56&quot;/&gt;&lt;wsp:rsid wsp:val=&quot;00746828&quot;/&gt;&lt;wsp:rsid wsp:val=&quot;00747D8C&quot;/&gt;&lt;wsp:rsid wsp:val=&quot;007503C0&quot;/&gt;&lt;wsp:rsid wsp:val=&quot;00750825&quot;/&gt;&lt;wsp:rsid wsp:val=&quot;007509DA&quot;/&gt;&lt;wsp:rsid wsp:val=&quot;00750DFF&quot;/&gt;&lt;wsp:rsid wsp:val=&quot;00751A6A&quot;/&gt;&lt;wsp:rsid wsp:val=&quot;00751EF8&quot;/&gt;&lt;wsp:rsid wsp:val=&quot;0075256E&quot;/&gt;&lt;wsp:rsid wsp:val=&quot;00753240&quot;/&gt;&lt;wsp:rsid wsp:val=&quot;007536CD&quot;/&gt;&lt;wsp:rsid wsp:val=&quot;00753914&quot;/&gt;&lt;wsp:rsid wsp:val=&quot;00753C64&quot;/&gt;&lt;wsp:rsid wsp:val=&quot;007549E9&quot;/&gt;&lt;wsp:rsid wsp:val=&quot;00754F25&quot;/&gt;&lt;wsp:rsid wsp:val=&quot;00756128&quot;/&gt;&lt;wsp:rsid wsp:val=&quot;00756840&quot;/&gt;&lt;wsp:rsid wsp:val=&quot;00756E84&quot;/&gt;&lt;wsp:rsid wsp:val=&quot;00757F28&quot;/&gt;&lt;wsp:rsid wsp:val=&quot;00760394&quot;/&gt;&lt;wsp:rsid wsp:val=&quot;0076243E&quot;/&gt;&lt;wsp:rsid wsp:val=&quot;00764CAF&quot;/&gt;&lt;wsp:rsid wsp:val=&quot;00765C52&quot;/&gt;&lt;wsp:rsid wsp:val=&quot;00766AFD&quot;/&gt;&lt;wsp:rsid wsp:val=&quot;0077022D&quot;/&gt;&lt;wsp:rsid wsp:val=&quot;0077088A&quot;/&gt;&lt;wsp:rsid wsp:val=&quot;00770D88&quot;/&gt;&lt;wsp:rsid wsp:val=&quot;007712EA&quot;/&gt;&lt;wsp:rsid wsp:val=&quot;00773B4C&quot;/&gt;&lt;wsp:rsid wsp:val=&quot;00773D05&quot;/&gt;&lt;wsp:rsid wsp:val=&quot;00773DF3&quot;/&gt;&lt;wsp:rsid wsp:val=&quot;00773FA7&quot;/&gt;&lt;wsp:rsid wsp:val=&quot;00774752&quot;/&gt;&lt;wsp:rsid wsp:val=&quot;0077496E&quot;/&gt;&lt;wsp:rsid wsp:val=&quot;00774A8B&quot;/&gt;&lt;wsp:rsid wsp:val=&quot;00774D4A&quot;/&gt;&lt;wsp:rsid wsp:val=&quot;00775433&quot;/&gt;&lt;wsp:rsid wsp:val=&quot;00775D0A&quot;/&gt;&lt;wsp:rsid wsp:val=&quot;00775FDD&quot;/&gt;&lt;wsp:rsid wsp:val=&quot;00776C11&quot;/&gt;&lt;wsp:rsid wsp:val=&quot;00777B19&quot;/&gt;&lt;wsp:rsid wsp:val=&quot;00777D82&quot;/&gt;&lt;wsp:rsid wsp:val=&quot;007805BC&quot;/&gt;&lt;wsp:rsid wsp:val=&quot;0078078E&quot;/&gt;&lt;wsp:rsid wsp:val=&quot;00781611&quot;/&gt;&lt;wsp:rsid wsp:val=&quot;007818E2&quot;/&gt;&lt;wsp:rsid wsp:val=&quot;00781943&quot;/&gt;&lt;wsp:rsid wsp:val=&quot;0078218A&quot;/&gt;&lt;wsp:rsid wsp:val=&quot;00784493&quot;/&gt;&lt;wsp:rsid wsp:val=&quot;00784E74&quot;/&gt;&lt;wsp:rsid wsp:val=&quot;0078533B&quot;/&gt;&lt;wsp:rsid wsp:val=&quot;00785F22&quot;/&gt;&lt;wsp:rsid wsp:val=&quot;00786B08&quot;/&gt;&lt;wsp:rsid wsp:val=&quot;00786E28&quot;/&gt;&lt;wsp:rsid wsp:val=&quot;007918C0&quot;/&gt;&lt;wsp:rsid wsp:val=&quot;00791CD2&quot;/&gt;&lt;wsp:rsid wsp:val=&quot;00791EAC&quot;/&gt;&lt;wsp:rsid wsp:val=&quot;00792953&quot;/&gt;&lt;wsp:rsid wsp:val=&quot;007929C5&quot;/&gt;&lt;wsp:rsid wsp:val=&quot;00793B39&quot;/&gt;&lt;wsp:rsid wsp:val=&quot;00793D47&quot;/&gt;&lt;wsp:rsid wsp:val=&quot;00795C41&quot;/&gt;&lt;wsp:rsid wsp:val=&quot;00795DFF&quot;/&gt;&lt;wsp:rsid wsp:val=&quot;0079617C&quot;/&gt;&lt;wsp:rsid wsp:val=&quot;007967F3&quot;/&gt;&lt;wsp:rsid wsp:val=&quot;00797C10&quot;/&gt;&lt;wsp:rsid wsp:val=&quot;007A0D8F&quot;/&gt;&lt;wsp:rsid wsp:val=&quot;007A0EC9&quot;/&gt;&lt;wsp:rsid wsp:val=&quot;007A1108&quot;/&gt;&lt;wsp:rsid wsp:val=&quot;007A18B9&quot;/&gt;&lt;wsp:rsid wsp:val=&quot;007A2B64&quot;/&gt;&lt;wsp:rsid wsp:val=&quot;007A2BFC&quot;/&gt;&lt;wsp:rsid wsp:val=&quot;007A2FC2&quot;/&gt;&lt;wsp:rsid wsp:val=&quot;007A405E&quot;/&gt;&lt;wsp:rsid wsp:val=&quot;007A4B7D&quot;/&gt;&lt;wsp:rsid wsp:val=&quot;007A4E8E&quot;/&gt;&lt;wsp:rsid wsp:val=&quot;007A52A6&quot;/&gt;&lt;wsp:rsid wsp:val=&quot;007A52A7&quot;/&gt;&lt;wsp:rsid wsp:val=&quot;007A6151&quot;/&gt;&lt;wsp:rsid wsp:val=&quot;007A62B7&quot;/&gt;&lt;wsp:rsid wsp:val=&quot;007A637F&quot;/&gt;&lt;wsp:rsid wsp:val=&quot;007A63C8&quot;/&gt;&lt;wsp:rsid wsp:val=&quot;007A794E&quot;/&gt;&lt;wsp:rsid wsp:val=&quot;007B114D&quot;/&gt;&lt;wsp:rsid wsp:val=&quot;007B1A83&quot;/&gt;&lt;wsp:rsid wsp:val=&quot;007B204B&quot;/&gt;&lt;wsp:rsid wsp:val=&quot;007B2C5A&quot;/&gt;&lt;wsp:rsid wsp:val=&quot;007B5508&quot;/&gt;&lt;wsp:rsid wsp:val=&quot;007B5A6F&quot;/&gt;&lt;wsp:rsid wsp:val=&quot;007B6510&quot;/&gt;&lt;wsp:rsid wsp:val=&quot;007B7409&quot;/&gt;&lt;wsp:rsid wsp:val=&quot;007B7ED5&quot;/&gt;&lt;wsp:rsid wsp:val=&quot;007C04ED&quot;/&gt;&lt;wsp:rsid wsp:val=&quot;007C12BA&quot;/&gt;&lt;wsp:rsid wsp:val=&quot;007C2AFB&quot;/&gt;&lt;wsp:rsid wsp:val=&quot;007C2CCD&quot;/&gt;&lt;wsp:rsid wsp:val=&quot;007C2E01&quot;/&gt;&lt;wsp:rsid wsp:val=&quot;007C2F24&quot;/&gt;&lt;wsp:rsid wsp:val=&quot;007C303C&quot;/&gt;&lt;wsp:rsid wsp:val=&quot;007C3D46&quot;/&gt;&lt;wsp:rsid wsp:val=&quot;007C3D6B&quot;/&gt;&lt;wsp:rsid wsp:val=&quot;007C48B8&quot;/&gt;&lt;wsp:rsid wsp:val=&quot;007C5398&quot;/&gt;&lt;wsp:rsid wsp:val=&quot;007C53B7&quot;/&gt;&lt;wsp:rsid wsp:val=&quot;007C61FC&quot;/&gt;&lt;wsp:rsid wsp:val=&quot;007C64C2&quot;/&gt;&lt;wsp:rsid wsp:val=&quot;007C6B86&quot;/&gt;&lt;wsp:rsid wsp:val=&quot;007C6CC8&quot;/&gt;&lt;wsp:rsid wsp:val=&quot;007C7350&quot;/&gt;&lt;wsp:rsid wsp:val=&quot;007C76EE&quot;/&gt;&lt;wsp:rsid wsp:val=&quot;007D0294&quot;/&gt;&lt;wsp:rsid wsp:val=&quot;007D0490&quot;/&gt;&lt;wsp:rsid wsp:val=&quot;007D0F55&quot;/&gt;&lt;wsp:rsid wsp:val=&quot;007D2ADD&quot;/&gt;&lt;wsp:rsid wsp:val=&quot;007D2CAC&quot;/&gt;&lt;wsp:rsid wsp:val=&quot;007D348B&quot;/&gt;&lt;wsp:rsid wsp:val=&quot;007D3914&quot;/&gt;&lt;wsp:rsid wsp:val=&quot;007D3EFF&quot;/&gt;&lt;wsp:rsid wsp:val=&quot;007D412B&quot;/&gt;&lt;wsp:rsid wsp:val=&quot;007D502C&quot;/&gt;&lt;wsp:rsid wsp:val=&quot;007D5527&quot;/&gt;&lt;wsp:rsid wsp:val=&quot;007D5F17&quot;/&gt;&lt;wsp:rsid wsp:val=&quot;007D6FAC&quot;/&gt;&lt;wsp:rsid wsp:val=&quot;007E0391&quot;/&gt;&lt;wsp:rsid wsp:val=&quot;007E087D&quot;/&gt;&lt;wsp:rsid wsp:val=&quot;007E097B&quot;/&gt;&lt;wsp:rsid wsp:val=&quot;007E1BAF&quot;/&gt;&lt;wsp:rsid wsp:val=&quot;007E2337&quot;/&gt;&lt;wsp:rsid wsp:val=&quot;007E30A8&quot;/&gt;&lt;wsp:rsid wsp:val=&quot;007E36F1&quot;/&gt;&lt;wsp:rsid wsp:val=&quot;007E3BE2&quot;/&gt;&lt;wsp:rsid wsp:val=&quot;007E4989&quot;/&gt;&lt;wsp:rsid wsp:val=&quot;007E4F9D&quot;/&gt;&lt;wsp:rsid wsp:val=&quot;007E5215&quot;/&gt;&lt;wsp:rsid wsp:val=&quot;007E55E7&quot;/&gt;&lt;wsp:rsid wsp:val=&quot;007E7AEC&quot;/&gt;&lt;wsp:rsid wsp:val=&quot;007F29AE&quot;/&gt;&lt;wsp:rsid wsp:val=&quot;007F3053&quot;/&gt;&lt;wsp:rsid wsp:val=&quot;007F33D8&quot;/&gt;&lt;wsp:rsid wsp:val=&quot;007F444D&quot;/&gt;&lt;wsp:rsid wsp:val=&quot;007F4519&quot;/&gt;&lt;wsp:rsid wsp:val=&quot;007F4636&quot;/&gt;&lt;wsp:rsid wsp:val=&quot;007F51FE&quot;/&gt;&lt;wsp:rsid wsp:val=&quot;007F65B3&quot;/&gt;&lt;wsp:rsid wsp:val=&quot;007F6CCE&quot;/&gt;&lt;wsp:rsid wsp:val=&quot;007F79C1&quot;/&gt;&lt;wsp:rsid wsp:val=&quot;008003B9&quot;/&gt;&lt;wsp:rsid wsp:val=&quot;008004D1&quot;/&gt;&lt;wsp:rsid wsp:val=&quot;0080069D&quot;/&gt;&lt;wsp:rsid wsp:val=&quot;00801487&quot;/&gt;&lt;wsp:rsid wsp:val=&quot;00801AF6&quot;/&gt;&lt;wsp:rsid wsp:val=&quot;00802A0B&quot;/&gt;&lt;wsp:rsid wsp:val=&quot;00803F39&quot;/&gt;&lt;wsp:rsid wsp:val=&quot;008049D0&quot;/&gt;&lt;wsp:rsid wsp:val=&quot;0080633A&quot;/&gt;&lt;wsp:rsid wsp:val=&quot;00806DD8&quot;/&gt;&lt;wsp:rsid wsp:val=&quot;008071AA&quot;/&gt;&lt;wsp:rsid wsp:val=&quot;00810177&quot;/&gt;&lt;wsp:rsid wsp:val=&quot;008109BB&quot;/&gt;&lt;wsp:rsid wsp:val=&quot;00810F24&quot;/&gt;&lt;wsp:rsid wsp:val=&quot;00811E54&quot;/&gt;&lt;wsp:rsid wsp:val=&quot;00812496&quot;/&gt;&lt;wsp:rsid wsp:val=&quot;008127DD&quot;/&gt;&lt;wsp:rsid wsp:val=&quot;00812A68&quot;/&gt;&lt;wsp:rsid wsp:val=&quot;00812A69&quot;/&gt;&lt;wsp:rsid wsp:val=&quot;00812A7E&quot;/&gt;&lt;wsp:rsid wsp:val=&quot;00813473&quot;/&gt;&lt;wsp:rsid wsp:val=&quot;0081408B&quot;/&gt;&lt;wsp:rsid wsp:val=&quot;00814093&quot;/&gt;&lt;wsp:rsid wsp:val=&quot;00815C11&quot;/&gt;&lt;wsp:rsid wsp:val=&quot;00815D3F&quot;/&gt;&lt;wsp:rsid wsp:val=&quot;00816551&quot;/&gt;&lt;wsp:rsid wsp:val=&quot;008167E2&quot;/&gt;&lt;wsp:rsid wsp:val=&quot;00817A6B&quot;/&gt;&lt;wsp:rsid wsp:val=&quot;00820AC3&quot;/&gt;&lt;wsp:rsid wsp:val=&quot;00821579&quot;/&gt;&lt;wsp:rsid wsp:val=&quot;00822113&quot;/&gt;&lt;wsp:rsid wsp:val=&quot;00822AA4&quot;/&gt;&lt;wsp:rsid wsp:val=&quot;00823281&quot;/&gt;&lt;wsp:rsid wsp:val=&quot;008240CD&quot;/&gt;&lt;wsp:rsid wsp:val=&quot;008256BF&quot;/&gt;&lt;wsp:rsid wsp:val=&quot;008257A8&quot;/&gt;&lt;wsp:rsid wsp:val=&quot;00825A1E&quot;/&gt;&lt;wsp:rsid wsp:val=&quot;0082743F&quot;/&gt;&lt;wsp:rsid wsp:val=&quot;008274D0&quot;/&gt;&lt;wsp:rsid wsp:val=&quot;00827EF7&quot;/&gt;&lt;wsp:rsid wsp:val=&quot;00830BCE&quot;/&gt;&lt;wsp:rsid wsp:val=&quot;00831AF5&quot;/&gt;&lt;wsp:rsid wsp:val=&quot;00832080&quot;/&gt;&lt;wsp:rsid wsp:val=&quot;00833009&quot;/&gt;&lt;wsp:rsid wsp:val=&quot;0083373D&quot;/&gt;&lt;wsp:rsid wsp:val=&quot;0083400F&quot;/&gt;&lt;wsp:rsid wsp:val=&quot;00834C21&quot;/&gt;&lt;wsp:rsid wsp:val=&quot;00834E9D&quot;/&gt;&lt;wsp:rsid wsp:val=&quot;00835FB8&quot;/&gt;&lt;wsp:rsid wsp:val=&quot;00836440&quot;/&gt;&lt;wsp:rsid wsp:val=&quot;00836994&quot;/&gt;&lt;wsp:rsid wsp:val=&quot;00836F5E&quot;/&gt;&lt;wsp:rsid wsp:val=&quot;008372D5&quot;/&gt;&lt;wsp:rsid wsp:val=&quot;008378FF&quot;/&gt;&lt;wsp:rsid wsp:val=&quot;00837A73&quot;/&gt;&lt;wsp:rsid wsp:val=&quot;00837B45&quot;/&gt;&lt;wsp:rsid wsp:val=&quot;00837BBB&quot;/&gt;&lt;wsp:rsid wsp:val=&quot;008411D0&quot;/&gt;&lt;wsp:rsid wsp:val=&quot;008441AB&quot;/&gt;&lt;wsp:rsid wsp:val=&quot;008441C9&quot;/&gt;&lt;wsp:rsid wsp:val=&quot;008446DC&quot;/&gt;&lt;wsp:rsid wsp:val=&quot;0084591A&quot;/&gt;&lt;wsp:rsid wsp:val=&quot;00845FD9&quot;/&gt;&lt;wsp:rsid wsp:val=&quot;00846486&quot;/&gt;&lt;wsp:rsid wsp:val=&quot;00846693&quot;/&gt;&lt;wsp:rsid wsp:val=&quot;00846CD7&quot;/&gt;&lt;wsp:rsid wsp:val=&quot;008478AB&quot;/&gt;&lt;wsp:rsid wsp:val=&quot;0085169C&quot;/&gt;&lt;wsp:rsid wsp:val=&quot;00851703&quot;/&gt;&lt;wsp:rsid wsp:val=&quot;008519D4&quot;/&gt;&lt;wsp:rsid wsp:val=&quot;008533A3&quot;/&gt;&lt;wsp:rsid wsp:val=&quot;00854DE3&quot;/&gt;&lt;wsp:rsid wsp:val=&quot;00854FBD&quot;/&gt;&lt;wsp:rsid wsp:val=&quot;00855B2E&quot;/&gt;&lt;wsp:rsid wsp:val=&quot;0085607E&quot;/&gt;&lt;wsp:rsid wsp:val=&quot;00856BEE&quot;/&gt;&lt;wsp:rsid wsp:val=&quot;00856D30&quot;/&gt;&lt;wsp:rsid wsp:val=&quot;00860B8B&quot;/&gt;&lt;wsp:rsid wsp:val=&quot;00863041&quot;/&gt;&lt;wsp:rsid wsp:val=&quot;0086326E&quot;/&gt;&lt;wsp:rsid wsp:val=&quot;008634A0&quot;/&gt;&lt;wsp:rsid wsp:val=&quot;00864AE9&quot;/&gt;&lt;wsp:rsid wsp:val=&quot;00864CBB&quot;/&gt;&lt;wsp:rsid wsp:val=&quot;00864D0C&quot;/&gt;&lt;wsp:rsid wsp:val=&quot;008660E2&quot;/&gt;&lt;wsp:rsid wsp:val=&quot;00866F1F&quot;/&gt;&lt;wsp:rsid wsp:val=&quot;0086787B&quot;/&gt;&lt;wsp:rsid wsp:val=&quot;008701BC&quot;/&gt;&lt;wsp:rsid wsp:val=&quot;0087057D&quot;/&gt;&lt;wsp:rsid wsp:val=&quot;008712B5&quot;/&gt;&lt;wsp:rsid wsp:val=&quot;00871897&quot;/&gt;&lt;wsp:rsid wsp:val=&quot;008744E5&quot;/&gt;&lt;wsp:rsid wsp:val=&quot;00874964&quot;/&gt;&lt;wsp:rsid wsp:val=&quot;008755DE&quot;/&gt;&lt;wsp:rsid wsp:val=&quot;008759BE&quot;/&gt;&lt;wsp:rsid wsp:val=&quot;00875FD7&quot;/&gt;&lt;wsp:rsid wsp:val=&quot;008775C4&quot;/&gt;&lt;wsp:rsid wsp:val=&quot;00877FEC&quot;/&gt;&lt;wsp:rsid wsp:val=&quot;0088074E&quot;/&gt;&lt;wsp:rsid wsp:val=&quot;00880AB0&quot;/&gt;&lt;wsp:rsid wsp:val=&quot;008821BF&quot;/&gt;&lt;wsp:rsid wsp:val=&quot;008823C3&quot;/&gt;&lt;wsp:rsid wsp:val=&quot;00882951&quot;/&gt;&lt;wsp:rsid wsp:val=&quot;00883DD7&quot;/&gt;&lt;wsp:rsid wsp:val=&quot;008847BD&quot;/&gt;&lt;wsp:rsid wsp:val=&quot;00885415&quot;/&gt;&lt;wsp:rsid wsp:val=&quot;00886CFA&quot;/&gt;&lt;wsp:rsid wsp:val=&quot;00886E85&quot;/&gt;&lt;wsp:rsid wsp:val=&quot;0088771A&quot;/&gt;&lt;wsp:rsid wsp:val=&quot;0088779D&quot;/&gt;&lt;wsp:rsid wsp:val=&quot;008904AE&quot;/&gt;&lt;wsp:rsid wsp:val=&quot;008938F3&quot;/&gt;&lt;wsp:rsid wsp:val=&quot;008941D0&quot;/&gt;&lt;wsp:rsid wsp:val=&quot;0089716F&quot;/&gt;&lt;wsp:rsid wsp:val=&quot;00897FC8&quot;/&gt;&lt;wsp:rsid wsp:val=&quot;008A05CE&quot;/&gt;&lt;wsp:rsid wsp:val=&quot;008A067E&quot;/&gt;&lt;wsp:rsid wsp:val=&quot;008A095C&quot;/&gt;&lt;wsp:rsid wsp:val=&quot;008A1230&quot;/&gt;&lt;wsp:rsid wsp:val=&quot;008A161C&quot;/&gt;&lt;wsp:rsid wsp:val=&quot;008A1AD4&quot;/&gt;&lt;wsp:rsid wsp:val=&quot;008A26BA&quot;/&gt;&lt;wsp:rsid wsp:val=&quot;008A39EF&quot;/&gt;&lt;wsp:rsid wsp:val=&quot;008A3A2E&quot;/&gt;&lt;wsp:rsid wsp:val=&quot;008A3EA8&quot;/&gt;&lt;wsp:rsid wsp:val=&quot;008A413C&quot;/&gt;&lt;wsp:rsid wsp:val=&quot;008A451C&quot;/&gt;&lt;wsp:rsid wsp:val=&quot;008A4802&quot;/&gt;&lt;wsp:rsid wsp:val=&quot;008A4A95&quot;/&gt;&lt;wsp:rsid wsp:val=&quot;008A4B16&quot;/&gt;&lt;wsp:rsid wsp:val=&quot;008A4B30&quot;/&gt;&lt;wsp:rsid wsp:val=&quot;008A598B&quot;/&gt;&lt;wsp:rsid wsp:val=&quot;008A65E1&quot;/&gt;&lt;wsp:rsid wsp:val=&quot;008A6BD6&quot;/&gt;&lt;wsp:rsid wsp:val=&quot;008A7C36&quot;/&gt;&lt;wsp:rsid wsp:val=&quot;008B0390&quot;/&gt;&lt;wsp:rsid wsp:val=&quot;008B04ED&quot;/&gt;&lt;wsp:rsid wsp:val=&quot;008B115A&quot;/&gt;&lt;wsp:rsid wsp:val=&quot;008B1CF1&quot;/&gt;&lt;wsp:rsid wsp:val=&quot;008B255F&quot;/&gt;&lt;wsp:rsid wsp:val=&quot;008B29B4&quot;/&gt;&lt;wsp:rsid wsp:val=&quot;008B3B19&quot;/&gt;&lt;wsp:rsid wsp:val=&quot;008B4073&quot;/&gt;&lt;wsp:rsid wsp:val=&quot;008B47C7&quot;/&gt;&lt;wsp:rsid wsp:val=&quot;008B49B3&quot;/&gt;&lt;wsp:rsid wsp:val=&quot;008B6C65&quot;/&gt;&lt;wsp:rsid wsp:val=&quot;008B6F44&quot;/&gt;&lt;wsp:rsid wsp:val=&quot;008C0051&quot;/&gt;&lt;wsp:rsid wsp:val=&quot;008C01A1&quot;/&gt;&lt;wsp:rsid wsp:val=&quot;008C0BC1&quot;/&gt;&lt;wsp:rsid wsp:val=&quot;008C169D&quot;/&gt;&lt;wsp:rsid wsp:val=&quot;008C2D2B&quot;/&gt;&lt;wsp:rsid wsp:val=&quot;008C2EBA&quot;/&gt;&lt;wsp:rsid wsp:val=&quot;008C3488&quot;/&gt;&lt;wsp:rsid wsp:val=&quot;008C370C&quot;/&gt;&lt;wsp:rsid wsp:val=&quot;008C46DA&quot;/&gt;&lt;wsp:rsid wsp:val=&quot;008C49B3&quot;/&gt;&lt;wsp:rsid wsp:val=&quot;008C4CEB&quot;/&gt;&lt;wsp:rsid wsp:val=&quot;008C5B7A&quot;/&gt;&lt;wsp:rsid wsp:val=&quot;008C5FEE&quot;/&gt;&lt;wsp:rsid wsp:val=&quot;008C7566&quot;/&gt;&lt;wsp:rsid wsp:val=&quot;008D150B&quot;/&gt;&lt;wsp:rsid wsp:val=&quot;008D172C&quot;/&gt;&lt;wsp:rsid wsp:val=&quot;008D2EC7&quot;/&gt;&lt;wsp:rsid wsp:val=&quot;008D2F23&quot;/&gt;&lt;wsp:rsid wsp:val=&quot;008D3106&quot;/&gt;&lt;wsp:rsid wsp:val=&quot;008D36B0&quot;/&gt;&lt;wsp:rsid wsp:val=&quot;008D3DD9&quot;/&gt;&lt;wsp:rsid wsp:val=&quot;008D3F23&quot;/&gt;&lt;wsp:rsid wsp:val=&quot;008D459E&quot;/&gt;&lt;wsp:rsid wsp:val=&quot;008D4654&quot;/&gt;&lt;wsp:rsid wsp:val=&quot;008D4851&quot;/&gt;&lt;wsp:rsid wsp:val=&quot;008D4F68&quot;/&gt;&lt;wsp:rsid wsp:val=&quot;008D686F&quot;/&gt;&lt;wsp:rsid wsp:val=&quot;008D6B6E&quot;/&gt;&lt;wsp:rsid wsp:val=&quot;008D6F20&quot;/&gt;&lt;wsp:rsid wsp:val=&quot;008D7727&quot;/&gt;&lt;wsp:rsid wsp:val=&quot;008E0385&quot;/&gt;&lt;wsp:rsid wsp:val=&quot;008E08EE&quot;/&gt;&lt;wsp:rsid wsp:val=&quot;008E23F0&quot;/&gt;&lt;wsp:rsid wsp:val=&quot;008E3651&quot;/&gt;&lt;wsp:rsid wsp:val=&quot;008E3BDA&quot;/&gt;&lt;wsp:rsid wsp:val=&quot;008E462C&quot;/&gt;&lt;wsp:rsid wsp:val=&quot;008E5FF7&quot;/&gt;&lt;wsp:rsid wsp:val=&quot;008E62B9&quot;/&gt;&lt;wsp:rsid wsp:val=&quot;008E6389&quot;/&gt;&lt;wsp:rsid wsp:val=&quot;008E78D2&quot;/&gt;&lt;wsp:rsid wsp:val=&quot;008E7949&quot;/&gt;&lt;wsp:rsid wsp:val=&quot;008F065F&quot;/&gt;&lt;wsp:rsid wsp:val=&quot;008F184F&quot;/&gt;&lt;wsp:rsid wsp:val=&quot;008F1EA1&quot;/&gt;&lt;wsp:rsid wsp:val=&quot;008F26B2&quot;/&gt;&lt;wsp:rsid wsp:val=&quot;008F28A2&quot;/&gt;&lt;wsp:rsid wsp:val=&quot;008F37E2&quot;/&gt;&lt;wsp:rsid wsp:val=&quot;008F3AC2&quot;/&gt;&lt;wsp:rsid wsp:val=&quot;008F435E&quot;/&gt;&lt;wsp:rsid wsp:val=&quot;008F4B29&quot;/&gt;&lt;wsp:rsid wsp:val=&quot;008F59C8&quot;/&gt;&lt;wsp:rsid wsp:val=&quot;008F73F8&quot;/&gt;&lt;wsp:rsid wsp:val=&quot;008F759A&quot;/&gt;&lt;wsp:rsid wsp:val=&quot;00900BDD&quot;/&gt;&lt;wsp:rsid wsp:val=&quot;00900F3A&quot;/&gt;&lt;wsp:rsid wsp:val=&quot;00901B4B&quot;/&gt;&lt;wsp:rsid wsp:val=&quot;00901BE6&quot;/&gt;&lt;wsp:rsid wsp:val=&quot;00901FDD&quot;/&gt;&lt;wsp:rsid wsp:val=&quot;00903168&quot;/&gt;&lt;wsp:rsid wsp:val=&quot;00903624&quot;/&gt;&lt;wsp:rsid wsp:val=&quot;0090480E&quot;/&gt;&lt;wsp:rsid wsp:val=&quot;00905234&quot;/&gt;&lt;wsp:rsid wsp:val=&quot;009056EA&quot;/&gt;&lt;wsp:rsid wsp:val=&quot;009059ED&quot;/&gt;&lt;wsp:rsid wsp:val=&quot;00905B68&quot;/&gt;&lt;wsp:rsid wsp:val=&quot;0090602D&quot;/&gt;&lt;wsp:rsid wsp:val=&quot;00906818&quot;/&gt;&lt;wsp:rsid wsp:val=&quot;009069EE&quot;/&gt;&lt;wsp:rsid wsp:val=&quot;00910F8F&quot;/&gt;&lt;wsp:rsid wsp:val=&quot;0091276A&quot;/&gt;&lt;wsp:rsid wsp:val=&quot;009132CC&quot;/&gt;&lt;wsp:rsid wsp:val=&quot;00913B48&quot;/&gt;&lt;wsp:rsid wsp:val=&quot;00914A2F&quot;/&gt;&lt;wsp:rsid wsp:val=&quot;009151A9&quot;/&gt;&lt;wsp:rsid wsp:val=&quot;00915AAB&quot;/&gt;&lt;wsp:rsid wsp:val=&quot;009166A4&quot;/&gt;&lt;wsp:rsid wsp:val=&quot;00916C37&quot;/&gt;&lt;wsp:rsid wsp:val=&quot;00916D41&quot;/&gt;&lt;wsp:rsid wsp:val=&quot;00917D32&quot;/&gt;&lt;wsp:rsid wsp:val=&quot;00921B68&quot;/&gt;&lt;wsp:rsid wsp:val=&quot;00922118&quot;/&gt;&lt;wsp:rsid wsp:val=&quot;00924415&quot;/&gt;&lt;wsp:rsid wsp:val=&quot;00924DFE&quot;/&gt;&lt;wsp:rsid wsp:val=&quot;009250D5&quot;/&gt;&lt;wsp:rsid wsp:val=&quot;00926A1B&quot;/&gt;&lt;wsp:rsid wsp:val=&quot;00926BC2&quot;/&gt;&lt;wsp:rsid wsp:val=&quot;00930541&quot;/&gt;&lt;wsp:rsid wsp:val=&quot;00930CF4&quot;/&gt;&lt;wsp:rsid wsp:val=&quot;00931168&quot;/&gt;&lt;wsp:rsid wsp:val=&quot;00931411&quot;/&gt;&lt;wsp:rsid wsp:val=&quot;00931998&quot;/&gt;&lt;wsp:rsid wsp:val=&quot;00934492&quot;/&gt;&lt;wsp:rsid wsp:val=&quot;009344F7&quot;/&gt;&lt;wsp:rsid wsp:val=&quot;00935FD0&quot;/&gt;&lt;wsp:rsid wsp:val=&quot;00936E8D&quot;/&gt;&lt;wsp:rsid wsp:val=&quot;00937F75&quot;/&gt;&lt;wsp:rsid wsp:val=&quot;009408EA&quot;/&gt;&lt;wsp:rsid wsp:val=&quot;00940A6C&quot;/&gt;&lt;wsp:rsid wsp:val=&quot;00940ADD&quot;/&gt;&lt;wsp:rsid wsp:val=&quot;00940AF8&quot;/&gt;&lt;wsp:rsid wsp:val=&quot;00944384&quot;/&gt;&lt;wsp:rsid wsp:val=&quot;0094560A&quot;/&gt;&lt;wsp:rsid wsp:val=&quot;00945EFB&quot;/&gt;&lt;wsp:rsid wsp:val=&quot;0094625C&quot;/&gt;&lt;wsp:rsid wsp:val=&quot;00946DBD&quot;/&gt;&lt;wsp:rsid wsp:val=&quot;00946FE4&quot;/&gt;&lt;wsp:rsid wsp:val=&quot;00946FF9&quot;/&gt;&lt;wsp:rsid wsp:val=&quot;00947BD9&quot;/&gt;&lt;wsp:rsid wsp:val=&quot;00950082&quot;/&gt;&lt;wsp:rsid wsp:val=&quot;00950473&quot;/&gt;&lt;wsp:rsid wsp:val=&quot;009504BF&quot;/&gt;&lt;wsp:rsid wsp:val=&quot;00952275&quot;/&gt;&lt;wsp:rsid wsp:val=&quot;00952ED5&quot;/&gt;&lt;wsp:rsid wsp:val=&quot;009534DE&quot;/&gt;&lt;wsp:rsid wsp:val=&quot;00953AED&quot;/&gt;&lt;wsp:rsid wsp:val=&quot;009549B0&quot;/&gt;&lt;wsp:rsid wsp:val=&quot;00955F5D&quot;/&gt;&lt;wsp:rsid wsp:val=&quot;00956609&quot;/&gt;&lt;wsp:rsid wsp:val=&quot;00956B82&quot;/&gt;&lt;wsp:rsid wsp:val=&quot;009606BE&quot;/&gt;&lt;wsp:rsid wsp:val=&quot;009609F2&quot;/&gt;&lt;wsp:rsid wsp:val=&quot;00960D2F&quot;/&gt;&lt;wsp:rsid wsp:val=&quot;00962874&quot;/&gt;&lt;wsp:rsid wsp:val=&quot;00963897&quot;/&gt;&lt;wsp:rsid wsp:val=&quot;00964334&quot;/&gt;&lt;wsp:rsid wsp:val=&quot;00964863&quot;/&gt;&lt;wsp:rsid wsp:val=&quot;009649A0&quot;/&gt;&lt;wsp:rsid wsp:val=&quot;0096582F&quot;/&gt;&lt;wsp:rsid wsp:val=&quot;00965A0E&quot;/&gt;&lt;wsp:rsid wsp:val=&quot;00965E5B&quot;/&gt;&lt;wsp:rsid wsp:val=&quot;00966EB6&quot;/&gt;&lt;wsp:rsid wsp:val=&quot;009711C3&quot;/&gt;&lt;wsp:rsid wsp:val=&quot;0097129D&quot;/&gt;&lt;wsp:rsid wsp:val=&quot;00971E42&quot;/&gt;&lt;wsp:rsid wsp:val=&quot;00972328&quot;/&gt;&lt;wsp:rsid wsp:val=&quot;0097299B&quot;/&gt;&lt;wsp:rsid wsp:val=&quot;00973701&quot;/&gt;&lt;wsp:rsid wsp:val=&quot;00973F74&quot;/&gt;&lt;wsp:rsid wsp:val=&quot;00974A67&quot;/&gt;&lt;wsp:rsid wsp:val=&quot;00974B40&quot;/&gt;&lt;wsp:rsid wsp:val=&quot;0097685E&quot;/&gt;&lt;wsp:rsid wsp:val=&quot;0097693F&quot;/&gt;&lt;wsp:rsid wsp:val=&quot;00980BAE&quot;/&gt;&lt;wsp:rsid wsp:val=&quot;00980EE1&quot;/&gt;&lt;wsp:rsid wsp:val=&quot;009819A6&quot;/&gt;&lt;wsp:rsid wsp:val=&quot;00983D60&quot;/&gt;&lt;wsp:rsid wsp:val=&quot;00984698&quot;/&gt;&lt;wsp:rsid wsp:val=&quot;009849C8&quot;/&gt;&lt;wsp:rsid wsp:val=&quot;00984D7F&quot;/&gt;&lt;wsp:rsid wsp:val=&quot;00985680&quot;/&gt;&lt;wsp:rsid wsp:val=&quot;009860A7&quot;/&gt;&lt;wsp:rsid wsp:val=&quot;0098645E&quot;/&gt;&lt;wsp:rsid wsp:val=&quot;00990FCD&quot;/&gt;&lt;wsp:rsid wsp:val=&quot;009918A9&quot;/&gt;&lt;wsp:rsid wsp:val=&quot;00991BDA&quot;/&gt;&lt;wsp:rsid wsp:val=&quot;00993545&quot;/&gt;&lt;wsp:rsid wsp:val=&quot;009950D9&quot;/&gt;&lt;wsp:rsid wsp:val=&quot;00996A49&quot;/&gt;&lt;wsp:rsid wsp:val=&quot;009A0F59&quot;/&gt;&lt;wsp:rsid wsp:val=&quot;009A166A&quot;/&gt;&lt;wsp:rsid wsp:val=&quot;009A17CE&quot;/&gt;&lt;wsp:rsid wsp:val=&quot;009A2C51&quot;/&gt;&lt;wsp:rsid wsp:val=&quot;009A409D&quot;/&gt;&lt;wsp:rsid wsp:val=&quot;009A427F&quot;/&gt;&lt;wsp:rsid wsp:val=&quot;009A459E&quot;/&gt;&lt;wsp:rsid wsp:val=&quot;009A4ECD&quot;/&gt;&lt;wsp:rsid wsp:val=&quot;009A56A7&quot;/&gt;&lt;wsp:rsid wsp:val=&quot;009A5874&quot;/&gt;&lt;wsp:rsid wsp:val=&quot;009A734C&quot;/&gt;&lt;wsp:rsid wsp:val=&quot;009A7964&quot;/&gt;&lt;wsp:rsid wsp:val=&quot;009A7F95&quot;/&gt;&lt;wsp:rsid wsp:val=&quot;009B03E4&quot;/&gt;&lt;wsp:rsid wsp:val=&quot;009B0820&quot;/&gt;&lt;wsp:rsid wsp:val=&quot;009B11D7&quot;/&gt;&lt;wsp:rsid wsp:val=&quot;009B1952&quot;/&gt;&lt;wsp:rsid wsp:val=&quot;009B1FA7&quot;/&gt;&lt;wsp:rsid wsp:val=&quot;009B2F4A&quot;/&gt;&lt;wsp:rsid wsp:val=&quot;009B35F4&quot;/&gt;&lt;wsp:rsid wsp:val=&quot;009B4D96&quot;/&gt;&lt;wsp:rsid wsp:val=&quot;009B6133&quot;/&gt;&lt;wsp:rsid wsp:val=&quot;009B643E&quot;/&gt;&lt;wsp:rsid wsp:val=&quot;009B724A&quot;/&gt;&lt;wsp:rsid wsp:val=&quot;009C02A7&quot;/&gt;&lt;wsp:rsid wsp:val=&quot;009C044D&quot;/&gt;&lt;wsp:rsid wsp:val=&quot;009C086A&quot;/&gt;&lt;wsp:rsid wsp:val=&quot;009C2016&quot;/&gt;&lt;wsp:rsid wsp:val=&quot;009C21EC&quot;/&gt;&lt;wsp:rsid wsp:val=&quot;009C3190&quot;/&gt;&lt;wsp:rsid wsp:val=&quot;009C328D&quot;/&gt;&lt;wsp:rsid wsp:val=&quot;009C3E22&quot;/&gt;&lt;wsp:rsid wsp:val=&quot;009C50CB&quot;/&gt;&lt;wsp:rsid wsp:val=&quot;009C5348&quot;/&gt;&lt;wsp:rsid wsp:val=&quot;009C6D39&quot;/&gt;&lt;wsp:rsid wsp:val=&quot;009C6F27&quot;/&gt;&lt;wsp:rsid wsp:val=&quot;009C7ACD&quot;/&gt;&lt;wsp:rsid wsp:val=&quot;009D1962&quot;/&gt;&lt;wsp:rsid wsp:val=&quot;009D20A1&quot;/&gt;&lt;wsp:rsid wsp:val=&quot;009D2297&quot;/&gt;&lt;wsp:rsid wsp:val=&quot;009D2B0E&quot;/&gt;&lt;wsp:rsid wsp:val=&quot;009D2F26&quot;/&gt;&lt;wsp:rsid wsp:val=&quot;009D31F3&quot;/&gt;&lt;wsp:rsid wsp:val=&quot;009D3B4F&quot;/&gt;&lt;wsp:rsid wsp:val=&quot;009D48A0&quot;/&gt;&lt;wsp:rsid wsp:val=&quot;009D4AC2&quot;/&gt;&lt;wsp:rsid wsp:val=&quot;009D6377&quot;/&gt;&lt;wsp:rsid wsp:val=&quot;009D69D0&quot;/&gt;&lt;wsp:rsid wsp:val=&quot;009D72C5&quot;/&gt;&lt;wsp:rsid wsp:val=&quot;009E1291&quot;/&gt;&lt;wsp:rsid wsp:val=&quot;009E1AC8&quot;/&gt;&lt;wsp:rsid wsp:val=&quot;009E1F2D&quot;/&gt;&lt;wsp:rsid wsp:val=&quot;009E2AD8&quot;/&gt;&lt;wsp:rsid wsp:val=&quot;009E3BAB&quot;/&gt;&lt;wsp:rsid wsp:val=&quot;009E40C4&quot;/&gt;&lt;wsp:rsid wsp:val=&quot;009E45FD&quot;/&gt;&lt;wsp:rsid wsp:val=&quot;009E486A&quot;/&gt;&lt;wsp:rsid wsp:val=&quot;009E6321&quot;/&gt;&lt;wsp:rsid wsp:val=&quot;009E6884&quot;/&gt;&lt;wsp:rsid wsp:val=&quot;009E689A&quot;/&gt;&lt;wsp:rsid wsp:val=&quot;009E68DA&quot;/&gt;&lt;wsp:rsid wsp:val=&quot;009E6EA8&quot;/&gt;&lt;wsp:rsid wsp:val=&quot;009E6EF9&quot;/&gt;&lt;wsp:rsid wsp:val=&quot;009E7921&quot;/&gt;&lt;wsp:rsid wsp:val=&quot;009F0676&quot;/&gt;&lt;wsp:rsid wsp:val=&quot;009F0B64&quot;/&gt;&lt;wsp:rsid wsp:val=&quot;009F0BB7&quot;/&gt;&lt;wsp:rsid wsp:val=&quot;009F112E&quot;/&gt;&lt;wsp:rsid wsp:val=&quot;009F1DC3&quot;/&gt;&lt;wsp:rsid wsp:val=&quot;009F2039&quot;/&gt;&lt;wsp:rsid wsp:val=&quot;009F4CFC&quot;/&gt;&lt;wsp:rsid wsp:val=&quot;009F4EF0&quot;/&gt;&lt;wsp:rsid wsp:val=&quot;009F55E0&quot;/&gt;&lt;wsp:rsid wsp:val=&quot;009F6E3C&quot;/&gt;&lt;wsp:rsid wsp:val=&quot;009F7008&quot;/&gt;&lt;wsp:rsid wsp:val=&quot;009F79C7&quot;/&gt;&lt;wsp:rsid wsp:val=&quot;009F7D47&quot;/&gt;&lt;wsp:rsid wsp:val=&quot;00A022FF&quot;/&gt;&lt;wsp:rsid wsp:val=&quot;00A023BC&quot;/&gt;&lt;wsp:rsid wsp:val=&quot;00A0258B&quot;/&gt;&lt;wsp:rsid wsp:val=&quot;00A054D6&quot;/&gt;&lt;wsp:rsid wsp:val=&quot;00A05D39&quot;/&gt;&lt;wsp:rsid wsp:val=&quot;00A0604B&quot;/&gt;&lt;wsp:rsid wsp:val=&quot;00A061C7&quot;/&gt;&lt;wsp:rsid wsp:val=&quot;00A06F5C&quot;/&gt;&lt;wsp:rsid wsp:val=&quot;00A077BB&quot;/&gt;&lt;wsp:rsid wsp:val=&quot;00A07917&quot;/&gt;&lt;wsp:rsid wsp:val=&quot;00A07CFC&quot;/&gt;&lt;wsp:rsid wsp:val=&quot;00A10533&quot;/&gt;&lt;wsp:rsid wsp:val=&quot;00A10DE8&quot;/&gt;&lt;wsp:rsid wsp:val=&quot;00A11573&quot;/&gt;&lt;wsp:rsid wsp:val=&quot;00A12F5C&quot;/&gt;&lt;wsp:rsid wsp:val=&quot;00A134EE&quot;/&gt;&lt;wsp:rsid wsp:val=&quot;00A13A68&quot;/&gt;&lt;wsp:rsid wsp:val=&quot;00A13B6E&quot;/&gt;&lt;wsp:rsid wsp:val=&quot;00A14381&quot;/&gt;&lt;wsp:rsid wsp:val=&quot;00A1446D&quot;/&gt;&lt;wsp:rsid wsp:val=&quot;00A161FA&quot;/&gt;&lt;wsp:rsid wsp:val=&quot;00A16476&quot;/&gt;&lt;wsp:rsid wsp:val=&quot;00A168A9&quot;/&gt;&lt;wsp:rsid wsp:val=&quot;00A16FA0&quot;/&gt;&lt;wsp:rsid wsp:val=&quot;00A17087&quot;/&gt;&lt;wsp:rsid wsp:val=&quot;00A17741&quot;/&gt;&lt;wsp:rsid wsp:val=&quot;00A1776B&quot;/&gt;&lt;wsp:rsid wsp:val=&quot;00A21843&quot;/&gt;&lt;wsp:rsid wsp:val=&quot;00A23858&quot;/&gt;&lt;wsp:rsid wsp:val=&quot;00A243EE&quot;/&gt;&lt;wsp:rsid wsp:val=&quot;00A24838&quot;/&gt;&lt;wsp:rsid wsp:val=&quot;00A24D17&quot;/&gt;&lt;wsp:rsid wsp:val=&quot;00A272BA&quot;/&gt;&lt;wsp:rsid wsp:val=&quot;00A27C16&quot;/&gt;&lt;wsp:rsid wsp:val=&quot;00A3060E&quot;/&gt;&lt;wsp:rsid wsp:val=&quot;00A30853&quot;/&gt;&lt;wsp:rsid wsp:val=&quot;00A31400&quot;/&gt;&lt;wsp:rsid wsp:val=&quot;00A31507&quot;/&gt;&lt;wsp:rsid wsp:val=&quot;00A3170F&quot;/&gt;&lt;wsp:rsid wsp:val=&quot;00A323C2&quot;/&gt;&lt;wsp:rsid wsp:val=&quot;00A33437&quot;/&gt;&lt;wsp:rsid wsp:val=&quot;00A33735&quot;/&gt;&lt;wsp:rsid wsp:val=&quot;00A36048&quot;/&gt;&lt;wsp:rsid wsp:val=&quot;00A36939&quot;/&gt;&lt;wsp:rsid wsp:val=&quot;00A36BF0&quot;/&gt;&lt;wsp:rsid wsp:val=&quot;00A37690&quot;/&gt;&lt;wsp:rsid wsp:val=&quot;00A37789&quot;/&gt;&lt;wsp:rsid wsp:val=&quot;00A37826&quot;/&gt;&lt;wsp:rsid wsp:val=&quot;00A401B4&quot;/&gt;&lt;wsp:rsid wsp:val=&quot;00A40665&quot;/&gt;&lt;wsp:rsid wsp:val=&quot;00A40686&quot;/&gt;&lt;wsp:rsid wsp:val=&quot;00A41241&quot;/&gt;&lt;wsp:rsid wsp:val=&quot;00A42BE9&quot;/&gt;&lt;wsp:rsid wsp:val=&quot;00A42C5E&quot;/&gt;&lt;wsp:rsid wsp:val=&quot;00A456D4&quot;/&gt;&lt;wsp:rsid wsp:val=&quot;00A457E7&quot;/&gt;&lt;wsp:rsid wsp:val=&quot;00A45AC9&quot;/&gt;&lt;wsp:rsid wsp:val=&quot;00A4768D&quot;/&gt;&lt;wsp:rsid wsp:val=&quot;00A47C2F&quot;/&gt;&lt;wsp:rsid wsp:val=&quot;00A47E0D&quot;/&gt;&lt;wsp:rsid wsp:val=&quot;00A51022&quot;/&gt;&lt;wsp:rsid wsp:val=&quot;00A5195F&quot;/&gt;&lt;wsp:rsid wsp:val=&quot;00A51C8C&quot;/&gt;&lt;wsp:rsid wsp:val=&quot;00A5274D&quot;/&gt;&lt;wsp:rsid wsp:val=&quot;00A52CE0&quot;/&gt;&lt;wsp:rsid wsp:val=&quot;00A52D24&quot;/&gt;&lt;wsp:rsid wsp:val=&quot;00A53A46&quot;/&gt;&lt;wsp:rsid wsp:val=&quot;00A54451&quot;/&gt;&lt;wsp:rsid wsp:val=&quot;00A605AB&quot;/&gt;&lt;wsp:rsid wsp:val=&quot;00A60703&quot;/&gt;&lt;wsp:rsid wsp:val=&quot;00A60C00&quot;/&gt;&lt;wsp:rsid wsp:val=&quot;00A618B6&quot;/&gt;&lt;wsp:rsid wsp:val=&quot;00A6280C&quot;/&gt;&lt;wsp:rsid wsp:val=&quot;00A62CFC&quot;/&gt;&lt;wsp:rsid wsp:val=&quot;00A62D1D&quot;/&gt;&lt;wsp:rsid wsp:val=&quot;00A62F21&quot;/&gt;&lt;wsp:rsid wsp:val=&quot;00A63060&quot;/&gt;&lt;wsp:rsid wsp:val=&quot;00A6342A&quot;/&gt;&lt;wsp:rsid wsp:val=&quot;00A63A15&quot;/&gt;&lt;wsp:rsid wsp:val=&quot;00A63D4C&quot;/&gt;&lt;wsp:rsid wsp:val=&quot;00A64825&quot;/&gt;&lt;wsp:rsid wsp:val=&quot;00A64DE2&quot;/&gt;&lt;wsp:rsid wsp:val=&quot;00A65CA3&quot;/&gt;&lt;wsp:rsid wsp:val=&quot;00A66499&quot;/&gt;&lt;wsp:rsid wsp:val=&quot;00A667C2&quot;/&gt;&lt;wsp:rsid wsp:val=&quot;00A72C67&quot;/&gt;&lt;wsp:rsid wsp:val=&quot;00A731EB&quot;/&gt;&lt;wsp:rsid wsp:val=&quot;00A73E9B&quot;/&gt;&lt;wsp:rsid wsp:val=&quot;00A73F05&quot;/&gt;&lt;wsp:rsid wsp:val=&quot;00A7465B&quot;/&gt;&lt;wsp:rsid wsp:val=&quot;00A74984&quot;/&gt;&lt;wsp:rsid wsp:val=&quot;00A74A17&quot;/&gt;&lt;wsp:rsid wsp:val=&quot;00A75CE7&quot;/&gt;&lt;wsp:rsid wsp:val=&quot;00A76718&quot;/&gt;&lt;wsp:rsid wsp:val=&quot;00A76D92&quot;/&gt;&lt;wsp:rsid wsp:val=&quot;00A77808&quot;/&gt;&lt;wsp:rsid wsp:val=&quot;00A80064&quot;/&gt;&lt;wsp:rsid wsp:val=&quot;00A8070F&quot;/&gt;&lt;wsp:rsid wsp:val=&quot;00A80D28&quot;/&gt;&lt;wsp:rsid wsp:val=&quot;00A80F15&quot;/&gt;&lt;wsp:rsid wsp:val=&quot;00A81398&quot;/&gt;&lt;wsp:rsid wsp:val=&quot;00A82BDB&quot;/&gt;&lt;wsp:rsid wsp:val=&quot;00A83363&quot;/&gt;&lt;wsp:rsid wsp:val=&quot;00A84976&quot;/&gt;&lt;wsp:rsid wsp:val=&quot;00A85057&quot;/&gt;&lt;wsp:rsid wsp:val=&quot;00A85792&quot;/&gt;&lt;wsp:rsid wsp:val=&quot;00A86C31&quot;/&gt;&lt;wsp:rsid wsp:val=&quot;00A86D8B&quot;/&gt;&lt;wsp:rsid wsp:val=&quot;00A87151&quot;/&gt;&lt;wsp:rsid wsp:val=&quot;00A90198&quot;/&gt;&lt;wsp:rsid wsp:val=&quot;00A90215&quot;/&gt;&lt;wsp:rsid wsp:val=&quot;00A90F4B&quot;/&gt;&lt;wsp:rsid wsp:val=&quot;00A918E4&quot;/&gt;&lt;wsp:rsid wsp:val=&quot;00A919C9&quot;/&gt;&lt;wsp:rsid wsp:val=&quot;00A91A2B&quot;/&gt;&lt;wsp:rsid wsp:val=&quot;00A91A84&quot;/&gt;&lt;wsp:rsid wsp:val=&quot;00A91BC0&quot;/&gt;&lt;wsp:rsid wsp:val=&quot;00A91CDF&quot;/&gt;&lt;wsp:rsid wsp:val=&quot;00A91E3C&quot;/&gt;&lt;wsp:rsid wsp:val=&quot;00A9206E&quot;/&gt;&lt;wsp:rsid wsp:val=&quot;00A94950&quot;/&gt;&lt;wsp:rsid wsp:val=&quot;00A94DEC&quot;/&gt;&lt;wsp:rsid wsp:val=&quot;00A95043&quot;/&gt;&lt;wsp:rsid wsp:val=&quot;00A954EE&quot;/&gt;&lt;wsp:rsid wsp:val=&quot;00A95778&quot;/&gt;&lt;wsp:rsid wsp:val=&quot;00A96831&quot;/&gt;&lt;wsp:rsid wsp:val=&quot;00A96E6B&quot;/&gt;&lt;wsp:rsid wsp:val=&quot;00A97073&quot;/&gt;&lt;wsp:rsid wsp:val=&quot;00A97831&quot;/&gt;&lt;wsp:rsid wsp:val=&quot;00AA01F7&quot;/&gt;&lt;wsp:rsid wsp:val=&quot;00AA2420&quot;/&gt;&lt;wsp:rsid wsp:val=&quot;00AA3222&quot;/&gt;&lt;wsp:rsid wsp:val=&quot;00AA34E5&quot;/&gt;&lt;wsp:rsid wsp:val=&quot;00AA3A38&quot;/&gt;&lt;wsp:rsid wsp:val=&quot;00AA3B4B&quot;/&gt;&lt;wsp:rsid wsp:val=&quot;00AA4734&quot;/&gt;&lt;wsp:rsid wsp:val=&quot;00AA4F01&quot;/&gt;&lt;wsp:rsid wsp:val=&quot;00AA50ED&quot;/&gt;&lt;wsp:rsid wsp:val=&quot;00AA5642&quot;/&gt;&lt;wsp:rsid wsp:val=&quot;00AA6341&quot;/&gt;&lt;wsp:rsid wsp:val=&quot;00AA6948&quot;/&gt;&lt;wsp:rsid wsp:val=&quot;00AA6CA9&quot;/&gt;&lt;wsp:rsid wsp:val=&quot;00AA6E3C&quot;/&gt;&lt;wsp:rsid wsp:val=&quot;00AB06DF&quot;/&gt;&lt;wsp:rsid wsp:val=&quot;00AB0F91&quot;/&gt;&lt;wsp:rsid wsp:val=&quot;00AB201A&quot;/&gt;&lt;wsp:rsid wsp:val=&quot;00AB2F43&quot;/&gt;&lt;wsp:rsid wsp:val=&quot;00AB315C&quot;/&gt;&lt;wsp:rsid wsp:val=&quot;00AB4907&quot;/&gt;&lt;wsp:rsid wsp:val=&quot;00AB499A&quot;/&gt;&lt;wsp:rsid wsp:val=&quot;00AB543D&quot;/&gt;&lt;wsp:rsid wsp:val=&quot;00AB7B6B&quot;/&gt;&lt;wsp:rsid wsp:val=&quot;00AC0180&quot;/&gt;&lt;wsp:rsid wsp:val=&quot;00AC13B9&quot;/&gt;&lt;wsp:rsid wsp:val=&quot;00AC15AC&quot;/&gt;&lt;wsp:rsid wsp:val=&quot;00AC2C4E&quot;/&gt;&lt;wsp:rsid wsp:val=&quot;00AC33C1&quot;/&gt;&lt;wsp:rsid wsp:val=&quot;00AC426E&quot;/&gt;&lt;wsp:rsid wsp:val=&quot;00AC4579&quot;/&gt;&lt;wsp:rsid wsp:val=&quot;00AC51B3&quot;/&gt;&lt;wsp:rsid wsp:val=&quot;00AC64CE&quot;/&gt;&lt;wsp:rsid wsp:val=&quot;00AC71BC&quot;/&gt;&lt;wsp:rsid wsp:val=&quot;00AC770C&quot;/&gt;&lt;wsp:rsid wsp:val=&quot;00AD0092&quot;/&gt;&lt;wsp:rsid wsp:val=&quot;00AD034D&quot;/&gt;&lt;wsp:rsid wsp:val=&quot;00AD059D&quot;/&gt;&lt;wsp:rsid wsp:val=&quot;00AD1323&quot;/&gt;&lt;wsp:rsid wsp:val=&quot;00AD1BA0&quot;/&gt;&lt;wsp:rsid wsp:val=&quot;00AD33DF&quot;/&gt;&lt;wsp:rsid wsp:val=&quot;00AD3E06&quot;/&gt;&lt;wsp:rsid wsp:val=&quot;00AD41D9&quot;/&gt;&lt;wsp:rsid wsp:val=&quot;00AD696F&quot;/&gt;&lt;wsp:rsid wsp:val=&quot;00AE01CE&quot;/&gt;&lt;wsp:rsid wsp:val=&quot;00AE1923&quot;/&gt;&lt;wsp:rsid wsp:val=&quot;00AE210E&quot;/&gt;&lt;wsp:rsid wsp:val=&quot;00AE317F&quot;/&gt;&lt;wsp:rsid wsp:val=&quot;00AE3F2D&quot;/&gt;&lt;wsp:rsid wsp:val=&quot;00AE41DD&quot;/&gt;&lt;wsp:rsid wsp:val=&quot;00AE53A3&quot;/&gt;&lt;wsp:rsid wsp:val=&quot;00AE53B5&quot;/&gt;&lt;wsp:rsid wsp:val=&quot;00AE569F&quot;/&gt;&lt;wsp:rsid wsp:val=&quot;00AE56F9&quot;/&gt;&lt;wsp:rsid wsp:val=&quot;00AE5DB1&quot;/&gt;&lt;wsp:rsid wsp:val=&quot;00AE6962&quot;/&gt;&lt;wsp:rsid wsp:val=&quot;00AF0899&quot;/&gt;&lt;wsp:rsid wsp:val=&quot;00AF0E35&quot;/&gt;&lt;wsp:rsid wsp:val=&quot;00AF1590&quot;/&gt;&lt;wsp:rsid wsp:val=&quot;00AF1E66&quot;/&gt;&lt;wsp:rsid wsp:val=&quot;00AF2490&quot;/&gt;&lt;wsp:rsid wsp:val=&quot;00AF3705&quot;/&gt;&lt;wsp:rsid wsp:val=&quot;00AF483C&quot;/&gt;&lt;wsp:rsid wsp:val=&quot;00AF4D24&quot;/&gt;&lt;wsp:rsid wsp:val=&quot;00AF5B50&quot;/&gt;&lt;wsp:rsid wsp:val=&quot;00AF5D7D&quot;/&gt;&lt;wsp:rsid wsp:val=&quot;00AF75B8&quot;/&gt;&lt;wsp:rsid wsp:val=&quot;00B00A7B&quot;/&gt;&lt;wsp:rsid wsp:val=&quot;00B01073&quot;/&gt;&lt;wsp:rsid wsp:val=&quot;00B018D8&quot;/&gt;&lt;wsp:rsid wsp:val=&quot;00B01D90&quot;/&gt;&lt;wsp:rsid wsp:val=&quot;00B02049&quot;/&gt;&lt;wsp:rsid wsp:val=&quot;00B0257A&quot;/&gt;&lt;wsp:rsid wsp:val=&quot;00B02F0E&quot;/&gt;&lt;wsp:rsid wsp:val=&quot;00B0355B&quot;/&gt;&lt;wsp:rsid wsp:val=&quot;00B03ADB&quot;/&gt;&lt;wsp:rsid wsp:val=&quot;00B04BD5&quot;/&gt;&lt;wsp:rsid wsp:val=&quot;00B059AA&quot;/&gt;&lt;wsp:rsid wsp:val=&quot;00B06963&quot;/&gt;&lt;wsp:rsid wsp:val=&quot;00B07596&quot;/&gt;&lt;wsp:rsid wsp:val=&quot;00B076CE&quot;/&gt;&lt;wsp:rsid wsp:val=&quot;00B101EF&quot;/&gt;&lt;wsp:rsid wsp:val=&quot;00B111A8&quot;/&gt;&lt;wsp:rsid wsp:val=&quot;00B11556&quot;/&gt;&lt;wsp:rsid wsp:val=&quot;00B1178D&quot;/&gt;&lt;wsp:rsid wsp:val=&quot;00B11F97&quot;/&gt;&lt;wsp:rsid wsp:val=&quot;00B120B1&quot;/&gt;&lt;wsp:rsid wsp:val=&quot;00B12861&quot;/&gt;&lt;wsp:rsid wsp:val=&quot;00B12D36&quot;/&gt;&lt;wsp:rsid wsp:val=&quot;00B13278&quot;/&gt;&lt;wsp:rsid wsp:val=&quot;00B13E93&quot;/&gt;&lt;wsp:rsid wsp:val=&quot;00B148CC&quot;/&gt;&lt;wsp:rsid wsp:val=&quot;00B15031&quot;/&gt;&lt;wsp:rsid wsp:val=&quot;00B153E2&quot;/&gt;&lt;wsp:rsid wsp:val=&quot;00B1561A&quot;/&gt;&lt;wsp:rsid wsp:val=&quot;00B15799&quot;/&gt;&lt;wsp:rsid wsp:val=&quot;00B17589&quot;/&gt;&lt;wsp:rsid wsp:val=&quot;00B20820&quot;/&gt;&lt;wsp:rsid wsp:val=&quot;00B20E7C&quot;/&gt;&lt;wsp:rsid wsp:val=&quot;00B214D9&quot;/&gt;&lt;wsp:rsid wsp:val=&quot;00B214EF&quot;/&gt;&lt;wsp:rsid wsp:val=&quot;00B21C98&quot;/&gt;&lt;wsp:rsid wsp:val=&quot;00B22240&quot;/&gt;&lt;wsp:rsid wsp:val=&quot;00B2354F&quot;/&gt;&lt;wsp:rsid wsp:val=&quot;00B2376E&quot;/&gt;&lt;wsp:rsid wsp:val=&quot;00B23787&quot;/&gt;&lt;wsp:rsid wsp:val=&quot;00B23792&quot;/&gt;&lt;wsp:rsid wsp:val=&quot;00B2396B&quot;/&gt;&lt;wsp:rsid wsp:val=&quot;00B23DAC&quot;/&gt;&lt;wsp:rsid wsp:val=&quot;00B2422A&quot;/&gt;&lt;wsp:rsid wsp:val=&quot;00B255D5&quot;/&gt;&lt;wsp:rsid wsp:val=&quot;00B2590F&quot;/&gt;&lt;wsp:rsid wsp:val=&quot;00B26080&quot;/&gt;&lt;wsp:rsid wsp:val=&quot;00B278F4&quot;/&gt;&lt;wsp:rsid wsp:val=&quot;00B3049F&quot;/&gt;&lt;wsp:rsid wsp:val=&quot;00B31149&quot;/&gt;&lt;wsp:rsid wsp:val=&quot;00B31D0D&quot;/&gt;&lt;wsp:rsid wsp:val=&quot;00B32526&quot;/&gt;&lt;wsp:rsid wsp:val=&quot;00B32AD4&quot;/&gt;&lt;wsp:rsid wsp:val=&quot;00B331D2&quot;/&gt;&lt;wsp:rsid wsp:val=&quot;00B33959&quot;/&gt;&lt;wsp:rsid wsp:val=&quot;00B3409D&quot;/&gt;&lt;wsp:rsid wsp:val=&quot;00B35328&quot;/&gt;&lt;wsp:rsid wsp:val=&quot;00B355DF&quot;/&gt;&lt;wsp:rsid wsp:val=&quot;00B36382&quot;/&gt;&lt;wsp:rsid wsp:val=&quot;00B3748B&quot;/&gt;&lt;wsp:rsid wsp:val=&quot;00B378CA&quot;/&gt;&lt;wsp:rsid wsp:val=&quot;00B37948&quot;/&gt;&lt;wsp:rsid wsp:val=&quot;00B4248D&quot;/&gt;&lt;wsp:rsid wsp:val=&quot;00B42957&quot;/&gt;&lt;wsp:rsid wsp:val=&quot;00B44E2C&quot;/&gt;&lt;wsp:rsid wsp:val=&quot;00B45D0D&quot;/&gt;&lt;wsp:rsid wsp:val=&quot;00B46680&quot;/&gt;&lt;wsp:rsid wsp:val=&quot;00B46A69&quot;/&gt;&lt;wsp:rsid wsp:val=&quot;00B507D4&quot;/&gt;&lt;wsp:rsid wsp:val=&quot;00B50973&quot;/&gt;&lt;wsp:rsid wsp:val=&quot;00B50EEB&quot;/&gt;&lt;wsp:rsid wsp:val=&quot;00B52253&quot;/&gt;&lt;wsp:rsid wsp:val=&quot;00B52334&quot;/&gt;&lt;wsp:rsid wsp:val=&quot;00B52603&quot;/&gt;&lt;wsp:rsid wsp:val=&quot;00B5273C&quot;/&gt;&lt;wsp:rsid wsp:val=&quot;00B5332D&quot;/&gt;&lt;wsp:rsid wsp:val=&quot;00B53624&quot;/&gt;&lt;wsp:rsid wsp:val=&quot;00B5379C&quot;/&gt;&lt;wsp:rsid wsp:val=&quot;00B54075&quot;/&gt;&lt;wsp:rsid wsp:val=&quot;00B54736&quot;/&gt;&lt;wsp:rsid wsp:val=&quot;00B548A0&quot;/&gt;&lt;wsp:rsid wsp:val=&quot;00B54E5A&quot;/&gt;&lt;wsp:rsid wsp:val=&quot;00B55417&quot;/&gt;&lt;wsp:rsid wsp:val=&quot;00B5581C&quot;/&gt;&lt;wsp:rsid wsp:val=&quot;00B571D1&quot;/&gt;&lt;wsp:rsid wsp:val=&quot;00B57537&quot;/&gt;&lt;wsp:rsid wsp:val=&quot;00B57BAA&quot;/&gt;&lt;wsp:rsid wsp:val=&quot;00B6016F&quot;/&gt;&lt;wsp:rsid wsp:val=&quot;00B602A2&quot;/&gt;&lt;wsp:rsid wsp:val=&quot;00B60B91&quot;/&gt;&lt;wsp:rsid wsp:val=&quot;00B61A50&quot;/&gt;&lt;wsp:rsid wsp:val=&quot;00B6211A&quot;/&gt;&lt;wsp:rsid wsp:val=&quot;00B62E4F&quot;/&gt;&lt;wsp:rsid wsp:val=&quot;00B639C8&quot;/&gt;&lt;wsp:rsid wsp:val=&quot;00B64A10&quot;/&gt;&lt;wsp:rsid wsp:val=&quot;00B6638F&quot;/&gt;&lt;wsp:rsid wsp:val=&quot;00B66D60&quot;/&gt;&lt;wsp:rsid wsp:val=&quot;00B67925&quot;/&gt;&lt;wsp:rsid wsp:val=&quot;00B7014D&quot;/&gt;&lt;wsp:rsid wsp:val=&quot;00B701CD&quot;/&gt;&lt;wsp:rsid wsp:val=&quot;00B70268&quot;/&gt;&lt;wsp:rsid wsp:val=&quot;00B70B21&quot;/&gt;&lt;wsp:rsid wsp:val=&quot;00B7184F&quot;/&gt;&lt;wsp:rsid wsp:val=&quot;00B72675&quot;/&gt;&lt;wsp:rsid wsp:val=&quot;00B72960&quot;/&gt;&lt;wsp:rsid wsp:val=&quot;00B72A23&quot;/&gt;&lt;wsp:rsid wsp:val=&quot;00B737A5&quot;/&gt;&lt;wsp:rsid wsp:val=&quot;00B73FDE&quot;/&gt;&lt;wsp:rsid wsp:val=&quot;00B7471F&quot;/&gt;&lt;wsp:rsid wsp:val=&quot;00B76E56&quot;/&gt;&lt;wsp:rsid wsp:val=&quot;00B770A2&quot;/&gt;&lt;wsp:rsid wsp:val=&quot;00B80538&quot;/&gt;&lt;wsp:rsid wsp:val=&quot;00B808F5&quot;/&gt;&lt;wsp:rsid wsp:val=&quot;00B813DB&quot;/&gt;&lt;wsp:rsid wsp:val=&quot;00B81A22&quot;/&gt;&lt;wsp:rsid wsp:val=&quot;00B825E2&quot;/&gt;&lt;wsp:rsid wsp:val=&quot;00B82892&quot;/&gt;&lt;wsp:rsid wsp:val=&quot;00B83662&quot;/&gt;&lt;wsp:rsid wsp:val=&quot;00B8406C&quot;/&gt;&lt;wsp:rsid wsp:val=&quot;00B8442A&quot;/&gt;&lt;wsp:rsid wsp:val=&quot;00B84BA6&quot;/&gt;&lt;wsp:rsid wsp:val=&quot;00B85343&quot;/&gt;&lt;wsp:rsid wsp:val=&quot;00B853E0&quot;/&gt;&lt;wsp:rsid wsp:val=&quot;00B85CEB&quot;/&gt;&lt;wsp:rsid wsp:val=&quot;00B860A8&quot;/&gt;&lt;wsp:rsid wsp:val=&quot;00B865D8&quot;/&gt;&lt;wsp:rsid wsp:val=&quot;00B867CC&quot;/&gt;&lt;wsp:rsid wsp:val=&quot;00B86A4F&quot;/&gt;&lt;wsp:rsid wsp:val=&quot;00B86B1D&quot;/&gt;&lt;wsp:rsid wsp:val=&quot;00B8708E&quot;/&gt;&lt;wsp:rsid wsp:val=&quot;00B901A9&quot;/&gt;&lt;wsp:rsid wsp:val=&quot;00B90F82&quot;/&gt;&lt;wsp:rsid wsp:val=&quot;00B91A06&quot;/&gt;&lt;wsp:rsid wsp:val=&quot;00B91ACF&quot;/&gt;&lt;wsp:rsid wsp:val=&quot;00B91ED5&quot;/&gt;&lt;wsp:rsid wsp:val=&quot;00B925AA&quot;/&gt;&lt;wsp:rsid wsp:val=&quot;00B92926&quot;/&gt;&lt;wsp:rsid wsp:val=&quot;00B929CE&quot;/&gt;&lt;wsp:rsid wsp:val=&quot;00B93168&quot;/&gt;&lt;wsp:rsid wsp:val=&quot;00B93D65&quot;/&gt;&lt;wsp:rsid wsp:val=&quot;00B93FD4&quot;/&gt;&lt;wsp:rsid wsp:val=&quot;00B94867&quot;/&gt;&lt;wsp:rsid wsp:val=&quot;00B949FB&quot;/&gt;&lt;wsp:rsid wsp:val=&quot;00B94EDE&quot;/&gt;&lt;wsp:rsid wsp:val=&quot;00B961D6&quot;/&gt;&lt;wsp:rsid wsp:val=&quot;00B96404&quot;/&gt;&lt;wsp:rsid wsp:val=&quot;00B97854&quot;/&gt;&lt;wsp:rsid wsp:val=&quot;00B97F95&quot;/&gt;&lt;wsp:rsid wsp:val=&quot;00BA0B19&quot;/&gt;&lt;wsp:rsid wsp:val=&quot;00BA1093&quot;/&gt;&lt;wsp:rsid wsp:val=&quot;00BA146B&quot;/&gt;&lt;wsp:rsid wsp:val=&quot;00BA1E7F&quot;/&gt;&lt;wsp:rsid wsp:val=&quot;00BA20AB&quot;/&gt;&lt;wsp:rsid wsp:val=&quot;00BA467F&quot;/&gt;&lt;wsp:rsid wsp:val=&quot;00BA48E4&quot;/&gt;&lt;wsp:rsid wsp:val=&quot;00BA4BB7&quot;/&gt;&lt;wsp:rsid wsp:val=&quot;00BA5523&quot;/&gt;&lt;wsp:rsid wsp:val=&quot;00BA59B7&quot;/&gt;&lt;wsp:rsid wsp:val=&quot;00BA5CF8&quot;/&gt;&lt;wsp:rsid wsp:val=&quot;00BA66E3&quot;/&gt;&lt;wsp:rsid wsp:val=&quot;00BA69E8&quot;/&gt;&lt;wsp:rsid wsp:val=&quot;00BB0403&quot;/&gt;&lt;wsp:rsid wsp:val=&quot;00BB2328&quot;/&gt;&lt;wsp:rsid wsp:val=&quot;00BB2DA1&quot;/&gt;&lt;wsp:rsid wsp:val=&quot;00BB3AAB&quot;/&gt;&lt;wsp:rsid wsp:val=&quot;00BB47A5&quot;/&gt;&lt;wsp:rsid wsp:val=&quot;00BB48AD&quot;/&gt;&lt;wsp:rsid wsp:val=&quot;00BB626B&quot;/&gt;&lt;wsp:rsid wsp:val=&quot;00BB6339&quot;/&gt;&lt;wsp:rsid wsp:val=&quot;00BB7258&quot;/&gt;&lt;wsp:rsid wsp:val=&quot;00BB7666&quot;/&gt;&lt;wsp:rsid wsp:val=&quot;00BC00AE&quot;/&gt;&lt;wsp:rsid wsp:val=&quot;00BC021D&quot;/&gt;&lt;wsp:rsid wsp:val=&quot;00BC0CA9&quot;/&gt;&lt;wsp:rsid wsp:val=&quot;00BC0E97&quot;/&gt;&lt;wsp:rsid wsp:val=&quot;00BC168A&quot;/&gt;&lt;wsp:rsid wsp:val=&quot;00BC25A8&quot;/&gt;&lt;wsp:rsid wsp:val=&quot;00BC3855&quot;/&gt;&lt;wsp:rsid wsp:val=&quot;00BC3D20&quot;/&gt;&lt;wsp:rsid wsp:val=&quot;00BC433E&quot;/&gt;&lt;wsp:rsid wsp:val=&quot;00BC5328&quot;/&gt;&lt;wsp:rsid wsp:val=&quot;00BC6728&quot;/&gt;&lt;wsp:rsid wsp:val=&quot;00BC67D3&quot;/&gt;&lt;wsp:rsid wsp:val=&quot;00BC7410&quot;/&gt;&lt;wsp:rsid wsp:val=&quot;00BC7CCE&quot;/&gt;&lt;wsp:rsid wsp:val=&quot;00BC7E5E&quot;/&gt;&lt;wsp:rsid wsp:val=&quot;00BD21A9&quot;/&gt;&lt;wsp:rsid wsp:val=&quot;00BD2EED&quot;/&gt;&lt;wsp:rsid wsp:val=&quot;00BD314D&quot;/&gt;&lt;wsp:rsid wsp:val=&quot;00BD4B52&quot;/&gt;&lt;wsp:rsid wsp:val=&quot;00BD59E3&quot;/&gt;&lt;wsp:rsid wsp:val=&quot;00BD5B28&quot;/&gt;&lt;wsp:rsid wsp:val=&quot;00BD61B9&quot;/&gt;&lt;wsp:rsid wsp:val=&quot;00BD647A&quot;/&gt;&lt;wsp:rsid wsp:val=&quot;00BE01EA&quot;/&gt;&lt;wsp:rsid wsp:val=&quot;00BE0714&quot;/&gt;&lt;wsp:rsid wsp:val=&quot;00BE0F34&quot;/&gt;&lt;wsp:rsid wsp:val=&quot;00BE153A&quot;/&gt;&lt;wsp:rsid wsp:val=&quot;00BE3C76&quot;/&gt;&lt;wsp:rsid wsp:val=&quot;00BE439F&quot;/&gt;&lt;wsp:rsid wsp:val=&quot;00BE4423&quot;/&gt;&lt;wsp:rsid wsp:val=&quot;00BE4BF7&quot;/&gt;&lt;wsp:rsid wsp:val=&quot;00BE4F27&quot;/&gt;&lt;wsp:rsid wsp:val=&quot;00BE732B&quot;/&gt;&lt;wsp:rsid wsp:val=&quot;00BF03A5&quot;/&gt;&lt;wsp:rsid wsp:val=&quot;00BF0CF8&quot;/&gt;&lt;wsp:rsid wsp:val=&quot;00BF16C8&quot;/&gt;&lt;wsp:rsid wsp:val=&quot;00BF1FED&quot;/&gt;&lt;wsp:rsid wsp:val=&quot;00BF2522&quot;/&gt;&lt;wsp:rsid wsp:val=&quot;00BF254C&quot;/&gt;&lt;wsp:rsid wsp:val=&quot;00BF37DD&quot;/&gt;&lt;wsp:rsid wsp:val=&quot;00BF3996&quot;/&gt;&lt;wsp:rsid wsp:val=&quot;00BF3E86&quot;/&gt;&lt;wsp:rsid wsp:val=&quot;00BF471D&quot;/&gt;&lt;wsp:rsid wsp:val=&quot;00BF64B7&quot;/&gt;&lt;wsp:rsid wsp:val=&quot;00BF680B&quot;/&gt;&lt;wsp:rsid wsp:val=&quot;00BF71C1&quot;/&gt;&lt;wsp:rsid wsp:val=&quot;00C01368&quot;/&gt;&lt;wsp:rsid wsp:val=&quot;00C0237F&quot;/&gt;&lt;wsp:rsid wsp:val=&quot;00C03EA2&quot;/&gt;&lt;wsp:rsid wsp:val=&quot;00C04020&quot;/&gt;&lt;wsp:rsid wsp:val=&quot;00C049D7&quot;/&gt;&lt;wsp:rsid wsp:val=&quot;00C04AB2&quot;/&gt;&lt;wsp:rsid wsp:val=&quot;00C04E35&quot;/&gt;&lt;wsp:rsid wsp:val=&quot;00C05678&quot;/&gt;&lt;wsp:rsid wsp:val=&quot;00C06B9D&quot;/&gt;&lt;wsp:rsid wsp:val=&quot;00C07994&quot;/&gt;&lt;wsp:rsid wsp:val=&quot;00C07B83&quot;/&gt;&lt;wsp:rsid wsp:val=&quot;00C10E9A&quot;/&gt;&lt;wsp:rsid wsp:val=&quot;00C114BA&quot;/&gt;&lt;wsp:rsid wsp:val=&quot;00C121DF&quot;/&gt;&lt;wsp:rsid wsp:val=&quot;00C129DC&quot;/&gt;&lt;wsp:rsid wsp:val=&quot;00C12A50&quot;/&gt;&lt;wsp:rsid wsp:val=&quot;00C1388A&quot;/&gt;&lt;wsp:rsid wsp:val=&quot;00C13E42&quot;/&gt;&lt;wsp:rsid wsp:val=&quot;00C14406&quot;/&gt;&lt;wsp:rsid wsp:val=&quot;00C14737&quot;/&gt;&lt;wsp:rsid wsp:val=&quot;00C14828&quot;/&gt;&lt;wsp:rsid wsp:val=&quot;00C14A6F&quot;/&gt;&lt;wsp:rsid wsp:val=&quot;00C158F6&quot;/&gt;&lt;wsp:rsid wsp:val=&quot;00C15D88&quot;/&gt;&lt;wsp:rsid wsp:val=&quot;00C161CC&quot;/&gt;&lt;wsp:rsid wsp:val=&quot;00C1671E&quot;/&gt;&lt;wsp:rsid wsp:val=&quot;00C167E6&quot;/&gt;&lt;wsp:rsid wsp:val=&quot;00C1680D&quot;/&gt;&lt;wsp:rsid wsp:val=&quot;00C16950&quot;/&gt;&lt;wsp:rsid wsp:val=&quot;00C16E2E&quot;/&gt;&lt;wsp:rsid wsp:val=&quot;00C1776B&quot;/&gt;&lt;wsp:rsid wsp:val=&quot;00C17D78&quot;/&gt;&lt;wsp:rsid wsp:val=&quot;00C17D7C&quot;/&gt;&lt;wsp:rsid wsp:val=&quot;00C20071&quot;/&gt;&lt;wsp:rsid wsp:val=&quot;00C201DA&quot;/&gt;&lt;wsp:rsid wsp:val=&quot;00C213F3&quot;/&gt;&lt;wsp:rsid wsp:val=&quot;00C21657&quot;/&gt;&lt;wsp:rsid wsp:val=&quot;00C21A78&quot;/&gt;&lt;wsp:rsid wsp:val=&quot;00C21D41&quot;/&gt;&lt;wsp:rsid wsp:val=&quot;00C22067&quot;/&gt;&lt;wsp:rsid wsp:val=&quot;00C2276F&quot;/&gt;&lt;wsp:rsid wsp:val=&quot;00C22991&quot;/&gt;&lt;wsp:rsid wsp:val=&quot;00C23F48&quot;/&gt;&lt;wsp:rsid wsp:val=&quot;00C24D8E&quot;/&gt;&lt;wsp:rsid wsp:val=&quot;00C25704&quot;/&gt;&lt;wsp:rsid wsp:val=&quot;00C2573C&quot;/&gt;&lt;wsp:rsid wsp:val=&quot;00C25B33&quot;/&gt;&lt;wsp:rsid wsp:val=&quot;00C25E18&quot;/&gt;&lt;wsp:rsid wsp:val=&quot;00C26579&quot;/&gt;&lt;wsp:rsid wsp:val=&quot;00C27127&quot;/&gt;&lt;wsp:rsid wsp:val=&quot;00C27F6B&quot;/&gt;&lt;wsp:rsid wsp:val=&quot;00C31C55&quot;/&gt;&lt;wsp:rsid wsp:val=&quot;00C3225C&quot;/&gt;&lt;wsp:rsid wsp:val=&quot;00C32FE5&quot;/&gt;&lt;wsp:rsid wsp:val=&quot;00C33B9A&quot;/&gt;&lt;wsp:rsid wsp:val=&quot;00C362E1&quot;/&gt;&lt;wsp:rsid wsp:val=&quot;00C3678D&quot;/&gt;&lt;wsp:rsid wsp:val=&quot;00C36D41&quot;/&gt;&lt;wsp:rsid wsp:val=&quot;00C374BC&quot;/&gt;&lt;wsp:rsid wsp:val=&quot;00C37D1A&quot;/&gt;&lt;wsp:rsid wsp:val=&quot;00C40988&quot;/&gt;&lt;wsp:rsid wsp:val=&quot;00C40BF6&quot;/&gt;&lt;wsp:rsid wsp:val=&quot;00C413E7&quot;/&gt;&lt;wsp:rsid wsp:val=&quot;00C41854&quot;/&gt;&lt;wsp:rsid wsp:val=&quot;00C43C77&quot;/&gt;&lt;wsp:rsid wsp:val=&quot;00C44165&quot;/&gt;&lt;wsp:rsid wsp:val=&quot;00C452BA&quot;/&gt;&lt;wsp:rsid wsp:val=&quot;00C454F0&quot;/&gt;&lt;wsp:rsid wsp:val=&quot;00C4570A&quot;/&gt;&lt;wsp:rsid wsp:val=&quot;00C50358&quot;/&gt;&lt;wsp:rsid wsp:val=&quot;00C50D55&quot;/&gt;&lt;wsp:rsid wsp:val=&quot;00C50FE9&quot;/&gt;&lt;wsp:rsid wsp:val=&quot;00C51B52&quot;/&gt;&lt;wsp:rsid wsp:val=&quot;00C52108&quot;/&gt;&lt;wsp:rsid wsp:val=&quot;00C52AD0&quot;/&gt;&lt;wsp:rsid wsp:val=&quot;00C5448E&quot;/&gt;&lt;wsp:rsid wsp:val=&quot;00C546A1&quot;/&gt;&lt;wsp:rsid wsp:val=&quot;00C54946&quot;/&gt;&lt;wsp:rsid wsp:val=&quot;00C567DE&quot;/&gt;&lt;wsp:rsid wsp:val=&quot;00C5764F&quot;/&gt;&lt;wsp:rsid wsp:val=&quot;00C57F81&quot;/&gt;&lt;wsp:rsid wsp:val=&quot;00C60915&quot;/&gt;&lt;wsp:rsid wsp:val=&quot;00C61E1C&quot;/&gt;&lt;wsp:rsid wsp:val=&quot;00C63AAC&quot;/&gt;&lt;wsp:rsid wsp:val=&quot;00C64ED4&quot;/&gt;&lt;wsp:rsid wsp:val=&quot;00C657FD&quot;/&gt;&lt;wsp:rsid wsp:val=&quot;00C6589A&quot;/&gt;&lt;wsp:rsid wsp:val=&quot;00C663B9&quot;/&gt;&lt;wsp:rsid wsp:val=&quot;00C678C0&quot;/&gt;&lt;wsp:rsid wsp:val=&quot;00C72E84&quot;/&gt;&lt;wsp:rsid wsp:val=&quot;00C732A8&quot;/&gt;&lt;wsp:rsid wsp:val=&quot;00C7344B&quot;/&gt;&lt;wsp:rsid wsp:val=&quot;00C743FD&quot;/&gt;&lt;wsp:rsid wsp:val=&quot;00C76243&quot;/&gt;&lt;wsp:rsid wsp:val=&quot;00C76886&quot;/&gt;&lt;wsp:rsid wsp:val=&quot;00C76E31&quot;/&gt;&lt;wsp:rsid wsp:val=&quot;00C77C8D&quot;/&gt;&lt;wsp:rsid wsp:val=&quot;00C77E17&quot;/&gt;&lt;wsp:rsid wsp:val=&quot;00C80BC5&quot;/&gt;&lt;wsp:rsid wsp:val=&quot;00C83027&quot;/&gt;&lt;wsp:rsid wsp:val=&quot;00C84F5F&quot;/&gt;&lt;wsp:rsid wsp:val=&quot;00C85468&quot;/&gt;&lt;wsp:rsid wsp:val=&quot;00C858E5&quot;/&gt;&lt;wsp:rsid wsp:val=&quot;00C85A8A&quot;/&gt;&lt;wsp:rsid wsp:val=&quot;00C869E6&quot;/&gt;&lt;wsp:rsid wsp:val=&quot;00C86ECD&quot;/&gt;&lt;wsp:rsid wsp:val=&quot;00C86F36&quot;/&gt;&lt;wsp:rsid wsp:val=&quot;00C874C4&quot;/&gt;&lt;wsp:rsid wsp:val=&quot;00C87535&quot;/&gt;&lt;wsp:rsid wsp:val=&quot;00C8791E&quot;/&gt;&lt;wsp:rsid wsp:val=&quot;00C87B21&quot;/&gt;&lt;wsp:rsid wsp:val=&quot;00C9046B&quot;/&gt;&lt;wsp:rsid wsp:val=&quot;00C905C4&quot;/&gt;&lt;wsp:rsid wsp:val=&quot;00C90C9C&quot;/&gt;&lt;wsp:rsid wsp:val=&quot;00C90E2F&quot;/&gt;&lt;wsp:rsid wsp:val=&quot;00C90F66&quot;/&gt;&lt;wsp:rsid wsp:val=&quot;00C90FB5&quot;/&gt;&lt;wsp:rsid wsp:val=&quot;00C91D87&quot;/&gt;&lt;wsp:rsid wsp:val=&quot;00C92257&quot;/&gt;&lt;wsp:rsid wsp:val=&quot;00C922B3&quot;/&gt;&lt;wsp:rsid wsp:val=&quot;00C926B1&quot;/&gt;&lt;wsp:rsid wsp:val=&quot;00C927A0&quot;/&gt;&lt;wsp:rsid wsp:val=&quot;00C92BE6&quot;/&gt;&lt;wsp:rsid wsp:val=&quot;00C94CD1&quot;/&gt;&lt;wsp:rsid wsp:val=&quot;00C95214&quot;/&gt;&lt;wsp:rsid wsp:val=&quot;00C95700&quot;/&gt;&lt;wsp:rsid wsp:val=&quot;00C95DF3&quot;/&gt;&lt;wsp:rsid wsp:val=&quot;00C966B2&quot;/&gt;&lt;wsp:rsid wsp:val=&quot;00C973A2&quot;/&gt;&lt;wsp:rsid wsp:val=&quot;00CA0450&quot;/&gt;&lt;wsp:rsid wsp:val=&quot;00CA06DD&quot;/&gt;&lt;wsp:rsid wsp:val=&quot;00CA0AE8&quot;/&gt;&lt;wsp:rsid wsp:val=&quot;00CA0EB1&quot;/&gt;&lt;wsp:rsid wsp:val=&quot;00CA189F&quot;/&gt;&lt;wsp:rsid wsp:val=&quot;00CA1EB1&quot;/&gt;&lt;wsp:rsid wsp:val=&quot;00CA3218&quot;/&gt;&lt;wsp:rsid wsp:val=&quot;00CA5D70&quot;/&gt;&lt;wsp:rsid wsp:val=&quot;00CA7447&quot;/&gt;&lt;wsp:rsid wsp:val=&quot;00CA7531&quot;/&gt;&lt;wsp:rsid wsp:val=&quot;00CB0003&quot;/&gt;&lt;wsp:rsid wsp:val=&quot;00CB02D0&quot;/&gt;&lt;wsp:rsid wsp:val=&quot;00CB04AB&quot;/&gt;&lt;wsp:rsid wsp:val=&quot;00CB0528&quot;/&gt;&lt;wsp:rsid wsp:val=&quot;00CB18B3&quot;/&gt;&lt;wsp:rsid wsp:val=&quot;00CB1AEC&quot;/&gt;&lt;wsp:rsid wsp:val=&quot;00CB2654&quot;/&gt;&lt;wsp:rsid wsp:val=&quot;00CB2DC3&quot;/&gt;&lt;wsp:rsid wsp:val=&quot;00CB3E50&quot;/&gt;&lt;wsp:rsid wsp:val=&quot;00CB4017&quot;/&gt;&lt;wsp:rsid wsp:val=&quot;00CB592F&quot;/&gt;&lt;wsp:rsid wsp:val=&quot;00CC02C1&quot;/&gt;&lt;wsp:rsid wsp:val=&quot;00CC1297&quot;/&gt;&lt;wsp:rsid wsp:val=&quot;00CC1736&quot;/&gt;&lt;wsp:rsid wsp:val=&quot;00CC1B3A&quot;/&gt;&lt;wsp:rsid wsp:val=&quot;00CC2227&quot;/&gt;&lt;wsp:rsid wsp:val=&quot;00CC2777&quot;/&gt;&lt;wsp:rsid wsp:val=&quot;00CC39CC&quot;/&gt;&lt;wsp:rsid wsp:val=&quot;00CC44D5&quot;/&gt;&lt;wsp:rsid wsp:val=&quot;00CC4BB3&quot;/&gt;&lt;wsp:rsid wsp:val=&quot;00CC520E&quot;/&gt;&lt;wsp:rsid wsp:val=&quot;00CC614D&quot;/&gt;&lt;wsp:rsid wsp:val=&quot;00CC6AD1&quot;/&gt;&lt;wsp:rsid wsp:val=&quot;00CC7AFC&quot;/&gt;&lt;wsp:rsid wsp:val=&quot;00CD05C8&quot;/&gt;&lt;wsp:rsid wsp:val=&quot;00CD0E33&quot;/&gt;&lt;wsp:rsid wsp:val=&quot;00CD0F35&quot;/&gt;&lt;wsp:rsid wsp:val=&quot;00CD1B46&quot;/&gt;&lt;wsp:rsid wsp:val=&quot;00CD1FBD&quot;/&gt;&lt;wsp:rsid wsp:val=&quot;00CD22A3&quot;/&gt;&lt;wsp:rsid wsp:val=&quot;00CD29B8&quot;/&gt;&lt;wsp:rsid wsp:val=&quot;00CD357A&quot;/&gt;&lt;wsp:rsid wsp:val=&quot;00CD475E&quot;/&gt;&lt;wsp:rsid wsp:val=&quot;00CD5089&quot;/&gt;&lt;wsp:rsid wsp:val=&quot;00CD51B5&quot;/&gt;&lt;wsp:rsid wsp:val=&quot;00CD614C&quot;/&gt;&lt;wsp:rsid wsp:val=&quot;00CD6D0F&quot;/&gt;&lt;wsp:rsid wsp:val=&quot;00CE18CC&quot;/&gt;&lt;wsp:rsid wsp:val=&quot;00CE1C42&quot;/&gt;&lt;wsp:rsid wsp:val=&quot;00CE3A03&quot;/&gt;&lt;wsp:rsid wsp:val=&quot;00CE3E4C&quot;/&gt;&lt;wsp:rsid wsp:val=&quot;00CE40B1&quot;/&gt;&lt;wsp:rsid wsp:val=&quot;00CE4E00&quot;/&gt;&lt;wsp:rsid wsp:val=&quot;00CE5B25&quot;/&gt;&lt;wsp:rsid wsp:val=&quot;00CE727E&quot;/&gt;&lt;wsp:rsid wsp:val=&quot;00CE7B23&quot;/&gt;&lt;wsp:rsid wsp:val=&quot;00CF0181&quot;/&gt;&lt;wsp:rsid wsp:val=&quot;00CF16AD&quot;/&gt;&lt;wsp:rsid wsp:val=&quot;00CF254B&quot;/&gt;&lt;wsp:rsid wsp:val=&quot;00CF2BAB&quot;/&gt;&lt;wsp:rsid wsp:val=&quot;00CF3231&quot;/&gt;&lt;wsp:rsid wsp:val=&quot;00CF478C&quot;/&gt;&lt;wsp:rsid wsp:val=&quot;00CF5198&quot;/&gt;&lt;wsp:rsid wsp:val=&quot;00CF5230&quot;/&gt;&lt;wsp:rsid wsp:val=&quot;00CF5EE1&quot;/&gt;&lt;wsp:rsid wsp:val=&quot;00CF6460&quot;/&gt;&lt;wsp:rsid wsp:val=&quot;00CF78AC&quot;/&gt;&lt;wsp:rsid wsp:val=&quot;00CF7A85&quot;/&gt;&lt;wsp:rsid wsp:val=&quot;00D000D2&quot;/&gt;&lt;wsp:rsid wsp:val=&quot;00D01104&quot;/&gt;&lt;wsp:rsid wsp:val=&quot;00D01E08&quot;/&gt;&lt;wsp:rsid wsp:val=&quot;00D026DD&quot;/&gt;&lt;wsp:rsid wsp:val=&quot;00D045DA&quot;/&gt;&lt;wsp:rsid wsp:val=&quot;00D0461E&quot;/&gt;&lt;wsp:rsid wsp:val=&quot;00D05C73&quot;/&gt;&lt;wsp:rsid wsp:val=&quot;00D06820&quot;/&gt;&lt;wsp:rsid wsp:val=&quot;00D06882&quot;/&gt;&lt;wsp:rsid wsp:val=&quot;00D07C92&quot;/&gt;&lt;wsp:rsid wsp:val=&quot;00D11295&quot;/&gt;&lt;wsp:rsid wsp:val=&quot;00D11334&quot;/&gt;&lt;wsp:rsid wsp:val=&quot;00D11553&quot;/&gt;&lt;wsp:rsid wsp:val=&quot;00D126E9&quot;/&gt;&lt;wsp:rsid wsp:val=&quot;00D1564E&quot;/&gt;&lt;wsp:rsid wsp:val=&quot;00D15908&quot;/&gt;&lt;wsp:rsid wsp:val=&quot;00D160B0&quot;/&gt;&lt;wsp:rsid wsp:val=&quot;00D16550&quot;/&gt;&lt;wsp:rsid wsp:val=&quot;00D168FD&quot;/&gt;&lt;wsp:rsid wsp:val=&quot;00D1771A&quot;/&gt;&lt;wsp:rsid wsp:val=&quot;00D178FD&quot;/&gt;&lt;wsp:rsid wsp:val=&quot;00D20466&quot;/&gt;&lt;wsp:rsid wsp:val=&quot;00D20697&quot;/&gt;&lt;wsp:rsid wsp:val=&quot;00D20EA8&quot;/&gt;&lt;wsp:rsid wsp:val=&quot;00D210CA&quot;/&gt;&lt;wsp:rsid wsp:val=&quot;00D21582&quot;/&gt;&lt;wsp:rsid wsp:val=&quot;00D21897&quot;/&gt;&lt;wsp:rsid wsp:val=&quot;00D21B00&quot;/&gt;&lt;wsp:rsid wsp:val=&quot;00D21BCE&quot;/&gt;&lt;wsp:rsid wsp:val=&quot;00D21DA8&quot;/&gt;&lt;wsp:rsid wsp:val=&quot;00D24A59&quot;/&gt;&lt;wsp:rsid wsp:val=&quot;00D24B99&quot;/&gt;&lt;wsp:rsid wsp:val=&quot;00D25538&quot;/&gt;&lt;wsp:rsid wsp:val=&quot;00D26371&quot;/&gt;&lt;wsp:rsid wsp:val=&quot;00D2735C&quot;/&gt;&lt;wsp:rsid wsp:val=&quot;00D27576&quot;/&gt;&lt;wsp:rsid wsp:val=&quot;00D27C94&quot;/&gt;&lt;wsp:rsid wsp:val=&quot;00D308CD&quot;/&gt;&lt;wsp:rsid wsp:val=&quot;00D3090F&quot;/&gt;&lt;wsp:rsid wsp:val=&quot;00D30D33&quot;/&gt;&lt;wsp:rsid wsp:val=&quot;00D318CF&quot;/&gt;&lt;wsp:rsid wsp:val=&quot;00D325CC&quot;/&gt;&lt;wsp:rsid wsp:val=&quot;00D3360C&quot;/&gt;&lt;wsp:rsid wsp:val=&quot;00D33B36&quot;/&gt;&lt;wsp:rsid wsp:val=&quot;00D34000&quot;/&gt;&lt;wsp:rsid wsp:val=&quot;00D352E9&quot;/&gt;&lt;wsp:rsid wsp:val=&quot;00D364ED&quot;/&gt;&lt;wsp:rsid wsp:val=&quot;00D36667&quot;/&gt;&lt;wsp:rsid wsp:val=&quot;00D369E9&quot;/&gt;&lt;wsp:rsid wsp:val=&quot;00D3765B&quot;/&gt;&lt;wsp:rsid wsp:val=&quot;00D413CF&quot;/&gt;&lt;wsp:rsid wsp:val=&quot;00D41E54&quot;/&gt;&lt;wsp:rsid wsp:val=&quot;00D42F14&quot;/&gt;&lt;wsp:rsid wsp:val=&quot;00D44D43&quot;/&gt;&lt;wsp:rsid wsp:val=&quot;00D44EAB&quot;/&gt;&lt;wsp:rsid wsp:val=&quot;00D45A0B&quot;/&gt;&lt;wsp:rsid wsp:val=&quot;00D45CC8&quot;/&gt;&lt;wsp:rsid wsp:val=&quot;00D45DE3&quot;/&gt;&lt;wsp:rsid wsp:val=&quot;00D4615A&quot;/&gt;&lt;wsp:rsid wsp:val=&quot;00D46595&quot;/&gt;&lt;wsp:rsid wsp:val=&quot;00D4674E&quot;/&gt;&lt;wsp:rsid wsp:val=&quot;00D47871&quot;/&gt;&lt;wsp:rsid wsp:val=&quot;00D507E2&quot;/&gt;&lt;wsp:rsid wsp:val=&quot;00D51FED&quot;/&gt;&lt;wsp:rsid wsp:val=&quot;00D53111&quot;/&gt;&lt;wsp:rsid wsp:val=&quot;00D53EC7&quot;/&gt;&lt;wsp:rsid wsp:val=&quot;00D5424C&quot;/&gt;&lt;wsp:rsid wsp:val=&quot;00D557DD&quot;/&gt;&lt;wsp:rsid wsp:val=&quot;00D558B9&quot;/&gt;&lt;wsp:rsid wsp:val=&quot;00D55A57&quot;/&gt;&lt;wsp:rsid wsp:val=&quot;00D5626A&quot;/&gt;&lt;wsp:rsid wsp:val=&quot;00D56C95&quot;/&gt;&lt;wsp:rsid wsp:val=&quot;00D573CC&quot;/&gt;&lt;wsp:rsid wsp:val=&quot;00D57C7C&quot;/&gt;&lt;wsp:rsid wsp:val=&quot;00D607AD&quot;/&gt;&lt;wsp:rsid wsp:val=&quot;00D608D6&quot;/&gt;&lt;wsp:rsid wsp:val=&quot;00D60FC8&quot;/&gt;&lt;wsp:rsid wsp:val=&quot;00D6150F&quot;/&gt;&lt;wsp:rsid wsp:val=&quot;00D6254F&quot;/&gt;&lt;wsp:rsid wsp:val=&quot;00D62804&quot;/&gt;&lt;wsp:rsid wsp:val=&quot;00D62D54&quot;/&gt;&lt;wsp:rsid wsp:val=&quot;00D63971&quot;/&gt;&lt;wsp:rsid wsp:val=&quot;00D64C0E&quot;/&gt;&lt;wsp:rsid wsp:val=&quot;00D6629D&quot;/&gt;&lt;wsp:rsid wsp:val=&quot;00D6677F&quot;/&gt;&lt;wsp:rsid wsp:val=&quot;00D669DE&quot;/&gt;&lt;wsp:rsid wsp:val=&quot;00D66E62&quot;/&gt;&lt;wsp:rsid wsp:val=&quot;00D67252&quot;/&gt;&lt;wsp:rsid wsp:val=&quot;00D7043B&quot;/&gt;&lt;wsp:rsid wsp:val=&quot;00D7141D&quot;/&gt;&lt;wsp:rsid wsp:val=&quot;00D73539&quot;/&gt;&lt;wsp:rsid wsp:val=&quot;00D748C3&quot;/&gt;&lt;wsp:rsid wsp:val=&quot;00D76E14&quot;/&gt;&lt;wsp:rsid wsp:val=&quot;00D773C1&quot;/&gt;&lt;wsp:rsid wsp:val=&quot;00D77CB2&quot;/&gt;&lt;wsp:rsid wsp:val=&quot;00D8215C&quot;/&gt;&lt;wsp:rsid wsp:val=&quot;00D84BD5&quot;/&gt;&lt;wsp:rsid wsp:val=&quot;00D869DC&quot;/&gt;&lt;wsp:rsid wsp:val=&quot;00D86C7D&quot;/&gt;&lt;wsp:rsid wsp:val=&quot;00D872FD&quot;/&gt;&lt;wsp:rsid wsp:val=&quot;00D878A0&quot;/&gt;&lt;wsp:rsid wsp:val=&quot;00D9077C&quot;/&gt;&lt;wsp:rsid wsp:val=&quot;00D9099C&quot;/&gt;&lt;wsp:rsid wsp:val=&quot;00D91545&quot;/&gt;&lt;wsp:rsid wsp:val=&quot;00D91685&quot;/&gt;&lt;wsp:rsid wsp:val=&quot;00D91B78&quot;/&gt;&lt;wsp:rsid wsp:val=&quot;00D945E8&quot;/&gt;&lt;wsp:rsid wsp:val=&quot;00D947FF&quot;/&gt;&lt;wsp:rsid wsp:val=&quot;00D94BD4&quot;/&gt;&lt;wsp:rsid wsp:val=&quot;00D95361&quot;/&gt;&lt;wsp:rsid wsp:val=&quot;00D9601C&quot;/&gt;&lt;wsp:rsid wsp:val=&quot;00D96B02&quot;/&gt;&lt;wsp:rsid wsp:val=&quot;00D96CAE&quot;/&gt;&lt;wsp:rsid wsp:val=&quot;00D97467&quot;/&gt;&lt;wsp:rsid wsp:val=&quot;00D97557&quot;/&gt;&lt;wsp:rsid wsp:val=&quot;00DA1036&quot;/&gt;&lt;wsp:rsid wsp:val=&quot;00DA10BF&quot;/&gt;&lt;wsp:rsid wsp:val=&quot;00DA1144&quot;/&gt;&lt;wsp:rsid wsp:val=&quot;00DA11BD&quot;/&gt;&lt;wsp:rsid wsp:val=&quot;00DA1816&quot;/&gt;&lt;wsp:rsid wsp:val=&quot;00DA32C1&quot;/&gt;&lt;wsp:rsid wsp:val=&quot;00DA3439&quot;/&gt;&lt;wsp:rsid wsp:val=&quot;00DA4AA2&quot;/&gt;&lt;wsp:rsid wsp:val=&quot;00DA5055&quot;/&gt;&lt;wsp:rsid wsp:val=&quot;00DA57AB&quot;/&gt;&lt;wsp:rsid wsp:val=&quot;00DA6190&quot;/&gt;&lt;wsp:rsid wsp:val=&quot;00DA6F61&quot;/&gt;&lt;wsp:rsid wsp:val=&quot;00DA7235&quot;/&gt;&lt;wsp:rsid wsp:val=&quot;00DA7676&quot;/&gt;&lt;wsp:rsid wsp:val=&quot;00DA7C34&quot;/&gt;&lt;wsp:rsid wsp:val=&quot;00DB0AAD&quot;/&gt;&lt;wsp:rsid wsp:val=&quot;00DB0C5D&quot;/&gt;&lt;wsp:rsid wsp:val=&quot;00DB1287&quot;/&gt;&lt;wsp:rsid wsp:val=&quot;00DB1797&quot;/&gt;&lt;wsp:rsid wsp:val=&quot;00DB320C&quot;/&gt;&lt;wsp:rsid wsp:val=&quot;00DB39BD&quot;/&gt;&lt;wsp:rsid wsp:val=&quot;00DB5DB8&quot;/&gt;&lt;wsp:rsid wsp:val=&quot;00DB5EAD&quot;/&gt;&lt;wsp:rsid wsp:val=&quot;00DB65AE&quot;/&gt;&lt;wsp:rsid wsp:val=&quot;00DB76CB&quot;/&gt;&lt;wsp:rsid wsp:val=&quot;00DB788C&quot;/&gt;&lt;wsp:rsid wsp:val=&quot;00DC0B2D&quot;/&gt;&lt;wsp:rsid wsp:val=&quot;00DC0FA7&quot;/&gt;&lt;wsp:rsid wsp:val=&quot;00DC19B6&quot;/&gt;&lt;wsp:rsid wsp:val=&quot;00DC1C2E&quot;/&gt;&lt;wsp:rsid wsp:val=&quot;00DC1ED9&quot;/&gt;&lt;wsp:rsid wsp:val=&quot;00DC22D3&quot;/&gt;&lt;wsp:rsid wsp:val=&quot;00DC2507&quot;/&gt;&lt;wsp:rsid wsp:val=&quot;00DC2DFB&quot;/&gt;&lt;wsp:rsid wsp:val=&quot;00DC3235&quot;/&gt;&lt;wsp:rsid wsp:val=&quot;00DC48A8&quot;/&gt;&lt;wsp:rsid wsp:val=&quot;00DC546E&quot;/&gt;&lt;wsp:rsid wsp:val=&quot;00DC58B4&quot;/&gt;&lt;wsp:rsid wsp:val=&quot;00DC5A3B&quot;/&gt;&lt;wsp:rsid wsp:val=&quot;00DC6869&quot;/&gt;&lt;wsp:rsid wsp:val=&quot;00DD09C7&quot;/&gt;&lt;wsp:rsid wsp:val=&quot;00DD1C09&quot;/&gt;&lt;wsp:rsid wsp:val=&quot;00DD2D5C&quot;/&gt;&lt;wsp:rsid wsp:val=&quot;00DD2E44&quot;/&gt;&lt;wsp:rsid wsp:val=&quot;00DD39A7&quot;/&gt;&lt;wsp:rsid wsp:val=&quot;00DD5529&quot;/&gt;&lt;wsp:rsid wsp:val=&quot;00DD56C7&quot;/&gt;&lt;wsp:rsid wsp:val=&quot;00DD679D&quot;/&gt;&lt;wsp:rsid wsp:val=&quot;00DE0365&quot;/&gt;&lt;wsp:rsid wsp:val=&quot;00DE1715&quot;/&gt;&lt;wsp:rsid wsp:val=&quot;00DE1F81&quot;/&gt;&lt;wsp:rsid wsp:val=&quot;00DE2B8D&quot;/&gt;&lt;wsp:rsid wsp:val=&quot;00DE3273&quot;/&gt;&lt;wsp:rsid wsp:val=&quot;00DE3715&quot;/&gt;&lt;wsp:rsid wsp:val=&quot;00DE58C7&quot;/&gt;&lt;wsp:rsid wsp:val=&quot;00DE5DC8&quot;/&gt;&lt;wsp:rsid wsp:val=&quot;00DE7D91&quot;/&gt;&lt;wsp:rsid wsp:val=&quot;00DF047E&quot;/&gt;&lt;wsp:rsid wsp:val=&quot;00DF051F&quot;/&gt;&lt;wsp:rsid wsp:val=&quot;00DF0586&quot;/&gt;&lt;wsp:rsid wsp:val=&quot;00DF07BF&quot;/&gt;&lt;wsp:rsid wsp:val=&quot;00DF192E&quot;/&gt;&lt;wsp:rsid wsp:val=&quot;00DF3803&quot;/&gt;&lt;wsp:rsid wsp:val=&quot;00DF3937&quot;/&gt;&lt;wsp:rsid wsp:val=&quot;00DF4168&quot;/&gt;&lt;wsp:rsid wsp:val=&quot;00DF5015&quot;/&gt;&lt;wsp:rsid wsp:val=&quot;00DF6084&quot;/&gt;&lt;wsp:rsid wsp:val=&quot;00DF6B96&quot;/&gt;&lt;wsp:rsid wsp:val=&quot;00DF705B&quot;/&gt;&lt;wsp:rsid wsp:val=&quot;00DF79B9&quot;/&gt;&lt;wsp:rsid wsp:val=&quot;00E005AF&quot;/&gt;&lt;wsp:rsid wsp:val=&quot;00E04232&quot;/&gt;&lt;wsp:rsid wsp:val=&quot;00E045C3&quot;/&gt;&lt;wsp:rsid wsp:val=&quot;00E0473E&quot;/&gt;&lt;wsp:rsid wsp:val=&quot;00E047B1&quot;/&gt;&lt;wsp:rsid wsp:val=&quot;00E051C2&quot;/&gt;&lt;wsp:rsid wsp:val=&quot;00E0532D&quot;/&gt;&lt;wsp:rsid wsp:val=&quot;00E05D14&quot;/&gt;&lt;wsp:rsid wsp:val=&quot;00E06348&quot;/&gt;&lt;wsp:rsid wsp:val=&quot;00E07142&quot;/&gt;&lt;wsp:rsid wsp:val=&quot;00E07603&quot;/&gt;&lt;wsp:rsid wsp:val=&quot;00E105C7&quot;/&gt;&lt;wsp:rsid wsp:val=&quot;00E11928&quot;/&gt;&lt;wsp:rsid wsp:val=&quot;00E1242F&quot;/&gt;&lt;wsp:rsid wsp:val=&quot;00E13BFF&quot;/&gt;&lt;wsp:rsid wsp:val=&quot;00E13C16&quot;/&gt;&lt;wsp:rsid wsp:val=&quot;00E147F3&quot;/&gt;&lt;wsp:rsid wsp:val=&quot;00E160F5&quot;/&gt;&lt;wsp:rsid wsp:val=&quot;00E165B7&quot;/&gt;&lt;wsp:rsid wsp:val=&quot;00E1761C&quot;/&gt;&lt;wsp:rsid wsp:val=&quot;00E17779&quot;/&gt;&lt;wsp:rsid wsp:val=&quot;00E209E7&quot;/&gt;&lt;wsp:rsid wsp:val=&quot;00E212A0&quot;/&gt;&lt;wsp:rsid wsp:val=&quot;00E217CC&quot;/&gt;&lt;wsp:rsid wsp:val=&quot;00E21FAD&quot;/&gt;&lt;wsp:rsid wsp:val=&quot;00E22F8F&quot;/&gt;&lt;wsp:rsid wsp:val=&quot;00E2325C&quot;/&gt;&lt;wsp:rsid wsp:val=&quot;00E23AA0&quot;/&gt;&lt;wsp:rsid wsp:val=&quot;00E23B89&quot;/&gt;&lt;wsp:rsid wsp:val=&quot;00E244B0&quot;/&gt;&lt;wsp:rsid wsp:val=&quot;00E25BB1&quot;/&gt;&lt;wsp:rsid wsp:val=&quot;00E2619B&quot;/&gt;&lt;wsp:rsid wsp:val=&quot;00E267AB&quot;/&gt;&lt;wsp:rsid wsp:val=&quot;00E27C08&quot;/&gt;&lt;wsp:rsid wsp:val=&quot;00E30613&quot;/&gt;&lt;wsp:rsid wsp:val=&quot;00E31A5A&quot;/&gt;&lt;wsp:rsid wsp:val=&quot;00E31C1A&quot;/&gt;&lt;wsp:rsid wsp:val=&quot;00E326C9&quot;/&gt;&lt;wsp:rsid wsp:val=&quot;00E32CEA&quot;/&gt;&lt;wsp:rsid wsp:val=&quot;00E3311D&quot;/&gt;&lt;wsp:rsid wsp:val=&quot;00E33A60&quot;/&gt;&lt;wsp:rsid wsp:val=&quot;00E33BAC&quot;/&gt;&lt;wsp:rsid wsp:val=&quot;00E33F65&quot;/&gt;&lt;wsp:rsid wsp:val=&quot;00E35104&quot;/&gt;&lt;wsp:rsid wsp:val=&quot;00E35884&quot;/&gt;&lt;wsp:rsid wsp:val=&quot;00E36B24&quot;/&gt;&lt;wsp:rsid wsp:val=&quot;00E3755E&quot;/&gt;&lt;wsp:rsid wsp:val=&quot;00E37B1F&quot;/&gt;&lt;wsp:rsid wsp:val=&quot;00E37D2D&quot;/&gt;&lt;wsp:rsid wsp:val=&quot;00E401B0&quot;/&gt;&lt;wsp:rsid wsp:val=&quot;00E40B4F&quot;/&gt;&lt;wsp:rsid wsp:val=&quot;00E40DE7&quot;/&gt;&lt;wsp:rsid wsp:val=&quot;00E41664&quot;/&gt;&lt;wsp:rsid wsp:val=&quot;00E41BCD&quot;/&gt;&lt;wsp:rsid wsp:val=&quot;00E43FFA&quot;/&gt;&lt;wsp:rsid wsp:val=&quot;00E4425B&quot;/&gt;&lt;wsp:rsid wsp:val=&quot;00E45DC1&quot;/&gt;&lt;wsp:rsid wsp:val=&quot;00E45F39&quot;/&gt;&lt;wsp:rsid wsp:val=&quot;00E46BFB&quot;/&gt;&lt;wsp:rsid wsp:val=&quot;00E477D5&quot;/&gt;&lt;wsp:rsid wsp:val=&quot;00E47CD9&quot;/&gt;&lt;wsp:rsid wsp:val=&quot;00E50269&quot;/&gt;&lt;wsp:rsid wsp:val=&quot;00E511D2&quot;/&gt;&lt;wsp:rsid wsp:val=&quot;00E51D0C&quot;/&gt;&lt;wsp:rsid wsp:val=&quot;00E52328&quot;/&gt;&lt;wsp:rsid wsp:val=&quot;00E524E6&quot;/&gt;&lt;wsp:rsid wsp:val=&quot;00E535B4&quot;/&gt;&lt;wsp:rsid wsp:val=&quot;00E53A35&quot;/&gt;&lt;wsp:rsid wsp:val=&quot;00E53EDA&quot;/&gt;&lt;wsp:rsid wsp:val=&quot;00E542C5&quot;/&gt;&lt;wsp:rsid wsp:val=&quot;00E54494&quot;/&gt;&lt;wsp:rsid wsp:val=&quot;00E54CB5&quot;/&gt;&lt;wsp:rsid wsp:val=&quot;00E55039&quot;/&gt;&lt;wsp:rsid wsp:val=&quot;00E55156&quot;/&gt;&lt;wsp:rsid wsp:val=&quot;00E55CC8&quot;/&gt;&lt;wsp:rsid wsp:val=&quot;00E577A9&quot;/&gt;&lt;wsp:rsid wsp:val=&quot;00E60352&quot;/&gt;&lt;wsp:rsid wsp:val=&quot;00E616AF&quot;/&gt;&lt;wsp:rsid wsp:val=&quot;00E6245F&quot;/&gt;&lt;wsp:rsid wsp:val=&quot;00E6309C&quot;/&gt;&lt;wsp:rsid wsp:val=&quot;00E633A3&quot;/&gt;&lt;wsp:rsid wsp:val=&quot;00E643E6&quot;/&gt;&lt;wsp:rsid wsp:val=&quot;00E64649&quot;/&gt;&lt;wsp:rsid wsp:val=&quot;00E6665B&quot;/&gt;&lt;wsp:rsid wsp:val=&quot;00E67C09&quot;/&gt;&lt;wsp:rsid wsp:val=&quot;00E67D7D&quot;/&gt;&lt;wsp:rsid wsp:val=&quot;00E7028F&quot;/&gt;&lt;wsp:rsid wsp:val=&quot;00E704BD&quot;/&gt;&lt;wsp:rsid wsp:val=&quot;00E73187&quot;/&gt;&lt;wsp:rsid wsp:val=&quot;00E74789&quot;/&gt;&lt;wsp:rsid wsp:val=&quot;00E749A8&quot;/&gt;&lt;wsp:rsid wsp:val=&quot;00E76924&quot;/&gt;&lt;wsp:rsid wsp:val=&quot;00E76BBE&quot;/&gt;&lt;wsp:rsid wsp:val=&quot;00E771AB&quot;/&gt;&lt;wsp:rsid wsp:val=&quot;00E779F0&quot;/&gt;&lt;wsp:rsid wsp:val=&quot;00E80DEE&quot;/&gt;&lt;wsp:rsid wsp:val=&quot;00E81636&quot;/&gt;&lt;wsp:rsid wsp:val=&quot;00E819D8&quot;/&gt;&lt;wsp:rsid wsp:val=&quot;00E829A6&quot;/&gt;&lt;wsp:rsid wsp:val=&quot;00E82EFF&quot;/&gt;&lt;wsp:rsid wsp:val=&quot;00E830CD&quot;/&gt;&lt;wsp:rsid wsp:val=&quot;00E83233&quot;/&gt;&lt;wsp:rsid wsp:val=&quot;00E833FE&quot;/&gt;&lt;wsp:rsid wsp:val=&quot;00E846B2&quot;/&gt;&lt;wsp:rsid wsp:val=&quot;00E84C10&quot;/&gt;&lt;wsp:rsid wsp:val=&quot;00E856FC&quot;/&gt;&lt;wsp:rsid wsp:val=&quot;00E85CC9&quot;/&gt;&lt;wsp:rsid wsp:val=&quot;00E85CF8&quot;/&gt;&lt;wsp:rsid wsp:val=&quot;00E86242&quot;/&gt;&lt;wsp:rsid wsp:val=&quot;00E90126&quot;/&gt;&lt;wsp:rsid wsp:val=&quot;00E90BAE&quot;/&gt;&lt;wsp:rsid wsp:val=&quot;00E91D57&quot;/&gt;&lt;wsp:rsid wsp:val=&quot;00E93045&quot;/&gt;&lt;wsp:rsid wsp:val=&quot;00E94641&quot;/&gt;&lt;wsp:rsid wsp:val=&quot;00E94993&quot;/&gt;&lt;wsp:rsid wsp:val=&quot;00E9555B&quot;/&gt;&lt;wsp:rsid wsp:val=&quot;00E958BF&quot;/&gt;&lt;wsp:rsid wsp:val=&quot;00E96B35&quot;/&gt;&lt;wsp:rsid wsp:val=&quot;00E9700A&quot;/&gt;&lt;wsp:rsid wsp:val=&quot;00E97199&quot;/&gt;&lt;wsp:rsid wsp:val=&quot;00EA0E3F&quot;/&gt;&lt;wsp:rsid wsp:val=&quot;00EA1857&quot;/&gt;&lt;wsp:rsid wsp:val=&quot;00EA193E&quot;/&gt;&lt;wsp:rsid wsp:val=&quot;00EA2923&quot;/&gt;&lt;wsp:rsid wsp:val=&quot;00EA2DA0&quot;/&gt;&lt;wsp:rsid wsp:val=&quot;00EA36D4&quot;/&gt;&lt;wsp:rsid wsp:val=&quot;00EA4209&quot;/&gt;&lt;wsp:rsid wsp:val=&quot;00EA517B&quot;/&gt;&lt;wsp:rsid wsp:val=&quot;00EA63C7&quot;/&gt;&lt;wsp:rsid wsp:val=&quot;00EA7D48&quot;/&gt;&lt;wsp:rsid wsp:val=&quot;00EA7D90&quot;/&gt;&lt;wsp:rsid wsp:val=&quot;00EB0272&quot;/&gt;&lt;wsp:rsid wsp:val=&quot;00EB0342&quot;/&gt;&lt;wsp:rsid wsp:val=&quot;00EB03C3&quot;/&gt;&lt;wsp:rsid wsp:val=&quot;00EB07A4&quot;/&gt;&lt;wsp:rsid wsp:val=&quot;00EB1130&quot;/&gt;&lt;wsp:rsid wsp:val=&quot;00EB1F12&quot;/&gt;&lt;wsp:rsid wsp:val=&quot;00EB220C&quot;/&gt;&lt;wsp:rsid wsp:val=&quot;00EB2525&quot;/&gt;&lt;wsp:rsid wsp:val=&quot;00EB3193&quot;/&gt;&lt;wsp:rsid wsp:val=&quot;00EB3369&quot;/&gt;&lt;wsp:rsid wsp:val=&quot;00EB41A6&quot;/&gt;&lt;wsp:rsid wsp:val=&quot;00EB4886&quot;/&gt;&lt;wsp:rsid wsp:val=&quot;00EB4F10&quot;/&gt;&lt;wsp:rsid wsp:val=&quot;00EB53AA&quot;/&gt;&lt;wsp:rsid wsp:val=&quot;00EB598A&quot;/&gt;&lt;wsp:rsid wsp:val=&quot;00EB6198&quot;/&gt;&lt;wsp:rsid wsp:val=&quot;00EC0396&quot;/&gt;&lt;wsp:rsid wsp:val=&quot;00EC0785&quot;/&gt;&lt;wsp:rsid wsp:val=&quot;00EC10FF&quot;/&gt;&lt;wsp:rsid wsp:val=&quot;00EC1407&quot;/&gt;&lt;wsp:rsid wsp:val=&quot;00EC15F6&quot;/&gt;&lt;wsp:rsid wsp:val=&quot;00EC2CEE&quot;/&gt;&lt;wsp:rsid wsp:val=&quot;00EC3838&quot;/&gt;&lt;wsp:rsid wsp:val=&quot;00EC3EC5&quot;/&gt;&lt;wsp:rsid wsp:val=&quot;00EC3F5C&quot;/&gt;&lt;wsp:rsid wsp:val=&quot;00EC4197&quot;/&gt;&lt;wsp:rsid wsp:val=&quot;00EC43D5&quot;/&gt;&lt;wsp:rsid wsp:val=&quot;00EC4563&quot;/&gt;&lt;wsp:rsid wsp:val=&quot;00EC64A2&quot;/&gt;&lt;wsp:rsid wsp:val=&quot;00EC6767&quot;/&gt;&lt;wsp:rsid wsp:val=&quot;00EC6B92&quot;/&gt;&lt;wsp:rsid wsp:val=&quot;00ED0536&quot;/&gt;&lt;wsp:rsid wsp:val=&quot;00ED142E&quot;/&gt;&lt;wsp:rsid wsp:val=&quot;00ED243E&quot;/&gt;&lt;wsp:rsid wsp:val=&quot;00ED3685&quot;/&gt;&lt;wsp:rsid wsp:val=&quot;00ED36A3&quot;/&gt;&lt;wsp:rsid wsp:val=&quot;00ED39C6&quot;/&gt;&lt;wsp:rsid wsp:val=&quot;00ED4A7A&quot;/&gt;&lt;wsp:rsid wsp:val=&quot;00ED4F85&quot;/&gt;&lt;wsp:rsid wsp:val=&quot;00ED5987&quot;/&gt;&lt;wsp:rsid wsp:val=&quot;00ED7F24&quot;/&gt;&lt;wsp:rsid wsp:val=&quot;00EE05C2&quot;/&gt;&lt;wsp:rsid wsp:val=&quot;00EE088C&quot;/&gt;&lt;wsp:rsid wsp:val=&quot;00EE0EB9&quot;/&gt;&lt;wsp:rsid wsp:val=&quot;00EE14CE&quot;/&gt;&lt;wsp:rsid wsp:val=&quot;00EE2443&quot;/&gt;&lt;wsp:rsid wsp:val=&quot;00EE29C0&quot;/&gt;&lt;wsp:rsid wsp:val=&quot;00EE2B52&quot;/&gt;&lt;wsp:rsid wsp:val=&quot;00EE4C36&quot;/&gt;&lt;wsp:rsid wsp:val=&quot;00EE4C3F&quot;/&gt;&lt;wsp:rsid wsp:val=&quot;00EE5823&quot;/&gt;&lt;wsp:rsid wsp:val=&quot;00EE63E0&quot;/&gt;&lt;wsp:rsid wsp:val=&quot;00EF08E1&quot;/&gt;&lt;wsp:rsid wsp:val=&quot;00EF181A&quot;/&gt;&lt;wsp:rsid wsp:val=&quot;00EF19F1&quot;/&gt;&lt;wsp:rsid wsp:val=&quot;00EF1C6F&quot;/&gt;&lt;wsp:rsid wsp:val=&quot;00EF26EF&quot;/&gt;&lt;wsp:rsid wsp:val=&quot;00EF402D&quot;/&gt;&lt;wsp:rsid wsp:val=&quot;00EF4B6D&quot;/&gt;&lt;wsp:rsid wsp:val=&quot;00EF500B&quot;/&gt;&lt;wsp:rsid wsp:val=&quot;00EF6913&quot;/&gt;&lt;wsp:rsid wsp:val=&quot;00EF696D&quot;/&gt;&lt;wsp:rsid wsp:val=&quot;00EF6AE6&quot;/&gt;&lt;wsp:rsid wsp:val=&quot;00EF6D58&quot;/&gt;&lt;wsp:rsid wsp:val=&quot;00EF7F6C&quot;/&gt;&lt;wsp:rsid wsp:val=&quot;00F01D2D&quot;/&gt;&lt;wsp:rsid wsp:val=&quot;00F020BA&quot;/&gt;&lt;wsp:rsid wsp:val=&quot;00F02203&quot;/&gt;&lt;wsp:rsid wsp:val=&quot;00F025CA&quot;/&gt;&lt;wsp:rsid wsp:val=&quot;00F05A56&quot;/&gt;&lt;wsp:rsid wsp:val=&quot;00F05B9C&quot;/&gt;&lt;wsp:rsid wsp:val=&quot;00F067A5&quot;/&gt;&lt;wsp:rsid wsp:val=&quot;00F069D0&quot;/&gt;&lt;wsp:rsid wsp:val=&quot;00F0712C&quot;/&gt;&lt;wsp:rsid wsp:val=&quot;00F079CE&quot;/&gt;&lt;wsp:rsid wsp:val=&quot;00F079FE&quot;/&gt;&lt;wsp:rsid wsp:val=&quot;00F104D6&quot;/&gt;&lt;wsp:rsid wsp:val=&quot;00F112BB&quot;/&gt;&lt;wsp:rsid wsp:val=&quot;00F1162A&quot;/&gt;&lt;wsp:rsid wsp:val=&quot;00F11F49&quot;/&gt;&lt;wsp:rsid wsp:val=&quot;00F12151&quot;/&gt;&lt;wsp:rsid wsp:val=&quot;00F13341&quot;/&gt;&lt;wsp:rsid wsp:val=&quot;00F13656&quot;/&gt;&lt;wsp:rsid wsp:val=&quot;00F137CC&quot;/&gt;&lt;wsp:rsid wsp:val=&quot;00F140F0&quot;/&gt;&lt;wsp:rsid wsp:val=&quot;00F14ADA&quot;/&gt;&lt;wsp:rsid wsp:val=&quot;00F14DE7&quot;/&gt;&lt;wsp:rsid wsp:val=&quot;00F15056&quot;/&gt;&lt;wsp:rsid wsp:val=&quot;00F1665E&quot;/&gt;&lt;wsp:rsid wsp:val=&quot;00F16696&quot;/&gt;&lt;wsp:rsid wsp:val=&quot;00F17D18&quot;/&gt;&lt;wsp:rsid wsp:val=&quot;00F20A5D&quot;/&gt;&lt;wsp:rsid wsp:val=&quot;00F20E3F&quot;/&gt;&lt;wsp:rsid wsp:val=&quot;00F21912&quot;/&gt;&lt;wsp:rsid wsp:val=&quot;00F21F21&quot;/&gt;&lt;wsp:rsid wsp:val=&quot;00F2212E&quot;/&gt;&lt;wsp:rsid wsp:val=&quot;00F22659&quot;/&gt;&lt;wsp:rsid wsp:val=&quot;00F22830&quot;/&gt;&lt;wsp:rsid wsp:val=&quot;00F2324D&quot;/&gt;&lt;wsp:rsid wsp:val=&quot;00F23CB9&quot;/&gt;&lt;wsp:rsid wsp:val=&quot;00F23DF5&quot;/&gt;&lt;wsp:rsid wsp:val=&quot;00F2430C&quot;/&gt;&lt;wsp:rsid wsp:val=&quot;00F246D0&quot;/&gt;&lt;wsp:rsid wsp:val=&quot;00F251BD&quot;/&gt;&lt;wsp:rsid wsp:val=&quot;00F26155&quot;/&gt;&lt;wsp:rsid wsp:val=&quot;00F263C6&quot;/&gt;&lt;wsp:rsid wsp:val=&quot;00F30197&quot;/&gt;&lt;wsp:rsid wsp:val=&quot;00F3313D&quot;/&gt;&lt;wsp:rsid wsp:val=&quot;00F3469A&quot;/&gt;&lt;wsp:rsid wsp:val=&quot;00F3473D&quot;/&gt;&lt;wsp:rsid wsp:val=&quot;00F34AA1&quot;/&gt;&lt;wsp:rsid wsp:val=&quot;00F35111&quot;/&gt;&lt;wsp:rsid wsp:val=&quot;00F35F7D&quot;/&gt;&lt;wsp:rsid wsp:val=&quot;00F36448&quot;/&gt;&lt;wsp:rsid wsp:val=&quot;00F36B5C&quot;/&gt;&lt;wsp:rsid wsp:val=&quot;00F3704E&quot;/&gt;&lt;wsp:rsid wsp:val=&quot;00F40113&quot;/&gt;&lt;wsp:rsid wsp:val=&quot;00F40477&quot;/&gt;&lt;wsp:rsid wsp:val=&quot;00F40BF7&quot;/&gt;&lt;wsp:rsid wsp:val=&quot;00F40CF2&quot;/&gt;&lt;wsp:rsid wsp:val=&quot;00F40FBA&quot;/&gt;&lt;wsp:rsid wsp:val=&quot;00F41D3E&quot;/&gt;&lt;wsp:rsid wsp:val=&quot;00F43088&quot;/&gt;&lt;wsp:rsid wsp:val=&quot;00F44620&quot;/&gt;&lt;wsp:rsid wsp:val=&quot;00F44850&quot;/&gt;&lt;wsp:rsid wsp:val=&quot;00F45037&quot;/&gt;&lt;wsp:rsid wsp:val=&quot;00F456EA&quot;/&gt;&lt;wsp:rsid wsp:val=&quot;00F45FB8&quot;/&gt;&lt;wsp:rsid wsp:val=&quot;00F46268&quot;/&gt;&lt;wsp:rsid wsp:val=&quot;00F4723B&quot;/&gt;&lt;wsp:rsid wsp:val=&quot;00F475D7&quot;/&gt;&lt;wsp:rsid wsp:val=&quot;00F504D5&quot;/&gt;&lt;wsp:rsid wsp:val=&quot;00F50726&quot;/&gt;&lt;wsp:rsid wsp:val=&quot;00F50C88&quot;/&gt;&lt;wsp:rsid wsp:val=&quot;00F51136&quot;/&gt;&lt;wsp:rsid wsp:val=&quot;00F517E7&quot;/&gt;&lt;wsp:rsid wsp:val=&quot;00F51B68&quot;/&gt;&lt;wsp:rsid wsp:val=&quot;00F51CD0&quot;/&gt;&lt;wsp:rsid wsp:val=&quot;00F5209B&quot;/&gt;&lt;wsp:rsid wsp:val=&quot;00F5234D&quot;/&gt;&lt;wsp:rsid wsp:val=&quot;00F52A4C&quot;/&gt;&lt;wsp:rsid wsp:val=&quot;00F53384&quot;/&gt;&lt;wsp:rsid wsp:val=&quot;00F53ADD&quot;/&gt;&lt;wsp:rsid wsp:val=&quot;00F54197&quot;/&gt;&lt;wsp:rsid wsp:val=&quot;00F541B9&quot;/&gt;&lt;wsp:rsid wsp:val=&quot;00F54A29&quot;/&gt;&lt;wsp:rsid wsp:val=&quot;00F554DE&quot;/&gt;&lt;wsp:rsid wsp:val=&quot;00F56C9C&quot;/&gt;&lt;wsp:rsid wsp:val=&quot;00F5753C&quot;/&gt;&lt;wsp:rsid wsp:val=&quot;00F57F6D&quot;/&gt;&lt;wsp:rsid wsp:val=&quot;00F60A9F&quot;/&gt;&lt;wsp:rsid wsp:val=&quot;00F60CFE&quot;/&gt;&lt;wsp:rsid wsp:val=&quot;00F613A1&quot;/&gt;&lt;wsp:rsid wsp:val=&quot;00F6210B&quot;/&gt;&lt;wsp:rsid wsp:val=&quot;00F627CC&quot;/&gt;&lt;wsp:rsid wsp:val=&quot;00F6281A&quot;/&gt;&lt;wsp:rsid wsp:val=&quot;00F62B74&quot;/&gt;&lt;wsp:rsid wsp:val=&quot;00F63BC1&quot;/&gt;&lt;wsp:rsid wsp:val=&quot;00F64143&quot;/&gt;&lt;wsp:rsid wsp:val=&quot;00F6479C&quot;/&gt;&lt;wsp:rsid wsp:val=&quot;00F65C21&quot;/&gt;&lt;wsp:rsid wsp:val=&quot;00F66664&quot;/&gt;&lt;wsp:rsid wsp:val=&quot;00F66761&quot;/&gt;&lt;wsp:rsid wsp:val=&quot;00F66D01&quot;/&gt;&lt;wsp:rsid wsp:val=&quot;00F671E2&quot;/&gt;&lt;wsp:rsid wsp:val=&quot;00F67E22&quot;/&gt;&lt;wsp:rsid wsp:val=&quot;00F70B71&quot;/&gt;&lt;wsp:rsid wsp:val=&quot;00F711F1&quot;/&gt;&lt;wsp:rsid wsp:val=&quot;00F71EA4&quot;/&gt;&lt;wsp:rsid wsp:val=&quot;00F72525&quot;/&gt;&lt;wsp:rsid wsp:val=&quot;00F72D06&quot;/&gt;&lt;wsp:rsid wsp:val=&quot;00F74C0D&quot;/&gt;&lt;wsp:rsid wsp:val=&quot;00F752D4&quot;/&gt;&lt;wsp:rsid wsp:val=&quot;00F75427&quot;/&gt;&lt;wsp:rsid wsp:val=&quot;00F76426&quot;/&gt;&lt;wsp:rsid wsp:val=&quot;00F7716D&quot;/&gt;&lt;wsp:rsid wsp:val=&quot;00F81164&quot;/&gt;&lt;wsp:rsid wsp:val=&quot;00F82E4E&quot;/&gt;&lt;wsp:rsid wsp:val=&quot;00F8356F&quot;/&gt;&lt;wsp:rsid wsp:val=&quot;00F8372B&quot;/&gt;&lt;wsp:rsid wsp:val=&quot;00F8421E&quot;/&gt;&lt;wsp:rsid wsp:val=&quot;00F84A7B&quot;/&gt;&lt;wsp:rsid wsp:val=&quot;00F84B6A&quot;/&gt;&lt;wsp:rsid wsp:val=&quot;00F8546E&quot;/&gt;&lt;wsp:rsid wsp:val=&quot;00F858E1&quot;/&gt;&lt;wsp:rsid wsp:val=&quot;00F85DCB&quot;/&gt;&lt;wsp:rsid wsp:val=&quot;00F86FF9&quot;/&gt;&lt;wsp:rsid wsp:val=&quot;00F87206&quot;/&gt;&lt;wsp:rsid wsp:val=&quot;00F906B7&quot;/&gt;&lt;wsp:rsid wsp:val=&quot;00F9116A&quot;/&gt;&lt;wsp:rsid wsp:val=&quot;00F91AC4&quot;/&gt;&lt;wsp:rsid wsp:val=&quot;00F923EB&quot;/&gt;&lt;wsp:rsid wsp:val=&quot;00F936C1&quot;/&gt;&lt;wsp:rsid wsp:val=&quot;00F93DC2&quot;/&gt;&lt;wsp:rsid wsp:val=&quot;00F93F81&quot;/&gt;&lt;wsp:rsid wsp:val=&quot;00F9592F&quot;/&gt;&lt;wsp:rsid wsp:val=&quot;00F96FAB&quot;/&gt;&lt;wsp:rsid wsp:val=&quot;00F9701A&quot;/&gt;&lt;wsp:rsid wsp:val=&quot;00F97A56&quot;/&gt;&lt;wsp:rsid wsp:val=&quot;00FA047D&quot;/&gt;&lt;wsp:rsid wsp:val=&quot;00FA1063&quot;/&gt;&lt;wsp:rsid wsp:val=&quot;00FA1461&quot;/&gt;&lt;wsp:rsid wsp:val=&quot;00FA1697&quot;/&gt;&lt;wsp:rsid wsp:val=&quot;00FA171D&quot;/&gt;&lt;wsp:rsid wsp:val=&quot;00FA17BE&quot;/&gt;&lt;wsp:rsid wsp:val=&quot;00FA1A2F&quot;/&gt;&lt;wsp:rsid wsp:val=&quot;00FA3379&quot;/&gt;&lt;wsp:rsid wsp:val=&quot;00FA3A94&quot;/&gt;&lt;wsp:rsid wsp:val=&quot;00FA3C3F&quot;/&gt;&lt;wsp:rsid wsp:val=&quot;00FA5AAE&quot;/&gt;&lt;wsp:rsid wsp:val=&quot;00FA5D8F&quot;/&gt;&lt;wsp:rsid wsp:val=&quot;00FA7D2E&quot;/&gt;&lt;wsp:rsid wsp:val=&quot;00FB09E1&quot;/&gt;&lt;wsp:rsid wsp:val=&quot;00FB158E&quot;/&gt;&lt;wsp:rsid wsp:val=&quot;00FB1CF9&quot;/&gt;&lt;wsp:rsid wsp:val=&quot;00FB20B1&quot;/&gt;&lt;wsp:rsid wsp:val=&quot;00FB23C1&quot;/&gt;&lt;wsp:rsid wsp:val=&quot;00FB4AFF&quot;/&gt;&lt;wsp:rsid wsp:val=&quot;00FB5576&quot;/&gt;&lt;wsp:rsid wsp:val=&quot;00FB56CF&quot;/&gt;&lt;wsp:rsid wsp:val=&quot;00FB636D&quot;/&gt;&lt;wsp:rsid wsp:val=&quot;00FB6629&quot;/&gt;&lt;wsp:rsid wsp:val=&quot;00FB6CFB&quot;/&gt;&lt;wsp:rsid wsp:val=&quot;00FB7945&quot;/&gt;&lt;wsp:rsid wsp:val=&quot;00FC0D58&quot;/&gt;&lt;wsp:rsid wsp:val=&quot;00FC12B0&quot;/&gt;&lt;wsp:rsid wsp:val=&quot;00FC27AA&quot;/&gt;&lt;wsp:rsid wsp:val=&quot;00FC2CE6&quot;/&gt;&lt;wsp:rsid wsp:val=&quot;00FC31B7&quot;/&gt;&lt;wsp:rsid wsp:val=&quot;00FC325F&quot;/&gt;&lt;wsp:rsid wsp:val=&quot;00FC3E54&quot;/&gt;&lt;wsp:rsid wsp:val=&quot;00FC4370&quot;/&gt;&lt;wsp:rsid wsp:val=&quot;00FC4E1E&quot;/&gt;&lt;wsp:rsid wsp:val=&quot;00FC5E51&quot;/&gt;&lt;wsp:rsid wsp:val=&quot;00FC70FB&quot;/&gt;&lt;wsp:rsid wsp:val=&quot;00FD0180&quot;/&gt;&lt;wsp:rsid wsp:val=&quot;00FD1482&quot;/&gt;&lt;wsp:rsid wsp:val=&quot;00FD171C&quot;/&gt;&lt;wsp:rsid wsp:val=&quot;00FD1B97&quot;/&gt;&lt;wsp:rsid wsp:val=&quot;00FD3507&quot;/&gt;&lt;wsp:rsid wsp:val=&quot;00FD3EBE&quot;/&gt;&lt;wsp:rsid wsp:val=&quot;00FD3F04&quot;/&gt;&lt;wsp:rsid wsp:val=&quot;00FD4604&quot;/&gt;&lt;wsp:rsid wsp:val=&quot;00FD6BD6&quot;/&gt;&lt;wsp:rsid wsp:val=&quot;00FD7C07&quot;/&gt;&lt;wsp:rsid wsp:val=&quot;00FE05F7&quot;/&gt;&lt;wsp:rsid wsp:val=&quot;00FE06AB&quot;/&gt;&lt;wsp:rsid wsp:val=&quot;00FE261C&quot;/&gt;&lt;wsp:rsid wsp:val=&quot;00FE3151&quot;/&gt;&lt;wsp:rsid wsp:val=&quot;00FE333D&quot;/&gt;&lt;wsp:rsid wsp:val=&quot;00FE36C3&quot;/&gt;&lt;wsp:rsid wsp:val=&quot;00FE44F0&quot;/&gt;&lt;wsp:rsid wsp:val=&quot;00FE5DAC&quot;/&gt;&lt;wsp:rsid wsp:val=&quot;00FE60B9&quot;/&gt;&lt;wsp:rsid wsp:val=&quot;00FE6FB2&quot;/&gt;&lt;wsp:rsid wsp:val=&quot;00FE76E0&quot;/&gt;&lt;wsp:rsid wsp:val=&quot;00FF046C&quot;/&gt;&lt;wsp:rsid wsp:val=&quot;00FF07B8&quot;/&gt;&lt;wsp:rsid wsp:val=&quot;00FF0B63&quot;/&gt;&lt;wsp:rsid wsp:val=&quot;00FF0DEB&quot;/&gt;&lt;wsp:rsid wsp:val=&quot;00FF21EB&quot;/&gt;&lt;wsp:rsid wsp:val=&quot;00FF2E08&quot;/&gt;&lt;wsp:rsid wsp:val=&quot;00FF37A1&quot;/&gt;&lt;wsp:rsid wsp:val=&quot;00FF4661&quot;/&gt;&lt;wsp:rsid wsp:val=&quot;00FF4C34&quot;/&gt;&lt;wsp:rsid wsp:val=&quot;00FF4F75&quot;/&gt;&lt;wsp:rsid wsp:val=&quot;00FF5E04&quot;/&gt;&lt;wsp:rsid wsp:val=&quot;00FF6515&quot;/&gt;&lt;wsp:rsid wsp:val=&quot;00FF669D&quot;/&gt;&lt;wsp:rsid wsp:val=&quot;00FF6979&quot;/&gt;&lt;wsp:rsid wsp:val=&quot;00FF7011&quot;/&gt;&lt;wsp:rsid wsp:val=&quot;00FF7723&quot;/&gt;&lt;wsp:rsid wsp:val=&quot;00FF79DE&quot;/&gt;&lt;wsp:rsid wsp:val=&quot;0471177E&quot;/&gt;&lt;wsp:rsid wsp:val=&quot;05E3020F&quot;/&gt;&lt;wsp:rsid wsp:val=&quot;08724604&quot;/&gt;&lt;wsp:rsid wsp:val=&quot;0C1803E3&quot;/&gt;&lt;wsp:rsid wsp:val=&quot;0C990E7C&quot;/&gt;&lt;wsp:rsid wsp:val=&quot;0CAD7F05&quot;/&gt;&lt;wsp:rsid wsp:val=&quot;11873A80&quot;/&gt;&lt;wsp:rsid wsp:val=&quot;17BC422F&quot;/&gt;&lt;wsp:rsid wsp:val=&quot;18E707A5&quot;/&gt;&lt;wsp:rsid wsp:val=&quot;1A433BB2&quot;/&gt;&lt;wsp:rsid wsp:val=&quot;23D3070A&quot;/&gt;&lt;wsp:rsid wsp:val=&quot;25350811&quot;/&gt;&lt;wsp:rsid wsp:val=&quot;289B1E8D&quot;/&gt;&lt;wsp:rsid wsp:val=&quot;2E6F0B8E&quot;/&gt;&lt;wsp:rsid wsp:val=&quot;304D5659&quot;/&gt;&lt;wsp:rsid wsp:val=&quot;317F025F&quot;/&gt;&lt;wsp:rsid wsp:val=&quot;368D0334&quot;/&gt;&lt;wsp:rsid wsp:val=&quot;40055E36&quot;/&gt;&lt;wsp:rsid wsp:val=&quot;40CE4415&quot;/&gt;&lt;wsp:rsid wsp:val=&quot;46A25A7F&quot;/&gt;&lt;wsp:rsid wsp:val=&quot;485A4EA6&quot;/&gt;&lt;wsp:rsid wsp:val=&quot;49CB60E5&quot;/&gt;&lt;wsp:rsid wsp:val=&quot;546859EB&quot;/&gt;&lt;wsp:rsid wsp:val=&quot;58D46D47&quot;/&gt;&lt;wsp:rsid wsp:val=&quot;5CD44510&quot;/&gt;&lt;wsp:rsid wsp:val=&quot;5D4516CB&quot;/&gt;&lt;wsp:rsid wsp:val=&quot;5D860F6B&quot;/&gt;&lt;wsp:rsid wsp:val=&quot;68B430FC&quot;/&gt;&lt;wsp:rsid wsp:val=&quot;6A2A4C91&quot;/&gt;&lt;wsp:rsid wsp:val=&quot;715012E2&quot;/&gt;&lt;wsp:rsid wsp:val=&quot;71DF487E&quot;/&gt;&lt;wsp:rsid wsp:val=&quot;735343C5&quot;/&gt;&lt;wsp:rsid wsp:val=&quot;78F91B53&quot;/&gt;&lt;wsp:rsid wsp:val=&quot;7C64631E&quot;/&gt;&lt;wsp:rsid wsp:val=&quot;7D423CE2&quot;/&gt;&lt;/wsp:rsids&gt;&lt;/w:docPr&gt;&lt;w:body&gt;&lt;wx:sect&gt;&lt;w:p wsp:rsidR=&quot;00000000&quot; wsp:rsidRDefault=&quot;006D18E0&quot; wsp:rsidP=&quot;006D18E0&quot;&gt;&lt;m:oMathPara&gt;&lt;m:oMath&gt;&lt;m:sSubSup&gt;&lt;m:sSubSupPr&gt;&lt;m:ctrlPr&gt;&lt;w:rPr&gt;&lt;w:rFonts w:ascii=&quot;Cambria Math&quot; w:h-ansi=&quot;Cambria Math&quot;/&gt;&lt;wx:font wx:val=&quot;Cambria Math&quot;/&gt;&lt;/w:rPr&gt;&lt;/m:ctrlPr&gt;&lt;/m:sSubSupPr&gt;&lt;m:e&gt;&lt;m:r&gt;&lt;w:rPr&gt;&lt;w:rFonts w:ascii=&quot;Cambria Math&quot; w:h-ansi=&quot;Cambria Math&quot;/&gt;&lt;wx:font wx:val=&quot;Cambria Math&quot;/&gt;&lt;w:i/&gt;&lt;/w:rPr&gt;&lt;m:t&gt;u&lt;/m:t&gt;&lt;/m:r&gt;&lt;/m:e&gt;&lt;m:sub&gt;&lt;m:r&gt;&lt;w:rPr&gt;&lt;w:rFonts w:ascii=&quot;Cambria Math&quot; w:h-ansi=&quot;Cambria Math&quot;/&gt;&lt;wx:font wx:val=&quot;Cambria Math&quot;/&gt;&lt;w:i/&gt;&lt;/w:rPr&gt;&lt;m:t&gt;t&lt;/m:t&gt;&lt;/m:r&gt;&lt;/m:sub&gt;&lt;m:sup&gt;&lt;m:r&gt;&lt;w:rPr&gt;&lt;w:rFonts w:ascii=&quot;Cambria Math&quot; w:h-ansi=&quot;Cambria Math&quot;/&gt;&lt;wx:font wx:val=&quot;Cambria Math&quot;/&gt;&lt;w:i/&gt;&lt;/w:rPr&gt;&lt;m:t&gt;*&lt;/m:t&gt;&lt;/m:r&gt;&lt;/m:sup&gt;&lt;/m:sSub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23" chromakey="#FFFFFF" o:title=""/>
                  <o:lock v:ext="edit" aspectratio="t"/>
                  <w10:wrap type="none"/>
                  <w10:anchorlock/>
                </v:shape>
              </w:pic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olor w:val="auto"/>
                <w:sz w:val="24"/>
                <w:szCs w:val="24"/>
                <w:highlight w:val="none"/>
              </w:rPr>
              <w:t>6.3m/s，则P</w:t>
            </w:r>
            <w:r>
              <w:rPr>
                <w:rFonts w:hint="default" w:ascii="Times New Roman" w:hAnsi="Times New Roman" w:eastAsia="宋体" w:cs="Times New Roman"/>
                <w:color w:val="auto"/>
                <w:sz w:val="24"/>
                <w:szCs w:val="24"/>
                <w:highlight w:val="none"/>
                <w:vertAlign w:val="subscript"/>
              </w:rPr>
              <w:t>i</w:t>
            </w:r>
            <w:r>
              <w:rPr>
                <w:rFonts w:hint="default" w:ascii="Times New Roman" w:hAnsi="Times New Roman" w:eastAsia="宋体" w:cs="Times New Roman"/>
                <w:color w:val="auto"/>
                <w:sz w:val="24"/>
                <w:szCs w:val="24"/>
                <w:highlight w:val="none"/>
              </w:rPr>
              <w:t>为0，E</w:t>
            </w:r>
            <w:r>
              <w:rPr>
                <w:rFonts w:hint="default" w:ascii="Times New Roman" w:hAnsi="Times New Roman" w:eastAsia="宋体" w:cs="Times New Roman"/>
                <w:color w:val="auto"/>
                <w:sz w:val="24"/>
                <w:szCs w:val="24"/>
                <w:highlight w:val="none"/>
                <w:vertAlign w:val="subscript"/>
              </w:rPr>
              <w:t>w</w:t>
            </w:r>
            <w:r>
              <w:rPr>
                <w:rFonts w:hint="default" w:ascii="Times New Roman" w:hAnsi="Times New Roman" w:eastAsia="宋体" w:cs="Times New Roman"/>
                <w:color w:val="auto"/>
                <w:sz w:val="24"/>
                <w:szCs w:val="24"/>
                <w:highlight w:val="none"/>
              </w:rPr>
              <w:t>为0。</w:t>
            </w:r>
          </w:p>
          <w:p>
            <w:pPr>
              <w:pStyle w:val="78"/>
              <w:bidi w:val="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综合E</w:t>
            </w:r>
            <w:r>
              <w:rPr>
                <w:rFonts w:hint="default" w:ascii="Times New Roman" w:hAnsi="Times New Roman" w:eastAsia="宋体" w:cs="Times New Roman"/>
                <w:color w:val="auto"/>
                <w:sz w:val="24"/>
                <w:szCs w:val="24"/>
                <w:highlight w:val="none"/>
                <w:vertAlign w:val="subscript"/>
              </w:rPr>
              <w:t>h</w:t>
            </w:r>
            <w:r>
              <w:rPr>
                <w:rFonts w:hint="default" w:ascii="Times New Roman" w:hAnsi="Times New Roman" w:eastAsia="宋体" w:cs="Times New Roman"/>
                <w:color w:val="auto"/>
                <w:sz w:val="24"/>
                <w:szCs w:val="24"/>
                <w:highlight w:val="none"/>
              </w:rPr>
              <w:t>、E</w:t>
            </w:r>
            <w:r>
              <w:rPr>
                <w:rFonts w:hint="default" w:ascii="Times New Roman" w:hAnsi="Times New Roman" w:eastAsia="宋体" w:cs="Times New Roman"/>
                <w:color w:val="auto"/>
                <w:sz w:val="24"/>
                <w:szCs w:val="24"/>
                <w:highlight w:val="none"/>
                <w:vertAlign w:val="subscript"/>
              </w:rPr>
              <w:t>w</w:t>
            </w:r>
            <w:r>
              <w:rPr>
                <w:rFonts w:hint="default" w:ascii="Times New Roman" w:hAnsi="Times New Roman" w:eastAsia="宋体" w:cs="Times New Roman"/>
                <w:color w:val="auto"/>
                <w:sz w:val="24"/>
                <w:szCs w:val="24"/>
                <w:highlight w:val="none"/>
              </w:rPr>
              <w:t>按式</w:t>
            </w:r>
            <w:r>
              <w:rPr>
                <w:rFonts w:hint="default" w:ascii="Times New Roman" w:hAnsi="Times New Roman" w:eastAsia="宋体" w:cs="Times New Roman"/>
                <w:color w:val="auto"/>
                <w:sz w:val="24"/>
                <w:szCs w:val="24"/>
                <w:highlight w:val="none"/>
                <w:lang w:val="en-US" w:eastAsia="zh-CN"/>
              </w:rPr>
              <w:t>4.1</w:t>
            </w:r>
            <w:r>
              <w:rPr>
                <w:rFonts w:hint="default" w:ascii="Times New Roman" w:hAnsi="Times New Roman" w:eastAsia="宋体" w:cs="Times New Roman"/>
                <w:color w:val="auto"/>
                <w:sz w:val="24"/>
                <w:szCs w:val="24"/>
                <w:highlight w:val="none"/>
              </w:rPr>
              <w:t>-1计算出W</w:t>
            </w:r>
            <w:r>
              <w:rPr>
                <w:rFonts w:hint="default" w:ascii="Times New Roman" w:hAnsi="Times New Roman" w:eastAsia="宋体" w:cs="Times New Roman"/>
                <w:color w:val="auto"/>
                <w:sz w:val="24"/>
                <w:szCs w:val="24"/>
                <w:highlight w:val="none"/>
                <w:vertAlign w:val="subscript"/>
              </w:rPr>
              <w:t>Y</w:t>
            </w:r>
            <w:r>
              <w:rPr>
                <w:rFonts w:hint="default" w:ascii="Times New Roman" w:hAnsi="Times New Roman" w:eastAsia="宋体" w:cs="Times New Roman"/>
                <w:color w:val="auto"/>
                <w:sz w:val="24"/>
                <w:szCs w:val="24"/>
                <w:highlight w:val="none"/>
              </w:rPr>
              <w:t>为</w:t>
            </w:r>
            <w:r>
              <w:rPr>
                <w:rFonts w:hint="eastAsia" w:eastAsia="宋体" w:cs="Times New Roman"/>
                <w:color w:val="auto"/>
                <w:sz w:val="24"/>
                <w:szCs w:val="24"/>
                <w:highlight w:val="none"/>
                <w:lang w:val="en-US" w:eastAsia="zh-CN"/>
              </w:rPr>
              <w:t>3.40</w:t>
            </w:r>
            <w:r>
              <w:rPr>
                <w:rFonts w:hint="default" w:ascii="Times New Roman" w:hAnsi="Times New Roman" w:eastAsia="宋体" w:cs="Times New Roman"/>
                <w:color w:val="auto"/>
                <w:sz w:val="24"/>
                <w:szCs w:val="24"/>
                <w:highlight w:val="none"/>
              </w:rPr>
              <w:t>t/a，即尾矿库无组织扬尘排放量为</w:t>
            </w:r>
            <w:r>
              <w:rPr>
                <w:rFonts w:hint="eastAsia" w:eastAsia="宋体" w:cs="Times New Roman"/>
                <w:color w:val="auto"/>
                <w:sz w:val="24"/>
                <w:szCs w:val="24"/>
                <w:highlight w:val="none"/>
                <w:lang w:val="en-US" w:eastAsia="zh-CN"/>
              </w:rPr>
              <w:t>3.40</w:t>
            </w:r>
            <w:r>
              <w:rPr>
                <w:rFonts w:hint="default" w:ascii="Times New Roman" w:hAnsi="Times New Roman" w:eastAsia="宋体" w:cs="Times New Roman"/>
                <w:color w:val="auto"/>
                <w:sz w:val="24"/>
                <w:szCs w:val="24"/>
                <w:highlight w:val="none"/>
              </w:rPr>
              <w:t>t/a</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lang w:val="en-US" w:eastAsia="zh-CN"/>
              </w:rPr>
              <w:t>尾矿中锑及其化合物的品位为0.02%，无组织粉尘中锑及其化合物的排放量为</w:t>
            </w:r>
            <w:r>
              <w:rPr>
                <w:rFonts w:hint="default" w:ascii="Times New Roman" w:hAnsi="Times New Roman" w:eastAsia="宋体" w:cs="Times New Roman"/>
                <w:color w:val="auto"/>
                <w:sz w:val="24"/>
                <w:szCs w:val="24"/>
                <w:highlight w:val="none"/>
                <w:lang w:val="en-US" w:eastAsia="zh-CN"/>
              </w:rPr>
              <w:t>0.</w:t>
            </w:r>
            <w:r>
              <w:rPr>
                <w:rFonts w:hint="eastAsia" w:eastAsia="宋体" w:cs="Times New Roman"/>
                <w:color w:val="auto"/>
                <w:sz w:val="24"/>
                <w:szCs w:val="24"/>
                <w:highlight w:val="none"/>
                <w:lang w:val="en-US" w:eastAsia="zh-CN"/>
              </w:rPr>
              <w:t>68</w:t>
            </w:r>
            <w:r>
              <w:rPr>
                <w:rFonts w:hint="default" w:ascii="Times New Roman" w:hAnsi="Times New Roman" w:eastAsia="宋体" w:cs="Times New Roman"/>
                <w:color w:val="auto"/>
                <w:sz w:val="24"/>
                <w:szCs w:val="24"/>
                <w:highlight w:val="none"/>
                <w:lang w:val="en-US" w:eastAsia="zh-CN"/>
              </w:rPr>
              <w:t>kg/a</w:t>
            </w:r>
            <w:r>
              <w:rPr>
                <w:rFonts w:hint="default" w:ascii="Times New Roman" w:hAnsi="Times New Roman" w:eastAsia="宋体" w:cs="Times New Roman"/>
                <w:color w:val="auto"/>
                <w:sz w:val="24"/>
                <w:szCs w:val="24"/>
                <w:highlight w:val="none"/>
              </w:rPr>
              <w:t>。</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废气产排情况计算如下表：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表4-1   废气源强计算结果</w:t>
            </w:r>
          </w:p>
          <w:tbl>
            <w:tblPr>
              <w:tblStyle w:val="30"/>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5"/>
              <w:gridCol w:w="909"/>
              <w:gridCol w:w="731"/>
              <w:gridCol w:w="817"/>
              <w:gridCol w:w="797"/>
              <w:gridCol w:w="667"/>
              <w:gridCol w:w="1001"/>
              <w:gridCol w:w="819"/>
              <w:gridCol w:w="924"/>
              <w:gridCol w:w="7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90" w:type="pct"/>
                  <w:vMerge w:val="restar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排放形式</w:t>
                  </w:r>
                </w:p>
              </w:tc>
              <w:tc>
                <w:tcPr>
                  <w:tcW w:w="606" w:type="pct"/>
                  <w:vMerge w:val="restar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产排污环节</w:t>
                  </w:r>
                </w:p>
              </w:tc>
              <w:tc>
                <w:tcPr>
                  <w:tcW w:w="494" w:type="pct"/>
                  <w:vMerge w:val="restar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污染因子</w:t>
                  </w:r>
                </w:p>
              </w:tc>
              <w:tc>
                <w:tcPr>
                  <w:tcW w:w="1480" w:type="pct"/>
                  <w:gridSpan w:val="3"/>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产生</w:t>
                  </w:r>
                </w:p>
              </w:tc>
              <w:tc>
                <w:tcPr>
                  <w:tcW w:w="666" w:type="pct"/>
                  <w:vMerge w:val="restar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措施及效率</w:t>
                  </w:r>
                </w:p>
              </w:tc>
              <w:tc>
                <w:tcPr>
                  <w:tcW w:w="1360" w:type="pct"/>
                  <w:gridSpan w:val="3"/>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排放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90" w:type="pct"/>
                  <w:vMerge w:val="continue"/>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606" w:type="pct"/>
                  <w:vMerge w:val="continue"/>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494" w:type="pct"/>
                  <w:vMerge w:val="continue"/>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548"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量t/a</w:t>
                  </w:r>
                </w:p>
              </w:tc>
              <w:tc>
                <w:tcPr>
                  <w:tcW w:w="480"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速率kg/h</w:t>
                  </w:r>
                </w:p>
              </w:tc>
              <w:tc>
                <w:tcPr>
                  <w:tcW w:w="452"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浓度mg/m³</w:t>
                  </w:r>
                </w:p>
              </w:tc>
              <w:tc>
                <w:tcPr>
                  <w:tcW w:w="666" w:type="pct"/>
                  <w:vMerge w:val="continue"/>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452"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量t/a</w:t>
                  </w:r>
                </w:p>
              </w:tc>
              <w:tc>
                <w:tcPr>
                  <w:tcW w:w="427"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速率kg/h</w:t>
                  </w:r>
                </w:p>
              </w:tc>
              <w:tc>
                <w:tcPr>
                  <w:tcW w:w="480"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浓度mg/m³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90" w:type="pct"/>
                  <w:vMerge w:val="restar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无组织</w:t>
                  </w:r>
                </w:p>
              </w:tc>
              <w:tc>
                <w:tcPr>
                  <w:tcW w:w="606"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成品装卸、堆置</w:t>
                  </w:r>
                </w:p>
              </w:tc>
              <w:tc>
                <w:tcPr>
                  <w:tcW w:w="494"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颗粒物</w:t>
                  </w:r>
                </w:p>
              </w:tc>
              <w:tc>
                <w:tcPr>
                  <w:tcW w:w="548"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16.50</w:t>
                  </w:r>
                </w:p>
              </w:tc>
              <w:tc>
                <w:tcPr>
                  <w:tcW w:w="480"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1.964</w:t>
                  </w:r>
                </w:p>
              </w:tc>
              <w:tc>
                <w:tcPr>
                  <w:tcW w:w="452"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c>
                <w:tcPr>
                  <w:tcW w:w="666"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封闭+围挡，效率99.59%</w:t>
                  </w:r>
                </w:p>
              </w:tc>
              <w:tc>
                <w:tcPr>
                  <w:tcW w:w="452"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w:t>
                  </w:r>
                  <w:r>
                    <w:rPr>
                      <w:rFonts w:hint="eastAsia" w:eastAsia="宋体" w:cs="Times New Roman"/>
                      <w:color w:val="auto"/>
                      <w:highlight w:val="none"/>
                      <w:lang w:val="en-US" w:eastAsia="zh-CN"/>
                    </w:rPr>
                    <w:t>66</w:t>
                  </w:r>
                </w:p>
              </w:tc>
              <w:tc>
                <w:tcPr>
                  <w:tcW w:w="427"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0.00</w:t>
                  </w:r>
                  <w:r>
                    <w:rPr>
                      <w:rFonts w:hint="eastAsia" w:eastAsia="宋体" w:cs="Times New Roman"/>
                      <w:color w:val="auto"/>
                      <w:highlight w:val="none"/>
                      <w:lang w:val="en-US" w:eastAsia="zh-CN"/>
                    </w:rPr>
                    <w:t>8</w:t>
                  </w:r>
                </w:p>
              </w:tc>
              <w:tc>
                <w:tcPr>
                  <w:tcW w:w="480"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90" w:type="pct"/>
                  <w:vMerge w:val="continue"/>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606" w:type="pct"/>
                  <w:vMerge w:val="restart"/>
                  <w:tcBorders>
                    <w:tl2br w:val="nil"/>
                    <w:tr2bl w:val="nil"/>
                  </w:tcBorders>
                  <w:shd w:val="clear" w:color="auto" w:fill="auto"/>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尾矿库干滩粉尘</w:t>
                  </w:r>
                </w:p>
              </w:tc>
              <w:tc>
                <w:tcPr>
                  <w:tcW w:w="494" w:type="pct"/>
                  <w:tcBorders>
                    <w:tl2br w:val="nil"/>
                    <w:tr2bl w:val="nil"/>
                  </w:tcBorders>
                  <w:shd w:val="clear" w:color="auto" w:fill="auto"/>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颗粒物</w:t>
                  </w:r>
                </w:p>
              </w:tc>
              <w:tc>
                <w:tcPr>
                  <w:tcW w:w="548"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13.07</w:t>
                  </w:r>
                </w:p>
              </w:tc>
              <w:tc>
                <w:tcPr>
                  <w:tcW w:w="480"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1.5</w:t>
                  </w:r>
                  <w:r>
                    <w:rPr>
                      <w:rFonts w:hint="eastAsia" w:eastAsia="宋体" w:cs="Times New Roman"/>
                      <w:color w:val="auto"/>
                      <w:highlight w:val="none"/>
                      <w:lang w:val="en-US" w:eastAsia="zh-CN"/>
                    </w:rPr>
                    <w:t>56</w:t>
                  </w:r>
                </w:p>
              </w:tc>
              <w:tc>
                <w:tcPr>
                  <w:tcW w:w="452"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c>
                <w:tcPr>
                  <w:tcW w:w="666" w:type="pct"/>
                  <w:vMerge w:val="restar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洒水74%</w:t>
                  </w:r>
                </w:p>
              </w:tc>
              <w:tc>
                <w:tcPr>
                  <w:tcW w:w="452"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3.4</w:t>
                  </w:r>
                </w:p>
              </w:tc>
              <w:tc>
                <w:tcPr>
                  <w:tcW w:w="427"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0.40</w:t>
                  </w:r>
                  <w:r>
                    <w:rPr>
                      <w:rFonts w:hint="eastAsia" w:eastAsia="宋体" w:cs="Times New Roman"/>
                      <w:color w:val="auto"/>
                      <w:highlight w:val="none"/>
                      <w:lang w:val="en-US" w:eastAsia="zh-CN"/>
                    </w:rPr>
                    <w:t>5</w:t>
                  </w:r>
                </w:p>
              </w:tc>
              <w:tc>
                <w:tcPr>
                  <w:tcW w:w="480"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90" w:type="pct"/>
                  <w:vMerge w:val="continue"/>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606" w:type="pct"/>
                  <w:vMerge w:val="continue"/>
                  <w:tcBorders>
                    <w:tl2br w:val="nil"/>
                    <w:tr2bl w:val="nil"/>
                  </w:tcBorders>
                  <w:shd w:val="clear" w:color="auto" w:fill="auto"/>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p>
              </w:tc>
              <w:tc>
                <w:tcPr>
                  <w:tcW w:w="494" w:type="pct"/>
                  <w:tcBorders>
                    <w:tl2br w:val="nil"/>
                    <w:tr2bl w:val="nil"/>
                  </w:tcBorders>
                  <w:shd w:val="clear" w:color="auto" w:fill="auto"/>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锑及其化合物</w:t>
                  </w:r>
                </w:p>
              </w:tc>
              <w:tc>
                <w:tcPr>
                  <w:tcW w:w="548"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0.00</w:t>
                  </w:r>
                  <w:r>
                    <w:rPr>
                      <w:rFonts w:hint="eastAsia" w:eastAsia="宋体" w:cs="Times New Roman"/>
                      <w:color w:val="auto"/>
                      <w:highlight w:val="none"/>
                      <w:lang w:val="en-US" w:eastAsia="zh-CN"/>
                    </w:rPr>
                    <w:t>26</w:t>
                  </w:r>
                </w:p>
              </w:tc>
              <w:tc>
                <w:tcPr>
                  <w:tcW w:w="480"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0.00031</w:t>
                  </w:r>
                </w:p>
              </w:tc>
              <w:tc>
                <w:tcPr>
                  <w:tcW w:w="452"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c>
                <w:tcPr>
                  <w:tcW w:w="666" w:type="pct"/>
                  <w:vMerge w:val="continue"/>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452"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vertAlign w:val="superscript"/>
                      <w:lang w:val="en-US" w:eastAsia="zh-CN"/>
                    </w:rPr>
                  </w:pPr>
                  <w:r>
                    <w:rPr>
                      <w:rFonts w:hint="eastAsia" w:eastAsia="宋体" w:cs="Times New Roman"/>
                      <w:color w:val="auto"/>
                      <w:highlight w:val="none"/>
                      <w:lang w:val="en-US" w:eastAsia="zh-CN"/>
                    </w:rPr>
                    <w:t>6.8</w:t>
                  </w:r>
                  <w:r>
                    <w:rPr>
                      <w:rFonts w:hint="default" w:ascii="Times New Roman" w:hAnsi="Times New Roman" w:eastAsia="宋体" w:cs="Times New Roman"/>
                      <w:color w:val="auto"/>
                      <w:highlight w:val="none"/>
                      <w:lang w:val="en-US" w:eastAsia="zh-CN"/>
                    </w:rPr>
                    <w:t>×10</w:t>
                  </w:r>
                  <w:r>
                    <w:rPr>
                      <w:rFonts w:hint="default" w:ascii="Times New Roman" w:hAnsi="Times New Roman" w:eastAsia="宋体" w:cs="Times New Roman"/>
                      <w:color w:val="auto"/>
                      <w:highlight w:val="none"/>
                      <w:vertAlign w:val="superscript"/>
                      <w:lang w:val="en-US" w:eastAsia="zh-CN"/>
                    </w:rPr>
                    <w:t>-4</w:t>
                  </w:r>
                </w:p>
              </w:tc>
              <w:tc>
                <w:tcPr>
                  <w:tcW w:w="427"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8.</w:t>
                  </w:r>
                  <w:r>
                    <w:rPr>
                      <w:rFonts w:hint="eastAsia" w:eastAsia="宋体" w:cs="Times New Roman"/>
                      <w:color w:val="auto"/>
                      <w:highlight w:val="none"/>
                      <w:lang w:val="en-US" w:eastAsia="zh-CN"/>
                    </w:rPr>
                    <w:t>09</w:t>
                  </w:r>
                  <w:r>
                    <w:rPr>
                      <w:rFonts w:hint="default" w:ascii="Times New Roman" w:hAnsi="Times New Roman" w:eastAsia="宋体" w:cs="Times New Roman"/>
                      <w:color w:val="auto"/>
                      <w:highlight w:val="none"/>
                      <w:lang w:val="en-US" w:eastAsia="zh-CN"/>
                    </w:rPr>
                    <w:t>×10</w:t>
                  </w:r>
                  <w:r>
                    <w:rPr>
                      <w:rFonts w:hint="default" w:ascii="Times New Roman" w:hAnsi="Times New Roman" w:eastAsia="宋体" w:cs="Times New Roman"/>
                      <w:color w:val="auto"/>
                      <w:highlight w:val="none"/>
                      <w:vertAlign w:val="superscript"/>
                      <w:lang w:val="en-US" w:eastAsia="zh-CN"/>
                    </w:rPr>
                    <w:t>-5</w:t>
                  </w:r>
                </w:p>
              </w:tc>
              <w:tc>
                <w:tcPr>
                  <w:tcW w:w="480"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r>
          </w:tbl>
          <w:p>
            <w:pPr>
              <w:pStyle w:val="78"/>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3）食堂油烟</w:t>
            </w:r>
          </w:p>
          <w:p>
            <w:pPr>
              <w:pStyle w:val="78"/>
              <w:ind w:firstLine="48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本项目食堂不对外经营</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新增</w:t>
            </w:r>
            <w:r>
              <w:rPr>
                <w:rFonts w:hint="default" w:ascii="Times New Roman" w:hAnsi="Times New Roman" w:eastAsia="宋体" w:cs="Times New Roman"/>
                <w:color w:val="auto"/>
                <w:highlight w:val="none"/>
              </w:rPr>
              <w:t>用餐人员</w:t>
            </w:r>
            <w:r>
              <w:rPr>
                <w:rFonts w:hint="default" w:ascii="Times New Roman" w:hAnsi="Times New Roman" w:eastAsia="宋体" w:cs="Times New Roman"/>
                <w:color w:val="auto"/>
                <w:highlight w:val="none"/>
                <w:lang w:val="en-US" w:eastAsia="zh-CN"/>
              </w:rPr>
              <w:t>为12</w:t>
            </w:r>
            <w:r>
              <w:rPr>
                <w:rFonts w:hint="default" w:ascii="Times New Roman" w:hAnsi="Times New Roman" w:eastAsia="宋体" w:cs="Times New Roman"/>
                <w:color w:val="auto"/>
                <w:highlight w:val="none"/>
              </w:rPr>
              <w:t>人，工作时长</w:t>
            </w:r>
            <w:r>
              <w:rPr>
                <w:rFonts w:hint="default" w:ascii="Times New Roman" w:hAnsi="Times New Roman" w:eastAsia="宋体" w:cs="Times New Roman"/>
                <w:color w:val="auto"/>
                <w:highlight w:val="none"/>
                <w:lang w:val="en-US" w:eastAsia="zh-CN"/>
              </w:rPr>
              <w:t>分为</w:t>
            </w:r>
            <w:r>
              <w:rPr>
                <w:rFonts w:hint="eastAsia" w:eastAsia="宋体" w:cs="Times New Roman"/>
                <w:color w:val="auto"/>
                <w:highlight w:val="none"/>
                <w:lang w:val="en-US" w:eastAsia="zh-CN"/>
              </w:rPr>
              <w:t>350</w:t>
            </w:r>
            <w:r>
              <w:rPr>
                <w:rFonts w:hint="default" w:ascii="Times New Roman" w:hAnsi="Times New Roman" w:eastAsia="宋体" w:cs="Times New Roman"/>
                <w:color w:val="auto"/>
                <w:highlight w:val="none"/>
                <w:lang w:val="en-US" w:eastAsia="zh-CN"/>
              </w:rPr>
              <w:t>d/a</w:t>
            </w:r>
            <w:r>
              <w:rPr>
                <w:rFonts w:hint="default" w:ascii="Times New Roman" w:hAnsi="Times New Roman" w:eastAsia="宋体" w:cs="Times New Roman"/>
                <w:color w:val="auto"/>
                <w:highlight w:val="none"/>
              </w:rPr>
              <w:t>，3h/d，抽油烟机风量</w:t>
            </w:r>
            <w:r>
              <w:rPr>
                <w:rFonts w:hint="default"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rPr>
              <w:t>000</w:t>
            </w:r>
            <w:r>
              <w:rPr>
                <w:rFonts w:hint="default" w:ascii="Times New Roman" w:hAnsi="Times New Roman" w:eastAsia="宋体" w:cs="Times New Roman"/>
                <w:color w:val="auto"/>
                <w:highlight w:val="none"/>
                <w:lang w:eastAsia="zh-CN"/>
              </w:rPr>
              <w:t>m³</w:t>
            </w:r>
            <w:r>
              <w:rPr>
                <w:rFonts w:hint="default" w:ascii="Times New Roman" w:hAnsi="Times New Roman" w:eastAsia="宋体" w:cs="Times New Roman"/>
                <w:color w:val="auto"/>
                <w:highlight w:val="none"/>
              </w:rPr>
              <w:t>/h，油烟净化器去除效率60%。食用油用油量一般</w:t>
            </w:r>
            <w:r>
              <w:rPr>
                <w:rFonts w:hint="default" w:ascii="Times New Roman" w:hAnsi="Times New Roman" w:eastAsia="宋体" w:cs="Times New Roman"/>
                <w:color w:val="auto"/>
                <w:highlight w:val="none"/>
                <w:lang w:val="en-US" w:eastAsia="zh-CN"/>
              </w:rPr>
              <w:t>25</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30</w:t>
            </w:r>
            <w:r>
              <w:rPr>
                <w:rFonts w:hint="default" w:ascii="Times New Roman" w:hAnsi="Times New Roman" w:eastAsia="宋体" w:cs="Times New Roman"/>
                <w:color w:val="auto"/>
                <w:highlight w:val="none"/>
              </w:rPr>
              <w:t>g/人·天，则食用油使用量</w:t>
            </w:r>
            <w:r>
              <w:rPr>
                <w:rFonts w:hint="default" w:ascii="Times New Roman" w:hAnsi="Times New Roman" w:eastAsia="宋体" w:cs="Times New Roman"/>
                <w:color w:val="auto"/>
                <w:highlight w:val="none"/>
                <w:lang w:val="en-US" w:eastAsia="zh-CN"/>
              </w:rPr>
              <w:t>为360</w:t>
            </w:r>
            <w:r>
              <w:rPr>
                <w:rFonts w:hint="default" w:ascii="Times New Roman" w:hAnsi="Times New Roman" w:eastAsia="宋体" w:cs="Times New Roman"/>
                <w:color w:val="auto"/>
                <w:highlight w:val="none"/>
              </w:rPr>
              <w:t>g/d</w:t>
            </w:r>
            <w:r>
              <w:rPr>
                <w:rFonts w:hint="default" w:ascii="Times New Roman" w:hAnsi="Times New Roman" w:eastAsia="宋体" w:cs="Times New Roman"/>
                <w:color w:val="auto"/>
                <w:highlight w:val="none"/>
                <w:lang w:eastAsia="zh-CN"/>
              </w:rPr>
              <w:t>（</w:t>
            </w:r>
            <w:r>
              <w:rPr>
                <w:rFonts w:hint="eastAsia" w:eastAsia="宋体" w:cs="Times New Roman"/>
                <w:color w:val="auto"/>
                <w:highlight w:val="none"/>
                <w:lang w:val="en-US" w:eastAsia="zh-CN"/>
              </w:rPr>
              <w:t>0.126</w:t>
            </w:r>
            <w:r>
              <w:rPr>
                <w:rFonts w:hint="default" w:ascii="Times New Roman" w:hAnsi="Times New Roman" w:eastAsia="宋体" w:cs="Times New Roman"/>
                <w:color w:val="auto"/>
                <w:highlight w:val="none"/>
              </w:rPr>
              <w:t>t/a</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油烟</w:t>
            </w:r>
            <w:r>
              <w:rPr>
                <w:rFonts w:hint="default" w:ascii="Times New Roman" w:hAnsi="Times New Roman" w:eastAsia="宋体" w:cs="Times New Roman"/>
                <w:color w:val="auto"/>
                <w:highlight w:val="none"/>
                <w:lang w:val="en-US" w:eastAsia="zh-CN"/>
              </w:rPr>
              <w:t>产生</w:t>
            </w:r>
            <w:r>
              <w:rPr>
                <w:rFonts w:hint="default" w:ascii="Times New Roman" w:hAnsi="Times New Roman" w:eastAsia="宋体" w:cs="Times New Roman"/>
                <w:color w:val="auto"/>
                <w:highlight w:val="none"/>
              </w:rPr>
              <w:t>量占比约2%</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则油烟产生量为0.002t/a。</w:t>
            </w:r>
          </w:p>
          <w:p>
            <w:pPr>
              <w:pStyle w:val="78"/>
              <w:ind w:firstLine="48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根据以上参数计算项目区油烟排放源强如下表：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表4-2  食堂油烟产生与排放情况计算结果</w:t>
            </w:r>
          </w:p>
          <w:tbl>
            <w:tblPr>
              <w:tblStyle w:val="30"/>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95"/>
              <w:gridCol w:w="650"/>
              <w:gridCol w:w="694"/>
              <w:gridCol w:w="936"/>
              <w:gridCol w:w="906"/>
              <w:gridCol w:w="1132"/>
              <w:gridCol w:w="906"/>
              <w:gridCol w:w="890"/>
              <w:gridCol w:w="93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3" w:type="pct"/>
                  <w:vMerge w:val="restar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产排污环节</w:t>
                  </w:r>
                </w:p>
              </w:tc>
              <w:tc>
                <w:tcPr>
                  <w:tcW w:w="409" w:type="pct"/>
                  <w:vMerge w:val="restar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污染因子</w:t>
                  </w:r>
                </w:p>
              </w:tc>
              <w:tc>
                <w:tcPr>
                  <w:tcW w:w="1596" w:type="pct"/>
                  <w:gridSpan w:val="3"/>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产生</w:t>
                  </w:r>
                </w:p>
              </w:tc>
              <w:tc>
                <w:tcPr>
                  <w:tcW w:w="712" w:type="pct"/>
                  <w:vMerge w:val="restar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处理措施及效率</w:t>
                  </w:r>
                </w:p>
              </w:tc>
              <w:tc>
                <w:tcPr>
                  <w:tcW w:w="1718" w:type="pct"/>
                  <w:gridSpan w:val="3"/>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排放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3" w:type="pct"/>
                  <w:vMerge w:val="continue"/>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409" w:type="pct"/>
                  <w:vMerge w:val="continue"/>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437"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量t/a</w:t>
                  </w:r>
                </w:p>
              </w:tc>
              <w:tc>
                <w:tcPr>
                  <w:tcW w:w="589"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速率kg/h</w:t>
                  </w:r>
                </w:p>
              </w:tc>
              <w:tc>
                <w:tcPr>
                  <w:tcW w:w="570"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浓度mg/m³</w:t>
                  </w:r>
                </w:p>
              </w:tc>
              <w:tc>
                <w:tcPr>
                  <w:tcW w:w="712" w:type="pct"/>
                  <w:vMerge w:val="continue"/>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570"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量t/a</w:t>
                  </w:r>
                </w:p>
              </w:tc>
              <w:tc>
                <w:tcPr>
                  <w:tcW w:w="560"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速率kg/h</w:t>
                  </w:r>
                </w:p>
              </w:tc>
              <w:tc>
                <w:tcPr>
                  <w:tcW w:w="588"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浓度mg/m³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3"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食堂</w:t>
                  </w:r>
                </w:p>
              </w:tc>
              <w:tc>
                <w:tcPr>
                  <w:tcW w:w="409"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油烟</w:t>
                  </w:r>
                </w:p>
              </w:tc>
              <w:tc>
                <w:tcPr>
                  <w:tcW w:w="437"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0.002</w:t>
                  </w:r>
                </w:p>
              </w:tc>
              <w:tc>
                <w:tcPr>
                  <w:tcW w:w="589"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0.0026</w:t>
                  </w:r>
                </w:p>
              </w:tc>
              <w:tc>
                <w:tcPr>
                  <w:tcW w:w="570"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3.0</w:t>
                  </w:r>
                </w:p>
              </w:tc>
              <w:tc>
                <w:tcPr>
                  <w:tcW w:w="712"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油烟净化器，60%</w:t>
                  </w:r>
                </w:p>
              </w:tc>
              <w:tc>
                <w:tcPr>
                  <w:tcW w:w="570"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0.0008</w:t>
                  </w:r>
                </w:p>
              </w:tc>
              <w:tc>
                <w:tcPr>
                  <w:tcW w:w="560"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0.0011</w:t>
                  </w:r>
                </w:p>
              </w:tc>
              <w:tc>
                <w:tcPr>
                  <w:tcW w:w="588" w:type="pct"/>
                  <w:tcBorders>
                    <w:tl2br w:val="nil"/>
                    <w:tr2bl w:val="nil"/>
                  </w:tcBorders>
                  <w:noWrap w:val="0"/>
                  <w:tcMar>
                    <w:top w:w="0" w:type="dxa"/>
                    <w:left w:w="57" w:type="dxa"/>
                    <w:bottom w:w="0" w:type="dxa"/>
                    <w:right w:w="57" w:type="dxa"/>
                  </w:tcMar>
                  <w:vAlign w:val="center"/>
                </w:tcPr>
                <w:p>
                  <w:pPr>
                    <w:pStyle w:val="87"/>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1.2</w:t>
                  </w:r>
                </w:p>
              </w:tc>
            </w:tr>
          </w:tbl>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b w:val="0"/>
                <w:bCs w:val="0"/>
                <w:color w:val="auto"/>
                <w:sz w:val="24"/>
                <w:szCs w:val="24"/>
                <w:lang w:val="en-US" w:eastAsia="zh-CN"/>
              </w:rPr>
              <w:t>（9）大气污染物排放量核算</w:t>
            </w:r>
          </w:p>
          <w:p>
            <w:pPr>
              <w:pStyle w:val="78"/>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本项目大气污染物排放量核算表如下：</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表4-3  废气污染物排放量核算表</w:t>
            </w:r>
          </w:p>
          <w:tbl>
            <w:tblPr>
              <w:tblStyle w:val="29"/>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895"/>
              <w:gridCol w:w="1959"/>
              <w:gridCol w:w="1440"/>
              <w:gridCol w:w="1589"/>
              <w:gridCol w:w="1100"/>
              <w:gridCol w:w="96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rPr>
              <w:tc>
                <w:tcPr>
                  <w:tcW w:w="563" w:type="pct"/>
                  <w:vMerge w:val="restart"/>
                  <w:tcBorders>
                    <w:tl2br w:val="nil"/>
                    <w:tr2bl w:val="nil"/>
                  </w:tcBorders>
                  <w:shd w:val="clear" w:color="auto" w:fill="auto"/>
                  <w:noWrap w:val="0"/>
                  <w:tcMar>
                    <w:top w:w="15" w:type="dxa"/>
                    <w:left w:w="15" w:type="dxa"/>
                    <w:right w:w="15" w:type="dxa"/>
                  </w:tcMar>
                  <w:vAlign w:val="center"/>
                </w:tcPr>
                <w:p>
                  <w:pPr>
                    <w:pStyle w:val="87"/>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排放形式</w:t>
                  </w:r>
                </w:p>
              </w:tc>
              <w:tc>
                <w:tcPr>
                  <w:tcW w:w="1233" w:type="pct"/>
                  <w:vMerge w:val="restart"/>
                  <w:tcBorders>
                    <w:tl2br w:val="nil"/>
                    <w:tr2bl w:val="nil"/>
                  </w:tcBorders>
                  <w:shd w:val="clear" w:color="auto" w:fill="auto"/>
                  <w:noWrap w:val="0"/>
                  <w:tcMar>
                    <w:top w:w="15" w:type="dxa"/>
                    <w:left w:w="15" w:type="dxa"/>
                    <w:right w:w="15" w:type="dxa"/>
                  </w:tcMar>
                  <w:vAlign w:val="center"/>
                </w:tcPr>
                <w:p>
                  <w:pPr>
                    <w:pStyle w:val="87"/>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产排环节/名称</w:t>
                  </w:r>
                </w:p>
              </w:tc>
              <w:tc>
                <w:tcPr>
                  <w:tcW w:w="906" w:type="pct"/>
                  <w:vMerge w:val="restart"/>
                  <w:tcBorders>
                    <w:tl2br w:val="nil"/>
                    <w:tr2bl w:val="nil"/>
                  </w:tcBorders>
                  <w:shd w:val="clear" w:color="auto" w:fill="auto"/>
                  <w:noWrap w:val="0"/>
                  <w:tcMar>
                    <w:top w:w="15" w:type="dxa"/>
                    <w:left w:w="15" w:type="dxa"/>
                    <w:right w:w="15" w:type="dxa"/>
                  </w:tcMar>
                  <w:vAlign w:val="center"/>
                </w:tcPr>
                <w:p>
                  <w:pPr>
                    <w:pStyle w:val="87"/>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污染物种类</w:t>
                  </w:r>
                </w:p>
              </w:tc>
              <w:tc>
                <w:tcPr>
                  <w:tcW w:w="2296" w:type="pct"/>
                  <w:gridSpan w:val="3"/>
                  <w:tcBorders>
                    <w:tl2br w:val="nil"/>
                    <w:tr2bl w:val="nil"/>
                  </w:tcBorders>
                  <w:shd w:val="clear" w:color="auto" w:fill="auto"/>
                  <w:noWrap w:val="0"/>
                  <w:tcMar>
                    <w:top w:w="15" w:type="dxa"/>
                    <w:left w:w="15" w:type="dxa"/>
                    <w:right w:w="15" w:type="dxa"/>
                  </w:tcMar>
                  <w:vAlign w:val="center"/>
                </w:tcPr>
                <w:p>
                  <w:pPr>
                    <w:pStyle w:val="87"/>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排放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rPr>
              <w:tc>
                <w:tcPr>
                  <w:tcW w:w="563" w:type="pct"/>
                  <w:vMerge w:val="continue"/>
                  <w:tcBorders>
                    <w:tl2br w:val="nil"/>
                    <w:tr2bl w:val="nil"/>
                  </w:tcBorders>
                  <w:shd w:val="clear" w:color="auto" w:fill="auto"/>
                  <w:noWrap w:val="0"/>
                  <w:tcMar>
                    <w:top w:w="15" w:type="dxa"/>
                    <w:left w:w="15" w:type="dxa"/>
                    <w:right w:w="15" w:type="dxa"/>
                  </w:tcMar>
                  <w:vAlign w:val="center"/>
                </w:tcPr>
                <w:p>
                  <w:pPr>
                    <w:pStyle w:val="87"/>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textAlignment w:val="center"/>
                    <w:rPr>
                      <w:rFonts w:hint="default" w:ascii="Times New Roman" w:hAnsi="Times New Roman" w:eastAsia="宋体" w:cs="Times New Roman"/>
                      <w:color w:val="auto"/>
                      <w:sz w:val="21"/>
                      <w:szCs w:val="21"/>
                      <w:highlight w:val="none"/>
                    </w:rPr>
                  </w:pPr>
                </w:p>
              </w:tc>
              <w:tc>
                <w:tcPr>
                  <w:tcW w:w="1233" w:type="pct"/>
                  <w:vMerge w:val="continue"/>
                  <w:tcBorders>
                    <w:tl2br w:val="nil"/>
                    <w:tr2bl w:val="nil"/>
                  </w:tcBorders>
                  <w:shd w:val="clear" w:color="auto" w:fill="auto"/>
                  <w:noWrap w:val="0"/>
                  <w:tcMar>
                    <w:top w:w="15" w:type="dxa"/>
                    <w:left w:w="15" w:type="dxa"/>
                    <w:right w:w="15" w:type="dxa"/>
                  </w:tcMar>
                  <w:vAlign w:val="center"/>
                </w:tcPr>
                <w:p>
                  <w:pPr>
                    <w:pStyle w:val="87"/>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textAlignment w:val="center"/>
                    <w:rPr>
                      <w:rFonts w:hint="default" w:ascii="Times New Roman" w:hAnsi="Times New Roman" w:eastAsia="宋体" w:cs="Times New Roman"/>
                      <w:color w:val="auto"/>
                      <w:sz w:val="21"/>
                      <w:szCs w:val="21"/>
                      <w:highlight w:val="none"/>
                    </w:rPr>
                  </w:pPr>
                </w:p>
              </w:tc>
              <w:tc>
                <w:tcPr>
                  <w:tcW w:w="906" w:type="pct"/>
                  <w:vMerge w:val="continue"/>
                  <w:tcBorders>
                    <w:tl2br w:val="nil"/>
                    <w:tr2bl w:val="nil"/>
                  </w:tcBorders>
                  <w:shd w:val="clear" w:color="auto" w:fill="auto"/>
                  <w:noWrap w:val="0"/>
                  <w:tcMar>
                    <w:top w:w="15" w:type="dxa"/>
                    <w:left w:w="15" w:type="dxa"/>
                    <w:right w:w="15" w:type="dxa"/>
                  </w:tcMar>
                  <w:vAlign w:val="center"/>
                </w:tcPr>
                <w:p>
                  <w:pPr>
                    <w:pStyle w:val="87"/>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textAlignment w:val="center"/>
                    <w:rPr>
                      <w:rFonts w:hint="default" w:ascii="Times New Roman" w:hAnsi="Times New Roman" w:eastAsia="宋体" w:cs="Times New Roman"/>
                      <w:color w:val="auto"/>
                      <w:sz w:val="21"/>
                      <w:szCs w:val="21"/>
                      <w:highlight w:val="none"/>
                    </w:rPr>
                  </w:pPr>
                </w:p>
              </w:tc>
              <w:tc>
                <w:tcPr>
                  <w:tcW w:w="1000" w:type="pct"/>
                  <w:tcBorders>
                    <w:tl2br w:val="nil"/>
                    <w:tr2bl w:val="nil"/>
                  </w:tcBorders>
                  <w:shd w:val="clear" w:color="auto" w:fill="auto"/>
                  <w:noWrap w:val="0"/>
                  <w:tcMar>
                    <w:top w:w="15" w:type="dxa"/>
                    <w:left w:w="15" w:type="dxa"/>
                    <w:right w:w="15" w:type="dxa"/>
                  </w:tcMar>
                  <w:vAlign w:val="center"/>
                </w:tcPr>
                <w:p>
                  <w:pPr>
                    <w:pStyle w:val="87"/>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量t/a</w:t>
                  </w:r>
                </w:p>
              </w:tc>
              <w:tc>
                <w:tcPr>
                  <w:tcW w:w="692" w:type="pct"/>
                  <w:tcBorders>
                    <w:tl2br w:val="nil"/>
                    <w:tr2bl w:val="nil"/>
                  </w:tcBorders>
                  <w:shd w:val="clear" w:color="auto" w:fill="auto"/>
                  <w:noWrap w:val="0"/>
                  <w:tcMar>
                    <w:top w:w="15" w:type="dxa"/>
                    <w:left w:w="15" w:type="dxa"/>
                    <w:right w:w="15" w:type="dxa"/>
                  </w:tcMar>
                  <w:vAlign w:val="center"/>
                </w:tcPr>
                <w:p>
                  <w:pPr>
                    <w:pStyle w:val="87"/>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速率kg/h</w:t>
                  </w:r>
                </w:p>
              </w:tc>
              <w:tc>
                <w:tcPr>
                  <w:tcW w:w="604" w:type="pct"/>
                  <w:tcBorders>
                    <w:tl2br w:val="nil"/>
                    <w:tr2bl w:val="nil"/>
                  </w:tcBorders>
                  <w:shd w:val="clear" w:color="auto" w:fill="auto"/>
                  <w:noWrap w:val="0"/>
                  <w:tcMar>
                    <w:top w:w="15" w:type="dxa"/>
                    <w:left w:w="15" w:type="dxa"/>
                    <w:right w:w="15" w:type="dxa"/>
                  </w:tcMar>
                  <w:vAlign w:val="center"/>
                </w:tcPr>
                <w:p>
                  <w:pPr>
                    <w:pStyle w:val="87"/>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浓度mg/m³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rPr>
              <w:tc>
                <w:tcPr>
                  <w:tcW w:w="563" w:type="pct"/>
                  <w:vMerge w:val="restart"/>
                  <w:tcBorders>
                    <w:tl2br w:val="nil"/>
                    <w:tr2bl w:val="nil"/>
                  </w:tcBorders>
                  <w:shd w:val="clear" w:color="auto" w:fill="auto"/>
                  <w:noWrap w:val="0"/>
                  <w:tcMar>
                    <w:top w:w="15" w:type="dxa"/>
                    <w:left w:w="15" w:type="dxa"/>
                    <w:right w:w="15"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无组织</w:t>
                  </w:r>
                </w:p>
              </w:tc>
              <w:tc>
                <w:tcPr>
                  <w:tcW w:w="1233" w:type="pct"/>
                  <w:tcBorders>
                    <w:tl2br w:val="nil"/>
                    <w:tr2bl w:val="nil"/>
                  </w:tcBorders>
                  <w:shd w:val="clear" w:color="auto" w:fill="auto"/>
                  <w:noWrap w:val="0"/>
                  <w:tcMar>
                    <w:top w:w="15" w:type="dxa"/>
                    <w:left w:w="15" w:type="dxa"/>
                    <w:right w:w="15"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成品装卸、堆置</w:t>
                  </w:r>
                </w:p>
              </w:tc>
              <w:tc>
                <w:tcPr>
                  <w:tcW w:w="906" w:type="pct"/>
                  <w:tcBorders>
                    <w:tl2br w:val="nil"/>
                    <w:tr2bl w:val="nil"/>
                  </w:tcBorders>
                  <w:shd w:val="clear" w:color="auto" w:fill="auto"/>
                  <w:noWrap w:val="0"/>
                  <w:tcMar>
                    <w:top w:w="15" w:type="dxa"/>
                    <w:left w:w="15" w:type="dxa"/>
                    <w:right w:w="15"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颗粒物</w:t>
                  </w:r>
                </w:p>
              </w:tc>
              <w:tc>
                <w:tcPr>
                  <w:tcW w:w="1000" w:type="pct"/>
                  <w:tcBorders>
                    <w:tl2br w:val="nil"/>
                    <w:tr2bl w:val="nil"/>
                  </w:tcBorders>
                  <w:shd w:val="clear" w:color="auto" w:fill="auto"/>
                  <w:noWrap w:val="0"/>
                  <w:tcMar>
                    <w:top w:w="15" w:type="dxa"/>
                    <w:left w:w="15" w:type="dxa"/>
                    <w:right w:w="15" w:type="dxa"/>
                  </w:tcMar>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w:t>
                  </w:r>
                  <w:r>
                    <w:rPr>
                      <w:rFonts w:hint="eastAsia" w:eastAsia="宋体" w:cs="Times New Roman"/>
                      <w:color w:val="auto"/>
                      <w:highlight w:val="none"/>
                      <w:lang w:val="en-US" w:eastAsia="zh-CN"/>
                    </w:rPr>
                    <w:t>66</w:t>
                  </w:r>
                </w:p>
              </w:tc>
              <w:tc>
                <w:tcPr>
                  <w:tcW w:w="692" w:type="pct"/>
                  <w:tcBorders>
                    <w:tl2br w:val="nil"/>
                    <w:tr2bl w:val="nil"/>
                  </w:tcBorders>
                  <w:shd w:val="clear" w:color="auto" w:fill="auto"/>
                  <w:noWrap w:val="0"/>
                  <w:tcMar>
                    <w:top w:w="15" w:type="dxa"/>
                    <w:left w:w="15" w:type="dxa"/>
                    <w:right w:w="15" w:type="dxa"/>
                  </w:tcMar>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0.00</w:t>
                  </w:r>
                  <w:r>
                    <w:rPr>
                      <w:rFonts w:hint="eastAsia" w:eastAsia="宋体" w:cs="Times New Roman"/>
                      <w:color w:val="auto"/>
                      <w:highlight w:val="none"/>
                      <w:lang w:val="en-US" w:eastAsia="zh-CN"/>
                    </w:rPr>
                    <w:t>8</w:t>
                  </w:r>
                </w:p>
              </w:tc>
              <w:tc>
                <w:tcPr>
                  <w:tcW w:w="604" w:type="pct"/>
                  <w:tcBorders>
                    <w:tl2br w:val="nil"/>
                    <w:tr2bl w:val="nil"/>
                  </w:tcBorders>
                  <w:shd w:val="clear" w:color="auto" w:fill="auto"/>
                  <w:noWrap w:val="0"/>
                  <w:tcMar>
                    <w:top w:w="15" w:type="dxa"/>
                    <w:left w:w="15" w:type="dxa"/>
                    <w:right w:w="15" w:type="dxa"/>
                  </w:tcMar>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trPr>
              <w:tc>
                <w:tcPr>
                  <w:tcW w:w="563" w:type="pct"/>
                  <w:vMerge w:val="continue"/>
                  <w:tcBorders>
                    <w:tl2br w:val="nil"/>
                    <w:tr2bl w:val="nil"/>
                  </w:tcBorders>
                  <w:shd w:val="clear" w:color="auto" w:fill="auto"/>
                  <w:noWrap w:val="0"/>
                  <w:tcMar>
                    <w:top w:w="15" w:type="dxa"/>
                    <w:left w:w="15" w:type="dxa"/>
                    <w:right w:w="15"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1233" w:type="pct"/>
                  <w:vMerge w:val="restart"/>
                  <w:tcBorders>
                    <w:tl2br w:val="nil"/>
                    <w:tr2bl w:val="nil"/>
                  </w:tcBorders>
                  <w:shd w:val="clear" w:color="auto" w:fill="auto"/>
                  <w:noWrap w:val="0"/>
                  <w:tcMar>
                    <w:top w:w="15" w:type="dxa"/>
                    <w:left w:w="15" w:type="dxa"/>
                    <w:right w:w="15"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尾矿库干滩粉尘</w:t>
                  </w:r>
                </w:p>
              </w:tc>
              <w:tc>
                <w:tcPr>
                  <w:tcW w:w="906" w:type="pct"/>
                  <w:tcBorders>
                    <w:tl2br w:val="nil"/>
                    <w:tr2bl w:val="nil"/>
                  </w:tcBorders>
                  <w:shd w:val="clear" w:color="auto" w:fill="auto"/>
                  <w:noWrap w:val="0"/>
                  <w:tcMar>
                    <w:top w:w="15" w:type="dxa"/>
                    <w:left w:w="15" w:type="dxa"/>
                    <w:right w:w="15"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颗粒物</w:t>
                  </w:r>
                </w:p>
              </w:tc>
              <w:tc>
                <w:tcPr>
                  <w:tcW w:w="1589" w:type="dxa"/>
                  <w:tcBorders>
                    <w:tl2br w:val="nil"/>
                    <w:tr2bl w:val="nil"/>
                  </w:tcBorders>
                  <w:shd w:val="clear" w:color="auto" w:fill="auto"/>
                  <w:noWrap w:val="0"/>
                  <w:tcMar>
                    <w:top w:w="15" w:type="dxa"/>
                    <w:left w:w="15" w:type="dxa"/>
                    <w:right w:w="15" w:type="dxa"/>
                  </w:tcMar>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3.4</w:t>
                  </w:r>
                </w:p>
              </w:tc>
              <w:tc>
                <w:tcPr>
                  <w:tcW w:w="1100" w:type="dxa"/>
                  <w:tcBorders>
                    <w:tl2br w:val="nil"/>
                    <w:tr2bl w:val="nil"/>
                  </w:tcBorders>
                  <w:shd w:val="clear" w:color="auto" w:fill="auto"/>
                  <w:noWrap w:val="0"/>
                  <w:tcMar>
                    <w:top w:w="15" w:type="dxa"/>
                    <w:left w:w="15" w:type="dxa"/>
                    <w:right w:w="15" w:type="dxa"/>
                  </w:tcMar>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0.40</w:t>
                  </w:r>
                  <w:r>
                    <w:rPr>
                      <w:rFonts w:hint="eastAsia" w:eastAsia="宋体" w:cs="Times New Roman"/>
                      <w:color w:val="auto"/>
                      <w:highlight w:val="none"/>
                      <w:lang w:val="en-US" w:eastAsia="zh-CN"/>
                    </w:rPr>
                    <w:t>5</w:t>
                  </w:r>
                </w:p>
              </w:tc>
              <w:tc>
                <w:tcPr>
                  <w:tcW w:w="604" w:type="pct"/>
                  <w:tcBorders>
                    <w:tl2br w:val="nil"/>
                    <w:tr2bl w:val="nil"/>
                  </w:tcBorders>
                  <w:shd w:val="clear" w:color="auto" w:fill="auto"/>
                  <w:noWrap w:val="0"/>
                  <w:tcMar>
                    <w:top w:w="15" w:type="dxa"/>
                    <w:left w:w="15" w:type="dxa"/>
                    <w:right w:w="15" w:type="dxa"/>
                  </w:tcMar>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trPr>
              <w:tc>
                <w:tcPr>
                  <w:tcW w:w="563" w:type="pct"/>
                  <w:vMerge w:val="continue"/>
                  <w:tcBorders>
                    <w:tl2br w:val="nil"/>
                    <w:tr2bl w:val="nil"/>
                  </w:tcBorders>
                  <w:shd w:val="clear" w:color="auto" w:fill="auto"/>
                  <w:noWrap w:val="0"/>
                  <w:tcMar>
                    <w:top w:w="15" w:type="dxa"/>
                    <w:left w:w="15" w:type="dxa"/>
                    <w:right w:w="15"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1233" w:type="pct"/>
                  <w:vMerge w:val="continue"/>
                  <w:tcBorders>
                    <w:tl2br w:val="nil"/>
                    <w:tr2bl w:val="nil"/>
                  </w:tcBorders>
                  <w:shd w:val="clear" w:color="auto" w:fill="auto"/>
                  <w:noWrap w:val="0"/>
                  <w:tcMar>
                    <w:top w:w="15" w:type="dxa"/>
                    <w:left w:w="15" w:type="dxa"/>
                    <w:right w:w="15"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906" w:type="pct"/>
                  <w:tcBorders>
                    <w:tl2br w:val="nil"/>
                    <w:tr2bl w:val="nil"/>
                  </w:tcBorders>
                  <w:shd w:val="clear" w:color="auto" w:fill="auto"/>
                  <w:noWrap w:val="0"/>
                  <w:tcMar>
                    <w:top w:w="15" w:type="dxa"/>
                    <w:left w:w="15" w:type="dxa"/>
                    <w:right w:w="15"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锑及其化合物</w:t>
                  </w:r>
                </w:p>
              </w:tc>
              <w:tc>
                <w:tcPr>
                  <w:tcW w:w="1589" w:type="dxa"/>
                  <w:tcBorders>
                    <w:tl2br w:val="nil"/>
                    <w:tr2bl w:val="nil"/>
                  </w:tcBorders>
                  <w:shd w:val="clear" w:color="auto" w:fill="auto"/>
                  <w:noWrap w:val="0"/>
                  <w:tcMar>
                    <w:top w:w="15" w:type="dxa"/>
                    <w:left w:w="15" w:type="dxa"/>
                    <w:right w:w="15" w:type="dxa"/>
                  </w:tcMar>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6.8</w:t>
                  </w:r>
                  <w:r>
                    <w:rPr>
                      <w:rFonts w:hint="default" w:ascii="Times New Roman" w:hAnsi="Times New Roman" w:eastAsia="宋体" w:cs="Times New Roman"/>
                      <w:color w:val="auto"/>
                      <w:highlight w:val="none"/>
                      <w:lang w:val="en-US" w:eastAsia="zh-CN"/>
                    </w:rPr>
                    <w:t>×10</w:t>
                  </w:r>
                  <w:r>
                    <w:rPr>
                      <w:rFonts w:hint="default" w:ascii="Times New Roman" w:hAnsi="Times New Roman" w:eastAsia="宋体" w:cs="Times New Roman"/>
                      <w:color w:val="auto"/>
                      <w:highlight w:val="none"/>
                      <w:vertAlign w:val="superscript"/>
                      <w:lang w:val="en-US" w:eastAsia="zh-CN"/>
                    </w:rPr>
                    <w:t>-4</w:t>
                  </w:r>
                </w:p>
              </w:tc>
              <w:tc>
                <w:tcPr>
                  <w:tcW w:w="1100" w:type="dxa"/>
                  <w:tcBorders>
                    <w:tl2br w:val="nil"/>
                    <w:tr2bl w:val="nil"/>
                  </w:tcBorders>
                  <w:shd w:val="clear" w:color="auto" w:fill="auto"/>
                  <w:noWrap w:val="0"/>
                  <w:tcMar>
                    <w:top w:w="15" w:type="dxa"/>
                    <w:left w:w="15" w:type="dxa"/>
                    <w:right w:w="15" w:type="dxa"/>
                  </w:tcMar>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8.</w:t>
                  </w:r>
                  <w:r>
                    <w:rPr>
                      <w:rFonts w:hint="eastAsia" w:eastAsia="宋体" w:cs="Times New Roman"/>
                      <w:color w:val="auto"/>
                      <w:highlight w:val="none"/>
                      <w:lang w:val="en-US" w:eastAsia="zh-CN"/>
                    </w:rPr>
                    <w:t>09</w:t>
                  </w:r>
                  <w:r>
                    <w:rPr>
                      <w:rFonts w:hint="default" w:ascii="Times New Roman" w:hAnsi="Times New Roman" w:eastAsia="宋体" w:cs="Times New Roman"/>
                      <w:color w:val="auto"/>
                      <w:highlight w:val="none"/>
                      <w:lang w:val="en-US" w:eastAsia="zh-CN"/>
                    </w:rPr>
                    <w:t>×10</w:t>
                  </w:r>
                  <w:r>
                    <w:rPr>
                      <w:rFonts w:hint="default" w:ascii="Times New Roman" w:hAnsi="Times New Roman" w:eastAsia="宋体" w:cs="Times New Roman"/>
                      <w:color w:val="auto"/>
                      <w:highlight w:val="none"/>
                      <w:vertAlign w:val="superscript"/>
                      <w:lang w:val="en-US" w:eastAsia="zh-CN"/>
                    </w:rPr>
                    <w:t>-5</w:t>
                  </w:r>
                </w:p>
              </w:tc>
              <w:tc>
                <w:tcPr>
                  <w:tcW w:w="604" w:type="pct"/>
                  <w:tcBorders>
                    <w:tl2br w:val="nil"/>
                    <w:tr2bl w:val="nil"/>
                  </w:tcBorders>
                  <w:shd w:val="clear" w:color="auto" w:fill="auto"/>
                  <w:noWrap w:val="0"/>
                  <w:tcMar>
                    <w:top w:w="15" w:type="dxa"/>
                    <w:left w:w="15" w:type="dxa"/>
                    <w:right w:w="15" w:type="dxa"/>
                  </w:tcMar>
                  <w:vAlign w:val="center"/>
                </w:tcPr>
                <w:p>
                  <w:pPr>
                    <w:pStyle w:val="87"/>
                    <w:keepNext w:val="0"/>
                    <w:keepLines w:val="0"/>
                    <w:widowControl w:val="0"/>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r>
          </w:tbl>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1.2 非正常工况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非正常工况包括废气处理设备检及工艺设备运转异常、突发机械故障等具有随机性的事故工况两个方面，根据工程实际，本项目废气均为无组织排放，不涉及废气处理设备及工艺设备运转异常、突发机械故障等具有随机性的事故工况。</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snapToGrid w:val="0"/>
                <w:color w:val="auto"/>
                <w:kern w:val="0"/>
                <w:sz w:val="24"/>
                <w:szCs w:val="24"/>
                <w:lang w:eastAsia="zh-CN"/>
              </w:rPr>
            </w:pPr>
            <w:r>
              <w:rPr>
                <w:rFonts w:hint="default" w:ascii="Times New Roman" w:hAnsi="Times New Roman" w:cs="Times New Roman"/>
                <w:b/>
                <w:bCs/>
                <w:snapToGrid w:val="0"/>
                <w:color w:val="auto"/>
                <w:kern w:val="0"/>
                <w:sz w:val="24"/>
                <w:szCs w:val="24"/>
                <w:lang w:val="en-US" w:eastAsia="zh-CN"/>
              </w:rPr>
              <w:t xml:space="preserve">1.3 </w:t>
            </w:r>
            <w:r>
              <w:rPr>
                <w:rFonts w:hint="default" w:ascii="Times New Roman" w:hAnsi="Times New Roman" w:eastAsia="宋体" w:cs="Times New Roman"/>
                <w:b/>
                <w:bCs/>
                <w:snapToGrid w:val="0"/>
                <w:color w:val="auto"/>
                <w:kern w:val="0"/>
                <w:sz w:val="24"/>
                <w:szCs w:val="24"/>
                <w:lang w:eastAsia="zh-CN"/>
              </w:rPr>
              <w:t>废气</w:t>
            </w:r>
            <w:r>
              <w:rPr>
                <w:rFonts w:hint="default" w:ascii="Times New Roman" w:hAnsi="Times New Roman" w:eastAsia="宋体" w:cs="Times New Roman"/>
                <w:b/>
                <w:bCs/>
                <w:snapToGrid w:val="0"/>
                <w:color w:val="auto"/>
                <w:kern w:val="0"/>
                <w:sz w:val="24"/>
                <w:szCs w:val="24"/>
                <w:lang w:val="en-US" w:eastAsia="zh-CN"/>
              </w:rPr>
              <w:t>防治措施及</w:t>
            </w:r>
            <w:r>
              <w:rPr>
                <w:rFonts w:hint="default" w:ascii="Times New Roman" w:hAnsi="Times New Roman" w:eastAsia="宋体" w:cs="Times New Roman"/>
                <w:b/>
                <w:bCs/>
                <w:snapToGrid w:val="0"/>
                <w:color w:val="auto"/>
                <w:kern w:val="0"/>
                <w:sz w:val="24"/>
                <w:szCs w:val="24"/>
                <w:lang w:eastAsia="zh-CN"/>
              </w:rPr>
              <w:t>可行性分析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color w:val="auto"/>
                <w:sz w:val="24"/>
                <w:szCs w:val="24"/>
                <w:vertAlign w:val="baseline"/>
                <w:lang w:val="en-US" w:eastAsia="zh-CN"/>
              </w:rPr>
            </w:pPr>
            <w:r>
              <w:rPr>
                <w:rFonts w:hint="default" w:ascii="Times New Roman" w:hAnsi="Times New Roman" w:cs="Times New Roman"/>
                <w:color w:val="auto"/>
                <w:sz w:val="24"/>
                <w:szCs w:val="24"/>
                <w:vertAlign w:val="baseline"/>
                <w:lang w:val="en-US" w:eastAsia="zh-CN"/>
              </w:rPr>
              <w:t>厂区物料堆</w:t>
            </w:r>
            <w:r>
              <w:rPr>
                <w:rFonts w:hint="eastAsia" w:ascii="Times New Roman" w:hAnsi="Times New Roman" w:cs="Times New Roman"/>
                <w:color w:val="auto"/>
                <w:sz w:val="24"/>
                <w:szCs w:val="24"/>
                <w:vertAlign w:val="baseline"/>
                <w:lang w:val="en-US" w:eastAsia="zh-CN"/>
              </w:rPr>
              <w:t>放</w:t>
            </w:r>
            <w:r>
              <w:rPr>
                <w:rFonts w:hint="default" w:ascii="Times New Roman" w:hAnsi="Times New Roman" w:cs="Times New Roman"/>
                <w:color w:val="auto"/>
                <w:sz w:val="24"/>
                <w:szCs w:val="24"/>
                <w:vertAlign w:val="baseline"/>
                <w:lang w:val="en-US" w:eastAsia="zh-CN"/>
              </w:rPr>
              <w:t>、装卸等易产生扬尘</w:t>
            </w:r>
            <w:r>
              <w:rPr>
                <w:rFonts w:hint="eastAsia" w:ascii="Times New Roman" w:hAnsi="Times New Roman" w:cs="Times New Roman"/>
                <w:color w:val="auto"/>
                <w:sz w:val="24"/>
                <w:szCs w:val="24"/>
                <w:vertAlign w:val="baseline"/>
                <w:lang w:val="en-US" w:eastAsia="zh-CN"/>
              </w:rPr>
              <w:t>及微量重金属</w:t>
            </w:r>
            <w:r>
              <w:rPr>
                <w:rFonts w:hint="default" w:ascii="Times New Roman" w:hAnsi="Times New Roman" w:cs="Times New Roman"/>
                <w:color w:val="auto"/>
                <w:sz w:val="24"/>
                <w:szCs w:val="24"/>
                <w:vertAlign w:val="baseline"/>
                <w:lang w:val="en-US" w:eastAsia="zh-CN"/>
              </w:rPr>
              <w:t>。有风时厂区内扬尘严重，造成无组织面源污染问题，本环评提出如下要求：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color w:val="auto"/>
                <w:spacing w:val="1"/>
                <w:sz w:val="24"/>
                <w:szCs w:val="24"/>
                <w:lang w:val="en-US" w:eastAsia="zh-CN"/>
              </w:rPr>
            </w:pPr>
            <w:r>
              <w:rPr>
                <w:rFonts w:hint="default" w:ascii="Times New Roman" w:hAnsi="Times New Roman" w:cs="Times New Roman"/>
                <w:color w:val="auto"/>
                <w:sz w:val="24"/>
                <w:szCs w:val="24"/>
                <w:vertAlign w:val="baseline"/>
                <w:lang w:val="en-US" w:eastAsia="zh-CN"/>
              </w:rPr>
              <w:t>①</w:t>
            </w:r>
            <w:r>
              <w:rPr>
                <w:rFonts w:hint="default" w:ascii="Times New Roman" w:hAnsi="Times New Roman" w:cs="Times New Roman"/>
                <w:color w:val="auto"/>
                <w:spacing w:val="1"/>
                <w:sz w:val="24"/>
                <w:szCs w:val="24"/>
                <w:lang w:val="en-US" w:eastAsia="zh-CN"/>
              </w:rPr>
              <w:t>本项目全湿式开采，球磨分级全湿法密闭，从源头减少重金属粉尘产生，降低锑无组织排放。</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color w:val="auto"/>
                <w:sz w:val="24"/>
                <w:szCs w:val="24"/>
                <w:vertAlign w:val="baseline"/>
                <w:lang w:val="en-US" w:eastAsia="zh-CN"/>
              </w:rPr>
            </w:pPr>
            <w:r>
              <w:rPr>
                <w:rFonts w:hint="default" w:ascii="Times New Roman" w:hAnsi="Times New Roman" w:cs="Times New Roman"/>
                <w:color w:val="auto"/>
                <w:sz w:val="24"/>
                <w:szCs w:val="24"/>
                <w:vertAlign w:val="baseline"/>
                <w:lang w:val="en-US" w:eastAsia="zh-CN"/>
              </w:rPr>
              <w:t>②金精矿压滤后含水率15%，成品库为封闭结构，物料定时洒水降尘措施，一般每天洒水2~3次，进出车辆采用冲洗轮胎，同时要加强管理，装卸场所应采取经常洒水及清扫。</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color w:val="auto"/>
                <w:sz w:val="24"/>
                <w:szCs w:val="24"/>
                <w:vertAlign w:val="baseline"/>
                <w:lang w:val="en-US" w:eastAsia="zh-CN"/>
              </w:rPr>
            </w:pPr>
            <w:r>
              <w:rPr>
                <w:rFonts w:hint="default" w:ascii="Times New Roman" w:hAnsi="Times New Roman" w:cs="Times New Roman"/>
                <w:color w:val="auto"/>
                <w:sz w:val="24"/>
                <w:szCs w:val="24"/>
                <w:vertAlign w:val="baseline"/>
                <w:lang w:val="en-US" w:eastAsia="zh-CN"/>
              </w:rPr>
              <w:t>③尾矿库干滩采取洒水降尘措施，一般每天洒水2~3次，降低</w:t>
            </w:r>
            <w:r>
              <w:rPr>
                <w:rFonts w:hint="eastAsia" w:ascii="Times New Roman" w:hAnsi="Times New Roman" w:cs="Times New Roman"/>
                <w:color w:val="auto"/>
                <w:sz w:val="24"/>
                <w:szCs w:val="24"/>
                <w:vertAlign w:val="baseline"/>
                <w:lang w:val="en-US" w:eastAsia="zh-CN"/>
              </w:rPr>
              <w:t>粉尘及</w:t>
            </w:r>
            <w:r>
              <w:rPr>
                <w:rFonts w:hint="default" w:ascii="Times New Roman" w:hAnsi="Times New Roman" w:cs="Times New Roman"/>
                <w:color w:val="auto"/>
                <w:sz w:val="24"/>
                <w:szCs w:val="24"/>
                <w:vertAlign w:val="baseline"/>
                <w:lang w:val="en-US" w:eastAsia="zh-CN"/>
              </w:rPr>
              <w:t>重金属细颗粒随风迁移量。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color w:val="auto"/>
                <w:sz w:val="24"/>
                <w:szCs w:val="24"/>
                <w:vertAlign w:val="baseline"/>
                <w:lang w:val="en-US" w:eastAsia="zh-CN"/>
              </w:rPr>
            </w:pPr>
            <w:r>
              <w:rPr>
                <w:rFonts w:hint="default" w:ascii="Times New Roman" w:hAnsi="Times New Roman" w:cs="Times New Roman"/>
                <w:color w:val="auto"/>
                <w:spacing w:val="0"/>
                <w:kern w:val="0"/>
                <w:sz w:val="24"/>
                <w:szCs w:val="24"/>
                <w:lang w:val="en-US" w:eastAsia="zh-CN"/>
              </w:rPr>
              <w:t>采取措施</w:t>
            </w:r>
            <w:r>
              <w:rPr>
                <w:rFonts w:hint="default" w:ascii="Times New Roman" w:hAnsi="Times New Roman" w:cs="Times New Roman"/>
                <w:color w:val="auto"/>
                <w:spacing w:val="0"/>
                <w:kern w:val="0"/>
                <w:sz w:val="24"/>
                <w:szCs w:val="24"/>
              </w:rPr>
              <w:t>严格控制无组织污染物排放，</w:t>
            </w:r>
            <w:r>
              <w:rPr>
                <w:rFonts w:hint="default" w:ascii="Times New Roman" w:hAnsi="Times New Roman" w:cs="Times New Roman"/>
                <w:color w:val="auto"/>
                <w:spacing w:val="0"/>
                <w:kern w:val="0"/>
                <w:sz w:val="24"/>
                <w:szCs w:val="24"/>
                <w:lang w:val="en-US" w:eastAsia="zh-CN"/>
              </w:rPr>
              <w:t>保证</w:t>
            </w:r>
            <w:r>
              <w:rPr>
                <w:rFonts w:hint="default" w:ascii="Times New Roman" w:hAnsi="Times New Roman" w:cs="Times New Roman"/>
                <w:color w:val="auto"/>
                <w:sz w:val="24"/>
                <w:szCs w:val="24"/>
                <w:vertAlign w:val="baseline"/>
                <w:lang w:val="en-US" w:eastAsia="zh-CN"/>
              </w:rPr>
              <w:t>厂界颗粒物排放浓度低于《大气污染物综合排放标准》（GB16297-1996）表2中新污染源大气污染物排放限值要求，</w:t>
            </w:r>
            <w:r>
              <w:rPr>
                <w:rFonts w:hint="default" w:ascii="Times New Roman" w:hAnsi="Times New Roman" w:cs="Times New Roman"/>
                <w:color w:val="auto"/>
                <w:spacing w:val="0"/>
                <w:kern w:val="0"/>
                <w:sz w:val="24"/>
                <w:szCs w:val="24"/>
                <w:lang w:val="en-US" w:eastAsia="zh-CN"/>
              </w:rPr>
              <w:t>锑及其化合物厂界浓度低于《锡、锑、汞工业污染排放标准》（GB30770-2014）中表7现有企业和新</w:t>
            </w:r>
            <w:r>
              <w:rPr>
                <w:rFonts w:hint="default" w:ascii="Times New Roman" w:hAnsi="Times New Roman" w:eastAsia="宋体" w:cs="Times New Roman"/>
                <w:color w:val="auto"/>
                <w:spacing w:val="0"/>
                <w:kern w:val="0"/>
                <w:sz w:val="24"/>
                <w:szCs w:val="24"/>
                <w:lang w:val="en-US" w:eastAsia="zh-CN"/>
              </w:rPr>
              <w:t>建企业边界大气污染物限值（0.01</w:t>
            </w:r>
            <w:r>
              <w:rPr>
                <w:rFonts w:hint="default" w:ascii="Times New Roman" w:hAnsi="Times New Roman" w:eastAsia="宋体" w:cs="Times New Roman"/>
                <w:color w:val="auto"/>
                <w:spacing w:val="0"/>
                <w:kern w:val="0"/>
                <w:sz w:val="24"/>
                <w:szCs w:val="24"/>
                <w:lang w:eastAsia="zh-CN"/>
              </w:rPr>
              <w:t>mg/m³</w:t>
            </w:r>
            <w:r>
              <w:rPr>
                <w:rFonts w:hint="default" w:ascii="Times New Roman" w:hAnsi="Times New Roman" w:eastAsia="宋体" w:cs="Times New Roman"/>
                <w:color w:val="auto"/>
                <w:spacing w:val="0"/>
                <w:kern w:val="0"/>
                <w:sz w:val="24"/>
                <w:szCs w:val="24"/>
                <w:lang w:val="en-US" w:eastAsia="zh-CN"/>
              </w:rPr>
              <w:t>）</w:t>
            </w:r>
            <w:r>
              <w:rPr>
                <w:rFonts w:hint="default" w:ascii="Times New Roman" w:hAnsi="Times New Roman" w:cs="Times New Roman"/>
                <w:color w:val="auto"/>
                <w:sz w:val="24"/>
                <w:szCs w:val="24"/>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4" w:firstLineChars="200"/>
              <w:textAlignment w:val="auto"/>
              <w:rPr>
                <w:rFonts w:hint="default" w:ascii="Times New Roman" w:hAnsi="Times New Roman" w:cs="Times New Roman"/>
                <w:color w:val="auto"/>
                <w:sz w:val="24"/>
                <w:szCs w:val="24"/>
                <w:vertAlign w:val="baseline"/>
                <w:lang w:val="en-US" w:eastAsia="zh-CN"/>
              </w:rPr>
            </w:pPr>
            <w:r>
              <w:rPr>
                <w:rFonts w:hint="default" w:ascii="Times New Roman" w:hAnsi="Times New Roman" w:cs="Times New Roman"/>
                <w:color w:val="auto"/>
                <w:spacing w:val="1"/>
                <w:sz w:val="24"/>
                <w:szCs w:val="24"/>
                <w:lang w:val="en-US" w:eastAsia="zh-CN"/>
              </w:rPr>
              <w:t>根据</w:t>
            </w:r>
            <w:r>
              <w:rPr>
                <w:rFonts w:hint="default" w:ascii="Times New Roman" w:hAnsi="Times New Roman" w:eastAsia="宋体" w:cs="Times New Roman"/>
                <w:color w:val="auto"/>
                <w:spacing w:val="1"/>
                <w:sz w:val="24"/>
                <w:szCs w:val="24"/>
                <w:lang w:val="en-US" w:eastAsia="zh-CN"/>
              </w:rPr>
              <w:t>企业对</w:t>
            </w:r>
            <w:r>
              <w:rPr>
                <w:rFonts w:hint="default" w:ascii="Times New Roman" w:hAnsi="Times New Roman" w:cs="Times New Roman"/>
                <w:color w:val="auto"/>
                <w:spacing w:val="1"/>
                <w:sz w:val="24"/>
                <w:szCs w:val="24"/>
                <w:lang w:val="en-US" w:eastAsia="zh-CN"/>
              </w:rPr>
              <w:t>选矿厂无组织废气</w:t>
            </w:r>
            <w:r>
              <w:rPr>
                <w:rFonts w:hint="default" w:ascii="Times New Roman" w:hAnsi="Times New Roman" w:eastAsia="宋体" w:cs="Times New Roman"/>
                <w:color w:val="auto"/>
                <w:spacing w:val="1"/>
                <w:sz w:val="24"/>
                <w:szCs w:val="24"/>
                <w:lang w:val="en-US" w:eastAsia="zh-CN"/>
              </w:rPr>
              <w:t>进行</w:t>
            </w:r>
            <w:r>
              <w:rPr>
                <w:rFonts w:hint="default" w:ascii="Times New Roman" w:hAnsi="Times New Roman" w:cs="Times New Roman"/>
                <w:color w:val="auto"/>
                <w:spacing w:val="1"/>
                <w:sz w:val="24"/>
                <w:szCs w:val="24"/>
                <w:lang w:val="en-US" w:eastAsia="zh-CN"/>
              </w:rPr>
              <w:t>的常规</w:t>
            </w:r>
            <w:r>
              <w:rPr>
                <w:rFonts w:hint="default" w:ascii="Times New Roman" w:hAnsi="Times New Roman" w:eastAsia="宋体" w:cs="Times New Roman"/>
                <w:color w:val="auto"/>
                <w:spacing w:val="1"/>
                <w:sz w:val="24"/>
                <w:szCs w:val="24"/>
                <w:lang w:val="en-US" w:eastAsia="zh-CN"/>
              </w:rPr>
              <w:t>监测</w:t>
            </w:r>
            <w:r>
              <w:rPr>
                <w:rFonts w:hint="default" w:ascii="Times New Roman" w:hAnsi="Times New Roman" w:cs="Times New Roman"/>
                <w:color w:val="auto"/>
                <w:spacing w:val="1"/>
                <w:sz w:val="24"/>
                <w:szCs w:val="24"/>
                <w:lang w:val="en-US" w:eastAsia="zh-CN"/>
              </w:rPr>
              <w:t>数据可表明</w:t>
            </w:r>
            <w:r>
              <w:rPr>
                <w:rFonts w:hint="default" w:ascii="Times New Roman" w:hAnsi="Times New Roman" w:eastAsia="宋体" w:cs="Times New Roman"/>
                <w:color w:val="auto"/>
                <w:spacing w:val="1"/>
                <w:sz w:val="24"/>
                <w:szCs w:val="24"/>
                <w:lang w:val="en-US" w:eastAsia="zh-CN"/>
              </w:rPr>
              <w:t>，</w:t>
            </w:r>
            <w:r>
              <w:rPr>
                <w:rFonts w:hint="default" w:ascii="Times New Roman" w:hAnsi="Times New Roman" w:cs="Times New Roman"/>
                <w:color w:val="auto"/>
                <w:sz w:val="24"/>
                <w:szCs w:val="24"/>
                <w:vertAlign w:val="baseline"/>
                <w:lang w:val="en-US" w:eastAsia="zh-CN"/>
              </w:rPr>
              <w:t>通过采区厂房密闭、洒水降尘等措施对物料堆存粉尘的无组织排放防治效果明显，可以保证无组织粉尘达标排放，最大限度地减少对周围环境的影响。本项目对上述措施应严格予以实施。</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snapToGrid w:val="0"/>
                <w:color w:val="auto"/>
                <w:kern w:val="0"/>
                <w:sz w:val="24"/>
                <w:szCs w:val="24"/>
                <w:lang w:val="en-US" w:eastAsia="zh-CN"/>
              </w:rPr>
            </w:pPr>
            <w:r>
              <w:rPr>
                <w:rFonts w:hint="default" w:ascii="Times New Roman" w:hAnsi="Times New Roman" w:eastAsia="宋体" w:cs="Times New Roman"/>
                <w:b/>
                <w:bCs/>
                <w:snapToGrid w:val="0"/>
                <w:color w:val="auto"/>
                <w:kern w:val="0"/>
                <w:sz w:val="24"/>
                <w:szCs w:val="24"/>
                <w:lang w:val="en-US" w:eastAsia="zh-CN"/>
              </w:rPr>
              <w:t>1.4厂界无组织</w:t>
            </w:r>
            <w:r>
              <w:rPr>
                <w:rFonts w:hint="eastAsia" w:ascii="Times New Roman" w:hAnsi="Times New Roman" w:eastAsia="宋体" w:cs="Times New Roman"/>
                <w:b/>
                <w:bCs/>
                <w:snapToGrid w:val="0"/>
                <w:color w:val="auto"/>
                <w:kern w:val="0"/>
                <w:sz w:val="24"/>
                <w:szCs w:val="24"/>
                <w:lang w:val="en-US" w:eastAsia="zh-CN"/>
              </w:rPr>
              <w:t>废气</w:t>
            </w:r>
            <w:r>
              <w:rPr>
                <w:rFonts w:hint="default" w:ascii="Times New Roman" w:hAnsi="Times New Roman" w:eastAsia="宋体" w:cs="Times New Roman"/>
                <w:b/>
                <w:bCs/>
                <w:snapToGrid w:val="0"/>
                <w:color w:val="auto"/>
                <w:kern w:val="0"/>
                <w:sz w:val="24"/>
                <w:szCs w:val="24"/>
                <w:lang w:val="en-US" w:eastAsia="zh-CN"/>
              </w:rPr>
              <w:t>达标情况分析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snapToGrid w:val="0"/>
                <w:color w:val="auto"/>
                <w:kern w:val="0"/>
                <w:sz w:val="24"/>
                <w:szCs w:val="24"/>
                <w:lang w:val="en-US" w:eastAsia="zh-CN"/>
              </w:rPr>
            </w:pPr>
            <w:r>
              <w:rPr>
                <w:rFonts w:hint="default" w:ascii="Times New Roman" w:hAnsi="Times New Roman" w:eastAsia="宋体" w:cs="Times New Roman"/>
                <w:b w:val="0"/>
                <w:bCs w:val="0"/>
                <w:snapToGrid w:val="0"/>
                <w:color w:val="auto"/>
                <w:kern w:val="0"/>
                <w:sz w:val="24"/>
                <w:szCs w:val="24"/>
                <w:lang w:val="en-US" w:eastAsia="zh-CN"/>
              </w:rPr>
              <w:t>采用AERSCREEN模式预测在正常排放条件下各污染源污染物最大浓度占标率。预测结果可知，本项目成品库、尾矿干滩运营期排放的废气特征污染物颗粒物厂界处的预测浓度为85.595μg/m³、6.277μg/m³，锑及其化合物最大落地浓度出现在尾矿库下风向175m处，最大落地浓度为0.024ug/m³。</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snapToGrid w:val="0"/>
                <w:color w:val="auto"/>
                <w:kern w:val="0"/>
                <w:sz w:val="24"/>
                <w:szCs w:val="24"/>
                <w:lang w:val="en-US" w:eastAsia="zh-CN"/>
              </w:rPr>
            </w:pPr>
            <w:r>
              <w:rPr>
                <w:rFonts w:hint="default" w:ascii="Times New Roman" w:hAnsi="Times New Roman" w:eastAsia="宋体" w:cs="Times New Roman"/>
                <w:b w:val="0"/>
                <w:bCs w:val="0"/>
                <w:snapToGrid w:val="0"/>
                <w:color w:val="auto"/>
                <w:kern w:val="0"/>
                <w:sz w:val="24"/>
                <w:szCs w:val="24"/>
                <w:lang w:val="en-US" w:eastAsia="zh-CN"/>
              </w:rPr>
              <w:t>通过采取措施，厂界颗粒物可满足《大气污染物综合排放标准》（GB16927-1996）表2无组织颗粒物边界浓度1.0mg/m³的限值，锑及其化合物可满足《锡、锑、汞工业污染排放标准》（GB30770-2014）中表7现有企业和新建企业边界大气污染物限值（0.01mg/m³），对区域大气环境质量影响较小。</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1.</w:t>
            </w:r>
            <w:r>
              <w:rPr>
                <w:rFonts w:hint="default" w:ascii="Times New Roman" w:hAnsi="Times New Roman" w:cs="Times New Roman"/>
                <w:b/>
                <w:bCs/>
                <w:color w:val="auto"/>
                <w:sz w:val="24"/>
                <w:szCs w:val="24"/>
                <w:lang w:val="en-US" w:eastAsia="zh-CN"/>
              </w:rPr>
              <w:t>5</w:t>
            </w:r>
            <w:r>
              <w:rPr>
                <w:rFonts w:hint="default" w:ascii="Times New Roman" w:hAnsi="Times New Roman" w:eastAsia="宋体" w:cs="Times New Roman"/>
                <w:b/>
                <w:bCs/>
                <w:color w:val="auto"/>
                <w:sz w:val="24"/>
                <w:szCs w:val="24"/>
                <w:lang w:val="en-US" w:eastAsia="zh-CN"/>
              </w:rPr>
              <w:t>监测</w:t>
            </w:r>
            <w:r>
              <w:rPr>
                <w:rFonts w:hint="default" w:ascii="Times New Roman" w:hAnsi="Times New Roman" w:cs="Times New Roman"/>
                <w:b/>
                <w:bCs/>
                <w:color w:val="auto"/>
                <w:sz w:val="24"/>
                <w:szCs w:val="24"/>
                <w:lang w:val="en-US" w:eastAsia="zh-CN"/>
              </w:rPr>
              <w:t>计划</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根据《排污单位自行监测技术指南总则》（HJ819-2017），本项目大气污染源监测计划见下表：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表4-4废气环境监测计划表</w:t>
            </w:r>
          </w:p>
          <w:tbl>
            <w:tblPr>
              <w:tblStyle w:val="30"/>
              <w:tblW w:w="4998" w:type="pct"/>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122"/>
              <w:gridCol w:w="1694"/>
              <w:gridCol w:w="1111"/>
              <w:gridCol w:w="330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46" w:type="pct"/>
                  <w:noWrap w:val="0"/>
                  <w:vAlign w:val="center"/>
                </w:tcPr>
                <w:p>
                  <w:pPr>
                    <w:bidi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类别</w:t>
                  </w:r>
                </w:p>
              </w:tc>
              <w:tc>
                <w:tcPr>
                  <w:tcW w:w="706" w:type="pct"/>
                  <w:noWrap w:val="0"/>
                  <w:vAlign w:val="center"/>
                </w:tcPr>
                <w:p>
                  <w:pPr>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lang w:val="en-US" w:eastAsia="zh-CN"/>
                    </w:rPr>
                    <w:t>监测</w:t>
                  </w:r>
                  <w:r>
                    <w:rPr>
                      <w:rFonts w:hint="default" w:ascii="Times New Roman" w:hAnsi="Times New Roman" w:eastAsia="宋体" w:cs="Times New Roman"/>
                      <w:color w:val="auto"/>
                      <w:sz w:val="21"/>
                      <w:szCs w:val="21"/>
                      <w:lang w:val="en-US" w:eastAsia="zh-CN"/>
                    </w:rPr>
                    <w:t>点位</w:t>
                  </w:r>
                </w:p>
              </w:tc>
              <w:tc>
                <w:tcPr>
                  <w:tcW w:w="1066" w:type="pct"/>
                  <w:noWrap w:val="0"/>
                  <w:vAlign w:val="center"/>
                </w:tcPr>
                <w:p>
                  <w:pPr>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监测项目</w:t>
                  </w:r>
                </w:p>
              </w:tc>
              <w:tc>
                <w:tcPr>
                  <w:tcW w:w="699" w:type="pct"/>
                  <w:noWrap w:val="0"/>
                  <w:vAlign w:val="center"/>
                </w:tcPr>
                <w:p>
                  <w:pPr>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监测频率</w:t>
                  </w:r>
                </w:p>
              </w:tc>
              <w:tc>
                <w:tcPr>
                  <w:tcW w:w="2081" w:type="pct"/>
                  <w:noWrap w:val="0"/>
                  <w:vAlign w:val="center"/>
                </w:tcPr>
                <w:p>
                  <w:pPr>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监测</w:t>
                  </w:r>
                  <w:r>
                    <w:rPr>
                      <w:rFonts w:hint="default" w:ascii="Times New Roman" w:hAnsi="Times New Roman" w:eastAsia="宋体" w:cs="Times New Roman"/>
                      <w:color w:val="auto"/>
                      <w:sz w:val="21"/>
                      <w:szCs w:val="21"/>
                      <w:lang w:eastAsia="zh-CN"/>
                    </w:rPr>
                    <w:t>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446" w:type="pct"/>
                  <w:vMerge w:val="restart"/>
                  <w:noWrap w:val="0"/>
                  <w:vAlign w:val="center"/>
                </w:tcPr>
                <w:p>
                  <w:pPr>
                    <w:bidi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无组织</w:t>
                  </w:r>
                </w:p>
              </w:tc>
              <w:tc>
                <w:tcPr>
                  <w:tcW w:w="706" w:type="pct"/>
                  <w:vMerge w:val="restart"/>
                  <w:noWrap w:val="0"/>
                  <w:vAlign w:val="center"/>
                </w:tcPr>
                <w:p>
                  <w:pPr>
                    <w:bidi w:val="0"/>
                    <w:spacing w:line="240" w:lineRule="auto"/>
                    <w:jc w:val="center"/>
                    <w:rPr>
                      <w:rFonts w:hint="default" w:ascii="Times New Roman" w:hAnsi="Times New Roman" w:cs="Times New Roman"/>
                      <w:color w:val="auto"/>
                      <w:sz w:val="21"/>
                      <w:szCs w:val="21"/>
                    </w:rPr>
                  </w:pPr>
                  <w:r>
                    <w:rPr>
                      <w:rFonts w:hint="default" w:ascii="Times New Roman" w:hAnsi="Times New Roman" w:eastAsia="宋体" w:cs="Times New Roman"/>
                      <w:b w:val="0"/>
                      <w:bCs w:val="0"/>
                      <w:color w:val="auto"/>
                      <w:sz w:val="21"/>
                      <w:szCs w:val="21"/>
                      <w:vertAlign w:val="baseline"/>
                      <w:lang w:val="en-US" w:eastAsia="zh-CN"/>
                    </w:rPr>
                    <w:t>厂界</w:t>
                  </w:r>
                </w:p>
              </w:tc>
              <w:tc>
                <w:tcPr>
                  <w:tcW w:w="1066" w:type="pct"/>
                  <w:noWrap w:val="0"/>
                  <w:vAlign w:val="center"/>
                </w:tcPr>
                <w:p>
                  <w:pPr>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颗粒物</w:t>
                  </w:r>
                </w:p>
              </w:tc>
              <w:tc>
                <w:tcPr>
                  <w:tcW w:w="699" w:type="pct"/>
                  <w:vMerge w:val="restart"/>
                  <w:noWrap w:val="0"/>
                  <w:vAlign w:val="center"/>
                </w:tcPr>
                <w:p>
                  <w:pPr>
                    <w:bidi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w:t>
                  </w:r>
                  <w:r>
                    <w:rPr>
                      <w:rFonts w:hint="default" w:ascii="Times New Roman" w:hAnsi="Times New Roman" w:eastAsia="宋体" w:cs="Times New Roman"/>
                      <w:color w:val="auto"/>
                      <w:sz w:val="21"/>
                      <w:szCs w:val="21"/>
                    </w:rPr>
                    <w:t>次</w:t>
                  </w:r>
                  <w:r>
                    <w:rPr>
                      <w:rFonts w:hint="default" w:ascii="Times New Roman" w:hAnsi="Times New Roman" w:eastAsia="宋体" w:cs="Times New Roman"/>
                      <w:color w:val="auto"/>
                      <w:sz w:val="21"/>
                      <w:szCs w:val="21"/>
                      <w:lang w:val="en-US" w:eastAsia="zh-CN"/>
                    </w:rPr>
                    <w:t>/年</w:t>
                  </w:r>
                </w:p>
              </w:tc>
              <w:tc>
                <w:tcPr>
                  <w:tcW w:w="2081" w:type="pct"/>
                  <w:noWrap w:val="0"/>
                  <w:vAlign w:val="center"/>
                </w:tcPr>
                <w:p>
                  <w:pPr>
                    <w:bidi w:val="0"/>
                    <w:spacing w:line="240" w:lineRule="auto"/>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《大气污染物综合排放标准》（GB16297-1996）中的排放限值要求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446" w:type="pct"/>
                  <w:vMerge w:val="continue"/>
                  <w:noWrap w:val="0"/>
                  <w:vAlign w:val="center"/>
                </w:tcPr>
                <w:p>
                  <w:pPr>
                    <w:bidi w:val="0"/>
                    <w:spacing w:line="240" w:lineRule="auto"/>
                    <w:jc w:val="center"/>
                    <w:rPr>
                      <w:rFonts w:hint="default" w:ascii="Times New Roman" w:hAnsi="Times New Roman" w:cs="Times New Roman"/>
                      <w:color w:val="auto"/>
                      <w:kern w:val="2"/>
                      <w:sz w:val="21"/>
                      <w:szCs w:val="21"/>
                      <w:lang w:val="en-US" w:eastAsia="zh-CN" w:bidi="ar-SA"/>
                    </w:rPr>
                  </w:pPr>
                </w:p>
              </w:tc>
              <w:tc>
                <w:tcPr>
                  <w:tcW w:w="706" w:type="pct"/>
                  <w:vMerge w:val="continue"/>
                  <w:noWrap w:val="0"/>
                  <w:vAlign w:val="center"/>
                </w:tcPr>
                <w:p>
                  <w:pPr>
                    <w:bidi w:val="0"/>
                    <w:spacing w:line="240" w:lineRule="auto"/>
                    <w:jc w:val="center"/>
                    <w:rPr>
                      <w:rFonts w:hint="default" w:ascii="Times New Roman" w:hAnsi="Times New Roman" w:eastAsia="宋体" w:cs="Times New Roman"/>
                      <w:b w:val="0"/>
                      <w:bCs w:val="0"/>
                      <w:color w:val="auto"/>
                      <w:sz w:val="21"/>
                      <w:szCs w:val="21"/>
                      <w:vertAlign w:val="baseline"/>
                      <w:lang w:val="en-US" w:eastAsia="zh-CN"/>
                    </w:rPr>
                  </w:pPr>
                </w:p>
              </w:tc>
              <w:tc>
                <w:tcPr>
                  <w:tcW w:w="1066" w:type="pct"/>
                  <w:noWrap w:val="0"/>
                  <w:vAlign w:val="center"/>
                </w:tcPr>
                <w:p>
                  <w:pPr>
                    <w:bidi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Cs w:val="21"/>
                      <w:lang w:val="en-US" w:eastAsia="zh-CN"/>
                    </w:rPr>
                    <w:t>锑及其化合物</w:t>
                  </w:r>
                </w:p>
              </w:tc>
              <w:tc>
                <w:tcPr>
                  <w:tcW w:w="699" w:type="pct"/>
                  <w:vMerge w:val="continue"/>
                  <w:noWrap w:val="0"/>
                  <w:vAlign w:val="center"/>
                </w:tcPr>
                <w:p>
                  <w:pPr>
                    <w:bidi w:val="0"/>
                    <w:spacing w:line="240" w:lineRule="auto"/>
                    <w:jc w:val="center"/>
                    <w:rPr>
                      <w:rFonts w:hint="default" w:ascii="Times New Roman" w:hAnsi="Times New Roman" w:eastAsia="宋体" w:cs="Times New Roman"/>
                      <w:color w:val="auto"/>
                      <w:sz w:val="21"/>
                      <w:szCs w:val="21"/>
                      <w:lang w:val="en-US" w:eastAsia="zh-CN"/>
                    </w:rPr>
                  </w:pPr>
                </w:p>
              </w:tc>
              <w:tc>
                <w:tcPr>
                  <w:tcW w:w="2081" w:type="pct"/>
                  <w:noWrap w:val="0"/>
                  <w:vAlign w:val="center"/>
                </w:tcPr>
                <w:p>
                  <w:pPr>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highlight w:val="none"/>
                      <w:lang w:val="en-US" w:eastAsia="zh-CN"/>
                    </w:rPr>
                    <w:t>《锡、锑、汞工业污染物排放标准》(GB30770－2014)</w:t>
                  </w:r>
                </w:p>
              </w:tc>
            </w:tr>
          </w:tbl>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2废水</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2.1废水影响分析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本项目生产废水主要为选矿废水，</w:t>
            </w:r>
            <w:r>
              <w:rPr>
                <w:rFonts w:hint="eastAsia" w:cs="Times New Roman"/>
                <w:b w:val="0"/>
                <w:bCs w:val="0"/>
                <w:color w:val="auto"/>
                <w:sz w:val="24"/>
                <w:szCs w:val="24"/>
                <w:highlight w:val="none"/>
                <w:lang w:val="en-US" w:eastAsia="zh-CN"/>
              </w:rPr>
              <w:t>正常工况下</w:t>
            </w:r>
            <w:r>
              <w:rPr>
                <w:rFonts w:hint="default" w:ascii="Times New Roman" w:hAnsi="Times New Roman" w:cs="Times New Roman"/>
                <w:b w:val="0"/>
                <w:bCs w:val="0"/>
                <w:color w:val="auto"/>
                <w:sz w:val="24"/>
                <w:szCs w:val="24"/>
                <w:highlight w:val="none"/>
                <w:lang w:val="en-US" w:eastAsia="zh-CN"/>
              </w:rPr>
              <w:t>选矿废水进入集水池循环泵送回选矿回水高位水池，澄清后进入选矿生产线循环使用，定期补充新鲜水，无生产废水产生。非正常工况下，选矿水溢出，立即停止生产，溢出水排入车间排水沟，最终由车间回水泵排入车间外</w:t>
            </w:r>
            <w:r>
              <w:rPr>
                <w:rFonts w:hint="eastAsia" w:cs="Times New Roman"/>
                <w:b w:val="0"/>
                <w:bCs w:val="0"/>
                <w:color w:val="auto"/>
                <w:sz w:val="24"/>
                <w:szCs w:val="24"/>
                <w:highlight w:val="none"/>
                <w:lang w:val="en-US" w:eastAsia="zh-CN"/>
              </w:rPr>
              <w:t>470m³现有</w:t>
            </w:r>
            <w:r>
              <w:rPr>
                <w:rFonts w:hint="default" w:ascii="Times New Roman" w:hAnsi="Times New Roman" w:cs="Times New Roman"/>
                <w:b w:val="0"/>
                <w:bCs w:val="0"/>
                <w:color w:val="auto"/>
                <w:sz w:val="24"/>
                <w:szCs w:val="24"/>
                <w:highlight w:val="none"/>
                <w:lang w:val="en-US" w:eastAsia="zh-CN"/>
              </w:rPr>
              <w:t>防渗事故池，保证不外排。</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生活污水主要污染物为CODcr、BOD</w:t>
            </w:r>
            <w:r>
              <w:rPr>
                <w:rFonts w:hint="default" w:ascii="Times New Roman" w:hAnsi="Times New Roman" w:eastAsia="宋体" w:cs="Times New Roman"/>
                <w:b w:val="0"/>
                <w:bCs w:val="0"/>
                <w:color w:val="auto"/>
                <w:kern w:val="2"/>
                <w:sz w:val="24"/>
                <w:szCs w:val="24"/>
                <w:vertAlign w:val="subscript"/>
                <w:lang w:val="en-US" w:eastAsia="zh-CN" w:bidi="ar-SA"/>
              </w:rPr>
              <w:t>5</w:t>
            </w:r>
            <w:r>
              <w:rPr>
                <w:rFonts w:hint="default" w:ascii="Times New Roman" w:hAnsi="Times New Roman" w:eastAsia="宋体" w:cs="Times New Roman"/>
                <w:b w:val="0"/>
                <w:bCs w:val="0"/>
                <w:color w:val="auto"/>
                <w:kern w:val="2"/>
                <w:sz w:val="24"/>
                <w:szCs w:val="24"/>
                <w:lang w:val="en-US" w:eastAsia="zh-CN" w:bidi="ar-SA"/>
              </w:rPr>
              <w:t>、SS、氨氮、动植物油等，生活污水中成分简单，污水排放浓度较低，可生化性高，污染物成分简单，产生量较少，生活污水依托厂区</w:t>
            </w:r>
            <w:r>
              <w:rPr>
                <w:rFonts w:hint="default" w:ascii="Times New Roman" w:hAnsi="Times New Roman" w:cs="Times New Roman"/>
                <w:b w:val="0"/>
                <w:bCs w:val="0"/>
                <w:color w:val="auto"/>
                <w:kern w:val="2"/>
                <w:sz w:val="24"/>
                <w:szCs w:val="24"/>
                <w:lang w:val="en-US" w:eastAsia="zh-CN" w:bidi="ar-SA"/>
              </w:rPr>
              <w:t>提标改造后的</w:t>
            </w:r>
            <w:r>
              <w:rPr>
                <w:rFonts w:hint="default" w:ascii="Times New Roman" w:hAnsi="Times New Roman" w:eastAsia="宋体" w:cs="Times New Roman"/>
                <w:b w:val="0"/>
                <w:bCs w:val="0"/>
                <w:color w:val="auto"/>
                <w:kern w:val="2"/>
                <w:sz w:val="24"/>
                <w:szCs w:val="24"/>
                <w:lang w:val="en-US" w:eastAsia="zh-CN" w:bidi="ar-SA"/>
              </w:rPr>
              <w:t>一体化污水处理设施处理达标后，用于项目区绿化、洒水等</w:t>
            </w:r>
            <w:r>
              <w:rPr>
                <w:rFonts w:hint="default" w:ascii="Times New Roman" w:hAnsi="Times New Roman"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项目污水中污染物排放浓度及排放量具体见下表。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表4-5生活污水污染因子排放浓度及排放量</w:t>
            </w:r>
          </w:p>
          <w:tbl>
            <w:tblPr>
              <w:tblStyle w:val="30"/>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2269"/>
              <w:gridCol w:w="1220"/>
              <w:gridCol w:w="1325"/>
              <w:gridCol w:w="937"/>
              <w:gridCol w:w="1050"/>
              <w:gridCol w:w="10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269" w:type="dxa"/>
                  <w:noWrap w:val="0"/>
                  <w:vAlign w:val="center"/>
                </w:tcPr>
                <w:p>
                  <w:pPr>
                    <w:keepNext w:val="0"/>
                    <w:keepLines w:val="0"/>
                    <w:widowControl/>
                    <w:suppressLineNumbers w:val="0"/>
                    <w:spacing w:line="240" w:lineRule="auto"/>
                    <w:ind w:left="0" w:leftChars="0"/>
                    <w:jc w:val="center"/>
                    <w:textAlignment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i w:val="0"/>
                      <w:iCs w:val="0"/>
                      <w:color w:val="auto"/>
                      <w:kern w:val="0"/>
                      <w:sz w:val="21"/>
                      <w:szCs w:val="21"/>
                      <w:u w:val="none"/>
                      <w:lang w:val="en-US" w:eastAsia="zh-CN" w:bidi="ar"/>
                    </w:rPr>
                    <w:t>项目</w:t>
                  </w:r>
                </w:p>
              </w:tc>
              <w:tc>
                <w:tcPr>
                  <w:tcW w:w="1220" w:type="dxa"/>
                  <w:noWrap w:val="0"/>
                  <w:vAlign w:val="center"/>
                </w:tcPr>
                <w:p>
                  <w:pPr>
                    <w:keepNext w:val="0"/>
                    <w:keepLines w:val="0"/>
                    <w:widowControl/>
                    <w:suppressLineNumbers w:val="0"/>
                    <w:spacing w:line="240" w:lineRule="auto"/>
                    <w:ind w:left="0" w:leftChars="0"/>
                    <w:jc w:val="center"/>
                    <w:textAlignment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i w:val="0"/>
                      <w:iCs w:val="0"/>
                      <w:color w:val="auto"/>
                      <w:kern w:val="0"/>
                      <w:sz w:val="21"/>
                      <w:szCs w:val="21"/>
                      <w:u w:val="none"/>
                      <w:lang w:val="en-US" w:eastAsia="zh-CN" w:bidi="ar"/>
                    </w:rPr>
                    <w:t>COD</w:t>
                  </w:r>
                  <w:r>
                    <w:rPr>
                      <w:rFonts w:hint="default" w:ascii="Times New Roman" w:hAnsi="Times New Roman" w:eastAsia="宋体" w:cs="Times New Roman"/>
                      <w:i w:val="0"/>
                      <w:iCs w:val="0"/>
                      <w:color w:val="auto"/>
                      <w:kern w:val="0"/>
                      <w:sz w:val="21"/>
                      <w:szCs w:val="21"/>
                      <w:u w:val="none"/>
                      <w:vertAlign w:val="subscript"/>
                      <w:lang w:val="en-US" w:eastAsia="zh-CN" w:bidi="ar"/>
                    </w:rPr>
                    <w:t>cr</w:t>
                  </w:r>
                </w:p>
              </w:tc>
              <w:tc>
                <w:tcPr>
                  <w:tcW w:w="1325" w:type="dxa"/>
                  <w:noWrap w:val="0"/>
                  <w:vAlign w:val="center"/>
                </w:tcPr>
                <w:p>
                  <w:pPr>
                    <w:keepNext w:val="0"/>
                    <w:keepLines w:val="0"/>
                    <w:widowControl/>
                    <w:suppressLineNumbers w:val="0"/>
                    <w:spacing w:line="240" w:lineRule="auto"/>
                    <w:ind w:left="0" w:leftChars="0"/>
                    <w:jc w:val="center"/>
                    <w:textAlignment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i w:val="0"/>
                      <w:iCs w:val="0"/>
                      <w:color w:val="auto"/>
                      <w:kern w:val="0"/>
                      <w:sz w:val="21"/>
                      <w:szCs w:val="21"/>
                      <w:u w:val="none"/>
                      <w:lang w:val="en-US" w:eastAsia="zh-CN" w:bidi="ar"/>
                    </w:rPr>
                    <w:t>BOD</w:t>
                  </w:r>
                  <w:r>
                    <w:rPr>
                      <w:rFonts w:hint="default" w:ascii="Times New Roman" w:hAnsi="Times New Roman" w:eastAsia="宋体" w:cs="Times New Roman"/>
                      <w:i w:val="0"/>
                      <w:iCs w:val="0"/>
                      <w:color w:val="auto"/>
                      <w:kern w:val="0"/>
                      <w:sz w:val="21"/>
                      <w:szCs w:val="21"/>
                      <w:u w:val="none"/>
                      <w:vertAlign w:val="subscript"/>
                      <w:lang w:val="en-US" w:eastAsia="zh-CN" w:bidi="ar"/>
                    </w:rPr>
                    <w:t>5</w:t>
                  </w:r>
                </w:p>
              </w:tc>
              <w:tc>
                <w:tcPr>
                  <w:tcW w:w="937" w:type="dxa"/>
                  <w:noWrap w:val="0"/>
                  <w:vAlign w:val="center"/>
                </w:tcPr>
                <w:p>
                  <w:pPr>
                    <w:keepNext w:val="0"/>
                    <w:keepLines w:val="0"/>
                    <w:widowControl/>
                    <w:suppressLineNumbers w:val="0"/>
                    <w:spacing w:line="240" w:lineRule="auto"/>
                    <w:ind w:left="0" w:leftChars="0"/>
                    <w:jc w:val="center"/>
                    <w:textAlignment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i w:val="0"/>
                      <w:iCs w:val="0"/>
                      <w:color w:val="auto"/>
                      <w:kern w:val="0"/>
                      <w:sz w:val="21"/>
                      <w:szCs w:val="21"/>
                      <w:u w:val="none"/>
                      <w:lang w:val="en-US" w:eastAsia="zh-CN" w:bidi="ar"/>
                    </w:rPr>
                    <w:t>SS</w:t>
                  </w:r>
                </w:p>
              </w:tc>
              <w:tc>
                <w:tcPr>
                  <w:tcW w:w="1050" w:type="dxa"/>
                  <w:noWrap w:val="0"/>
                  <w:vAlign w:val="center"/>
                </w:tcPr>
                <w:p>
                  <w:pPr>
                    <w:keepNext w:val="0"/>
                    <w:keepLines w:val="0"/>
                    <w:widowControl/>
                    <w:suppressLineNumbers w:val="0"/>
                    <w:spacing w:line="240" w:lineRule="auto"/>
                    <w:ind w:left="0" w:leftChars="0"/>
                    <w:jc w:val="center"/>
                    <w:textAlignment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i w:val="0"/>
                      <w:iCs w:val="0"/>
                      <w:color w:val="auto"/>
                      <w:kern w:val="0"/>
                      <w:sz w:val="21"/>
                      <w:szCs w:val="21"/>
                      <w:u w:val="none"/>
                      <w:lang w:val="en-US" w:eastAsia="zh-CN" w:bidi="ar"/>
                    </w:rPr>
                    <w:t>NH</w:t>
                  </w:r>
                  <w:r>
                    <w:rPr>
                      <w:rFonts w:hint="default" w:ascii="Times New Roman" w:hAnsi="Times New Roman" w:eastAsia="宋体" w:cs="Times New Roman"/>
                      <w:i w:val="0"/>
                      <w:iCs w:val="0"/>
                      <w:color w:val="auto"/>
                      <w:kern w:val="0"/>
                      <w:sz w:val="21"/>
                      <w:szCs w:val="21"/>
                      <w:u w:val="none"/>
                      <w:vertAlign w:val="subscript"/>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-H</w:t>
                  </w:r>
                </w:p>
              </w:tc>
              <w:tc>
                <w:tcPr>
                  <w:tcW w:w="1056" w:type="dxa"/>
                  <w:noWrap w:val="0"/>
                  <w:vAlign w:val="center"/>
                </w:tcPr>
                <w:p>
                  <w:pPr>
                    <w:keepNext w:val="0"/>
                    <w:keepLines w:val="0"/>
                    <w:widowControl/>
                    <w:suppressLineNumbers w:val="0"/>
                    <w:spacing w:line="240" w:lineRule="auto"/>
                    <w:ind w:left="0" w:lef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动植物油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269" w:type="dxa"/>
                  <w:noWrap w:val="0"/>
                  <w:vAlign w:val="center"/>
                </w:tcPr>
                <w:p>
                  <w:pPr>
                    <w:keepNext w:val="0"/>
                    <w:keepLines w:val="0"/>
                    <w:widowControl/>
                    <w:suppressLineNumbers w:val="0"/>
                    <w:spacing w:line="240" w:lineRule="auto"/>
                    <w:ind w:left="0" w:leftChars="0"/>
                    <w:jc w:val="center"/>
                    <w:textAlignment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i w:val="0"/>
                      <w:iCs w:val="0"/>
                      <w:color w:val="auto"/>
                      <w:kern w:val="0"/>
                      <w:sz w:val="21"/>
                      <w:szCs w:val="21"/>
                      <w:u w:val="none"/>
                      <w:lang w:val="en-US" w:eastAsia="zh-CN" w:bidi="ar"/>
                    </w:rPr>
                    <w:t>废水量（</w:t>
                  </w:r>
                  <w:r>
                    <w:rPr>
                      <w:rFonts w:hint="default" w:ascii="Times New Roman" w:hAnsi="Times New Roman" w:cs="Times New Roman"/>
                      <w:i w:val="0"/>
                      <w:iCs w:val="0"/>
                      <w:color w:val="auto"/>
                      <w:kern w:val="0"/>
                      <w:sz w:val="21"/>
                      <w:szCs w:val="21"/>
                      <w:u w:val="none"/>
                      <w:lang w:val="en-US" w:eastAsia="zh-CN" w:bidi="ar"/>
                    </w:rPr>
                    <w:t>m³</w:t>
                  </w:r>
                  <w:r>
                    <w:rPr>
                      <w:rFonts w:hint="default" w:ascii="Times New Roman" w:hAnsi="Times New Roman" w:eastAsia="宋体" w:cs="Times New Roman"/>
                      <w:i w:val="0"/>
                      <w:iCs w:val="0"/>
                      <w:color w:val="auto"/>
                      <w:kern w:val="0"/>
                      <w:sz w:val="21"/>
                      <w:szCs w:val="21"/>
                      <w:u w:val="none"/>
                      <w:lang w:val="en-US" w:eastAsia="zh-CN" w:bidi="ar"/>
                    </w:rPr>
                    <w:t>/a）</w:t>
                  </w:r>
                </w:p>
              </w:tc>
              <w:tc>
                <w:tcPr>
                  <w:tcW w:w="5588" w:type="dxa"/>
                  <w:gridSpan w:val="5"/>
                  <w:noWrap w:val="0"/>
                  <w:vAlign w:val="center"/>
                </w:tcPr>
                <w:p>
                  <w:pPr>
                    <w:spacing w:line="240" w:lineRule="auto"/>
                    <w:ind w:left="0" w:leftChars="0"/>
                    <w:jc w:val="center"/>
                    <w:rPr>
                      <w:rFonts w:hint="default"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336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269" w:type="dxa"/>
                  <w:noWrap w:val="0"/>
                  <w:vAlign w:val="center"/>
                </w:tcPr>
                <w:p>
                  <w:pPr>
                    <w:keepNext w:val="0"/>
                    <w:keepLines w:val="0"/>
                    <w:widowControl/>
                    <w:suppressLineNumbers w:val="0"/>
                    <w:spacing w:line="240" w:lineRule="auto"/>
                    <w:ind w:left="0" w:leftChars="0"/>
                    <w:jc w:val="center"/>
                    <w:textAlignment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i w:val="0"/>
                      <w:iCs w:val="0"/>
                      <w:color w:val="auto"/>
                      <w:kern w:val="0"/>
                      <w:sz w:val="21"/>
                      <w:szCs w:val="21"/>
                      <w:u w:val="none"/>
                      <w:lang w:val="en-US" w:eastAsia="zh-CN" w:bidi="ar"/>
                    </w:rPr>
                    <w:t>排放</w:t>
                  </w:r>
                  <w:r>
                    <w:rPr>
                      <w:rFonts w:hint="default" w:ascii="Times New Roman" w:hAnsi="Times New Roman" w:eastAsia="宋体" w:cs="Times New Roman"/>
                      <w:i w:val="0"/>
                      <w:iCs w:val="0"/>
                      <w:color w:val="auto"/>
                      <w:kern w:val="0"/>
                      <w:sz w:val="21"/>
                      <w:szCs w:val="21"/>
                      <w:u w:val="none"/>
                      <w:lang w:val="en-US" w:eastAsia="zh-CN" w:bidi="ar"/>
                    </w:rPr>
                    <w:t>浓度(mg/L)</w:t>
                  </w:r>
                </w:p>
              </w:tc>
              <w:tc>
                <w:tcPr>
                  <w:tcW w:w="1220" w:type="dxa"/>
                  <w:noWrap w:val="0"/>
                  <w:vAlign w:val="center"/>
                </w:tcPr>
                <w:p>
                  <w:pPr>
                    <w:spacing w:beforeLines="0" w:afterLine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60</w:t>
                  </w:r>
                </w:p>
              </w:tc>
              <w:tc>
                <w:tcPr>
                  <w:tcW w:w="1325" w:type="dxa"/>
                  <w:noWrap w:val="0"/>
                  <w:vAlign w:val="center"/>
                </w:tcPr>
                <w:p>
                  <w:pPr>
                    <w:spacing w:beforeLines="0" w:afterLine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20</w:t>
                  </w:r>
                </w:p>
              </w:tc>
              <w:tc>
                <w:tcPr>
                  <w:tcW w:w="937" w:type="dxa"/>
                  <w:noWrap w:val="0"/>
                  <w:vAlign w:val="center"/>
                </w:tcPr>
                <w:p>
                  <w:pPr>
                    <w:spacing w:beforeLines="0" w:afterLine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30</w:t>
                  </w:r>
                </w:p>
              </w:tc>
              <w:tc>
                <w:tcPr>
                  <w:tcW w:w="1050" w:type="dxa"/>
                  <w:noWrap w:val="0"/>
                  <w:vAlign w:val="center"/>
                </w:tcPr>
                <w:p>
                  <w:pPr>
                    <w:spacing w:beforeLines="0" w:afterLine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15</w:t>
                  </w:r>
                </w:p>
              </w:tc>
              <w:tc>
                <w:tcPr>
                  <w:tcW w:w="1056" w:type="dxa"/>
                  <w:noWrap w:val="0"/>
                  <w:vAlign w:val="center"/>
                </w:tcPr>
                <w:p>
                  <w:pPr>
                    <w:spacing w:beforeLines="0" w:afterLine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31" w:hRule="atLeast"/>
              </w:trPr>
              <w:tc>
                <w:tcPr>
                  <w:tcW w:w="2269" w:type="dxa"/>
                  <w:noWrap w:val="0"/>
                  <w:vAlign w:val="center"/>
                </w:tcPr>
                <w:p>
                  <w:pPr>
                    <w:keepNext w:val="0"/>
                    <w:keepLines w:val="0"/>
                    <w:widowControl/>
                    <w:suppressLineNumbers w:val="0"/>
                    <w:spacing w:line="240" w:lineRule="auto"/>
                    <w:ind w:left="0" w:leftChars="0"/>
                    <w:jc w:val="center"/>
                    <w:textAlignment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i w:val="0"/>
                      <w:iCs w:val="0"/>
                      <w:color w:val="auto"/>
                      <w:kern w:val="0"/>
                      <w:sz w:val="21"/>
                      <w:szCs w:val="21"/>
                      <w:u w:val="none"/>
                      <w:lang w:val="en-US" w:eastAsia="zh-CN" w:bidi="ar"/>
                    </w:rPr>
                    <w:t>排放</w:t>
                  </w:r>
                  <w:r>
                    <w:rPr>
                      <w:rFonts w:hint="default" w:ascii="Times New Roman" w:hAnsi="Times New Roman" w:eastAsia="宋体" w:cs="Times New Roman"/>
                      <w:i w:val="0"/>
                      <w:iCs w:val="0"/>
                      <w:color w:val="auto"/>
                      <w:kern w:val="0"/>
                      <w:sz w:val="21"/>
                      <w:szCs w:val="21"/>
                      <w:u w:val="none"/>
                      <w:lang w:val="en-US" w:eastAsia="zh-CN" w:bidi="ar"/>
                    </w:rPr>
                    <w:t>量(t/a)</w:t>
                  </w:r>
                </w:p>
              </w:tc>
              <w:tc>
                <w:tcPr>
                  <w:tcW w:w="1220" w:type="dxa"/>
                  <w:noWrap w:val="0"/>
                  <w:vAlign w:val="center"/>
                </w:tcPr>
                <w:p>
                  <w:pPr>
                    <w:spacing w:beforeLines="0" w:afterLine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0.0</w:t>
                  </w:r>
                  <w:r>
                    <w:rPr>
                      <w:rFonts w:hint="eastAsia" w:cs="Times New Roman"/>
                      <w:color w:val="auto"/>
                      <w:sz w:val="21"/>
                      <w:szCs w:val="21"/>
                      <w:vertAlign w:val="baseline"/>
                      <w:lang w:val="en-US" w:eastAsia="zh-CN"/>
                    </w:rPr>
                    <w:t>20</w:t>
                  </w:r>
                </w:p>
              </w:tc>
              <w:tc>
                <w:tcPr>
                  <w:tcW w:w="1325" w:type="dxa"/>
                  <w:noWrap w:val="0"/>
                  <w:vAlign w:val="center"/>
                </w:tcPr>
                <w:p>
                  <w:pPr>
                    <w:spacing w:beforeLines="0" w:afterLine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0.00</w:t>
                  </w:r>
                  <w:r>
                    <w:rPr>
                      <w:rFonts w:hint="eastAsia" w:cs="Times New Roman"/>
                      <w:color w:val="auto"/>
                      <w:sz w:val="21"/>
                      <w:szCs w:val="21"/>
                      <w:vertAlign w:val="baseline"/>
                      <w:lang w:val="en-US" w:eastAsia="zh-CN"/>
                    </w:rPr>
                    <w:t>7</w:t>
                  </w:r>
                </w:p>
              </w:tc>
              <w:tc>
                <w:tcPr>
                  <w:tcW w:w="937" w:type="dxa"/>
                  <w:noWrap w:val="0"/>
                  <w:vAlign w:val="center"/>
                </w:tcPr>
                <w:p>
                  <w:pPr>
                    <w:spacing w:line="240" w:lineRule="auto"/>
                    <w:ind w:left="0" w:lef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0.0</w:t>
                  </w:r>
                  <w:r>
                    <w:rPr>
                      <w:rFonts w:hint="eastAsia" w:cs="Times New Roman"/>
                      <w:color w:val="auto"/>
                      <w:sz w:val="21"/>
                      <w:szCs w:val="21"/>
                      <w:vertAlign w:val="baseline"/>
                      <w:lang w:val="en-US" w:eastAsia="zh-CN"/>
                    </w:rPr>
                    <w:t>10</w:t>
                  </w:r>
                </w:p>
              </w:tc>
              <w:tc>
                <w:tcPr>
                  <w:tcW w:w="1050" w:type="dxa"/>
                  <w:noWrap w:val="0"/>
                  <w:vAlign w:val="center"/>
                </w:tcPr>
                <w:p>
                  <w:pPr>
                    <w:spacing w:line="240" w:lineRule="auto"/>
                    <w:ind w:left="0" w:lef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0.00</w:t>
                  </w:r>
                  <w:r>
                    <w:rPr>
                      <w:rFonts w:hint="eastAsia" w:cs="Times New Roman"/>
                      <w:color w:val="auto"/>
                      <w:sz w:val="21"/>
                      <w:szCs w:val="21"/>
                      <w:vertAlign w:val="baseline"/>
                      <w:lang w:val="en-US" w:eastAsia="zh-CN"/>
                    </w:rPr>
                    <w:t>5</w:t>
                  </w:r>
                </w:p>
              </w:tc>
              <w:tc>
                <w:tcPr>
                  <w:tcW w:w="1056" w:type="dxa"/>
                  <w:noWrap w:val="0"/>
                  <w:vAlign w:val="center"/>
                </w:tcPr>
                <w:p>
                  <w:pPr>
                    <w:spacing w:line="240" w:lineRule="auto"/>
                    <w:ind w:left="0" w:leftChars="0"/>
                    <w:jc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cs="Times New Roman"/>
                      <w:i w:val="0"/>
                      <w:iCs w:val="0"/>
                      <w:color w:val="auto"/>
                      <w:sz w:val="21"/>
                      <w:szCs w:val="21"/>
                      <w:u w:val="none"/>
                      <w:lang w:val="en-US" w:eastAsia="zh-CN"/>
                    </w:rPr>
                    <w:t>0.00</w:t>
                  </w:r>
                  <w:r>
                    <w:rPr>
                      <w:rFonts w:hint="eastAsia" w:cs="Times New Roman"/>
                      <w:i w:val="0"/>
                      <w:iCs w:val="0"/>
                      <w:color w:val="auto"/>
                      <w:sz w:val="21"/>
                      <w:szCs w:val="21"/>
                      <w:u w:val="none"/>
                      <w:lang w:val="en-US" w:eastAsia="zh-CN"/>
                    </w:rPr>
                    <w:t>3</w:t>
                  </w:r>
                </w:p>
              </w:tc>
            </w:tr>
          </w:tbl>
          <w:p>
            <w:pPr>
              <w:keepNext w:val="0"/>
              <w:keepLines w:val="0"/>
              <w:pageBreakBefore w:val="0"/>
              <w:widowControl w:val="0"/>
              <w:kinsoku/>
              <w:wordWrap/>
              <w:overflowPunct/>
              <w:topLinePunct w:val="0"/>
              <w:autoSpaceDE/>
              <w:autoSpaceDN/>
              <w:bidi w:val="0"/>
              <w:adjustRightInd/>
              <w:snapToGrid/>
              <w:spacing w:line="500" w:lineRule="exact"/>
              <w:ind w:firstLine="470" w:firstLineChars="195"/>
              <w:textAlignment w:val="auto"/>
              <w:rPr>
                <w:rFonts w:hint="default" w:ascii="Times New Roman" w:hAnsi="Times New Roman" w:eastAsia="宋体" w:cs="Times New Roman"/>
                <w:b/>
                <w:bCs/>
                <w:color w:val="auto"/>
                <w:sz w:val="24"/>
                <w:szCs w:val="24"/>
                <w:lang w:val="en-US" w:eastAsia="zh-CN"/>
              </w:rPr>
            </w:pPr>
            <w:r>
              <w:rPr>
                <w:rFonts w:hint="eastAsia" w:cs="Times New Roman"/>
                <w:b/>
                <w:bCs/>
                <w:color w:val="auto"/>
                <w:sz w:val="24"/>
                <w:szCs w:val="24"/>
                <w:lang w:val="en-US" w:eastAsia="zh-CN"/>
              </w:rPr>
              <w:t>2.2</w:t>
            </w:r>
            <w:r>
              <w:rPr>
                <w:rFonts w:hint="default" w:ascii="Times New Roman" w:hAnsi="Times New Roman" w:eastAsia="宋体" w:cs="Times New Roman"/>
                <w:b/>
                <w:bCs/>
                <w:color w:val="auto"/>
                <w:sz w:val="24"/>
                <w:szCs w:val="24"/>
                <w:lang w:val="en-US" w:eastAsia="zh-CN"/>
              </w:rPr>
              <w:t>废水治理措施依托可行性分析</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（1）生活污水处理设施依托可行性</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本次提标改造后生活污水处理规模</w:t>
            </w:r>
            <w:r>
              <w:rPr>
                <w:rFonts w:hint="eastAsia" w:cs="Times New Roman"/>
                <w:color w:val="auto"/>
                <w:sz w:val="24"/>
                <w:szCs w:val="24"/>
                <w:lang w:val="en-US" w:eastAsia="zh-CN"/>
              </w:rPr>
              <w:t>不变，仍</w:t>
            </w:r>
            <w:r>
              <w:rPr>
                <w:rFonts w:hint="default" w:ascii="Times New Roman" w:hAnsi="Times New Roman" w:eastAsia="宋体" w:cs="Times New Roman"/>
                <w:color w:val="auto"/>
                <w:sz w:val="24"/>
                <w:szCs w:val="24"/>
                <w:lang w:val="en-US" w:eastAsia="zh-CN"/>
              </w:rPr>
              <w:t>为40m³/d，处理工艺为“收集池→沉淀池（初沉）→调节池→一体化设备（厌氧池+两级好氧池+沉淀池+清水池）”，处理工艺流程如下图：</w:t>
            </w:r>
          </w:p>
          <w:p>
            <w:pPr>
              <w:pStyle w:val="26"/>
              <w:spacing w:line="480" w:lineRule="auto"/>
              <w:ind w:left="0" w:leftChars="0" w:firstLine="0" w:firstLineChars="0"/>
              <w:jc w:val="center"/>
              <w:rPr>
                <w:rFonts w:hint="default" w:ascii="Times New Roman" w:hAnsi="Times New Roman" w:cs="Times New Roman"/>
                <w:color w:val="auto"/>
              </w:rPr>
            </w:pPr>
            <w:r>
              <w:rPr>
                <w:rFonts w:hint="default" w:ascii="Times New Roman" w:hAnsi="Times New Roman" w:cs="Times New Roman"/>
                <w:color w:val="auto"/>
              </w:rPr>
              <w:drawing>
                <wp:inline distT="0" distB="0" distL="114300" distR="114300">
                  <wp:extent cx="2355850" cy="4771390"/>
                  <wp:effectExtent l="0" t="0" r="6350" b="635"/>
                  <wp:docPr id="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8"/>
                          <pic:cNvPicPr>
                            <a:picLocks noChangeAspect="1"/>
                          </pic:cNvPicPr>
                        </pic:nvPicPr>
                        <pic:blipFill>
                          <a:blip r:embed="rId25">
                            <a:grayscl/>
                          </a:blip>
                          <a:stretch>
                            <a:fillRect/>
                          </a:stretch>
                        </pic:blipFill>
                        <pic:spPr>
                          <a:xfrm>
                            <a:off x="0" y="0"/>
                            <a:ext cx="2355850" cy="477139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图</w:t>
            </w:r>
            <w:r>
              <w:rPr>
                <w:rFonts w:hint="default" w:ascii="Times New Roman" w:hAnsi="Times New Roman" w:cs="Times New Roman"/>
                <w:b/>
                <w:bCs w:val="0"/>
                <w:color w:val="auto"/>
                <w:sz w:val="21"/>
                <w:szCs w:val="21"/>
                <w:highlight w:val="none"/>
                <w:lang w:val="en-US" w:eastAsia="zh-CN"/>
              </w:rPr>
              <w:t>4.1-1</w:t>
            </w:r>
            <w:r>
              <w:rPr>
                <w:rFonts w:hint="default" w:ascii="Times New Roman" w:hAnsi="Times New Roman" w:eastAsia="宋体" w:cs="Times New Roman"/>
                <w:b/>
                <w:bCs w:val="0"/>
                <w:color w:val="auto"/>
                <w:sz w:val="21"/>
                <w:szCs w:val="21"/>
                <w:highlight w:val="none"/>
                <w:lang w:val="en-US" w:eastAsia="zh-CN"/>
              </w:rPr>
              <w:t xml:space="preserve">   生活污水处理工艺流程图</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32"/>
                <w:lang w:val="en-US" w:eastAsia="zh-CN"/>
              </w:rPr>
            </w:pPr>
            <w:r>
              <w:rPr>
                <w:rFonts w:hint="default" w:ascii="Times New Roman" w:hAnsi="Times New Roman" w:eastAsia="宋体" w:cs="Times New Roman"/>
                <w:color w:val="auto"/>
                <w:sz w:val="24"/>
                <w:szCs w:val="24"/>
                <w:lang w:val="en-US" w:eastAsia="zh-CN"/>
              </w:rPr>
              <w:t>本次提标改造将原有简易水解酸化接触氧化工艺升级为改良A²/O脱氮除磷一体化工艺，通过新增前端初沉预处理、重构厌氧-两级好氧生化结构、增设污泥硝化液回流系统，同步强化COD、BOD₅、氨氮、总氮、总磷、SS去除能力。本项目新增废水量约0.96</w:t>
            </w:r>
            <w:r>
              <w:rPr>
                <w:rFonts w:hint="default" w:ascii="Times New Roman" w:hAnsi="Times New Roman" w:eastAsia="宋体" w:cs="Times New Roman"/>
                <w:color w:val="auto"/>
                <w:sz w:val="24"/>
                <w:szCs w:val="32"/>
                <w:lang w:eastAsia="zh-CN"/>
              </w:rPr>
              <w:t>m³</w:t>
            </w:r>
            <w:r>
              <w:rPr>
                <w:rFonts w:hint="default" w:ascii="Times New Roman" w:hAnsi="Times New Roman" w:eastAsia="宋体" w:cs="Times New Roman"/>
                <w:color w:val="auto"/>
                <w:sz w:val="24"/>
                <w:szCs w:val="32"/>
              </w:rPr>
              <w:t>/d</w:t>
            </w:r>
            <w:r>
              <w:rPr>
                <w:rFonts w:hint="default" w:ascii="Times New Roman" w:hAnsi="Times New Roman" w:eastAsia="宋体" w:cs="Times New Roman"/>
                <w:color w:val="auto"/>
                <w:sz w:val="24"/>
                <w:szCs w:val="32"/>
                <w:lang w:eastAsia="zh-CN"/>
              </w:rPr>
              <w:t>，</w:t>
            </w:r>
            <w:r>
              <w:rPr>
                <w:rFonts w:hint="default" w:ascii="Times New Roman" w:hAnsi="Times New Roman" w:eastAsia="宋体" w:cs="Times New Roman"/>
                <w:color w:val="auto"/>
                <w:sz w:val="24"/>
                <w:szCs w:val="32"/>
                <w:lang w:val="en-US" w:eastAsia="zh-CN"/>
              </w:rPr>
              <w:t>在现有处理规模中占比极小，经提标改造后，本项目依托厂区污水处理设施可行。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（2）</w:t>
            </w:r>
            <w:r>
              <w:rPr>
                <w:rFonts w:hint="default" w:ascii="Times New Roman" w:hAnsi="Times New Roman" w:eastAsia="宋体" w:cs="Times New Roman"/>
                <w:b w:val="0"/>
                <w:bCs w:val="0"/>
                <w:color w:val="auto"/>
                <w:sz w:val="24"/>
                <w:szCs w:val="24"/>
                <w:highlight w:val="none"/>
                <w:lang w:val="en-US" w:eastAsia="zh-CN"/>
              </w:rPr>
              <w:t>选矿废水回用的可行性</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本项目原料为现有尾矿，</w:t>
            </w:r>
            <w:r>
              <w:rPr>
                <w:rFonts w:hint="default" w:ascii="Times New Roman" w:hAnsi="Times New Roman" w:eastAsia="宋体" w:cs="Times New Roman"/>
                <w:color w:val="auto"/>
                <w:sz w:val="24"/>
                <w:szCs w:val="24"/>
                <w:highlight w:val="none"/>
                <w:lang w:val="en-US" w:eastAsia="zh-CN"/>
              </w:rPr>
              <w:t>采用磨矿</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浮选</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浓缩压全湿法闭路工艺，</w:t>
            </w:r>
            <w:r>
              <w:rPr>
                <w:rFonts w:hint="default" w:ascii="Times New Roman" w:hAnsi="Times New Roman" w:cs="Times New Roman"/>
                <w:color w:val="auto"/>
                <w:sz w:val="24"/>
                <w:szCs w:val="24"/>
                <w:highlight w:val="none"/>
                <w:lang w:val="en-US" w:eastAsia="zh-CN"/>
              </w:rPr>
              <w:t>生产废水仅为浓密池溢流水、压滤废水，以悬浮物为主，无高毒高难降解污染物，水质组分与选矿生产用水进水一致。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highlight w:val="none"/>
                <w:lang w:val="en-US" w:eastAsia="zh-CN"/>
              </w:rPr>
              <w:t>项目</w:t>
            </w:r>
            <w:r>
              <w:rPr>
                <w:rFonts w:hint="default" w:ascii="Times New Roman" w:hAnsi="Times New Roman" w:eastAsia="宋体" w:cs="Times New Roman"/>
                <w:color w:val="auto"/>
                <w:sz w:val="24"/>
                <w:szCs w:val="24"/>
                <w:highlight w:val="none"/>
              </w:rPr>
              <w:t>排出尾矿浆浓度为</w:t>
            </w:r>
            <w:r>
              <w:rPr>
                <w:rFonts w:hint="default" w:ascii="Times New Roman" w:hAnsi="Times New Roman" w:eastAsia="宋体" w:cs="Times New Roman"/>
                <w:color w:val="auto"/>
                <w:sz w:val="24"/>
                <w:szCs w:val="24"/>
                <w:highlight w:val="none"/>
                <w:lang w:val="en-US" w:eastAsia="zh-CN"/>
              </w:rPr>
              <w:t>25.5</w:t>
            </w:r>
            <w:r>
              <w:rPr>
                <w:rFonts w:hint="default" w:ascii="Times New Roman" w:hAnsi="Times New Roman" w:eastAsia="宋体" w:cs="Times New Roman"/>
                <w:color w:val="auto"/>
                <w:sz w:val="24"/>
                <w:szCs w:val="24"/>
                <w:highlight w:val="none"/>
              </w:rPr>
              <w:t>%，排出尾矿量为</w:t>
            </w:r>
            <w:r>
              <w:rPr>
                <w:rFonts w:hint="default" w:ascii="Times New Roman" w:hAnsi="Times New Roman" w:eastAsia="宋体" w:cs="Times New Roman"/>
                <w:color w:val="auto"/>
                <w:sz w:val="24"/>
                <w:szCs w:val="24"/>
                <w:highlight w:val="none"/>
                <w:lang w:val="en-US" w:eastAsia="zh-CN"/>
              </w:rPr>
              <w:t>13</w:t>
            </w:r>
            <w:r>
              <w:rPr>
                <w:rFonts w:hint="eastAsia" w:cs="Times New Roman"/>
                <w:color w:val="auto"/>
                <w:sz w:val="24"/>
                <w:szCs w:val="24"/>
                <w:highlight w:val="none"/>
                <w:lang w:val="en-US" w:eastAsia="zh-CN"/>
              </w:rPr>
              <w:t>88</w:t>
            </w:r>
            <w:r>
              <w:rPr>
                <w:rFonts w:hint="default" w:ascii="Times New Roman" w:hAnsi="Times New Roman" w:eastAsia="宋体"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rPr>
              <w:t>t/d，日排入尾矿库的水量为</w:t>
            </w:r>
            <w:r>
              <w:rPr>
                <w:rFonts w:hint="default" w:ascii="Times New Roman" w:hAnsi="Times New Roman" w:eastAsia="宋体" w:cs="Times New Roman"/>
                <w:color w:val="auto"/>
                <w:sz w:val="24"/>
                <w:szCs w:val="24"/>
                <w:highlight w:val="none"/>
                <w:lang w:val="en-US" w:eastAsia="zh-CN"/>
              </w:rPr>
              <w:t>34</w:t>
            </w:r>
            <w:r>
              <w:rPr>
                <w:rFonts w:hint="eastAsia" w:cs="Times New Roman"/>
                <w:color w:val="auto"/>
                <w:sz w:val="24"/>
                <w:szCs w:val="24"/>
                <w:highlight w:val="none"/>
                <w:lang w:val="en-US" w:eastAsia="zh-CN"/>
              </w:rPr>
              <w:t>33</w:t>
            </w:r>
            <w:r>
              <w:rPr>
                <w:rFonts w:hint="default" w:ascii="Times New Roman" w:hAnsi="Times New Roman" w:eastAsia="宋体" w:cs="Times New Roman"/>
                <w:color w:val="auto"/>
                <w:sz w:val="24"/>
                <w:szCs w:val="24"/>
                <w:highlight w:val="none"/>
              </w:rPr>
              <w:t>m³/d，回水率为</w:t>
            </w:r>
            <w:r>
              <w:rPr>
                <w:rFonts w:hint="default" w:ascii="Times New Roman" w:hAnsi="Times New Roman" w:eastAsia="宋体" w:cs="Times New Roman"/>
                <w:color w:val="auto"/>
                <w:sz w:val="24"/>
                <w:szCs w:val="24"/>
                <w:highlight w:val="none"/>
                <w:lang w:val="en-US" w:eastAsia="zh-CN"/>
              </w:rPr>
              <w:t>90</w:t>
            </w:r>
            <w:r>
              <w:rPr>
                <w:rFonts w:hint="default" w:ascii="Times New Roman" w:hAnsi="Times New Roman" w:eastAsia="宋体" w:cs="Times New Roman"/>
                <w:color w:val="auto"/>
                <w:sz w:val="24"/>
                <w:szCs w:val="24"/>
                <w:highlight w:val="none"/>
              </w:rPr>
              <w:t>%，则每日回水量为</w:t>
            </w:r>
            <w:r>
              <w:rPr>
                <w:rFonts w:hint="eastAsia" w:cs="Times New Roman"/>
                <w:color w:val="auto"/>
                <w:sz w:val="24"/>
                <w:szCs w:val="24"/>
                <w:highlight w:val="none"/>
                <w:lang w:val="en-US" w:eastAsia="zh-CN"/>
              </w:rPr>
              <w:t>3090</w:t>
            </w:r>
            <w:r>
              <w:rPr>
                <w:rFonts w:hint="default" w:ascii="Times New Roman" w:hAnsi="Times New Roman" w:eastAsia="宋体" w:cs="Times New Roman"/>
                <w:color w:val="auto"/>
                <w:sz w:val="24"/>
                <w:szCs w:val="24"/>
                <w:highlight w:val="none"/>
              </w:rPr>
              <w:t>m³/d</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rPr>
              <w:t>回水率满足</w:t>
            </w:r>
            <w:r>
              <w:rPr>
                <w:rFonts w:hint="eastAsia" w:cs="Times New Roman"/>
                <w:color w:val="auto"/>
                <w:sz w:val="24"/>
                <w:szCs w:val="24"/>
                <w:lang w:val="en-US" w:eastAsia="zh-CN"/>
              </w:rPr>
              <w:t>行业准入条件</w:t>
            </w:r>
            <w:r>
              <w:rPr>
                <w:rFonts w:hint="default" w:ascii="Times New Roman" w:hAnsi="Times New Roman" w:eastAsia="宋体" w:cs="Times New Roman"/>
                <w:color w:val="auto"/>
                <w:sz w:val="24"/>
                <w:szCs w:val="24"/>
              </w:rPr>
              <w:t>中关于废水综合利用率要求。</w:t>
            </w:r>
            <w:r>
              <w:rPr>
                <w:rFonts w:hint="default" w:ascii="Times New Roman" w:hAnsi="Times New Roman" w:eastAsia="宋体" w:cs="Times New Roman"/>
                <w:color w:val="auto"/>
                <w:sz w:val="24"/>
                <w:szCs w:val="24"/>
                <w:lang w:val="en-US" w:eastAsia="zh-CN"/>
              </w:rPr>
              <w:t>综上，本项目选矿废水回用可行。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cs="Times New Roman"/>
                <w:color w:val="auto"/>
                <w:sz w:val="24"/>
                <w:szCs w:val="24"/>
                <w:lang w:val="en-US" w:eastAsia="zh-CN"/>
              </w:rPr>
            </w:pPr>
            <w:r>
              <w:rPr>
                <w:rFonts w:hint="eastAsia" w:cs="Times New Roman"/>
                <w:color w:val="auto"/>
                <w:sz w:val="24"/>
                <w:szCs w:val="24"/>
                <w:lang w:val="en-US" w:eastAsia="zh-CN"/>
              </w:rPr>
              <w:t>（3）事故池依托可行性</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cs="Times New Roman"/>
                <w:color w:val="auto"/>
                <w:sz w:val="24"/>
                <w:szCs w:val="24"/>
                <w:lang w:val="en-US" w:eastAsia="zh-CN"/>
              </w:rPr>
            </w:pPr>
            <w:r>
              <w:rPr>
                <w:rFonts w:hint="default" w:cs="Times New Roman"/>
                <w:color w:val="auto"/>
                <w:sz w:val="24"/>
                <w:szCs w:val="24"/>
                <w:lang w:val="en-US" w:eastAsia="zh-CN"/>
              </w:rPr>
              <w:t>现有工程选矿厂正常工况下产生矿浆量约为49.06m³/h（1177.4m³/d，数据来源已批复新建尾矿库报告书），若尾矿输送管道泄露时间按20min计，则20min的尾矿排放量为16.35m³。本项目正常工况下矿浆量为179.21m³/h（4301.06m³/d），若泄露时间按20min计，则20min的尾矿排放量为59.74m³，全厂事故状态20min的尾矿排放量为76.09m³。</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cs="Times New Roman"/>
                <w:color w:val="auto"/>
                <w:sz w:val="24"/>
                <w:szCs w:val="24"/>
                <w:lang w:val="en-US" w:eastAsia="zh-CN"/>
              </w:rPr>
            </w:pPr>
            <w:r>
              <w:rPr>
                <w:rFonts w:hint="default" w:cs="Times New Roman"/>
                <w:color w:val="auto"/>
                <w:sz w:val="24"/>
                <w:szCs w:val="24"/>
                <w:lang w:val="en-US" w:eastAsia="zh-CN"/>
              </w:rPr>
              <w:t>根据《选矿厂尾矿设施设计规范》（ZBJ1-90）中的要求，应急防渗事故池容积不小于10-20min的正常矿浆量。选矿厂内现有一座470m³事故池（平日也用作收集初期雨水），完全可容纳事故尾矿临时排放。</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2.</w:t>
            </w:r>
            <w:r>
              <w:rPr>
                <w:rFonts w:hint="eastAsia" w:cs="Times New Roman"/>
                <w:b/>
                <w:bCs/>
                <w:color w:val="auto"/>
                <w:sz w:val="24"/>
                <w:szCs w:val="24"/>
                <w:lang w:val="en-US" w:eastAsia="zh-CN"/>
              </w:rPr>
              <w:t>3</w:t>
            </w:r>
            <w:r>
              <w:rPr>
                <w:rFonts w:hint="default" w:ascii="Times New Roman" w:hAnsi="Times New Roman" w:eastAsia="宋体" w:cs="Times New Roman"/>
                <w:b/>
                <w:bCs/>
                <w:color w:val="auto"/>
                <w:sz w:val="24"/>
                <w:szCs w:val="24"/>
                <w:lang w:val="en-US" w:eastAsia="zh-CN"/>
              </w:rPr>
              <w:t>监测</w:t>
            </w:r>
            <w:r>
              <w:rPr>
                <w:rFonts w:hint="default" w:ascii="Times New Roman" w:hAnsi="Times New Roman" w:cs="Times New Roman"/>
                <w:b/>
                <w:bCs/>
                <w:color w:val="auto"/>
                <w:sz w:val="24"/>
                <w:szCs w:val="24"/>
                <w:lang w:val="en-US" w:eastAsia="zh-CN"/>
              </w:rPr>
              <w:t>计划</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根据《排污单位自行监测技术指南总则》（HJ819-2017），环境管理监测（废水）见下表。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表4-6   废水环境监测一览表</w:t>
            </w:r>
          </w:p>
          <w:tbl>
            <w:tblPr>
              <w:tblStyle w:val="30"/>
              <w:tblW w:w="7946" w:type="dxa"/>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2111"/>
              <w:gridCol w:w="2916"/>
              <w:gridCol w:w="15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19" w:type="dxa"/>
                  <w:noWrap w:val="0"/>
                  <w:vAlign w:val="center"/>
                </w:tcPr>
                <w:p>
                  <w:pPr>
                    <w:numPr>
                      <w:ilvl w:val="0"/>
                      <w:numId w:val="0"/>
                    </w:numPr>
                    <w:bidi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监测对象</w:t>
                  </w:r>
                </w:p>
              </w:tc>
              <w:tc>
                <w:tcPr>
                  <w:tcW w:w="2111" w:type="dxa"/>
                  <w:noWrap w:val="0"/>
                  <w:vAlign w:val="center"/>
                </w:tcPr>
                <w:p>
                  <w:pPr>
                    <w:numPr>
                      <w:ilvl w:val="0"/>
                      <w:numId w:val="0"/>
                    </w:numPr>
                    <w:bidi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监测点位</w:t>
                  </w:r>
                </w:p>
              </w:tc>
              <w:tc>
                <w:tcPr>
                  <w:tcW w:w="2916" w:type="dxa"/>
                  <w:noWrap w:val="0"/>
                  <w:vAlign w:val="center"/>
                </w:tcPr>
                <w:p>
                  <w:pPr>
                    <w:numPr>
                      <w:ilvl w:val="0"/>
                      <w:numId w:val="0"/>
                    </w:numPr>
                    <w:bidi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监测因子</w:t>
                  </w:r>
                </w:p>
              </w:tc>
              <w:tc>
                <w:tcPr>
                  <w:tcW w:w="1500" w:type="dxa"/>
                  <w:noWrap w:val="0"/>
                  <w:vAlign w:val="center"/>
                </w:tcPr>
                <w:p>
                  <w:pPr>
                    <w:numPr>
                      <w:ilvl w:val="0"/>
                      <w:numId w:val="0"/>
                    </w:numPr>
                    <w:bidi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监测频率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19" w:type="dxa"/>
                  <w:noWrap w:val="0"/>
                  <w:vAlign w:val="center"/>
                </w:tcPr>
                <w:p>
                  <w:pPr>
                    <w:numPr>
                      <w:ilvl w:val="0"/>
                      <w:numId w:val="0"/>
                    </w:numPr>
                    <w:bidi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生活污水</w:t>
                  </w:r>
                </w:p>
              </w:tc>
              <w:tc>
                <w:tcPr>
                  <w:tcW w:w="2111" w:type="dxa"/>
                  <w:noWrap w:val="0"/>
                  <w:vAlign w:val="center"/>
                </w:tcPr>
                <w:p>
                  <w:pPr>
                    <w:numPr>
                      <w:ilvl w:val="0"/>
                      <w:numId w:val="0"/>
                    </w:numPr>
                    <w:bidi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污水处理站总排放口</w:t>
                  </w:r>
                </w:p>
              </w:tc>
              <w:tc>
                <w:tcPr>
                  <w:tcW w:w="2916" w:type="dxa"/>
                  <w:noWrap w:val="0"/>
                  <w:vAlign w:val="center"/>
                </w:tcPr>
                <w:p>
                  <w:pPr>
                    <w:numPr>
                      <w:ilvl w:val="0"/>
                      <w:numId w:val="0"/>
                    </w:numPr>
                    <w:bidi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pH、COD、BOD</w:t>
                  </w:r>
                  <w:r>
                    <w:rPr>
                      <w:rFonts w:hint="default" w:ascii="Times New Roman" w:hAnsi="Times New Roman" w:eastAsia="宋体" w:cs="Times New Roman"/>
                      <w:color w:val="auto"/>
                      <w:sz w:val="21"/>
                      <w:szCs w:val="21"/>
                      <w:vertAlign w:val="subscript"/>
                      <w:lang w:val="en-US" w:eastAsia="zh-CN"/>
                    </w:rPr>
                    <w:t>5</w:t>
                  </w:r>
                  <w:r>
                    <w:rPr>
                      <w:rFonts w:hint="default" w:ascii="Times New Roman" w:hAnsi="Times New Roman" w:eastAsia="宋体" w:cs="Times New Roman"/>
                      <w:color w:val="auto"/>
                      <w:sz w:val="21"/>
                      <w:szCs w:val="21"/>
                      <w:vertAlign w:val="baseline"/>
                      <w:lang w:val="en-US" w:eastAsia="zh-CN"/>
                    </w:rPr>
                    <w:t>、氨氮、SS、动植物油等</w:t>
                  </w:r>
                </w:p>
              </w:tc>
              <w:tc>
                <w:tcPr>
                  <w:tcW w:w="1500" w:type="dxa"/>
                  <w:noWrap w:val="0"/>
                  <w:vAlign w:val="center"/>
                </w:tcPr>
                <w:p>
                  <w:pPr>
                    <w:numPr>
                      <w:ilvl w:val="0"/>
                      <w:numId w:val="0"/>
                    </w:numPr>
                    <w:bidi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1次/年</w:t>
                  </w:r>
                </w:p>
              </w:tc>
            </w:tr>
          </w:tbl>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3噪声</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3.1噪声源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本扩建工程噪声污染源主要为采砂船、挖掘机、渣浆泵、旋流器、球磨机、浮选机、板框压滤机以及各种风机、泵类工作过程产生机械噪声。各设备噪声源强在75~110dB（A）之间，噪声源强一览表详见表4-7、4-8。</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cs="Times New Roman"/>
                <w:b/>
                <w:bCs/>
                <w:snapToGrid w:val="0"/>
                <w:color w:val="auto"/>
                <w:kern w:val="0"/>
                <w:sz w:val="24"/>
                <w:szCs w:val="24"/>
                <w:lang w:val="en-US" w:eastAsia="zh-CN"/>
              </w:rPr>
            </w:pPr>
            <w:r>
              <w:rPr>
                <w:rFonts w:hint="default" w:ascii="Times New Roman" w:hAnsi="Times New Roman" w:cs="Times New Roman"/>
                <w:b/>
                <w:bCs/>
                <w:snapToGrid w:val="0"/>
                <w:color w:val="auto"/>
                <w:kern w:val="0"/>
                <w:sz w:val="24"/>
                <w:szCs w:val="24"/>
                <w:lang w:val="en-US" w:eastAsia="zh-CN"/>
              </w:rPr>
              <w:t>3.2噪声预测</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sz w:val="24"/>
                <w:szCs w:val="32"/>
                <w:lang w:val="en-US" w:eastAsia="zh-CN"/>
              </w:rPr>
            </w:pPr>
            <w:r>
              <w:rPr>
                <w:rFonts w:hint="default" w:ascii="Times New Roman" w:hAnsi="Times New Roman" w:eastAsia="宋体" w:cs="Times New Roman"/>
                <w:b w:val="0"/>
                <w:bCs w:val="0"/>
                <w:color w:val="auto"/>
                <w:sz w:val="24"/>
                <w:szCs w:val="32"/>
                <w:lang w:val="en-US" w:eastAsia="zh-CN"/>
              </w:rPr>
              <w:t>（1）</w:t>
            </w:r>
            <w:r>
              <w:rPr>
                <w:rFonts w:hint="default" w:ascii="Times New Roman" w:hAnsi="Times New Roman" w:cs="Times New Roman"/>
                <w:snapToGrid w:val="0"/>
                <w:color w:val="auto"/>
                <w:kern w:val="0"/>
                <w:sz w:val="24"/>
                <w:szCs w:val="24"/>
                <w:lang w:val="en-US" w:eastAsia="zh-CN"/>
              </w:rPr>
              <w:t>噪声影响</w:t>
            </w:r>
            <w:r>
              <w:rPr>
                <w:rFonts w:hint="default" w:ascii="Times New Roman" w:hAnsi="Times New Roman" w:eastAsia="宋体" w:cs="Times New Roman"/>
                <w:b w:val="0"/>
                <w:bCs w:val="0"/>
                <w:color w:val="auto"/>
                <w:sz w:val="24"/>
                <w:szCs w:val="32"/>
                <w:lang w:val="en-US" w:eastAsia="zh-CN"/>
              </w:rPr>
              <w:t>预测模式</w:t>
            </w:r>
          </w:p>
          <w:p>
            <w:pPr>
              <w:pStyle w:val="78"/>
              <w:rPr>
                <w:rFonts w:hint="default" w:ascii="Times New Roman" w:hAnsi="Times New Roman" w:eastAsia="宋体" w:cs="Times New Roman"/>
                <w:bCs/>
                <w:color w:val="auto"/>
                <w:spacing w:val="-10"/>
                <w:sz w:val="21"/>
                <w:szCs w:val="21"/>
                <w:lang w:val="en-US" w:eastAsia="zh-CN"/>
              </w:rPr>
            </w:pPr>
            <w:r>
              <w:rPr>
                <w:rFonts w:hint="default" w:ascii="Times New Roman" w:hAnsi="Times New Roman" w:eastAsia="宋体" w:cs="Times New Roman"/>
                <w:color w:val="auto"/>
                <w:highlight w:val="none"/>
              </w:rPr>
              <w:t>根据《环境影响评价技术导则 声环境》（HJ2.4-20</w:t>
            </w:r>
            <w:r>
              <w:rPr>
                <w:rFonts w:hint="default" w:ascii="Times New Roman" w:hAnsi="Times New Roman" w:eastAsia="宋体" w:cs="Times New Roman"/>
                <w:color w:val="auto"/>
                <w:highlight w:val="none"/>
                <w:lang w:val="en-US" w:eastAsia="zh-CN"/>
              </w:rPr>
              <w:t>21</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室内</w:t>
            </w:r>
            <w:r>
              <w:rPr>
                <w:rFonts w:hint="default" w:ascii="Times New Roman" w:hAnsi="Times New Roman" w:eastAsia="宋体" w:cs="Times New Roman"/>
                <w:color w:val="auto"/>
                <w:highlight w:val="none"/>
              </w:rPr>
              <w:t>噪声预测</w:t>
            </w:r>
          </w:p>
        </w:tc>
      </w:tr>
    </w:tbl>
    <w:p>
      <w:pPr>
        <w:rPr>
          <w:rFonts w:hint="default" w:ascii="Times New Roman" w:hAnsi="Times New Roman" w:cs="Times New Roman"/>
          <w:color w:val="auto"/>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4"/>
        <w:gridCol w:w="1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dxa"/>
          </w:tcPr>
          <w:p>
            <w:pPr>
              <w:rPr>
                <w:rFonts w:hint="default" w:ascii="Times New Roman" w:hAnsi="Times New Roman" w:cs="Times New Roman"/>
                <w:color w:val="auto"/>
                <w:vertAlign w:val="baseline"/>
              </w:rPr>
            </w:pPr>
          </w:p>
        </w:tc>
        <w:tc>
          <w:tcPr>
            <w:tcW w:w="12744" w:type="dxa"/>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表4-7   主要噪声源强统计一览表（室内声源）</w:t>
            </w:r>
          </w:p>
          <w:tbl>
            <w:tblPr>
              <w:tblStyle w:val="2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33"/>
              <w:gridCol w:w="333"/>
              <w:gridCol w:w="893"/>
              <w:gridCol w:w="633"/>
              <w:gridCol w:w="871"/>
              <w:gridCol w:w="599"/>
              <w:gridCol w:w="453"/>
              <w:gridCol w:w="448"/>
              <w:gridCol w:w="458"/>
              <w:gridCol w:w="391"/>
              <w:gridCol w:w="424"/>
              <w:gridCol w:w="424"/>
              <w:gridCol w:w="424"/>
              <w:gridCol w:w="424"/>
              <w:gridCol w:w="436"/>
              <w:gridCol w:w="486"/>
              <w:gridCol w:w="468"/>
              <w:gridCol w:w="424"/>
              <w:gridCol w:w="424"/>
              <w:gridCol w:w="424"/>
              <w:gridCol w:w="424"/>
              <w:gridCol w:w="424"/>
              <w:gridCol w:w="452"/>
              <w:gridCol w:w="424"/>
              <w:gridCol w:w="425"/>
              <w:gridCol w:w="57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40" w:type="pct"/>
                  <w:vMerge w:val="restart"/>
                  <w:tcBorders>
                    <w:tl2br w:val="nil"/>
                    <w:tr2bl w:val="nil"/>
                  </w:tcBorders>
                  <w:tcMar>
                    <w:left w:w="28"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bookmarkStart w:id="15" w:name="PT_6"/>
                  <w:r>
                    <w:rPr>
                      <w:rFonts w:hint="default" w:ascii="Times New Roman" w:hAnsi="Times New Roman" w:eastAsia="宋体" w:cs="Times New Roman"/>
                      <w:color w:val="auto"/>
                      <w:highlight w:val="none"/>
                      <w:lang w:val="en-US" w:eastAsia="zh-CN"/>
                    </w:rPr>
                    <w:t>建筑名称</w:t>
                  </w:r>
                </w:p>
              </w:tc>
              <w:tc>
                <w:tcPr>
                  <w:tcW w:w="140" w:type="pct"/>
                  <w:vMerge w:val="restart"/>
                  <w:tcBorders>
                    <w:tl2br w:val="nil"/>
                    <w:tr2bl w:val="nil"/>
                  </w:tcBorders>
                  <w:tcMar>
                    <w:left w:w="28"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序号</w:t>
                  </w:r>
                </w:p>
              </w:tc>
              <w:tc>
                <w:tcPr>
                  <w:tcW w:w="364" w:type="pct"/>
                  <w:vMerge w:val="restart"/>
                  <w:tcBorders>
                    <w:tl2br w:val="nil"/>
                    <w:tr2bl w:val="nil"/>
                  </w:tcBorders>
                  <w:tcMar>
                    <w:left w:w="28"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声源名称</w:t>
                  </w:r>
                </w:p>
              </w:tc>
              <w:tc>
                <w:tcPr>
                  <w:tcW w:w="260" w:type="pct"/>
                  <w:tcBorders>
                    <w:tl2br w:val="nil"/>
                    <w:tr2bl w:val="nil"/>
                  </w:tcBorders>
                  <w:tcMar>
                    <w:left w:w="28"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声源源强</w:t>
                  </w:r>
                </w:p>
              </w:tc>
              <w:tc>
                <w:tcPr>
                  <w:tcW w:w="355" w:type="pct"/>
                  <w:vMerge w:val="restart"/>
                  <w:tcBorders>
                    <w:tl2br w:val="nil"/>
                    <w:tr2bl w:val="nil"/>
                  </w:tcBorders>
                  <w:tcMar>
                    <w:left w:w="28"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声源控制措施</w:t>
                  </w:r>
                </w:p>
              </w:tc>
              <w:tc>
                <w:tcPr>
                  <w:tcW w:w="587" w:type="pct"/>
                  <w:gridSpan w:val="3"/>
                  <w:tcBorders>
                    <w:tl2br w:val="nil"/>
                    <w:tr2bl w:val="nil"/>
                  </w:tcBorders>
                  <w:tcMar>
                    <w:left w:w="28"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空间相对位置/m</w:t>
                  </w:r>
                </w:p>
              </w:tc>
              <w:tc>
                <w:tcPr>
                  <w:tcW w:w="679" w:type="pct"/>
                  <w:gridSpan w:val="4"/>
                  <w:tcBorders>
                    <w:tl2br w:val="nil"/>
                    <w:tr2bl w:val="nil"/>
                  </w:tcBorders>
                  <w:tcMar>
                    <w:left w:w="28"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距室内边界距离/m</w:t>
                  </w:r>
                </w:p>
              </w:tc>
              <w:tc>
                <w:tcPr>
                  <w:tcW w:w="712" w:type="pct"/>
                  <w:gridSpan w:val="4"/>
                  <w:tcBorders>
                    <w:tl2br w:val="nil"/>
                    <w:tr2bl w:val="nil"/>
                  </w:tcBorders>
                  <w:tcMar>
                    <w:left w:w="28"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室内边界声级/dB</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A</w:t>
                  </w:r>
                  <w:r>
                    <w:rPr>
                      <w:rFonts w:hint="default" w:ascii="Times New Roman" w:hAnsi="Times New Roman" w:eastAsia="宋体" w:cs="Times New Roman"/>
                      <w:color w:val="auto"/>
                      <w:highlight w:val="none"/>
                      <w:lang w:eastAsia="zh-CN"/>
                    </w:rPr>
                    <w:t>）</w:t>
                  </w:r>
                </w:p>
              </w:tc>
              <w:tc>
                <w:tcPr>
                  <w:tcW w:w="194" w:type="pct"/>
                  <w:vMerge w:val="restart"/>
                  <w:tcBorders>
                    <w:tl2br w:val="nil"/>
                    <w:tr2bl w:val="nil"/>
                  </w:tcBorders>
                  <w:tcMar>
                    <w:left w:w="28"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运行时段</w:t>
                  </w:r>
                </w:p>
              </w:tc>
              <w:tc>
                <w:tcPr>
                  <w:tcW w:w="667" w:type="pct"/>
                  <w:gridSpan w:val="4"/>
                  <w:tcBorders>
                    <w:tl2br w:val="nil"/>
                    <w:tr2bl w:val="nil"/>
                  </w:tcBorders>
                  <w:tcMar>
                    <w:left w:w="28"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建筑物插入损失 / dB</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A</w:t>
                  </w:r>
                  <w:bookmarkStart w:id="16" w:name="PT_10"/>
                  <w:bookmarkEnd w:id="16"/>
                  <w:r>
                    <w:rPr>
                      <w:rFonts w:hint="default" w:ascii="Times New Roman" w:hAnsi="Times New Roman" w:eastAsia="宋体" w:cs="Times New Roman"/>
                      <w:color w:val="auto"/>
                      <w:highlight w:val="none"/>
                      <w:lang w:eastAsia="zh-CN"/>
                    </w:rPr>
                    <w:t>）</w:t>
                  </w:r>
                </w:p>
              </w:tc>
              <w:tc>
                <w:tcPr>
                  <w:tcW w:w="897" w:type="pct"/>
                  <w:gridSpan w:val="5"/>
                  <w:tcBorders>
                    <w:tl2br w:val="nil"/>
                    <w:tr2bl w:val="nil"/>
                  </w:tcBorders>
                  <w:tcMar>
                    <w:left w:w="28"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建筑物外噪声声压级/dB</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A</w:t>
                  </w:r>
                  <w:r>
                    <w:rPr>
                      <w:rFonts w:hint="default" w:ascii="Times New Roman" w:hAnsi="Times New Roman" w:eastAsia="宋体" w:cs="Times New Roman"/>
                      <w:color w:val="auto"/>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7" w:hRule="atLeast"/>
              </w:trPr>
              <w:tc>
                <w:tcPr>
                  <w:tcW w:w="140"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140"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364"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260"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声功率级/dB</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A</w:t>
                  </w:r>
                  <w:r>
                    <w:rPr>
                      <w:rFonts w:hint="default" w:ascii="Times New Roman" w:hAnsi="Times New Roman" w:eastAsia="宋体" w:cs="Times New Roman"/>
                      <w:color w:val="auto"/>
                      <w:highlight w:val="none"/>
                      <w:lang w:eastAsia="zh-CN"/>
                    </w:rPr>
                    <w:t>）</w:t>
                  </w:r>
                </w:p>
              </w:tc>
              <w:tc>
                <w:tcPr>
                  <w:tcW w:w="355"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21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X</w:t>
                  </w:r>
                </w:p>
              </w:tc>
              <w:tc>
                <w:tcPr>
                  <w:tcW w:w="188"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Y</w:t>
                  </w:r>
                </w:p>
              </w:tc>
              <w:tc>
                <w:tcPr>
                  <w:tcW w:w="185"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Z</w:t>
                  </w:r>
                </w:p>
              </w:tc>
              <w:tc>
                <w:tcPr>
                  <w:tcW w:w="190"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东</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南</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西</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北</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东</w:t>
                  </w:r>
                </w:p>
              </w:tc>
              <w:tc>
                <w:tcPr>
                  <w:tcW w:w="167"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南</w:t>
                  </w:r>
                </w:p>
              </w:tc>
              <w:tc>
                <w:tcPr>
                  <w:tcW w:w="181"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西</w:t>
                  </w:r>
                </w:p>
              </w:tc>
              <w:tc>
                <w:tcPr>
                  <w:tcW w:w="201"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北</w:t>
                  </w:r>
                </w:p>
              </w:tc>
              <w:tc>
                <w:tcPr>
                  <w:tcW w:w="194"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159"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东</w:t>
                  </w:r>
                </w:p>
              </w:tc>
              <w:tc>
                <w:tcPr>
                  <w:tcW w:w="159"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南</w:t>
                  </w:r>
                </w:p>
              </w:tc>
              <w:tc>
                <w:tcPr>
                  <w:tcW w:w="172"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西</w:t>
                  </w:r>
                </w:p>
              </w:tc>
              <w:tc>
                <w:tcPr>
                  <w:tcW w:w="177"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北</w:t>
                  </w:r>
                </w:p>
              </w:tc>
              <w:tc>
                <w:tcPr>
                  <w:tcW w:w="15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东</w:t>
                  </w:r>
                </w:p>
              </w:tc>
              <w:tc>
                <w:tcPr>
                  <w:tcW w:w="191"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南</w:t>
                  </w:r>
                </w:p>
              </w:tc>
              <w:tc>
                <w:tcPr>
                  <w:tcW w:w="15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西</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北</w:t>
                  </w:r>
                </w:p>
              </w:tc>
              <w:tc>
                <w:tcPr>
                  <w:tcW w:w="23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建筑物外距离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7" w:hRule="atLeast"/>
              </w:trPr>
              <w:tc>
                <w:tcPr>
                  <w:tcW w:w="140" w:type="pct"/>
                  <w:vMerge w:val="restar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生产车间</w:t>
                  </w:r>
                </w:p>
              </w:tc>
              <w:tc>
                <w:tcPr>
                  <w:tcW w:w="140"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w:t>
                  </w:r>
                </w:p>
              </w:tc>
              <w:tc>
                <w:tcPr>
                  <w:tcW w:w="36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浓密机</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1</w:t>
                  </w:r>
                </w:p>
              </w:tc>
              <w:tc>
                <w:tcPr>
                  <w:tcW w:w="260"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83.0</w:t>
                  </w:r>
                </w:p>
              </w:tc>
              <w:tc>
                <w:tcPr>
                  <w:tcW w:w="355"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隔</w:t>
                  </w:r>
                  <w:r>
                    <w:rPr>
                      <w:rFonts w:hint="default" w:ascii="Times New Roman" w:hAnsi="Times New Roman" w:eastAsia="宋体" w:cs="Times New Roman"/>
                      <w:color w:val="auto"/>
                      <w:highlight w:val="none"/>
                      <w:lang w:val="en-US" w:eastAsia="zh-CN"/>
                    </w:rPr>
                    <w:t>声</w:t>
                  </w:r>
                  <w:r>
                    <w:rPr>
                      <w:rFonts w:hint="default" w:ascii="Times New Roman" w:hAnsi="Times New Roman" w:eastAsia="宋体" w:cs="Times New Roman"/>
                      <w:color w:val="auto"/>
                      <w:highlight w:val="none"/>
                    </w:rPr>
                    <w:t>减</w:t>
                  </w:r>
                  <w:r>
                    <w:rPr>
                      <w:rFonts w:hint="default" w:ascii="Times New Roman" w:hAnsi="Times New Roman" w:eastAsia="宋体" w:cs="Times New Roman"/>
                      <w:color w:val="auto"/>
                      <w:highlight w:val="none"/>
                      <w:lang w:val="en-US" w:eastAsia="zh-CN"/>
                    </w:rPr>
                    <w:t>振</w:t>
                  </w:r>
                </w:p>
              </w:tc>
              <w:tc>
                <w:tcPr>
                  <w:tcW w:w="21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-147.7</w:t>
                  </w:r>
                </w:p>
              </w:tc>
              <w:tc>
                <w:tcPr>
                  <w:tcW w:w="188"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76.6</w:t>
                  </w:r>
                </w:p>
              </w:tc>
              <w:tc>
                <w:tcPr>
                  <w:tcW w:w="185"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1.2</w:t>
                  </w:r>
                </w:p>
              </w:tc>
              <w:tc>
                <w:tcPr>
                  <w:tcW w:w="190"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15.5</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0.8</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22.5</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17.7</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63.4</w:t>
                  </w:r>
                </w:p>
              </w:tc>
              <w:tc>
                <w:tcPr>
                  <w:tcW w:w="167"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74.3</w:t>
                  </w:r>
                </w:p>
              </w:tc>
              <w:tc>
                <w:tcPr>
                  <w:tcW w:w="181"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63.3</w:t>
                  </w:r>
                </w:p>
              </w:tc>
              <w:tc>
                <w:tcPr>
                  <w:tcW w:w="201"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63.4</w:t>
                  </w:r>
                </w:p>
              </w:tc>
              <w:tc>
                <w:tcPr>
                  <w:tcW w:w="19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昼/夜</w:t>
                  </w:r>
                </w:p>
              </w:tc>
              <w:tc>
                <w:tcPr>
                  <w:tcW w:w="159"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26.0</w:t>
                  </w:r>
                </w:p>
              </w:tc>
              <w:tc>
                <w:tcPr>
                  <w:tcW w:w="159"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26.0</w:t>
                  </w:r>
                </w:p>
              </w:tc>
              <w:tc>
                <w:tcPr>
                  <w:tcW w:w="172"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26.0</w:t>
                  </w:r>
                </w:p>
              </w:tc>
              <w:tc>
                <w:tcPr>
                  <w:tcW w:w="177"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26.0</w:t>
                  </w:r>
                </w:p>
              </w:tc>
              <w:tc>
                <w:tcPr>
                  <w:tcW w:w="15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31.4</w:t>
                  </w:r>
                </w:p>
              </w:tc>
              <w:tc>
                <w:tcPr>
                  <w:tcW w:w="191"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42.3</w:t>
                  </w:r>
                </w:p>
              </w:tc>
              <w:tc>
                <w:tcPr>
                  <w:tcW w:w="15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31.3</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31.4</w:t>
                  </w:r>
                </w:p>
              </w:tc>
              <w:tc>
                <w:tcPr>
                  <w:tcW w:w="23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7" w:hRule="atLeast"/>
              </w:trPr>
              <w:tc>
                <w:tcPr>
                  <w:tcW w:w="140"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140"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w:t>
                  </w:r>
                </w:p>
              </w:tc>
              <w:tc>
                <w:tcPr>
                  <w:tcW w:w="36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旋流器</w:t>
                  </w:r>
                  <w:r>
                    <w:rPr>
                      <w:rFonts w:hint="default" w:ascii="Times New Roman" w:hAnsi="Times New Roman" w:eastAsia="宋体" w:cs="Times New Roman"/>
                      <w:color w:val="auto"/>
                      <w:highlight w:val="none"/>
                    </w:rPr>
                    <w:t>×2</w:t>
                  </w:r>
                </w:p>
              </w:tc>
              <w:tc>
                <w:tcPr>
                  <w:tcW w:w="260"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90.0</w:t>
                  </w:r>
                </w:p>
              </w:tc>
              <w:tc>
                <w:tcPr>
                  <w:tcW w:w="355"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隔</w:t>
                  </w:r>
                  <w:r>
                    <w:rPr>
                      <w:rFonts w:hint="default" w:ascii="Times New Roman" w:hAnsi="Times New Roman" w:eastAsia="宋体" w:cs="Times New Roman"/>
                      <w:color w:val="auto"/>
                      <w:highlight w:val="none"/>
                      <w:lang w:val="en-US" w:eastAsia="zh-CN"/>
                    </w:rPr>
                    <w:t>声</w:t>
                  </w:r>
                  <w:r>
                    <w:rPr>
                      <w:rFonts w:hint="default" w:ascii="Times New Roman" w:hAnsi="Times New Roman" w:eastAsia="宋体" w:cs="Times New Roman"/>
                      <w:color w:val="auto"/>
                      <w:highlight w:val="none"/>
                    </w:rPr>
                    <w:t>减</w:t>
                  </w:r>
                  <w:r>
                    <w:rPr>
                      <w:rFonts w:hint="default" w:ascii="Times New Roman" w:hAnsi="Times New Roman" w:eastAsia="宋体" w:cs="Times New Roman"/>
                      <w:color w:val="auto"/>
                      <w:highlight w:val="none"/>
                      <w:lang w:val="en-US" w:eastAsia="zh-CN"/>
                    </w:rPr>
                    <w:t>振</w:t>
                  </w:r>
                </w:p>
              </w:tc>
              <w:tc>
                <w:tcPr>
                  <w:tcW w:w="21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-151.5</w:t>
                  </w:r>
                </w:p>
              </w:tc>
              <w:tc>
                <w:tcPr>
                  <w:tcW w:w="188"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65.5</w:t>
                  </w:r>
                </w:p>
              </w:tc>
              <w:tc>
                <w:tcPr>
                  <w:tcW w:w="185"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1.2</w:t>
                  </w:r>
                </w:p>
              </w:tc>
              <w:tc>
                <w:tcPr>
                  <w:tcW w:w="190"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15.4</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0.6</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22.2</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6.1</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76.4</w:t>
                  </w:r>
                </w:p>
              </w:tc>
              <w:tc>
                <w:tcPr>
                  <w:tcW w:w="167"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89.7</w:t>
                  </w:r>
                </w:p>
              </w:tc>
              <w:tc>
                <w:tcPr>
                  <w:tcW w:w="181"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76.3</w:t>
                  </w:r>
                </w:p>
              </w:tc>
              <w:tc>
                <w:tcPr>
                  <w:tcW w:w="201"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77.1</w:t>
                  </w:r>
                </w:p>
              </w:tc>
              <w:tc>
                <w:tcPr>
                  <w:tcW w:w="19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昼/夜</w:t>
                  </w:r>
                </w:p>
              </w:tc>
              <w:tc>
                <w:tcPr>
                  <w:tcW w:w="159"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26.0</w:t>
                  </w:r>
                </w:p>
              </w:tc>
              <w:tc>
                <w:tcPr>
                  <w:tcW w:w="159"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26.0</w:t>
                  </w:r>
                </w:p>
              </w:tc>
              <w:tc>
                <w:tcPr>
                  <w:tcW w:w="172"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26.0</w:t>
                  </w:r>
                </w:p>
              </w:tc>
              <w:tc>
                <w:tcPr>
                  <w:tcW w:w="177"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26.0</w:t>
                  </w:r>
                </w:p>
              </w:tc>
              <w:tc>
                <w:tcPr>
                  <w:tcW w:w="15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44.4</w:t>
                  </w:r>
                </w:p>
              </w:tc>
              <w:tc>
                <w:tcPr>
                  <w:tcW w:w="191"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57.7</w:t>
                  </w:r>
                </w:p>
              </w:tc>
              <w:tc>
                <w:tcPr>
                  <w:tcW w:w="15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44.3</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45.1</w:t>
                  </w:r>
                </w:p>
              </w:tc>
              <w:tc>
                <w:tcPr>
                  <w:tcW w:w="23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7" w:hRule="atLeast"/>
              </w:trPr>
              <w:tc>
                <w:tcPr>
                  <w:tcW w:w="140"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140"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w:t>
                  </w:r>
                </w:p>
              </w:tc>
              <w:tc>
                <w:tcPr>
                  <w:tcW w:w="36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球磨机</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1</w:t>
                  </w:r>
                </w:p>
              </w:tc>
              <w:tc>
                <w:tcPr>
                  <w:tcW w:w="260"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10</w:t>
                  </w:r>
                  <w:r>
                    <w:rPr>
                      <w:rFonts w:hint="default" w:ascii="Times New Roman" w:hAnsi="Times New Roman" w:eastAsia="宋体" w:cs="Times New Roman"/>
                      <w:color w:val="auto"/>
                      <w:highlight w:val="none"/>
                      <w:lang w:val="en-US" w:eastAsia="zh-CN"/>
                    </w:rPr>
                    <w:t>5.0</w:t>
                  </w:r>
                </w:p>
              </w:tc>
              <w:tc>
                <w:tcPr>
                  <w:tcW w:w="355"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隔</w:t>
                  </w:r>
                  <w:r>
                    <w:rPr>
                      <w:rFonts w:hint="default" w:ascii="Times New Roman" w:hAnsi="Times New Roman" w:eastAsia="宋体" w:cs="Times New Roman"/>
                      <w:color w:val="auto"/>
                      <w:highlight w:val="none"/>
                      <w:lang w:val="en-US" w:eastAsia="zh-CN"/>
                    </w:rPr>
                    <w:t>声</w:t>
                  </w:r>
                  <w:r>
                    <w:rPr>
                      <w:rFonts w:hint="default" w:ascii="Times New Roman" w:hAnsi="Times New Roman" w:eastAsia="宋体" w:cs="Times New Roman"/>
                      <w:color w:val="auto"/>
                      <w:highlight w:val="none"/>
                    </w:rPr>
                    <w:t>减</w:t>
                  </w:r>
                  <w:r>
                    <w:rPr>
                      <w:rFonts w:hint="default" w:ascii="Times New Roman" w:hAnsi="Times New Roman" w:eastAsia="宋体" w:cs="Times New Roman"/>
                      <w:color w:val="auto"/>
                      <w:highlight w:val="none"/>
                      <w:lang w:val="en-US" w:eastAsia="zh-CN"/>
                    </w:rPr>
                    <w:t>振</w:t>
                  </w:r>
                </w:p>
              </w:tc>
              <w:tc>
                <w:tcPr>
                  <w:tcW w:w="21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-165.3</w:t>
                  </w:r>
                </w:p>
              </w:tc>
              <w:tc>
                <w:tcPr>
                  <w:tcW w:w="188"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46.2</w:t>
                  </w:r>
                </w:p>
              </w:tc>
              <w:tc>
                <w:tcPr>
                  <w:tcW w:w="185"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1.2</w:t>
                  </w:r>
                </w:p>
              </w:tc>
              <w:tc>
                <w:tcPr>
                  <w:tcW w:w="190"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21.9</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6.4</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14.8</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15.4</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85.3</w:t>
                  </w:r>
                </w:p>
              </w:tc>
              <w:tc>
                <w:tcPr>
                  <w:tcW w:w="167"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86.0</w:t>
                  </w:r>
                </w:p>
              </w:tc>
              <w:tc>
                <w:tcPr>
                  <w:tcW w:w="181"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85.4</w:t>
                  </w:r>
                </w:p>
              </w:tc>
              <w:tc>
                <w:tcPr>
                  <w:tcW w:w="201"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85.4</w:t>
                  </w:r>
                </w:p>
              </w:tc>
              <w:tc>
                <w:tcPr>
                  <w:tcW w:w="19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昼/夜</w:t>
                  </w:r>
                </w:p>
              </w:tc>
              <w:tc>
                <w:tcPr>
                  <w:tcW w:w="159"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26.0</w:t>
                  </w:r>
                </w:p>
              </w:tc>
              <w:tc>
                <w:tcPr>
                  <w:tcW w:w="159"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26.0</w:t>
                  </w:r>
                </w:p>
              </w:tc>
              <w:tc>
                <w:tcPr>
                  <w:tcW w:w="172"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26.0</w:t>
                  </w:r>
                </w:p>
              </w:tc>
              <w:tc>
                <w:tcPr>
                  <w:tcW w:w="177"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26.0</w:t>
                  </w:r>
                </w:p>
              </w:tc>
              <w:tc>
                <w:tcPr>
                  <w:tcW w:w="15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53.3</w:t>
                  </w:r>
                </w:p>
              </w:tc>
              <w:tc>
                <w:tcPr>
                  <w:tcW w:w="191"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54.0</w:t>
                  </w:r>
                </w:p>
              </w:tc>
              <w:tc>
                <w:tcPr>
                  <w:tcW w:w="15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53.4</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53.4</w:t>
                  </w:r>
                </w:p>
              </w:tc>
              <w:tc>
                <w:tcPr>
                  <w:tcW w:w="23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7" w:hRule="atLeast"/>
              </w:trPr>
              <w:tc>
                <w:tcPr>
                  <w:tcW w:w="140"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140"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w:t>
                  </w:r>
                </w:p>
              </w:tc>
              <w:tc>
                <w:tcPr>
                  <w:tcW w:w="36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浮选机</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1</w:t>
                  </w:r>
                  <w:r>
                    <w:rPr>
                      <w:rFonts w:hint="default" w:ascii="Times New Roman" w:hAnsi="Times New Roman" w:eastAsia="宋体" w:cs="Times New Roman"/>
                      <w:color w:val="auto"/>
                      <w:highlight w:val="none"/>
                    </w:rPr>
                    <w:t>4</w:t>
                  </w:r>
                </w:p>
              </w:tc>
              <w:tc>
                <w:tcPr>
                  <w:tcW w:w="260"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75.0</w:t>
                  </w:r>
                </w:p>
              </w:tc>
              <w:tc>
                <w:tcPr>
                  <w:tcW w:w="355"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隔</w:t>
                  </w:r>
                  <w:r>
                    <w:rPr>
                      <w:rFonts w:hint="default" w:ascii="Times New Roman" w:hAnsi="Times New Roman" w:eastAsia="宋体" w:cs="Times New Roman"/>
                      <w:color w:val="auto"/>
                      <w:highlight w:val="none"/>
                      <w:lang w:val="en-US" w:eastAsia="zh-CN"/>
                    </w:rPr>
                    <w:t>声</w:t>
                  </w:r>
                  <w:r>
                    <w:rPr>
                      <w:rFonts w:hint="default" w:ascii="Times New Roman" w:hAnsi="Times New Roman" w:eastAsia="宋体" w:cs="Times New Roman"/>
                      <w:color w:val="auto"/>
                      <w:highlight w:val="none"/>
                    </w:rPr>
                    <w:t>减</w:t>
                  </w:r>
                  <w:r>
                    <w:rPr>
                      <w:rFonts w:hint="default" w:ascii="Times New Roman" w:hAnsi="Times New Roman" w:eastAsia="宋体" w:cs="Times New Roman"/>
                      <w:color w:val="auto"/>
                      <w:highlight w:val="none"/>
                      <w:lang w:val="en-US" w:eastAsia="zh-CN"/>
                    </w:rPr>
                    <w:t>振</w:t>
                  </w:r>
                </w:p>
              </w:tc>
              <w:tc>
                <w:tcPr>
                  <w:tcW w:w="21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-156.3</w:t>
                  </w:r>
                </w:p>
              </w:tc>
              <w:tc>
                <w:tcPr>
                  <w:tcW w:w="188"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44.7</w:t>
                  </w:r>
                </w:p>
              </w:tc>
              <w:tc>
                <w:tcPr>
                  <w:tcW w:w="185"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1.2</w:t>
                  </w:r>
                </w:p>
              </w:tc>
              <w:tc>
                <w:tcPr>
                  <w:tcW w:w="190"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12.9</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2.6</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23.8</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15.2</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66.3</w:t>
                  </w:r>
                </w:p>
              </w:tc>
              <w:tc>
                <w:tcPr>
                  <w:tcW w:w="167"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69.3</w:t>
                  </w:r>
                </w:p>
              </w:tc>
              <w:tc>
                <w:tcPr>
                  <w:tcW w:w="181"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66.1</w:t>
                  </w:r>
                </w:p>
              </w:tc>
              <w:tc>
                <w:tcPr>
                  <w:tcW w:w="201"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66.2</w:t>
                  </w:r>
                </w:p>
              </w:tc>
              <w:tc>
                <w:tcPr>
                  <w:tcW w:w="19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昼/夜</w:t>
                  </w:r>
                </w:p>
              </w:tc>
              <w:tc>
                <w:tcPr>
                  <w:tcW w:w="159"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26.0</w:t>
                  </w:r>
                </w:p>
              </w:tc>
              <w:tc>
                <w:tcPr>
                  <w:tcW w:w="159"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26.0</w:t>
                  </w:r>
                </w:p>
              </w:tc>
              <w:tc>
                <w:tcPr>
                  <w:tcW w:w="172"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26.0</w:t>
                  </w:r>
                </w:p>
              </w:tc>
              <w:tc>
                <w:tcPr>
                  <w:tcW w:w="177"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26.0</w:t>
                  </w:r>
                </w:p>
              </w:tc>
              <w:tc>
                <w:tcPr>
                  <w:tcW w:w="15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34.3</w:t>
                  </w:r>
                </w:p>
              </w:tc>
              <w:tc>
                <w:tcPr>
                  <w:tcW w:w="191"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37.3</w:t>
                  </w:r>
                </w:p>
              </w:tc>
              <w:tc>
                <w:tcPr>
                  <w:tcW w:w="15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34.1</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34.2</w:t>
                  </w:r>
                </w:p>
              </w:tc>
              <w:tc>
                <w:tcPr>
                  <w:tcW w:w="23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7" w:hRule="atLeast"/>
              </w:trPr>
              <w:tc>
                <w:tcPr>
                  <w:tcW w:w="140"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140"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w:t>
                  </w:r>
                </w:p>
              </w:tc>
              <w:tc>
                <w:tcPr>
                  <w:tcW w:w="36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浮选机</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7</w:t>
                  </w:r>
                </w:p>
              </w:tc>
              <w:tc>
                <w:tcPr>
                  <w:tcW w:w="260"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75.0</w:t>
                  </w:r>
                </w:p>
              </w:tc>
              <w:tc>
                <w:tcPr>
                  <w:tcW w:w="355"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隔</w:t>
                  </w:r>
                  <w:r>
                    <w:rPr>
                      <w:rFonts w:hint="default" w:ascii="Times New Roman" w:hAnsi="Times New Roman" w:eastAsia="宋体" w:cs="Times New Roman"/>
                      <w:color w:val="auto"/>
                      <w:highlight w:val="none"/>
                      <w:lang w:val="en-US" w:eastAsia="zh-CN"/>
                    </w:rPr>
                    <w:t>声</w:t>
                  </w:r>
                  <w:r>
                    <w:rPr>
                      <w:rFonts w:hint="default" w:ascii="Times New Roman" w:hAnsi="Times New Roman" w:eastAsia="宋体" w:cs="Times New Roman"/>
                      <w:color w:val="auto"/>
                      <w:highlight w:val="none"/>
                    </w:rPr>
                    <w:t>减</w:t>
                  </w:r>
                  <w:r>
                    <w:rPr>
                      <w:rFonts w:hint="default" w:ascii="Times New Roman" w:hAnsi="Times New Roman" w:eastAsia="宋体" w:cs="Times New Roman"/>
                      <w:color w:val="auto"/>
                      <w:highlight w:val="none"/>
                      <w:lang w:val="en-US" w:eastAsia="zh-CN"/>
                    </w:rPr>
                    <w:t>振</w:t>
                  </w:r>
                </w:p>
              </w:tc>
              <w:tc>
                <w:tcPr>
                  <w:tcW w:w="21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-172.9</w:t>
                  </w:r>
                </w:p>
              </w:tc>
              <w:tc>
                <w:tcPr>
                  <w:tcW w:w="188"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32</w:t>
                  </w:r>
                </w:p>
              </w:tc>
              <w:tc>
                <w:tcPr>
                  <w:tcW w:w="185"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1.2</w:t>
                  </w:r>
                </w:p>
              </w:tc>
              <w:tc>
                <w:tcPr>
                  <w:tcW w:w="190"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24.3</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9.2</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11.7</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30.7</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63.1</w:t>
                  </w:r>
                </w:p>
              </w:tc>
              <w:tc>
                <w:tcPr>
                  <w:tcW w:w="167"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63.4</w:t>
                  </w:r>
                </w:p>
              </w:tc>
              <w:tc>
                <w:tcPr>
                  <w:tcW w:w="181"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63.3</w:t>
                  </w:r>
                </w:p>
              </w:tc>
              <w:tc>
                <w:tcPr>
                  <w:tcW w:w="201"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63.1</w:t>
                  </w:r>
                </w:p>
              </w:tc>
              <w:tc>
                <w:tcPr>
                  <w:tcW w:w="19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昼/夜</w:t>
                  </w:r>
                </w:p>
              </w:tc>
              <w:tc>
                <w:tcPr>
                  <w:tcW w:w="159"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26.0</w:t>
                  </w:r>
                </w:p>
              </w:tc>
              <w:tc>
                <w:tcPr>
                  <w:tcW w:w="159"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26.0</w:t>
                  </w:r>
                </w:p>
              </w:tc>
              <w:tc>
                <w:tcPr>
                  <w:tcW w:w="172"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26.0</w:t>
                  </w:r>
                </w:p>
              </w:tc>
              <w:tc>
                <w:tcPr>
                  <w:tcW w:w="177"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26.0</w:t>
                  </w:r>
                </w:p>
              </w:tc>
              <w:tc>
                <w:tcPr>
                  <w:tcW w:w="15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31.1</w:t>
                  </w:r>
                </w:p>
              </w:tc>
              <w:tc>
                <w:tcPr>
                  <w:tcW w:w="191"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31.4</w:t>
                  </w:r>
                </w:p>
              </w:tc>
              <w:tc>
                <w:tcPr>
                  <w:tcW w:w="15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31.3</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31.1</w:t>
                  </w:r>
                </w:p>
              </w:tc>
              <w:tc>
                <w:tcPr>
                  <w:tcW w:w="23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7" w:hRule="atLeast"/>
              </w:trPr>
              <w:tc>
                <w:tcPr>
                  <w:tcW w:w="140"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140"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w:t>
                  </w:r>
                </w:p>
              </w:tc>
              <w:tc>
                <w:tcPr>
                  <w:tcW w:w="36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板框压滤机×4</w:t>
                  </w:r>
                </w:p>
              </w:tc>
              <w:tc>
                <w:tcPr>
                  <w:tcW w:w="260"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92.0</w:t>
                  </w:r>
                </w:p>
              </w:tc>
              <w:tc>
                <w:tcPr>
                  <w:tcW w:w="355"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隔</w:t>
                  </w:r>
                  <w:r>
                    <w:rPr>
                      <w:rFonts w:hint="default" w:ascii="Times New Roman" w:hAnsi="Times New Roman" w:eastAsia="宋体" w:cs="Times New Roman"/>
                      <w:color w:val="auto"/>
                      <w:highlight w:val="none"/>
                      <w:lang w:val="en-US" w:eastAsia="zh-CN"/>
                    </w:rPr>
                    <w:t>声</w:t>
                  </w:r>
                  <w:r>
                    <w:rPr>
                      <w:rFonts w:hint="default" w:ascii="Times New Roman" w:hAnsi="Times New Roman" w:eastAsia="宋体" w:cs="Times New Roman"/>
                      <w:color w:val="auto"/>
                      <w:highlight w:val="none"/>
                    </w:rPr>
                    <w:t>减</w:t>
                  </w:r>
                  <w:r>
                    <w:rPr>
                      <w:rFonts w:hint="default" w:ascii="Times New Roman" w:hAnsi="Times New Roman" w:eastAsia="宋体" w:cs="Times New Roman"/>
                      <w:color w:val="auto"/>
                      <w:highlight w:val="none"/>
                      <w:lang w:val="en-US" w:eastAsia="zh-CN"/>
                    </w:rPr>
                    <w:t>振</w:t>
                  </w:r>
                </w:p>
              </w:tc>
              <w:tc>
                <w:tcPr>
                  <w:tcW w:w="21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-177.7</w:t>
                  </w:r>
                </w:p>
              </w:tc>
              <w:tc>
                <w:tcPr>
                  <w:tcW w:w="188"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17.9</w:t>
                  </w:r>
                </w:p>
              </w:tc>
              <w:tc>
                <w:tcPr>
                  <w:tcW w:w="185"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1.2</w:t>
                  </w:r>
                </w:p>
              </w:tc>
              <w:tc>
                <w:tcPr>
                  <w:tcW w:w="190"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24.0</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9.3</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11.4</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45.4</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78.3</w:t>
                  </w:r>
                </w:p>
              </w:tc>
              <w:tc>
                <w:tcPr>
                  <w:tcW w:w="167"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78.6</w:t>
                  </w:r>
                </w:p>
              </w:tc>
              <w:tc>
                <w:tcPr>
                  <w:tcW w:w="181"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78.5</w:t>
                  </w:r>
                </w:p>
              </w:tc>
              <w:tc>
                <w:tcPr>
                  <w:tcW w:w="201"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78.3</w:t>
                  </w:r>
                </w:p>
              </w:tc>
              <w:tc>
                <w:tcPr>
                  <w:tcW w:w="19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昼/夜</w:t>
                  </w:r>
                </w:p>
              </w:tc>
              <w:tc>
                <w:tcPr>
                  <w:tcW w:w="159"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26.0</w:t>
                  </w:r>
                </w:p>
              </w:tc>
              <w:tc>
                <w:tcPr>
                  <w:tcW w:w="159"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26.0</w:t>
                  </w:r>
                </w:p>
              </w:tc>
              <w:tc>
                <w:tcPr>
                  <w:tcW w:w="172"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26.0</w:t>
                  </w:r>
                </w:p>
              </w:tc>
              <w:tc>
                <w:tcPr>
                  <w:tcW w:w="177"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26.0</w:t>
                  </w:r>
                </w:p>
              </w:tc>
              <w:tc>
                <w:tcPr>
                  <w:tcW w:w="15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46.3</w:t>
                  </w:r>
                </w:p>
              </w:tc>
              <w:tc>
                <w:tcPr>
                  <w:tcW w:w="191"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46.6</w:t>
                  </w:r>
                </w:p>
              </w:tc>
              <w:tc>
                <w:tcPr>
                  <w:tcW w:w="15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46.5</w:t>
                  </w:r>
                </w:p>
              </w:tc>
              <w:tc>
                <w:tcPr>
                  <w:tcW w:w="16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46.3</w:t>
                  </w:r>
                </w:p>
              </w:tc>
              <w:tc>
                <w:tcPr>
                  <w:tcW w:w="23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w:t>
                  </w:r>
                </w:p>
              </w:tc>
            </w:tr>
          </w:tbl>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表4-8  主要噪声源强统计一览表（室外声源）</w:t>
            </w:r>
          </w:p>
          <w:tbl>
            <w:tblPr>
              <w:tblStyle w:val="2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925"/>
              <w:gridCol w:w="932"/>
              <w:gridCol w:w="2307"/>
              <w:gridCol w:w="1160"/>
              <w:gridCol w:w="1220"/>
              <w:gridCol w:w="1145"/>
              <w:gridCol w:w="2492"/>
              <w:gridCol w:w="1155"/>
              <w:gridCol w:w="115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PrEx>
              <w:trPr>
                <w:trHeight w:val="227" w:hRule="atLeast"/>
              </w:trPr>
              <w:tc>
                <w:tcPr>
                  <w:tcW w:w="370" w:type="pct"/>
                  <w:vMerge w:val="restar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名称</w:t>
                  </w:r>
                </w:p>
              </w:tc>
              <w:tc>
                <w:tcPr>
                  <w:tcW w:w="373" w:type="pct"/>
                  <w:vMerge w:val="restar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序号</w:t>
                  </w:r>
                </w:p>
              </w:tc>
              <w:tc>
                <w:tcPr>
                  <w:tcW w:w="923" w:type="pct"/>
                  <w:vMerge w:val="restar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声源名称</w:t>
                  </w:r>
                </w:p>
              </w:tc>
              <w:tc>
                <w:tcPr>
                  <w:tcW w:w="1410" w:type="pct"/>
                  <w:gridSpan w:val="3"/>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空间相对位置/m</w:t>
                  </w:r>
                </w:p>
              </w:tc>
              <w:tc>
                <w:tcPr>
                  <w:tcW w:w="997"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声源源强</w:t>
                  </w:r>
                </w:p>
              </w:tc>
              <w:tc>
                <w:tcPr>
                  <w:tcW w:w="462" w:type="pct"/>
                  <w:vMerge w:val="restar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声源控制措施</w:t>
                  </w:r>
                </w:p>
              </w:tc>
              <w:tc>
                <w:tcPr>
                  <w:tcW w:w="462" w:type="pct"/>
                  <w:vMerge w:val="restar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运行时段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PrEx>
              <w:trPr>
                <w:trHeight w:val="227" w:hRule="atLeast"/>
              </w:trPr>
              <w:tc>
                <w:tcPr>
                  <w:tcW w:w="370"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373"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923"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46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X</w:t>
                  </w:r>
                </w:p>
              </w:tc>
              <w:tc>
                <w:tcPr>
                  <w:tcW w:w="488"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Y</w:t>
                  </w:r>
                </w:p>
              </w:tc>
              <w:tc>
                <w:tcPr>
                  <w:tcW w:w="458"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Z</w:t>
                  </w:r>
                </w:p>
              </w:tc>
              <w:tc>
                <w:tcPr>
                  <w:tcW w:w="997"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声功率级/dB(A)</w:t>
                  </w:r>
                </w:p>
              </w:tc>
              <w:tc>
                <w:tcPr>
                  <w:tcW w:w="462"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462"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PrEx>
              <w:trPr>
                <w:trHeight w:val="227" w:hRule="atLeast"/>
              </w:trPr>
              <w:tc>
                <w:tcPr>
                  <w:tcW w:w="370" w:type="pct"/>
                  <w:vMerge w:val="restar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尾矿库区</w:t>
                  </w:r>
                </w:p>
              </w:tc>
              <w:tc>
                <w:tcPr>
                  <w:tcW w:w="37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1</w:t>
                  </w:r>
                </w:p>
              </w:tc>
              <w:tc>
                <w:tcPr>
                  <w:tcW w:w="92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lang w:val="en-US" w:eastAsia="zh-CN"/>
                    </w:rPr>
                    <w:t>小型简易绞吸式采砂船</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1</w:t>
                  </w:r>
                </w:p>
              </w:tc>
              <w:tc>
                <w:tcPr>
                  <w:tcW w:w="46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rPr>
                    <w:t>-59.3</w:t>
                  </w:r>
                </w:p>
              </w:tc>
              <w:tc>
                <w:tcPr>
                  <w:tcW w:w="488"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rPr>
                    <w:t>46.3</w:t>
                  </w:r>
                </w:p>
              </w:tc>
              <w:tc>
                <w:tcPr>
                  <w:tcW w:w="458"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rPr>
                    <w:t>1.2</w:t>
                  </w:r>
                </w:p>
              </w:tc>
              <w:tc>
                <w:tcPr>
                  <w:tcW w:w="2794" w:type="dxa"/>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highlight w:val="none"/>
                    </w:rPr>
                    <w:t>85</w:t>
                  </w:r>
                </w:p>
              </w:tc>
              <w:tc>
                <w:tcPr>
                  <w:tcW w:w="462" w:type="pct"/>
                  <w:vMerge w:val="restar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选用低噪设备、基础减振</w:t>
                  </w:r>
                </w:p>
              </w:tc>
              <w:tc>
                <w:tcPr>
                  <w:tcW w:w="462" w:type="pct"/>
                  <w:vMerge w:val="restar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昼间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PrEx>
              <w:trPr>
                <w:trHeight w:val="227" w:hRule="atLeast"/>
              </w:trPr>
              <w:tc>
                <w:tcPr>
                  <w:tcW w:w="370"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37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w:t>
                  </w:r>
                </w:p>
              </w:tc>
              <w:tc>
                <w:tcPr>
                  <w:tcW w:w="92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渣浆泵</w:t>
                  </w:r>
                  <w:r>
                    <w:rPr>
                      <w:rFonts w:hint="default" w:ascii="Times New Roman" w:hAnsi="Times New Roman" w:eastAsia="宋体" w:cs="Times New Roman"/>
                      <w:color w:val="auto"/>
                      <w:highlight w:val="none"/>
                    </w:rPr>
                    <w:t>×2</w:t>
                  </w:r>
                </w:p>
              </w:tc>
              <w:tc>
                <w:tcPr>
                  <w:tcW w:w="46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-42.2</w:t>
                  </w:r>
                </w:p>
              </w:tc>
              <w:tc>
                <w:tcPr>
                  <w:tcW w:w="488"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57.7</w:t>
                  </w:r>
                </w:p>
              </w:tc>
              <w:tc>
                <w:tcPr>
                  <w:tcW w:w="458"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1.2</w:t>
                  </w:r>
                </w:p>
              </w:tc>
              <w:tc>
                <w:tcPr>
                  <w:tcW w:w="2794" w:type="dxa"/>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90</w:t>
                  </w:r>
                </w:p>
              </w:tc>
              <w:tc>
                <w:tcPr>
                  <w:tcW w:w="462"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462"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PrEx>
              <w:trPr>
                <w:trHeight w:val="227" w:hRule="atLeast"/>
              </w:trPr>
              <w:tc>
                <w:tcPr>
                  <w:tcW w:w="370"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37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w:t>
                  </w:r>
                </w:p>
              </w:tc>
              <w:tc>
                <w:tcPr>
                  <w:tcW w:w="92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清水离心泵</w:t>
                  </w:r>
                  <w:r>
                    <w:rPr>
                      <w:rFonts w:hint="default" w:ascii="Times New Roman" w:hAnsi="Times New Roman" w:eastAsia="宋体" w:cs="Times New Roman"/>
                      <w:color w:val="auto"/>
                      <w:highlight w:val="none"/>
                    </w:rPr>
                    <w:t>×2</w:t>
                  </w:r>
                </w:p>
              </w:tc>
              <w:tc>
                <w:tcPr>
                  <w:tcW w:w="46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rPr>
                  </w:pPr>
                  <w:r>
                    <w:rPr>
                      <w:rFonts w:hint="default" w:ascii="Times New Roman" w:hAnsi="Times New Roman" w:eastAsia="宋体" w:cs="Times New Roman"/>
                      <w:color w:val="auto"/>
                      <w:highlight w:val="none"/>
                    </w:rPr>
                    <w:t>191.9</w:t>
                  </w:r>
                </w:p>
              </w:tc>
              <w:tc>
                <w:tcPr>
                  <w:tcW w:w="488"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-67.4</w:t>
                  </w:r>
                </w:p>
              </w:tc>
              <w:tc>
                <w:tcPr>
                  <w:tcW w:w="458"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1.2</w:t>
                  </w:r>
                </w:p>
              </w:tc>
              <w:tc>
                <w:tcPr>
                  <w:tcW w:w="2794" w:type="dxa"/>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96</w:t>
                  </w:r>
                </w:p>
              </w:tc>
              <w:tc>
                <w:tcPr>
                  <w:tcW w:w="462"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462"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PrEx>
              <w:trPr>
                <w:trHeight w:val="227" w:hRule="atLeast"/>
              </w:trPr>
              <w:tc>
                <w:tcPr>
                  <w:tcW w:w="370"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37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w:t>
                  </w:r>
                </w:p>
              </w:tc>
              <w:tc>
                <w:tcPr>
                  <w:tcW w:w="92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高压水枪</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3</w:t>
                  </w:r>
                </w:p>
              </w:tc>
              <w:tc>
                <w:tcPr>
                  <w:tcW w:w="46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191.9</w:t>
                  </w:r>
                </w:p>
              </w:tc>
              <w:tc>
                <w:tcPr>
                  <w:tcW w:w="488"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-83.6</w:t>
                  </w:r>
                </w:p>
              </w:tc>
              <w:tc>
                <w:tcPr>
                  <w:tcW w:w="458"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1.2</w:t>
                  </w:r>
                </w:p>
              </w:tc>
              <w:tc>
                <w:tcPr>
                  <w:tcW w:w="2794" w:type="dxa"/>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96</w:t>
                  </w:r>
                </w:p>
              </w:tc>
              <w:tc>
                <w:tcPr>
                  <w:tcW w:w="462"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462"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PrEx>
              <w:trPr>
                <w:trHeight w:val="227" w:hRule="atLeast"/>
              </w:trPr>
              <w:tc>
                <w:tcPr>
                  <w:tcW w:w="370"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37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w:t>
                  </w:r>
                </w:p>
              </w:tc>
              <w:tc>
                <w:tcPr>
                  <w:tcW w:w="923"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挖掘机</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1</w:t>
                  </w:r>
                </w:p>
              </w:tc>
              <w:tc>
                <w:tcPr>
                  <w:tcW w:w="464"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168.5</w:t>
                  </w:r>
                </w:p>
              </w:tc>
              <w:tc>
                <w:tcPr>
                  <w:tcW w:w="488"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-75.9</w:t>
                  </w:r>
                </w:p>
              </w:tc>
              <w:tc>
                <w:tcPr>
                  <w:tcW w:w="458" w:type="pct"/>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1.2</w:t>
                  </w:r>
                </w:p>
              </w:tc>
              <w:tc>
                <w:tcPr>
                  <w:tcW w:w="2794" w:type="dxa"/>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94.8</w:t>
                  </w:r>
                </w:p>
              </w:tc>
              <w:tc>
                <w:tcPr>
                  <w:tcW w:w="462"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462" w:type="pct"/>
                  <w:vMerge w:val="continue"/>
                  <w:tcBorders>
                    <w:tl2br w:val="nil"/>
                    <w:tr2bl w:val="nil"/>
                  </w:tcBorders>
                  <w:shd w:val="clear" w:color="auto" w:fill="FFFFFF"/>
                  <w:tcMar>
                    <w:top w:w="0" w:type="dxa"/>
                    <w:left w:w="28" w:type="dxa"/>
                    <w:bottom w:w="0" w:type="dxa"/>
                    <w:right w:w="28"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r>
            <w:bookmarkEnd w:id="15"/>
          </w:tbl>
          <w:p>
            <w:pPr>
              <w:rPr>
                <w:rFonts w:hint="default" w:ascii="Times New Roman" w:hAnsi="Times New Roman" w:cs="Times New Roman"/>
                <w:color w:val="auto"/>
                <w:vertAlign w:val="baseline"/>
                <w:lang w:val="en-US" w:eastAsia="zh-CN"/>
              </w:rPr>
            </w:pPr>
          </w:p>
        </w:tc>
      </w:tr>
    </w:tbl>
    <w:p>
      <w:pPr>
        <w:rPr>
          <w:rFonts w:hint="default" w:ascii="Times New Roman" w:hAnsi="Times New Roman" w:cs="Times New Roman"/>
          <w:color w:val="auto"/>
        </w:rPr>
        <w:sectPr>
          <w:pgSz w:w="16840" w:h="11907" w:orient="landscape"/>
          <w:pgMar w:top="1531" w:right="1701" w:bottom="1531" w:left="2127"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29"/>
        <w:tblW w:w="93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863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7" w:type="dxa"/>
            <w:noWrap w:val="0"/>
            <w:tcMar>
              <w:left w:w="28" w:type="dxa"/>
              <w:right w:w="28" w:type="dxa"/>
            </w:tcMar>
            <w:vAlign w:val="center"/>
          </w:tcPr>
          <w:p>
            <w:pPr>
              <w:adjustRightInd w:val="0"/>
              <w:snapToGrid w:val="0"/>
              <w:jc w:val="center"/>
              <w:rPr>
                <w:rFonts w:hint="default" w:ascii="Times New Roman" w:hAnsi="Times New Roman" w:cs="Times New Roman"/>
                <w:bCs/>
                <w:color w:val="auto"/>
                <w:sz w:val="24"/>
                <w:szCs w:val="24"/>
              </w:rPr>
            </w:pPr>
          </w:p>
        </w:tc>
        <w:tc>
          <w:tcPr>
            <w:tcW w:w="8638" w:type="dxa"/>
            <w:noWrap w:val="0"/>
            <w:vAlign w:val="center"/>
          </w:tcPr>
          <w:p>
            <w:pPr>
              <w:pStyle w:val="78"/>
              <w:bidi w:val="0"/>
              <w:ind w:left="0" w:leftChars="0" w:firstLine="0" w:firstLineChars="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步骤如下：将室内分布集中、处于同一生产单元的噪声源叠加等效为一个点声源——计算室内各点声源传播至围护结构处的A声级，对于多个点声源噪声值进行叠加——通过插入损失计算等效室外声源的噪声级——室外声源通过几何发散、建筑阻隔、空气吸收、距离等作用发生衰减——计算预测点处声级。</w:t>
            </w:r>
            <w:r>
              <w:rPr>
                <w:rFonts w:hint="default" w:ascii="Times New Roman" w:hAnsi="Times New Roman" w:eastAsia="宋体" w:cs="Times New Roman"/>
                <w:color w:val="auto"/>
                <w:highlight w:val="none"/>
                <w:lang w:val="en-US" w:eastAsia="zh-CN"/>
              </w:rPr>
              <w:t>室外声源预测为第（4）步骤。</w:t>
            </w:r>
          </w:p>
          <w:p>
            <w:pPr>
              <w:pStyle w:val="78"/>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本项目没有声环境敏感目标，只预测厂</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场）</w:t>
            </w:r>
            <w:r>
              <w:rPr>
                <w:rFonts w:hint="default" w:ascii="Times New Roman" w:hAnsi="Times New Roman" w:eastAsia="宋体" w:cs="Times New Roman"/>
                <w:color w:val="auto"/>
                <w:highlight w:val="none"/>
              </w:rPr>
              <w:t>界达标情况，所涉及的计算公式如下：</w:t>
            </w:r>
          </w:p>
          <w:p>
            <w:pPr>
              <w:pStyle w:val="78"/>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（1）室内分布集中、处于同一生产单元的噪声源叠加等效为一个点声源。声级叠加计算公式：</w:t>
            </w:r>
          </w:p>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position w:val="-32"/>
                <w:highlight w:val="none"/>
                <w:lang w:val="en-US" w:eastAsia="zh-CN"/>
              </w:rPr>
              <w:object>
                <v:shape id="_x0000_i1035" o:spt="75" type="#_x0000_t75" style="height:38pt;width:96.95pt;" o:ole="t" filled="f" o:preferrelative="t" stroked="f" coordsize="21600,21600">
                  <v:path/>
                  <v:fill on="f" focussize="0,0"/>
                  <v:stroke on="f"/>
                  <v:imagedata r:id="rId27" o:title=""/>
                  <o:lock v:ext="edit" aspectratio="t"/>
                  <w10:wrap type="none"/>
                  <w10:anchorlock/>
                </v:shape>
                <o:OLEObject Type="Embed" ProgID="Equation.KSEE3" ShapeID="_x0000_i1035" DrawAspect="Content" ObjectID="_1468075726" r:id="rId26">
                  <o:LockedField>false</o:LockedField>
                </o:OLEObject>
              </w:object>
            </w:r>
          </w:p>
          <w:p>
            <w:pPr>
              <w:pStyle w:val="7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式中：</w:t>
            </w:r>
          </w:p>
          <w:p>
            <w:pPr>
              <w:pStyle w:val="7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L</w:t>
            </w:r>
            <w:r>
              <w:rPr>
                <w:rFonts w:hint="default" w:ascii="Times New Roman" w:hAnsi="Times New Roman" w:eastAsia="宋体" w:cs="Times New Roman"/>
                <w:color w:val="auto"/>
                <w:highlight w:val="none"/>
                <w:vertAlign w:val="subscript"/>
              </w:rPr>
              <w:t>总</w:t>
            </w:r>
            <w:r>
              <w:rPr>
                <w:rFonts w:hint="default" w:ascii="Times New Roman" w:hAnsi="Times New Roman" w:eastAsia="宋体" w:cs="Times New Roman"/>
                <w:color w:val="auto"/>
                <w:highlight w:val="none"/>
              </w:rPr>
              <w:t>——几个声压级相加后的总声压级，dB；</w:t>
            </w:r>
          </w:p>
          <w:p>
            <w:pPr>
              <w:pStyle w:val="7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L</w:t>
            </w:r>
            <w:r>
              <w:rPr>
                <w:rFonts w:hint="default" w:ascii="Times New Roman" w:hAnsi="Times New Roman" w:eastAsia="宋体" w:cs="Times New Roman"/>
                <w:color w:val="auto"/>
                <w:highlight w:val="none"/>
                <w:vertAlign w:val="subscript"/>
              </w:rPr>
              <w:t>i</w:t>
            </w:r>
            <w:r>
              <w:rPr>
                <w:rFonts w:hint="default" w:ascii="Times New Roman" w:hAnsi="Times New Roman" w:eastAsia="宋体" w:cs="Times New Roman"/>
                <w:color w:val="auto"/>
                <w:highlight w:val="none"/>
              </w:rPr>
              <w:t>——某个声压级，dB；</w:t>
            </w:r>
          </w:p>
          <w:p>
            <w:pPr>
              <w:pStyle w:val="7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（2）室内声源靠近围护结构处声压级，对于多个点声源噪声值进行叠加。</w:t>
            </w:r>
          </w:p>
          <w:p>
            <w:pPr>
              <w:pStyle w:val="87"/>
              <w:bidi w:val="0"/>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position w:val="-28"/>
                <w:highlight w:val="none"/>
                <w:lang w:val="en-US" w:eastAsia="zh-CN"/>
              </w:rPr>
              <w:object>
                <v:shape id="_x0000_i1036" o:spt="75" type="#_x0000_t75" style="height:34pt;width:132.95pt;" o:ole="t" filled="f" o:preferrelative="t" stroked="f" coordsize="21600,21600">
                  <v:path/>
                  <v:fill on="f" focussize="0,0"/>
                  <v:stroke on="f"/>
                  <v:imagedata r:id="rId29" o:title=""/>
                  <o:lock v:ext="edit" aspectratio="t"/>
                  <w10:wrap type="none"/>
                  <w10:anchorlock/>
                </v:shape>
                <o:OLEObject Type="Embed" ProgID="Equation.KSEE3" ShapeID="_x0000_i1036" DrawAspect="Content" ObjectID="_1468075727" r:id="rId28">
                  <o:LockedField>false</o:LockedField>
                </o:OLEObject>
              </w:object>
            </w:r>
          </w:p>
          <w:p>
            <w:pPr>
              <w:pStyle w:val="7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式中：</w:t>
            </w:r>
          </w:p>
          <w:p>
            <w:pPr>
              <w:pStyle w:val="7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Q——指向性因数，通常对无指向性声源，当声源放在房间中心时，Q=1，当放在一面墙的中心时，Q=2，当放在两面墙夹角处时，Q=4，当放在三面墙夹角处时，Q=8；</w:t>
            </w:r>
          </w:p>
          <w:p>
            <w:pPr>
              <w:pStyle w:val="7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R——房间常数，R=Sα/</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1-α</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，S为房间内表面面积，</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，α为平均吸声系数。</w:t>
            </w:r>
          </w:p>
          <w:p>
            <w:pPr>
              <w:pStyle w:val="78"/>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（3）室内声源等效室外声源声功率级计算公式如下：</w:t>
            </w:r>
          </w:p>
          <w:p>
            <w:pPr>
              <w:pStyle w:val="94"/>
              <w:bidi w:val="0"/>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position w:val="-14"/>
                <w:highlight w:val="none"/>
                <w:lang w:val="en-US" w:eastAsia="zh-CN"/>
              </w:rPr>
              <w:object>
                <v:shape id="_x0000_i1037" o:spt="75" type="#_x0000_t75" style="height:19pt;width:96pt;" o:ole="t" filled="f" o:preferrelative="t" stroked="f" coordsize="21600,21600">
                  <v:path/>
                  <v:fill on="f" focussize="0,0"/>
                  <v:stroke on="f"/>
                  <v:imagedata r:id="rId31" o:title=""/>
                  <o:lock v:ext="edit" aspectratio="t"/>
                  <w10:wrap type="none"/>
                  <w10:anchorlock/>
                </v:shape>
                <o:OLEObject Type="Embed" ProgID="Equation.KSEE3" ShapeID="_x0000_i1037" DrawAspect="Content" ObjectID="_1468075728" r:id="rId30">
                  <o:LockedField>false</o:LockedField>
                </o:OLEObject>
              </w:object>
            </w:r>
          </w:p>
          <w:p>
            <w:pPr>
              <w:pStyle w:val="94"/>
              <w:bidi w:val="0"/>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position w:val="-14"/>
                <w:highlight w:val="none"/>
                <w:lang w:val="en-US" w:eastAsia="zh-CN"/>
              </w:rPr>
              <w:object>
                <v:shape id="_x0000_i1038" o:spt="75" type="#_x0000_t75" style="height:19pt;width:103pt;" o:ole="t" filled="f" o:preferrelative="t" stroked="f" coordsize="21600,21600">
                  <v:path/>
                  <v:fill on="f" focussize="0,0"/>
                  <v:stroke on="f"/>
                  <v:imagedata r:id="rId33" o:title=""/>
                  <o:lock v:ext="edit" aspectratio="t"/>
                  <w10:wrap type="none"/>
                  <w10:anchorlock/>
                </v:shape>
                <o:OLEObject Type="Embed" ProgID="Equation.KSEE3" ShapeID="_x0000_i1038" DrawAspect="Content" ObjectID="_1468075729" r:id="rId32">
                  <o:LockedField>false</o:LockedField>
                </o:OLEObject>
              </w:object>
            </w:r>
          </w:p>
          <w:p>
            <w:pPr>
              <w:pStyle w:val="7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式中：</w:t>
            </w:r>
          </w:p>
          <w:p>
            <w:pPr>
              <w:pStyle w:val="7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L</w:t>
            </w:r>
            <w:r>
              <w:rPr>
                <w:rFonts w:hint="default" w:ascii="Times New Roman" w:hAnsi="Times New Roman" w:eastAsia="宋体" w:cs="Times New Roman"/>
                <w:color w:val="auto"/>
                <w:highlight w:val="none"/>
                <w:vertAlign w:val="subscript"/>
              </w:rPr>
              <w:t>p2</w:t>
            </w:r>
            <w:r>
              <w:rPr>
                <w:rFonts w:hint="default" w:ascii="Times New Roman" w:hAnsi="Times New Roman" w:eastAsia="宋体" w:cs="Times New Roman"/>
                <w:color w:val="auto"/>
                <w:highlight w:val="none"/>
              </w:rPr>
              <w:t>——围护结构处点声源室内声级，dB。</w:t>
            </w:r>
          </w:p>
          <w:p>
            <w:pPr>
              <w:pStyle w:val="7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L</w:t>
            </w:r>
            <w:r>
              <w:rPr>
                <w:rFonts w:hint="default" w:ascii="Times New Roman" w:hAnsi="Times New Roman" w:eastAsia="宋体" w:cs="Times New Roman"/>
                <w:color w:val="auto"/>
                <w:highlight w:val="none"/>
                <w:vertAlign w:val="subscript"/>
              </w:rPr>
              <w:t>p1</w:t>
            </w:r>
            <w:r>
              <w:rPr>
                <w:rFonts w:hint="default" w:ascii="Times New Roman" w:hAnsi="Times New Roman" w:eastAsia="宋体" w:cs="Times New Roman"/>
                <w:color w:val="auto"/>
                <w:highlight w:val="none"/>
              </w:rPr>
              <w:t>——围护结构处点声源室外声级，dB。</w:t>
            </w:r>
          </w:p>
          <w:p>
            <w:pPr>
              <w:pStyle w:val="78"/>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TL——门窗倍频带隔声量，dB。（5mm厚玻璃和门隔声量约为20-35dB，保守取20dB）</w:t>
            </w:r>
            <w:r>
              <w:rPr>
                <w:rFonts w:hint="default" w:ascii="Times New Roman" w:hAnsi="Times New Roman" w:eastAsia="宋体" w:cs="Times New Roman"/>
                <w:color w:val="auto"/>
                <w:highlight w:val="none"/>
                <w:lang w:val="en-US" w:eastAsia="zh-CN"/>
              </w:rPr>
              <w:t>；</w:t>
            </w:r>
          </w:p>
          <w:p>
            <w:pPr>
              <w:pStyle w:val="7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L</w:t>
            </w:r>
            <w:r>
              <w:rPr>
                <w:rFonts w:hint="default" w:ascii="Times New Roman" w:hAnsi="Times New Roman" w:eastAsia="宋体" w:cs="Times New Roman"/>
                <w:color w:val="auto"/>
                <w:highlight w:val="none"/>
                <w:vertAlign w:val="subscript"/>
              </w:rPr>
              <w:t>w</w:t>
            </w:r>
            <w:r>
              <w:rPr>
                <w:rFonts w:hint="default" w:ascii="Times New Roman" w:hAnsi="Times New Roman" w:eastAsia="宋体" w:cs="Times New Roman"/>
                <w:color w:val="auto"/>
                <w:highlight w:val="none"/>
              </w:rPr>
              <w:t>——围护结构室外声源声压级和透过面积换算成的等效室外声源，dB。</w:t>
            </w:r>
          </w:p>
          <w:p>
            <w:pPr>
              <w:pStyle w:val="7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S——透声面积，</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w:t>
            </w:r>
          </w:p>
          <w:p>
            <w:pPr>
              <w:pStyle w:val="7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（4）根据声源参考位置处的声压级、户外声传播衰减，计算预测点（厂界）的声级。</w:t>
            </w:r>
          </w:p>
          <w:p>
            <w:pPr>
              <w:pStyle w:val="78"/>
              <w:ind w:left="0" w:leftChars="0" w:right="0" w:rightChars="0" w:firstLine="0" w:firstLineChars="0"/>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L</w:t>
            </w:r>
            <w:r>
              <w:rPr>
                <w:rFonts w:hint="default" w:ascii="Times New Roman" w:hAnsi="Times New Roman" w:eastAsia="宋体" w:cs="Times New Roman"/>
                <w:color w:val="auto"/>
                <w:highlight w:val="none"/>
                <w:vertAlign w:val="subscript"/>
              </w:rPr>
              <w:t>p</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r</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＝L</w:t>
            </w:r>
            <w:r>
              <w:rPr>
                <w:rFonts w:hint="default" w:ascii="Times New Roman" w:hAnsi="Times New Roman" w:eastAsia="宋体" w:cs="Times New Roman"/>
                <w:color w:val="auto"/>
                <w:highlight w:val="none"/>
                <w:vertAlign w:val="subscript"/>
              </w:rPr>
              <w:t>p</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r</w:t>
            </w:r>
            <w:r>
              <w:rPr>
                <w:rFonts w:hint="default" w:ascii="Times New Roman" w:hAnsi="Times New Roman" w:eastAsia="宋体" w:cs="Times New Roman"/>
                <w:color w:val="auto"/>
                <w:highlight w:val="none"/>
                <w:vertAlign w:val="subscript"/>
              </w:rPr>
              <w:t>0</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+DC</w:t>
            </w:r>
            <w:r>
              <w:rPr>
                <w:rFonts w:hint="default"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A</w:t>
            </w:r>
            <w:r>
              <w:rPr>
                <w:rFonts w:hint="default" w:ascii="Times New Roman" w:hAnsi="Times New Roman" w:eastAsia="宋体" w:cs="Times New Roman"/>
                <w:color w:val="auto"/>
                <w:highlight w:val="none"/>
                <w:vertAlign w:val="subscript"/>
              </w:rPr>
              <w:t>div</w:t>
            </w:r>
            <w:r>
              <w:rPr>
                <w:rFonts w:hint="default" w:ascii="Times New Roman" w:hAnsi="Times New Roman" w:eastAsia="宋体" w:cs="Times New Roman"/>
                <w:color w:val="auto"/>
                <w:highlight w:val="none"/>
              </w:rPr>
              <w:t>+A</w:t>
            </w:r>
            <w:r>
              <w:rPr>
                <w:rFonts w:hint="default" w:ascii="Times New Roman" w:hAnsi="Times New Roman" w:eastAsia="宋体" w:cs="Times New Roman"/>
                <w:color w:val="auto"/>
                <w:highlight w:val="none"/>
                <w:vertAlign w:val="subscript"/>
              </w:rPr>
              <w:t>atm</w:t>
            </w:r>
            <w:r>
              <w:rPr>
                <w:rFonts w:hint="default" w:ascii="Times New Roman" w:hAnsi="Times New Roman" w:eastAsia="宋体" w:cs="Times New Roman"/>
                <w:color w:val="auto"/>
                <w:highlight w:val="none"/>
              </w:rPr>
              <w:t>+A</w:t>
            </w:r>
            <w:r>
              <w:rPr>
                <w:rFonts w:hint="default" w:ascii="Times New Roman" w:hAnsi="Times New Roman" w:eastAsia="宋体" w:cs="Times New Roman"/>
                <w:color w:val="auto"/>
                <w:highlight w:val="none"/>
                <w:vertAlign w:val="subscript"/>
              </w:rPr>
              <w:t>gr</w:t>
            </w:r>
            <w:r>
              <w:rPr>
                <w:rFonts w:hint="default" w:ascii="Times New Roman" w:hAnsi="Times New Roman" w:eastAsia="宋体" w:cs="Times New Roman"/>
                <w:color w:val="auto"/>
                <w:highlight w:val="none"/>
              </w:rPr>
              <w:t>+A</w:t>
            </w:r>
            <w:r>
              <w:rPr>
                <w:rFonts w:hint="default" w:ascii="Times New Roman" w:hAnsi="Times New Roman" w:eastAsia="宋体" w:cs="Times New Roman"/>
                <w:color w:val="auto"/>
                <w:highlight w:val="none"/>
                <w:vertAlign w:val="subscript"/>
              </w:rPr>
              <w:t>bar</w:t>
            </w:r>
            <w:r>
              <w:rPr>
                <w:rFonts w:hint="default" w:ascii="Times New Roman" w:hAnsi="Times New Roman" w:eastAsia="宋体" w:cs="Times New Roman"/>
                <w:color w:val="auto"/>
                <w:highlight w:val="none"/>
              </w:rPr>
              <w:t>+A</w:t>
            </w:r>
            <w:r>
              <w:rPr>
                <w:rFonts w:hint="default" w:ascii="Times New Roman" w:hAnsi="Times New Roman" w:eastAsia="宋体" w:cs="Times New Roman"/>
                <w:color w:val="auto"/>
                <w:highlight w:val="none"/>
                <w:vertAlign w:val="subscript"/>
              </w:rPr>
              <w:t>misc</w:t>
            </w:r>
            <w:r>
              <w:rPr>
                <w:rFonts w:hint="default" w:ascii="Times New Roman" w:hAnsi="Times New Roman" w:eastAsia="宋体" w:cs="Times New Roman"/>
                <w:color w:val="auto"/>
                <w:highlight w:val="none"/>
                <w:lang w:eastAsia="zh-CN"/>
              </w:rPr>
              <w:t>）</w:t>
            </w:r>
          </w:p>
          <w:p>
            <w:pPr>
              <w:pStyle w:val="7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式中：L</w:t>
            </w:r>
            <w:r>
              <w:rPr>
                <w:rFonts w:hint="default" w:ascii="Times New Roman" w:hAnsi="Times New Roman" w:eastAsia="宋体" w:cs="Times New Roman"/>
                <w:color w:val="auto"/>
                <w:highlight w:val="none"/>
                <w:vertAlign w:val="subscript"/>
              </w:rPr>
              <w:t>p</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r</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——预测点处声压级，dB；</w:t>
            </w:r>
          </w:p>
          <w:p>
            <w:pPr>
              <w:pStyle w:val="7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L</w:t>
            </w:r>
            <w:r>
              <w:rPr>
                <w:rFonts w:hint="default" w:ascii="Times New Roman" w:hAnsi="Times New Roman" w:eastAsia="宋体" w:cs="Times New Roman"/>
                <w:color w:val="auto"/>
                <w:highlight w:val="none"/>
                <w:vertAlign w:val="subscript"/>
              </w:rPr>
              <w:t>p</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r</w:t>
            </w:r>
            <w:r>
              <w:rPr>
                <w:rFonts w:hint="default" w:ascii="Times New Roman" w:hAnsi="Times New Roman" w:eastAsia="宋体" w:cs="Times New Roman"/>
                <w:color w:val="auto"/>
                <w:highlight w:val="none"/>
                <w:vertAlign w:val="subscript"/>
              </w:rPr>
              <w:t>0</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——参考位置r</w:t>
            </w:r>
            <w:r>
              <w:rPr>
                <w:rFonts w:hint="default" w:ascii="Times New Roman" w:hAnsi="Times New Roman" w:eastAsia="宋体" w:cs="Times New Roman"/>
                <w:color w:val="auto"/>
                <w:highlight w:val="none"/>
                <w:vertAlign w:val="subscript"/>
              </w:rPr>
              <w:t>0</w:t>
            </w:r>
            <w:r>
              <w:rPr>
                <w:rFonts w:hint="default" w:ascii="Times New Roman" w:hAnsi="Times New Roman" w:eastAsia="宋体" w:cs="Times New Roman"/>
                <w:color w:val="auto"/>
                <w:highlight w:val="none"/>
              </w:rPr>
              <w:t>处的声压级，dB；</w:t>
            </w:r>
          </w:p>
          <w:p>
            <w:pPr>
              <w:pStyle w:val="7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DC——指向性校正，它描述点声源的等效连续声压级与产生声功率级L</w:t>
            </w:r>
            <w:r>
              <w:rPr>
                <w:rFonts w:hint="default" w:ascii="Times New Roman" w:hAnsi="Times New Roman" w:eastAsia="宋体" w:cs="Times New Roman"/>
                <w:color w:val="auto"/>
                <w:highlight w:val="none"/>
                <w:vertAlign w:val="subscript"/>
              </w:rPr>
              <w:t>w</w:t>
            </w:r>
            <w:r>
              <w:rPr>
                <w:rFonts w:hint="default" w:ascii="Times New Roman" w:hAnsi="Times New Roman" w:eastAsia="宋体" w:cs="Times New Roman"/>
                <w:color w:val="auto"/>
                <w:highlight w:val="none"/>
              </w:rPr>
              <w:t>的全向点声源在规定方向的声级的偏差程度，dB；</w:t>
            </w:r>
          </w:p>
          <w:p>
            <w:pPr>
              <w:pStyle w:val="7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A</w:t>
            </w:r>
            <w:r>
              <w:rPr>
                <w:rFonts w:hint="default" w:ascii="Times New Roman" w:hAnsi="Times New Roman" w:eastAsia="宋体" w:cs="Times New Roman"/>
                <w:color w:val="auto"/>
                <w:highlight w:val="none"/>
                <w:vertAlign w:val="subscript"/>
              </w:rPr>
              <w:t>div</w:t>
            </w:r>
            <w:r>
              <w:rPr>
                <w:rFonts w:hint="default" w:ascii="Times New Roman" w:hAnsi="Times New Roman" w:eastAsia="宋体" w:cs="Times New Roman"/>
                <w:color w:val="auto"/>
                <w:highlight w:val="none"/>
              </w:rPr>
              <w:t>——几何发散引起的衰减，dB；</w:t>
            </w:r>
          </w:p>
          <w:p>
            <w:pPr>
              <w:pStyle w:val="7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A</w:t>
            </w:r>
            <w:r>
              <w:rPr>
                <w:rFonts w:hint="default" w:ascii="Times New Roman" w:hAnsi="Times New Roman" w:eastAsia="宋体" w:cs="Times New Roman"/>
                <w:color w:val="auto"/>
                <w:highlight w:val="none"/>
                <w:vertAlign w:val="subscript"/>
              </w:rPr>
              <w:t>atm</w:t>
            </w:r>
            <w:r>
              <w:rPr>
                <w:rFonts w:hint="default" w:ascii="Times New Roman" w:hAnsi="Times New Roman" w:eastAsia="宋体" w:cs="Times New Roman"/>
                <w:color w:val="auto"/>
                <w:highlight w:val="none"/>
              </w:rPr>
              <w:t>——大气吸收引起的衰减，dB；</w:t>
            </w:r>
          </w:p>
          <w:p>
            <w:pPr>
              <w:pStyle w:val="7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A</w:t>
            </w:r>
            <w:r>
              <w:rPr>
                <w:rFonts w:hint="default" w:ascii="Times New Roman" w:hAnsi="Times New Roman" w:eastAsia="宋体" w:cs="Times New Roman"/>
                <w:color w:val="auto"/>
                <w:highlight w:val="none"/>
                <w:vertAlign w:val="subscript"/>
              </w:rPr>
              <w:t>gr</w:t>
            </w:r>
            <w:r>
              <w:rPr>
                <w:rFonts w:hint="default" w:ascii="Times New Roman" w:hAnsi="Times New Roman" w:eastAsia="宋体" w:cs="Times New Roman"/>
                <w:color w:val="auto"/>
                <w:highlight w:val="none"/>
              </w:rPr>
              <w:t>——地面效应引起的衰减，dB；</w:t>
            </w:r>
          </w:p>
          <w:p>
            <w:pPr>
              <w:pStyle w:val="7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A</w:t>
            </w:r>
            <w:r>
              <w:rPr>
                <w:rFonts w:hint="default" w:ascii="Times New Roman" w:hAnsi="Times New Roman" w:eastAsia="宋体" w:cs="Times New Roman"/>
                <w:color w:val="auto"/>
                <w:highlight w:val="none"/>
                <w:vertAlign w:val="subscript"/>
              </w:rPr>
              <w:t>bar</w:t>
            </w:r>
            <w:r>
              <w:rPr>
                <w:rFonts w:hint="default" w:ascii="Times New Roman" w:hAnsi="Times New Roman" w:eastAsia="宋体" w:cs="Times New Roman"/>
                <w:color w:val="auto"/>
                <w:highlight w:val="none"/>
              </w:rPr>
              <w:t>——障碍物屏蔽引起的衰减，dB；</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宋体" w:cs="Times New Roman"/>
                <w:b w:val="0"/>
                <w:bCs w:val="0"/>
                <w:color w:val="auto"/>
                <w:sz w:val="24"/>
                <w:szCs w:val="32"/>
                <w:lang w:val="en-US" w:eastAsia="zh-CN"/>
              </w:rPr>
            </w:pPr>
            <w:r>
              <w:rPr>
                <w:rFonts w:hint="default" w:ascii="Times New Roman" w:hAnsi="Times New Roman" w:eastAsia="宋体" w:cs="Times New Roman"/>
                <w:color w:val="auto"/>
                <w:highlight w:val="none"/>
              </w:rPr>
              <w:t>A</w:t>
            </w:r>
            <w:r>
              <w:rPr>
                <w:rFonts w:hint="default" w:ascii="Times New Roman" w:hAnsi="Times New Roman" w:eastAsia="宋体" w:cs="Times New Roman"/>
                <w:color w:val="auto"/>
                <w:highlight w:val="none"/>
                <w:vertAlign w:val="subscript"/>
              </w:rPr>
              <w:t>misc</w:t>
            </w:r>
            <w:r>
              <w:rPr>
                <w:rFonts w:hint="default" w:ascii="Times New Roman" w:hAnsi="Times New Roman" w:eastAsia="宋体" w:cs="Times New Roman"/>
                <w:color w:val="auto"/>
                <w:highlight w:val="none"/>
              </w:rPr>
              <w:t>——其他多方面效应引起的衰减，dB。</w:t>
            </w:r>
            <w:r>
              <w:rPr>
                <w:rFonts w:hint="default" w:ascii="Times New Roman" w:hAnsi="Times New Roman" w:eastAsia="宋体" w:cs="Times New Roman"/>
                <w:b w:val="0"/>
                <w:bCs w:val="0"/>
                <w:color w:val="auto"/>
                <w:sz w:val="24"/>
                <w:szCs w:val="32"/>
                <w:lang w:val="en-US" w:eastAsia="zh-CN"/>
              </w:rPr>
              <w:t>（2）预测结果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根据现场踏勘，本项目厂界、尾矿库边界外200m范围没有敏感性噪声保护目标，本环评仅预测厂（场）界噪声。预测及评价结果见下表：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表4-9   项目区厂界噪声预测结果一览表  单位dB（A）</w:t>
            </w:r>
          </w:p>
          <w:tbl>
            <w:tblPr>
              <w:tblStyle w:val="29"/>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83"/>
              <w:gridCol w:w="985"/>
              <w:gridCol w:w="824"/>
              <w:gridCol w:w="863"/>
              <w:gridCol w:w="1058"/>
              <w:gridCol w:w="1180"/>
              <w:gridCol w:w="1227"/>
              <w:gridCol w:w="116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45" w:type="pct"/>
                  <w:vMerge w:val="restar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预测方位</w:t>
                  </w:r>
                </w:p>
              </w:tc>
              <w:tc>
                <w:tcPr>
                  <w:tcW w:w="1592" w:type="pct"/>
                  <w:gridSpan w:val="3"/>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最大值点空间相对位置/m</w:t>
                  </w:r>
                </w:p>
              </w:tc>
              <w:tc>
                <w:tcPr>
                  <w:tcW w:w="630" w:type="pct"/>
                  <w:vMerge w:val="restar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时段</w:t>
                  </w:r>
                </w:p>
              </w:tc>
              <w:tc>
                <w:tcPr>
                  <w:tcW w:w="703" w:type="pct"/>
                  <w:vMerge w:val="restar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贡献值（dB（A））</w:t>
                  </w:r>
                </w:p>
              </w:tc>
              <w:tc>
                <w:tcPr>
                  <w:tcW w:w="731" w:type="pct"/>
                  <w:vMerge w:val="restar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标准限值（dB（A））</w:t>
                  </w:r>
                </w:p>
              </w:tc>
              <w:tc>
                <w:tcPr>
                  <w:tcW w:w="696" w:type="pct"/>
                  <w:vMerge w:val="restar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45" w:type="pct"/>
                  <w:vMerge w:val="continue"/>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587"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X</w:t>
                  </w:r>
                </w:p>
              </w:tc>
              <w:tc>
                <w:tcPr>
                  <w:tcW w:w="49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Y</w:t>
                  </w:r>
                </w:p>
              </w:tc>
              <w:tc>
                <w:tcPr>
                  <w:tcW w:w="51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Z</w:t>
                  </w:r>
                </w:p>
              </w:tc>
              <w:tc>
                <w:tcPr>
                  <w:tcW w:w="630" w:type="pct"/>
                  <w:vMerge w:val="continue"/>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703" w:type="pct"/>
                  <w:vMerge w:val="continue"/>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731" w:type="pct"/>
                  <w:vMerge w:val="continue"/>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696" w:type="pct"/>
                  <w:vMerge w:val="continue"/>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645" w:type="pct"/>
                  <w:vMerge w:val="restar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东侧</w:t>
                  </w:r>
                </w:p>
              </w:tc>
              <w:tc>
                <w:tcPr>
                  <w:tcW w:w="587"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68.1</w:t>
                  </w:r>
                </w:p>
              </w:tc>
              <w:tc>
                <w:tcPr>
                  <w:tcW w:w="49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142.8</w:t>
                  </w:r>
                </w:p>
              </w:tc>
              <w:tc>
                <w:tcPr>
                  <w:tcW w:w="51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1.2</w:t>
                  </w:r>
                </w:p>
              </w:tc>
              <w:tc>
                <w:tcPr>
                  <w:tcW w:w="630"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昼间</w:t>
                  </w:r>
                </w:p>
              </w:tc>
              <w:tc>
                <w:tcPr>
                  <w:tcW w:w="70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12.6</w:t>
                  </w:r>
                </w:p>
              </w:tc>
              <w:tc>
                <w:tcPr>
                  <w:tcW w:w="73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65</w:t>
                  </w:r>
                </w:p>
              </w:tc>
              <w:tc>
                <w:tcPr>
                  <w:tcW w:w="696"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645" w:type="pct"/>
                  <w:vMerge w:val="continue"/>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东侧</w:t>
                  </w:r>
                </w:p>
              </w:tc>
              <w:tc>
                <w:tcPr>
                  <w:tcW w:w="587"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68.1</w:t>
                  </w:r>
                </w:p>
              </w:tc>
              <w:tc>
                <w:tcPr>
                  <w:tcW w:w="49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142.8</w:t>
                  </w:r>
                </w:p>
              </w:tc>
              <w:tc>
                <w:tcPr>
                  <w:tcW w:w="51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1.2</w:t>
                  </w:r>
                </w:p>
              </w:tc>
              <w:tc>
                <w:tcPr>
                  <w:tcW w:w="630"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夜间</w:t>
                  </w:r>
                </w:p>
              </w:tc>
              <w:tc>
                <w:tcPr>
                  <w:tcW w:w="70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9.6</w:t>
                  </w:r>
                </w:p>
              </w:tc>
              <w:tc>
                <w:tcPr>
                  <w:tcW w:w="73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55</w:t>
                  </w:r>
                </w:p>
              </w:tc>
              <w:tc>
                <w:tcPr>
                  <w:tcW w:w="696"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645" w:type="pct"/>
                  <w:vMerge w:val="restar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南侧</w:t>
                  </w:r>
                </w:p>
              </w:tc>
              <w:tc>
                <w:tcPr>
                  <w:tcW w:w="587"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-173.2</w:t>
                  </w:r>
                </w:p>
              </w:tc>
              <w:tc>
                <w:tcPr>
                  <w:tcW w:w="49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-80.6</w:t>
                  </w:r>
                </w:p>
              </w:tc>
              <w:tc>
                <w:tcPr>
                  <w:tcW w:w="51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1.2</w:t>
                  </w:r>
                </w:p>
              </w:tc>
              <w:tc>
                <w:tcPr>
                  <w:tcW w:w="630"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昼间</w:t>
                  </w:r>
                </w:p>
              </w:tc>
              <w:tc>
                <w:tcPr>
                  <w:tcW w:w="70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31.4</w:t>
                  </w:r>
                </w:p>
              </w:tc>
              <w:tc>
                <w:tcPr>
                  <w:tcW w:w="73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65</w:t>
                  </w:r>
                </w:p>
              </w:tc>
              <w:tc>
                <w:tcPr>
                  <w:tcW w:w="696"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645" w:type="pct"/>
                  <w:vMerge w:val="continue"/>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南侧</w:t>
                  </w:r>
                </w:p>
              </w:tc>
              <w:tc>
                <w:tcPr>
                  <w:tcW w:w="587"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-153.2</w:t>
                  </w:r>
                </w:p>
              </w:tc>
              <w:tc>
                <w:tcPr>
                  <w:tcW w:w="49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-87</w:t>
                  </w:r>
                </w:p>
              </w:tc>
              <w:tc>
                <w:tcPr>
                  <w:tcW w:w="51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1.2</w:t>
                  </w:r>
                </w:p>
              </w:tc>
              <w:tc>
                <w:tcPr>
                  <w:tcW w:w="630"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夜间</w:t>
                  </w:r>
                </w:p>
              </w:tc>
              <w:tc>
                <w:tcPr>
                  <w:tcW w:w="70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27.9</w:t>
                  </w:r>
                </w:p>
              </w:tc>
              <w:tc>
                <w:tcPr>
                  <w:tcW w:w="73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55</w:t>
                  </w:r>
                </w:p>
              </w:tc>
              <w:tc>
                <w:tcPr>
                  <w:tcW w:w="696"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645" w:type="pct"/>
                  <w:vMerge w:val="restar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西侧</w:t>
                  </w:r>
                </w:p>
              </w:tc>
              <w:tc>
                <w:tcPr>
                  <w:tcW w:w="587"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-187</w:t>
                  </w:r>
                </w:p>
              </w:tc>
              <w:tc>
                <w:tcPr>
                  <w:tcW w:w="49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65.4</w:t>
                  </w:r>
                </w:p>
              </w:tc>
              <w:tc>
                <w:tcPr>
                  <w:tcW w:w="51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1.2</w:t>
                  </w:r>
                </w:p>
              </w:tc>
              <w:tc>
                <w:tcPr>
                  <w:tcW w:w="630"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昼间</w:t>
                  </w:r>
                </w:p>
              </w:tc>
              <w:tc>
                <w:tcPr>
                  <w:tcW w:w="70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62</w:t>
                  </w:r>
                  <w:r>
                    <w:rPr>
                      <w:rFonts w:hint="default" w:ascii="Times New Roman" w:hAnsi="Times New Roman" w:eastAsia="宋体" w:cs="Times New Roman"/>
                      <w:color w:val="auto"/>
                      <w:highlight w:val="none"/>
                    </w:rPr>
                    <w:t>.3</w:t>
                  </w:r>
                </w:p>
              </w:tc>
              <w:tc>
                <w:tcPr>
                  <w:tcW w:w="73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65</w:t>
                  </w:r>
                </w:p>
              </w:tc>
              <w:tc>
                <w:tcPr>
                  <w:tcW w:w="696"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645" w:type="pct"/>
                  <w:vMerge w:val="continue"/>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西侧</w:t>
                  </w:r>
                </w:p>
              </w:tc>
              <w:tc>
                <w:tcPr>
                  <w:tcW w:w="587"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-187</w:t>
                  </w:r>
                </w:p>
              </w:tc>
              <w:tc>
                <w:tcPr>
                  <w:tcW w:w="49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65.4</w:t>
                  </w:r>
                </w:p>
              </w:tc>
              <w:tc>
                <w:tcPr>
                  <w:tcW w:w="51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1.2</w:t>
                  </w:r>
                </w:p>
              </w:tc>
              <w:tc>
                <w:tcPr>
                  <w:tcW w:w="630"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夜间</w:t>
                  </w:r>
                </w:p>
              </w:tc>
              <w:tc>
                <w:tcPr>
                  <w:tcW w:w="70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rPr>
                    <w:t>4.4</w:t>
                  </w:r>
                </w:p>
              </w:tc>
              <w:tc>
                <w:tcPr>
                  <w:tcW w:w="73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55</w:t>
                  </w:r>
                </w:p>
              </w:tc>
              <w:tc>
                <w:tcPr>
                  <w:tcW w:w="696"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645" w:type="pct"/>
                  <w:vMerge w:val="restar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北侧</w:t>
                  </w:r>
                </w:p>
              </w:tc>
              <w:tc>
                <w:tcPr>
                  <w:tcW w:w="587"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-157.8</w:t>
                  </w:r>
                </w:p>
              </w:tc>
              <w:tc>
                <w:tcPr>
                  <w:tcW w:w="49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118.3</w:t>
                  </w:r>
                </w:p>
              </w:tc>
              <w:tc>
                <w:tcPr>
                  <w:tcW w:w="51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1.2</w:t>
                  </w:r>
                </w:p>
              </w:tc>
              <w:tc>
                <w:tcPr>
                  <w:tcW w:w="630"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昼间</w:t>
                  </w:r>
                </w:p>
              </w:tc>
              <w:tc>
                <w:tcPr>
                  <w:tcW w:w="70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57.1</w:t>
                  </w:r>
                </w:p>
              </w:tc>
              <w:tc>
                <w:tcPr>
                  <w:tcW w:w="73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65</w:t>
                  </w:r>
                </w:p>
              </w:tc>
              <w:tc>
                <w:tcPr>
                  <w:tcW w:w="696"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645" w:type="pct"/>
                  <w:vMerge w:val="continue"/>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北侧</w:t>
                  </w:r>
                </w:p>
              </w:tc>
              <w:tc>
                <w:tcPr>
                  <w:tcW w:w="587"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-157.8</w:t>
                  </w:r>
                </w:p>
              </w:tc>
              <w:tc>
                <w:tcPr>
                  <w:tcW w:w="49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118.3</w:t>
                  </w:r>
                </w:p>
              </w:tc>
              <w:tc>
                <w:tcPr>
                  <w:tcW w:w="51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1.2</w:t>
                  </w:r>
                </w:p>
              </w:tc>
              <w:tc>
                <w:tcPr>
                  <w:tcW w:w="630"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夜间</w:t>
                  </w:r>
                </w:p>
              </w:tc>
              <w:tc>
                <w:tcPr>
                  <w:tcW w:w="70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51.3</w:t>
                  </w:r>
                </w:p>
              </w:tc>
              <w:tc>
                <w:tcPr>
                  <w:tcW w:w="73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55</w:t>
                  </w:r>
                </w:p>
              </w:tc>
              <w:tc>
                <w:tcPr>
                  <w:tcW w:w="696"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达标</w:t>
                  </w:r>
                </w:p>
              </w:tc>
            </w:tr>
          </w:tbl>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表4-10   尾矿库场界噪声预测结果一览表  单位dB（A）</w:t>
            </w:r>
          </w:p>
          <w:tbl>
            <w:tblPr>
              <w:tblStyle w:val="29"/>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83"/>
              <w:gridCol w:w="986"/>
              <w:gridCol w:w="825"/>
              <w:gridCol w:w="862"/>
              <w:gridCol w:w="1058"/>
              <w:gridCol w:w="1181"/>
              <w:gridCol w:w="1228"/>
              <w:gridCol w:w="116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45" w:type="pct"/>
                  <w:vMerge w:val="restar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预测方位</w:t>
                  </w:r>
                </w:p>
              </w:tc>
              <w:tc>
                <w:tcPr>
                  <w:tcW w:w="1591" w:type="pct"/>
                  <w:gridSpan w:val="3"/>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最大值点空间相对位置/m</w:t>
                  </w:r>
                </w:p>
              </w:tc>
              <w:tc>
                <w:tcPr>
                  <w:tcW w:w="630" w:type="pct"/>
                  <w:vMerge w:val="restar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时段</w:t>
                  </w:r>
                </w:p>
              </w:tc>
              <w:tc>
                <w:tcPr>
                  <w:tcW w:w="703" w:type="pct"/>
                  <w:vMerge w:val="restar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贡献值（dB（A））</w:t>
                  </w:r>
                </w:p>
              </w:tc>
              <w:tc>
                <w:tcPr>
                  <w:tcW w:w="731" w:type="pct"/>
                  <w:vMerge w:val="restar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标准限值（dB（A））</w:t>
                  </w:r>
                </w:p>
              </w:tc>
              <w:tc>
                <w:tcPr>
                  <w:tcW w:w="696" w:type="pct"/>
                  <w:vMerge w:val="restar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45" w:type="pct"/>
                  <w:vMerge w:val="continue"/>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587"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X</w:t>
                  </w:r>
                </w:p>
              </w:tc>
              <w:tc>
                <w:tcPr>
                  <w:tcW w:w="49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Y</w:t>
                  </w:r>
                </w:p>
              </w:tc>
              <w:tc>
                <w:tcPr>
                  <w:tcW w:w="51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Z</w:t>
                  </w:r>
                </w:p>
              </w:tc>
              <w:tc>
                <w:tcPr>
                  <w:tcW w:w="630" w:type="pct"/>
                  <w:vMerge w:val="continue"/>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703" w:type="pct"/>
                  <w:vMerge w:val="continue"/>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731" w:type="pct"/>
                  <w:vMerge w:val="continue"/>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696" w:type="pct"/>
                  <w:vMerge w:val="continue"/>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645"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东侧</w:t>
                  </w:r>
                </w:p>
              </w:tc>
              <w:tc>
                <w:tcPr>
                  <w:tcW w:w="587"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225.7</w:t>
                  </w:r>
                </w:p>
              </w:tc>
              <w:tc>
                <w:tcPr>
                  <w:tcW w:w="49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-103.7</w:t>
                  </w:r>
                </w:p>
              </w:tc>
              <w:tc>
                <w:tcPr>
                  <w:tcW w:w="51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1.2</w:t>
                  </w:r>
                </w:p>
              </w:tc>
              <w:tc>
                <w:tcPr>
                  <w:tcW w:w="630"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昼间</w:t>
                  </w:r>
                </w:p>
              </w:tc>
              <w:tc>
                <w:tcPr>
                  <w:tcW w:w="70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46</w:t>
                  </w:r>
                </w:p>
              </w:tc>
              <w:tc>
                <w:tcPr>
                  <w:tcW w:w="73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65</w:t>
                  </w:r>
                </w:p>
              </w:tc>
              <w:tc>
                <w:tcPr>
                  <w:tcW w:w="696"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645"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南侧</w:t>
                  </w:r>
                </w:p>
              </w:tc>
              <w:tc>
                <w:tcPr>
                  <w:tcW w:w="587"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169.1</w:t>
                  </w:r>
                </w:p>
              </w:tc>
              <w:tc>
                <w:tcPr>
                  <w:tcW w:w="49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-167.8</w:t>
                  </w:r>
                </w:p>
              </w:tc>
              <w:tc>
                <w:tcPr>
                  <w:tcW w:w="51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1.2</w:t>
                  </w:r>
                </w:p>
              </w:tc>
              <w:tc>
                <w:tcPr>
                  <w:tcW w:w="630"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昼间</w:t>
                  </w:r>
                </w:p>
              </w:tc>
              <w:tc>
                <w:tcPr>
                  <w:tcW w:w="70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34.5</w:t>
                  </w:r>
                </w:p>
              </w:tc>
              <w:tc>
                <w:tcPr>
                  <w:tcW w:w="73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65</w:t>
                  </w:r>
                </w:p>
              </w:tc>
              <w:tc>
                <w:tcPr>
                  <w:tcW w:w="696"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645"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西侧</w:t>
                  </w:r>
                </w:p>
              </w:tc>
              <w:tc>
                <w:tcPr>
                  <w:tcW w:w="587"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-168.6</w:t>
                  </w:r>
                </w:p>
              </w:tc>
              <w:tc>
                <w:tcPr>
                  <w:tcW w:w="49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123.3</w:t>
                  </w:r>
                </w:p>
              </w:tc>
              <w:tc>
                <w:tcPr>
                  <w:tcW w:w="51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1.2</w:t>
                  </w:r>
                </w:p>
              </w:tc>
              <w:tc>
                <w:tcPr>
                  <w:tcW w:w="630"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昼间</w:t>
                  </w:r>
                </w:p>
              </w:tc>
              <w:tc>
                <w:tcPr>
                  <w:tcW w:w="70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16.8</w:t>
                  </w:r>
                </w:p>
              </w:tc>
              <w:tc>
                <w:tcPr>
                  <w:tcW w:w="73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65</w:t>
                  </w:r>
                </w:p>
              </w:tc>
              <w:tc>
                <w:tcPr>
                  <w:tcW w:w="696"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645"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北侧</w:t>
                  </w:r>
                </w:p>
              </w:tc>
              <w:tc>
                <w:tcPr>
                  <w:tcW w:w="587"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-165.7</w:t>
                  </w:r>
                </w:p>
              </w:tc>
              <w:tc>
                <w:tcPr>
                  <w:tcW w:w="49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127.7</w:t>
                  </w:r>
                </w:p>
              </w:tc>
              <w:tc>
                <w:tcPr>
                  <w:tcW w:w="51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1.2</w:t>
                  </w:r>
                </w:p>
              </w:tc>
              <w:tc>
                <w:tcPr>
                  <w:tcW w:w="630"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昼间</w:t>
                  </w:r>
                </w:p>
              </w:tc>
              <w:tc>
                <w:tcPr>
                  <w:tcW w:w="703"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16.8</w:t>
                  </w:r>
                </w:p>
              </w:tc>
              <w:tc>
                <w:tcPr>
                  <w:tcW w:w="731"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65</w:t>
                  </w:r>
                </w:p>
              </w:tc>
              <w:tc>
                <w:tcPr>
                  <w:tcW w:w="696" w:type="pct"/>
                  <w:tcBorders>
                    <w:tl2br w:val="nil"/>
                    <w:tr2bl w:val="nil"/>
                  </w:tcBorders>
                  <w:shd w:val="clear" w:color="auto" w:fill="FFFFFF"/>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达标</w:t>
                  </w:r>
                </w:p>
              </w:tc>
            </w:tr>
          </w:tbl>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由上表可知，本项目运营期生产车间昼间、夜间最大噪声均出现在西侧厂界，分别为62.3dB（A）、54.4dB（A），尾矿库场界昼间最大噪声出现在东侧场界，为46dB（A），夜间不运行。项目厂（场）界噪声满足《工业企业厂界环境噪声排放标准》（GB12348-2008）3类标准。声环境评价范围内无噪声敏感目标，项目噪声可满足达标排放，对周围环境影响较小。</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snapToGrid w:val="0"/>
                <w:color w:val="auto"/>
                <w:kern w:val="0"/>
                <w:sz w:val="24"/>
                <w:szCs w:val="24"/>
                <w:lang w:val="en-US" w:eastAsia="zh-CN"/>
              </w:rPr>
            </w:pPr>
            <w:r>
              <w:rPr>
                <w:rFonts w:hint="default" w:ascii="Times New Roman" w:hAnsi="Times New Roman" w:eastAsia="宋体" w:cs="Times New Roman"/>
                <w:b/>
                <w:bCs/>
                <w:snapToGrid w:val="0"/>
                <w:color w:val="auto"/>
                <w:kern w:val="0"/>
                <w:sz w:val="24"/>
                <w:szCs w:val="24"/>
                <w:lang w:val="en-US" w:eastAsia="zh-CN"/>
              </w:rPr>
              <w:t>3.3噪声防治措施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生产噪声主要来源为球磨机、浮选机、板框压滤机以及各种风机、泵类，且均为固定声源。为进一步防止高噪声设备对周围环境的影响，针对本项目噪声源噪声特点，对项目噪声治理提出如下措施：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（1）合理布局，并选择满足国家噪声标准要求的低噪声设备。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（2）工艺设计中对产生噪声较大的设备采取降低噪声的措施，如球磨机、板框压滤机等大型设备在基础安装时采取减振降噪措施。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（3）水泵采用独立基础固定减振，进出口柔性连接等降噪措施。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（4）本项目主要发声设备如引风机、水泵等全部在室内安置，厂房等具有一定的隔声降噪效果。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（4）本项目风机安装阻性消声器，阻性消声器是一种吸收型消声器，阻性消声器是利用声波在多孔性吸声材料传播时，受摩擦和粘滞阻力，将声能转化为热能耗散掉，从而达到消声降噪的目的。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（5）增加场区绿化，增加绿化带隔声效果。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（6）合理调度运输车辆作业时间，禁止夜间运输大宗物料。</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（7）厂区内设置限速禁鸣标识，并加强运输车辆的维护管理，确保运输车辆在最佳工况下行驶。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（8）合理安排尾矿库区施工时间，避免夜间施工，选用噪声满足国家标准的施工机械、车辆，渣浆泵、清水泵等设置建筑隔声、基础减振等措施。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由声环境影响预测结果可知，通过采取防治措施后，运营期厂（场）界噪声排放满足《工业企业厂界环境噪声排放标准》（GB12348-2008）中3类要求，项目评价范围内无声环境敏感目标，通过采取上述措施后，可有效减轻运营期间噪声对周边环境的影响，噪声污染防治措施可行。</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3.4监测计划</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根据《排污单位自行监测技术指南总则》（HJ819-2017）中的要求，本次环评建议噪声污染源监测计划如下表。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表4-11     噪声监测计划一览表</w:t>
            </w:r>
          </w:p>
          <w:tbl>
            <w:tblPr>
              <w:tblStyle w:val="30"/>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86"/>
              <w:gridCol w:w="1986"/>
              <w:gridCol w:w="1987"/>
              <w:gridCol w:w="19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6" w:type="dxa"/>
                  <w:noWrap w:val="0"/>
                  <w:vAlign w:val="center"/>
                </w:tcPr>
                <w:p>
                  <w:pPr>
                    <w:bidi w:val="0"/>
                    <w:spacing w:line="240" w:lineRule="auto"/>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监测对象</w:t>
                  </w:r>
                </w:p>
              </w:tc>
              <w:tc>
                <w:tcPr>
                  <w:tcW w:w="1986" w:type="dxa"/>
                  <w:noWrap w:val="0"/>
                  <w:vAlign w:val="center"/>
                </w:tcPr>
                <w:p>
                  <w:pPr>
                    <w:bidi w:val="0"/>
                    <w:spacing w:line="240" w:lineRule="auto"/>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监测点位</w:t>
                  </w:r>
                </w:p>
              </w:tc>
              <w:tc>
                <w:tcPr>
                  <w:tcW w:w="1987" w:type="dxa"/>
                  <w:noWrap w:val="0"/>
                  <w:vAlign w:val="center"/>
                </w:tcPr>
                <w:p>
                  <w:pPr>
                    <w:bidi w:val="0"/>
                    <w:spacing w:line="240" w:lineRule="auto"/>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监测因子</w:t>
                  </w:r>
                </w:p>
              </w:tc>
              <w:tc>
                <w:tcPr>
                  <w:tcW w:w="1987" w:type="dxa"/>
                  <w:noWrap w:val="0"/>
                  <w:vAlign w:val="center"/>
                </w:tcPr>
                <w:p>
                  <w:pPr>
                    <w:bidi w:val="0"/>
                    <w:spacing w:line="240" w:lineRule="auto"/>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监测频次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6" w:type="dxa"/>
                  <w:noWrap w:val="0"/>
                  <w:vAlign w:val="center"/>
                </w:tcPr>
                <w:p>
                  <w:pPr>
                    <w:bidi w:val="0"/>
                    <w:spacing w:line="240" w:lineRule="auto"/>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环境噪声</w:t>
                  </w:r>
                </w:p>
              </w:tc>
              <w:tc>
                <w:tcPr>
                  <w:tcW w:w="1986" w:type="dxa"/>
                  <w:noWrap w:val="0"/>
                  <w:vAlign w:val="center"/>
                </w:tcPr>
                <w:p>
                  <w:pPr>
                    <w:bidi w:val="0"/>
                    <w:spacing w:line="240" w:lineRule="auto"/>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厂界</w:t>
                  </w:r>
                </w:p>
              </w:tc>
              <w:tc>
                <w:tcPr>
                  <w:tcW w:w="1987" w:type="dxa"/>
                  <w:noWrap w:val="0"/>
                  <w:vAlign w:val="center"/>
                </w:tcPr>
                <w:p>
                  <w:pPr>
                    <w:bidi w:val="0"/>
                    <w:spacing w:line="240" w:lineRule="auto"/>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等效连续A声级</w:t>
                  </w:r>
                </w:p>
              </w:tc>
              <w:tc>
                <w:tcPr>
                  <w:tcW w:w="1987" w:type="dxa"/>
                  <w:noWrap w:val="0"/>
                  <w:vAlign w:val="center"/>
                </w:tcPr>
                <w:p>
                  <w:pPr>
                    <w:bidi w:val="0"/>
                    <w:spacing w:line="240" w:lineRule="auto"/>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1次/季度</w:t>
                  </w:r>
                </w:p>
              </w:tc>
            </w:tr>
          </w:tbl>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4固体废物</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4.1 固体废物产生情况</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改扩建工程生产过程中产生的固体废物主要有浮选尾矿、药剂废包装、</w:t>
            </w:r>
            <w:r>
              <w:rPr>
                <w:rFonts w:hint="default" w:ascii="Times New Roman" w:hAnsi="Times New Roman" w:eastAsia="宋体" w:cs="Times New Roman"/>
                <w:color w:val="auto"/>
                <w:highlight w:val="none"/>
              </w:rPr>
              <w:t>废机油</w:t>
            </w:r>
            <w:r>
              <w:rPr>
                <w:rFonts w:hint="default" w:ascii="Times New Roman" w:hAnsi="Times New Roman" w:eastAsia="宋体" w:cs="Times New Roman"/>
                <w:color w:val="auto"/>
                <w:highlight w:val="none"/>
                <w:lang w:val="en-US" w:eastAsia="zh-CN"/>
              </w:rPr>
              <w:t>及生活垃圾等。</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1）</w:t>
            </w:r>
            <w:r>
              <w:rPr>
                <w:rFonts w:hint="default" w:ascii="Times New Roman" w:hAnsi="Times New Roman" w:eastAsia="宋体" w:cs="Times New Roman"/>
                <w:color w:val="auto"/>
                <w:highlight w:val="none"/>
              </w:rPr>
              <w:t>尾矿</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根据危险废物鉴别结果，尾矿浸出液各项分析指标均小于《危险废物鉴别标准 浸出毒性鉴别》（GB5085.3-2007），而且未超过污水综合排放标准中最高允许排放浓度，pH值在6~9之间，判定本项目尾矿属于Ⅰ类一般工业固体废物。</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根据产品方案尾矿产率，计算尾矿产生量为</w:t>
            </w:r>
            <w:r>
              <w:rPr>
                <w:rFonts w:hint="eastAsia" w:eastAsia="宋体" w:cs="Times New Roman"/>
                <w:color w:val="auto"/>
                <w:highlight w:val="none"/>
                <w:lang w:val="en-US" w:eastAsia="zh-CN"/>
              </w:rPr>
              <w:t>486145</w:t>
            </w:r>
            <w:r>
              <w:rPr>
                <w:rFonts w:hint="default" w:ascii="Times New Roman" w:hAnsi="Times New Roman" w:eastAsia="宋体" w:cs="Times New Roman"/>
                <w:color w:val="auto"/>
                <w:highlight w:val="none"/>
                <w:lang w:val="en-US" w:eastAsia="zh-CN"/>
              </w:rPr>
              <w:t>t/a（尾矿干容重1.6t/m³，则尾矿量为</w:t>
            </w:r>
            <w:r>
              <w:rPr>
                <w:rFonts w:hint="eastAsia" w:eastAsia="宋体" w:cs="Times New Roman"/>
                <w:color w:val="auto"/>
                <w:highlight w:val="none"/>
                <w:lang w:val="en-US" w:eastAsia="zh-CN"/>
              </w:rPr>
              <w:t>30.38</w:t>
            </w:r>
            <w:r>
              <w:rPr>
                <w:rFonts w:hint="default" w:ascii="Times New Roman" w:hAnsi="Times New Roman" w:eastAsia="宋体" w:cs="Times New Roman"/>
                <w:color w:val="auto"/>
                <w:highlight w:val="none"/>
                <w:lang w:val="en-US" w:eastAsia="zh-CN"/>
              </w:rPr>
              <w:t>万m³/a），服务期内（2</w:t>
            </w:r>
            <w:r>
              <w:rPr>
                <w:rFonts w:hint="eastAsia" w:eastAsia="宋体" w:cs="Times New Roman"/>
                <w:color w:val="auto"/>
                <w:highlight w:val="none"/>
                <w:lang w:val="en-US" w:eastAsia="zh-CN"/>
              </w:rPr>
              <w:t>.0</w:t>
            </w:r>
            <w:r>
              <w:rPr>
                <w:rFonts w:hint="default" w:ascii="Times New Roman" w:hAnsi="Times New Roman" w:eastAsia="宋体" w:cs="Times New Roman"/>
                <w:color w:val="auto"/>
                <w:highlight w:val="none"/>
                <w:lang w:val="en-US" w:eastAsia="zh-CN"/>
              </w:rPr>
              <w:t>年）二次尾矿总产生量为61.</w:t>
            </w:r>
            <w:r>
              <w:rPr>
                <w:rFonts w:hint="eastAsia" w:eastAsia="宋体" w:cs="Times New Roman"/>
                <w:color w:val="auto"/>
                <w:highlight w:val="none"/>
                <w:lang w:val="en-US" w:eastAsia="zh-CN"/>
              </w:rPr>
              <w:t>76</w:t>
            </w:r>
            <w:r>
              <w:rPr>
                <w:rFonts w:hint="default" w:ascii="Times New Roman" w:hAnsi="Times New Roman" w:eastAsia="宋体" w:cs="Times New Roman"/>
                <w:color w:val="auto"/>
                <w:highlight w:val="none"/>
                <w:lang w:val="en-US" w:eastAsia="zh-CN"/>
              </w:rPr>
              <w:t>万m³。选矿产生的尾矿经由管道输送至且末县邦泰矿业投资有限公司新建尾矿库，尾矿输送方式为自流输送，堆存方式为湿法堆存。尾矿排放方式采取均匀分散排放，前期坝前放矿；后期坝前+东侧库周放矿。</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（2）土石方（坝体）</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随着库内尾砂回采，采用挖掘机等铲装设备对坝体进行拆除，土石方量约为106969.26m³。拆除的砂质粉土用于库底回填平整，剩余的碎石料外运作为建材二次利用，其他建筑垃圾外运建筑垃圾处置场合规处置。</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（3）废机油</w:t>
            </w:r>
          </w:p>
          <w:p>
            <w:pPr>
              <w:pStyle w:val="78"/>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选矿</w:t>
            </w:r>
            <w:r>
              <w:rPr>
                <w:rFonts w:hint="default" w:ascii="Times New Roman" w:hAnsi="Times New Roman" w:eastAsia="宋体" w:cs="Times New Roman"/>
                <w:color w:val="auto"/>
                <w:highlight w:val="none"/>
              </w:rPr>
              <w:t>设备维修保养产生的废机油</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根据《国家危险废物名录》规定：本项目更换的废弃</w:t>
            </w:r>
            <w:r>
              <w:rPr>
                <w:rFonts w:hint="default" w:ascii="Times New Roman" w:hAnsi="Times New Roman" w:eastAsia="宋体" w:cs="Times New Roman"/>
                <w:color w:val="auto"/>
                <w:highlight w:val="none"/>
                <w:lang w:val="en-US" w:eastAsia="zh-CN"/>
              </w:rPr>
              <w:t>机</w:t>
            </w:r>
            <w:r>
              <w:rPr>
                <w:rFonts w:hint="default" w:ascii="Times New Roman" w:hAnsi="Times New Roman" w:eastAsia="宋体" w:cs="Times New Roman"/>
                <w:color w:val="auto"/>
                <w:highlight w:val="none"/>
              </w:rPr>
              <w:t>油属于HW08类废矿物油与含矿物油废物，废物代码为900-217-08</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项目废机油产生量约为0.5t/a，</w:t>
            </w:r>
            <w:r>
              <w:rPr>
                <w:rFonts w:hint="default" w:ascii="Times New Roman" w:hAnsi="Times New Roman" w:eastAsia="宋体" w:cs="Times New Roman"/>
                <w:color w:val="auto"/>
                <w:highlight w:val="none"/>
              </w:rPr>
              <w:t>暂存于</w:t>
            </w:r>
            <w:r>
              <w:rPr>
                <w:rFonts w:hint="default" w:ascii="Times New Roman" w:hAnsi="Times New Roman" w:eastAsia="宋体" w:cs="Times New Roman"/>
                <w:color w:val="auto"/>
                <w:highlight w:val="none"/>
                <w:lang w:val="en-US" w:eastAsia="zh-CN"/>
              </w:rPr>
              <w:t>厂区现有</w:t>
            </w:r>
            <w:r>
              <w:rPr>
                <w:rFonts w:hint="default" w:ascii="Times New Roman" w:hAnsi="Times New Roman" w:eastAsia="宋体" w:cs="Times New Roman"/>
                <w:color w:val="auto"/>
                <w:highlight w:val="none"/>
                <w:lang w:eastAsia="zh-CN"/>
              </w:rPr>
              <w:t>危废贮存点</w:t>
            </w:r>
            <w:r>
              <w:rPr>
                <w:rFonts w:hint="default" w:ascii="Times New Roman" w:hAnsi="Times New Roman" w:eastAsia="宋体" w:cs="Times New Roman"/>
                <w:color w:val="auto"/>
                <w:highlight w:val="none"/>
              </w:rPr>
              <w:t>，委托有危废处理资质的单位回收处置。</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4）粘染药剂的废包装</w:t>
            </w:r>
          </w:p>
          <w:p>
            <w:pPr>
              <w:pStyle w:val="78"/>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浮选药剂储存及使用过</w:t>
            </w:r>
            <w:r>
              <w:rPr>
                <w:rFonts w:hint="default" w:ascii="Times New Roman" w:hAnsi="Times New Roman" w:eastAsia="宋体" w:cs="Times New Roman"/>
                <w:color w:val="auto"/>
                <w:highlight w:val="none"/>
                <w:lang w:eastAsia="zh-CN"/>
              </w:rPr>
              <w:t>程中</w:t>
            </w:r>
            <w:r>
              <w:rPr>
                <w:rFonts w:hint="default" w:ascii="Times New Roman" w:hAnsi="Times New Roman" w:eastAsia="宋体" w:cs="Times New Roman"/>
                <w:color w:val="auto"/>
                <w:highlight w:val="none"/>
              </w:rPr>
              <w:t>产生的废包装，</w:t>
            </w:r>
            <w:r>
              <w:rPr>
                <w:rFonts w:hint="default" w:ascii="Times New Roman" w:hAnsi="Times New Roman" w:eastAsia="宋体" w:cs="Times New Roman"/>
                <w:color w:val="auto"/>
                <w:highlight w:val="none"/>
                <w:lang w:val="en-US" w:eastAsia="zh-CN"/>
              </w:rPr>
              <w:t>废包装由于粘染了硫酸铜、硝酸铅、辛基黄药等有毒有害的药剂，使其具有危险废物的属性，类别为HW49其他废物，</w:t>
            </w:r>
            <w:r>
              <w:rPr>
                <w:rFonts w:hint="default" w:ascii="Times New Roman" w:hAnsi="Times New Roman" w:eastAsia="宋体" w:cs="Times New Roman"/>
                <w:color w:val="auto"/>
                <w:highlight w:val="none"/>
              </w:rPr>
              <w:t>废物代码为900-</w:t>
            </w:r>
            <w:r>
              <w:rPr>
                <w:rFonts w:hint="default" w:ascii="Times New Roman" w:hAnsi="Times New Roman" w:eastAsia="宋体" w:cs="Times New Roman"/>
                <w:color w:val="auto"/>
                <w:highlight w:val="none"/>
                <w:lang w:val="en-US" w:eastAsia="zh-CN"/>
              </w:rPr>
              <w:t>041</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49</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项目药剂废包装产生量约0.3t，</w:t>
            </w:r>
            <w:r>
              <w:rPr>
                <w:rFonts w:hint="default" w:ascii="Times New Roman" w:hAnsi="Times New Roman" w:eastAsia="宋体" w:cs="Times New Roman"/>
                <w:color w:val="auto"/>
                <w:highlight w:val="none"/>
              </w:rPr>
              <w:t>暂存于</w:t>
            </w:r>
            <w:r>
              <w:rPr>
                <w:rFonts w:hint="default" w:ascii="Times New Roman" w:hAnsi="Times New Roman" w:eastAsia="宋体" w:cs="Times New Roman"/>
                <w:color w:val="auto"/>
                <w:highlight w:val="none"/>
                <w:lang w:val="en-US" w:eastAsia="zh-CN"/>
              </w:rPr>
              <w:t>厂区现有</w:t>
            </w:r>
            <w:r>
              <w:rPr>
                <w:rFonts w:hint="default" w:ascii="Times New Roman" w:hAnsi="Times New Roman" w:eastAsia="宋体" w:cs="Times New Roman"/>
                <w:color w:val="auto"/>
                <w:highlight w:val="none"/>
                <w:lang w:eastAsia="zh-CN"/>
              </w:rPr>
              <w:t>危废贮存点</w:t>
            </w:r>
            <w:r>
              <w:rPr>
                <w:rFonts w:hint="default" w:ascii="Times New Roman" w:hAnsi="Times New Roman" w:eastAsia="宋体" w:cs="Times New Roman"/>
                <w:color w:val="auto"/>
                <w:highlight w:val="none"/>
              </w:rPr>
              <w:t>内，委托有危废处理资质的单位回收处置。</w:t>
            </w:r>
          </w:p>
          <w:p>
            <w:pPr>
              <w:pStyle w:val="78"/>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5）生活垃圾</w:t>
            </w:r>
          </w:p>
          <w:p>
            <w:pPr>
              <w:pStyle w:val="78"/>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本项目</w:t>
            </w:r>
            <w:r>
              <w:rPr>
                <w:rFonts w:hint="default" w:ascii="Times New Roman" w:hAnsi="Times New Roman" w:eastAsia="宋体" w:cs="Times New Roman"/>
                <w:color w:val="auto"/>
                <w:highlight w:val="none"/>
                <w:lang w:val="en-US" w:eastAsia="zh-CN"/>
              </w:rPr>
              <w:t>新增</w:t>
            </w:r>
            <w:r>
              <w:rPr>
                <w:rFonts w:hint="default" w:ascii="Times New Roman" w:hAnsi="Times New Roman" w:eastAsia="宋体" w:cs="Times New Roman"/>
                <w:color w:val="auto"/>
                <w:highlight w:val="none"/>
              </w:rPr>
              <w:t>劳动定员</w:t>
            </w:r>
            <w:r>
              <w:rPr>
                <w:rFonts w:hint="default" w:ascii="Times New Roman" w:hAnsi="Times New Roman" w:eastAsia="宋体" w:cs="Times New Roman"/>
                <w:color w:val="auto"/>
                <w:highlight w:val="none"/>
                <w:lang w:val="en-US" w:eastAsia="zh-CN"/>
              </w:rPr>
              <w:t>12</w:t>
            </w:r>
            <w:r>
              <w:rPr>
                <w:rFonts w:hint="default" w:ascii="Times New Roman" w:hAnsi="Times New Roman" w:eastAsia="宋体" w:cs="Times New Roman"/>
                <w:color w:val="auto"/>
                <w:highlight w:val="none"/>
              </w:rPr>
              <w:t>人，年工作</w:t>
            </w:r>
            <w:r>
              <w:rPr>
                <w:rFonts w:hint="eastAsia" w:eastAsia="宋体" w:cs="Times New Roman"/>
                <w:color w:val="auto"/>
                <w:highlight w:val="none"/>
                <w:lang w:val="en-US" w:eastAsia="zh-CN"/>
              </w:rPr>
              <w:t>35</w:t>
            </w:r>
            <w:r>
              <w:rPr>
                <w:rFonts w:hint="default" w:ascii="Times New Roman" w:hAnsi="Times New Roman" w:eastAsia="宋体" w:cs="Times New Roman"/>
                <w:color w:val="auto"/>
                <w:highlight w:val="none"/>
                <w:lang w:val="en-US" w:eastAsia="zh-CN"/>
              </w:rPr>
              <w:t>0</w:t>
            </w:r>
            <w:r>
              <w:rPr>
                <w:rFonts w:hint="default" w:ascii="Times New Roman" w:hAnsi="Times New Roman" w:eastAsia="宋体" w:cs="Times New Roman"/>
                <w:color w:val="auto"/>
                <w:highlight w:val="none"/>
              </w:rPr>
              <w:t>天，生活垃圾产生量以每人1kg/d·天计，故本项目生活垃圾产生量为</w:t>
            </w:r>
            <w:r>
              <w:rPr>
                <w:rFonts w:hint="eastAsia" w:eastAsia="宋体" w:cs="Times New Roman"/>
                <w:color w:val="auto"/>
                <w:highlight w:val="none"/>
                <w:lang w:val="en-US" w:eastAsia="zh-CN"/>
              </w:rPr>
              <w:t>4.2</w:t>
            </w:r>
            <w:r>
              <w:rPr>
                <w:rFonts w:hint="default" w:ascii="Times New Roman" w:hAnsi="Times New Roman" w:eastAsia="宋体" w:cs="Times New Roman"/>
                <w:color w:val="auto"/>
                <w:highlight w:val="none"/>
              </w:rPr>
              <w:t>t/a，</w:t>
            </w:r>
            <w:r>
              <w:rPr>
                <w:rFonts w:hint="default" w:ascii="Times New Roman" w:hAnsi="Times New Roman" w:eastAsia="宋体" w:cs="Times New Roman"/>
                <w:color w:val="auto"/>
                <w:highlight w:val="none"/>
                <w:lang w:val="en-US" w:eastAsia="zh-CN"/>
              </w:rPr>
              <w:t>厂内集中收集后，运往邻厂新疆路源矿业有限公司垃圾填埋场填埋处置。</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表4-12   本项目固体废物汇总表</w:t>
            </w:r>
          </w:p>
          <w:tbl>
            <w:tblPr>
              <w:tblStyle w:val="71"/>
              <w:tblW w:w="4999" w:type="pct"/>
              <w:tblInd w:w="2"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536"/>
              <w:gridCol w:w="1022"/>
              <w:gridCol w:w="1151"/>
              <w:gridCol w:w="943"/>
              <w:gridCol w:w="1219"/>
              <w:gridCol w:w="1233"/>
              <w:gridCol w:w="228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593"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序号</w:t>
                  </w:r>
                </w:p>
              </w:tc>
              <w:tc>
                <w:tcPr>
                  <w:tcW w:w="1211"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固废种类</w:t>
                  </w:r>
                </w:p>
              </w:tc>
              <w:tc>
                <w:tcPr>
                  <w:tcW w:w="1317"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产生环节</w:t>
                  </w:r>
                </w:p>
              </w:tc>
              <w:tc>
                <w:tcPr>
                  <w:tcW w:w="1110"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固废属性</w:t>
                  </w:r>
                </w:p>
              </w:tc>
              <w:tc>
                <w:tcPr>
                  <w:tcW w:w="1253"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固废代码</w:t>
                  </w:r>
                </w:p>
              </w:tc>
              <w:tc>
                <w:tcPr>
                  <w:tcW w:w="1037"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产生量</w:t>
                  </w:r>
                  <w:r>
                    <w:rPr>
                      <w:rFonts w:hint="default" w:ascii="Times New Roman" w:hAnsi="Times New Roman" w:eastAsia="宋体" w:cs="Times New Roman"/>
                      <w:color w:val="auto"/>
                      <w:highlight w:val="none"/>
                      <w:lang w:val="en-US" w:eastAsia="zh-CN"/>
                    </w:rPr>
                    <w:t>t/a</w:t>
                  </w:r>
                </w:p>
              </w:tc>
              <w:tc>
                <w:tcPr>
                  <w:tcW w:w="2759"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处置方式</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593"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w:t>
                  </w:r>
                </w:p>
              </w:tc>
              <w:tc>
                <w:tcPr>
                  <w:tcW w:w="1211"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尾矿</w:t>
                  </w:r>
                </w:p>
              </w:tc>
              <w:tc>
                <w:tcPr>
                  <w:tcW w:w="1317"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选矿</w:t>
                  </w:r>
                </w:p>
              </w:tc>
              <w:tc>
                <w:tcPr>
                  <w:tcW w:w="1110"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一般工业固体废物</w:t>
                  </w:r>
                </w:p>
              </w:tc>
              <w:tc>
                <w:tcPr>
                  <w:tcW w:w="1253"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090-001-29</w:t>
                  </w:r>
                </w:p>
              </w:tc>
              <w:tc>
                <w:tcPr>
                  <w:tcW w:w="1037"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sz w:val="21"/>
                      <w:szCs w:val="21"/>
                      <w:highlight w:val="none"/>
                      <w:lang w:val="en-US" w:eastAsia="zh-CN" w:bidi="ar-SA"/>
                    </w:rPr>
                  </w:pPr>
                  <w:r>
                    <w:rPr>
                      <w:rFonts w:hint="eastAsia" w:eastAsia="宋体" w:cs="Times New Roman"/>
                      <w:color w:val="auto"/>
                      <w:sz w:val="21"/>
                      <w:szCs w:val="21"/>
                      <w:highlight w:val="none"/>
                      <w:lang w:val="en-US" w:eastAsia="zh-CN" w:bidi="ar-SA"/>
                    </w:rPr>
                    <w:t>486145</w:t>
                  </w:r>
                </w:p>
              </w:tc>
              <w:tc>
                <w:tcPr>
                  <w:tcW w:w="2759"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管线输送至尾矿库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593"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w:t>
                  </w:r>
                </w:p>
              </w:tc>
              <w:tc>
                <w:tcPr>
                  <w:tcW w:w="1211"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废机油</w:t>
                  </w:r>
                </w:p>
              </w:tc>
              <w:tc>
                <w:tcPr>
                  <w:tcW w:w="1317"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设备维修</w:t>
                  </w:r>
                </w:p>
              </w:tc>
              <w:tc>
                <w:tcPr>
                  <w:tcW w:w="1110"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危险废物</w:t>
                  </w:r>
                </w:p>
              </w:tc>
              <w:tc>
                <w:tcPr>
                  <w:tcW w:w="1253"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900-217-08</w:t>
                  </w:r>
                </w:p>
              </w:tc>
              <w:tc>
                <w:tcPr>
                  <w:tcW w:w="1037"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0.5</w:t>
                  </w:r>
                </w:p>
              </w:tc>
              <w:tc>
                <w:tcPr>
                  <w:tcW w:w="2759"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分类收集后暂存于</w:t>
                  </w:r>
                  <w:r>
                    <w:rPr>
                      <w:rFonts w:hint="default" w:ascii="Times New Roman" w:hAnsi="Times New Roman" w:eastAsia="宋体" w:cs="Times New Roman"/>
                      <w:color w:val="auto"/>
                      <w:highlight w:val="none"/>
                      <w:lang w:eastAsia="zh-CN"/>
                    </w:rPr>
                    <w:t>危废贮存点</w:t>
                  </w:r>
                  <w:r>
                    <w:rPr>
                      <w:rFonts w:hint="default" w:ascii="Times New Roman" w:hAnsi="Times New Roman" w:eastAsia="宋体" w:cs="Times New Roman"/>
                      <w:color w:val="auto"/>
                      <w:highlight w:val="none"/>
                    </w:rPr>
                    <w:t>，定期交有资质的单位处置</w:t>
                  </w:r>
                  <w:r>
                    <w:rPr>
                      <w:rFonts w:hint="default" w:ascii="Times New Roman" w:hAnsi="Times New Roman" w:eastAsia="宋体" w:cs="Times New Roman"/>
                      <w:color w:val="auto"/>
                      <w:highlight w:val="none"/>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593"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w:t>
                  </w:r>
                </w:p>
              </w:tc>
              <w:tc>
                <w:tcPr>
                  <w:tcW w:w="1211"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粘染</w:t>
                  </w:r>
                  <w:r>
                    <w:rPr>
                      <w:rFonts w:hint="default" w:ascii="Times New Roman" w:hAnsi="Times New Roman" w:eastAsia="宋体" w:cs="Times New Roman"/>
                      <w:color w:val="auto"/>
                      <w:highlight w:val="none"/>
                    </w:rPr>
                    <w:t>药剂的废包装</w:t>
                  </w:r>
                </w:p>
              </w:tc>
              <w:tc>
                <w:tcPr>
                  <w:tcW w:w="1317"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药剂储存、使用</w:t>
                  </w:r>
                </w:p>
              </w:tc>
              <w:tc>
                <w:tcPr>
                  <w:tcW w:w="1110"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危险废物</w:t>
                  </w:r>
                </w:p>
              </w:tc>
              <w:tc>
                <w:tcPr>
                  <w:tcW w:w="1253"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900-041-49</w:t>
                  </w:r>
                </w:p>
              </w:tc>
              <w:tc>
                <w:tcPr>
                  <w:tcW w:w="1037"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0.3</w:t>
                  </w:r>
                </w:p>
              </w:tc>
              <w:tc>
                <w:tcPr>
                  <w:tcW w:w="2759"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暂存于</w:t>
                  </w:r>
                  <w:r>
                    <w:rPr>
                      <w:rFonts w:hint="default" w:ascii="Times New Roman" w:hAnsi="Times New Roman" w:eastAsia="宋体" w:cs="Times New Roman"/>
                      <w:color w:val="auto"/>
                      <w:highlight w:val="none"/>
                      <w:lang w:eastAsia="zh-CN"/>
                    </w:rPr>
                    <w:t>危废贮存点</w:t>
                  </w:r>
                  <w:r>
                    <w:rPr>
                      <w:rFonts w:hint="default" w:ascii="Times New Roman" w:hAnsi="Times New Roman" w:eastAsia="宋体" w:cs="Times New Roman"/>
                      <w:color w:val="auto"/>
                      <w:highlight w:val="none"/>
                    </w:rPr>
                    <w:t>，委托有危废处理资质的单位回收处置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593"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w:t>
                  </w:r>
                </w:p>
              </w:tc>
              <w:tc>
                <w:tcPr>
                  <w:tcW w:w="1211"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生活垃圾</w:t>
                  </w:r>
                </w:p>
              </w:tc>
              <w:tc>
                <w:tcPr>
                  <w:tcW w:w="1317"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办公、生活</w:t>
                  </w:r>
                </w:p>
              </w:tc>
              <w:tc>
                <w:tcPr>
                  <w:tcW w:w="1110"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生活垃圾</w:t>
                  </w:r>
                </w:p>
              </w:tc>
              <w:tc>
                <w:tcPr>
                  <w:tcW w:w="1253"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w:t>
                  </w:r>
                </w:p>
              </w:tc>
              <w:tc>
                <w:tcPr>
                  <w:tcW w:w="1037"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4.2</w:t>
                  </w:r>
                </w:p>
              </w:tc>
              <w:tc>
                <w:tcPr>
                  <w:tcW w:w="2759"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在厂内集中收集后，运往邻厂新疆路源矿业有限公司垃圾填埋场填埋处置</w:t>
                  </w:r>
                  <w:r>
                    <w:rPr>
                      <w:rFonts w:hint="default" w:ascii="Times New Roman" w:hAnsi="Times New Roman" w:eastAsia="宋体" w:cs="Times New Roman"/>
                      <w:color w:val="auto"/>
                      <w:highlight w:val="none"/>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593"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w:t>
                  </w:r>
                </w:p>
              </w:tc>
              <w:tc>
                <w:tcPr>
                  <w:tcW w:w="1211"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土石方</w:t>
                  </w:r>
                </w:p>
              </w:tc>
              <w:tc>
                <w:tcPr>
                  <w:tcW w:w="1317"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坝体拆除</w:t>
                  </w:r>
                </w:p>
              </w:tc>
              <w:tc>
                <w:tcPr>
                  <w:tcW w:w="1110"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一般工业固废</w:t>
                  </w:r>
                </w:p>
              </w:tc>
              <w:tc>
                <w:tcPr>
                  <w:tcW w:w="1253"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900-999-99</w:t>
                  </w:r>
                </w:p>
              </w:tc>
              <w:tc>
                <w:tcPr>
                  <w:tcW w:w="1037"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106969.26m³</w:t>
                  </w:r>
                </w:p>
              </w:tc>
              <w:tc>
                <w:tcPr>
                  <w:tcW w:w="2759" w:type="dxa"/>
                  <w:tcBorders>
                    <w:tl2br w:val="nil"/>
                    <w:tr2bl w:val="nil"/>
                  </w:tcBorders>
                  <w:tcMar>
                    <w:left w:w="57" w:type="dxa"/>
                    <w:right w:w="57" w:type="dxa"/>
                  </w:tcMar>
                  <w:vAlign w:val="center"/>
                </w:tcPr>
                <w:p>
                  <w:pPr>
                    <w:pStyle w:val="87"/>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砂质粉土用于库底回填平整，拆除的碎石料外运作为建材二次利用</w:t>
                  </w:r>
                </w:p>
              </w:tc>
            </w:tr>
          </w:tbl>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4.2 一般固体废物贮存依托可行性</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选矿产生的尾矿经由管道输送至且末县邦泰矿业投资有限公司新建尾矿库。</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且</w:t>
            </w:r>
            <w:r>
              <w:rPr>
                <w:rFonts w:hint="default" w:ascii="Times New Roman" w:hAnsi="Times New Roman" w:eastAsia="宋体" w:cs="Times New Roman"/>
                <w:color w:val="auto"/>
                <w:sz w:val="24"/>
                <w:szCs w:val="24"/>
                <w:lang w:val="en-US" w:eastAsia="zh-CN"/>
              </w:rPr>
              <w:t>末县邦泰矿业投资有限公司新建尾矿库于2025年9月以“新环审〔2025〕234号”文取得新疆维吾尔自治区生态环境厅《关于且末县邦泰矿业投资有限公司新疆且末县屈库勒克东金锑矿450t/d选矿厂新建尾矿库工程环境影响报告书的批复》（以</w:t>
            </w:r>
            <w:r>
              <w:rPr>
                <w:rFonts w:hint="default" w:ascii="Times New Roman" w:hAnsi="Times New Roman" w:cs="Times New Roman"/>
                <w:color w:val="auto"/>
                <w:sz w:val="24"/>
                <w:szCs w:val="24"/>
                <w:lang w:val="en-US" w:eastAsia="zh-CN"/>
              </w:rPr>
              <w:t>下简</w:t>
            </w:r>
            <w:r>
              <w:rPr>
                <w:rFonts w:hint="default" w:ascii="Times New Roman" w:hAnsi="Times New Roman" w:eastAsia="宋体" w:cs="Times New Roman"/>
                <w:color w:val="auto"/>
                <w:sz w:val="24"/>
                <w:szCs w:val="24"/>
                <w:lang w:val="en-US" w:eastAsia="zh-CN"/>
              </w:rPr>
              <w:t>称“新建尾矿库”），目前正在建设，拟于2026年</w:t>
            </w:r>
            <w:r>
              <w:rPr>
                <w:rFonts w:hint="default" w:ascii="Times New Roman" w:hAnsi="Times New Roman" w:cs="Times New Roman"/>
                <w:color w:val="auto"/>
                <w:sz w:val="24"/>
                <w:szCs w:val="24"/>
                <w:lang w:val="en-US" w:eastAsia="zh-CN"/>
              </w:rPr>
              <w:t>6</w:t>
            </w:r>
            <w:r>
              <w:rPr>
                <w:rFonts w:hint="default" w:ascii="Times New Roman" w:hAnsi="Times New Roman" w:eastAsia="宋体" w:cs="Times New Roman"/>
                <w:color w:val="auto"/>
                <w:sz w:val="24"/>
                <w:szCs w:val="24"/>
                <w:lang w:val="en-US" w:eastAsia="zh-CN"/>
              </w:rPr>
              <w:t>月（本项目建成时间为2026年</w:t>
            </w:r>
            <w:r>
              <w:rPr>
                <w:rFonts w:hint="default" w:ascii="Times New Roman" w:hAnsi="Times New Roman" w:cs="Times New Roman"/>
                <w:color w:val="auto"/>
                <w:sz w:val="24"/>
                <w:szCs w:val="24"/>
                <w:lang w:val="en-US" w:eastAsia="zh-CN"/>
              </w:rPr>
              <w:t>7</w:t>
            </w:r>
            <w:r>
              <w:rPr>
                <w:rFonts w:hint="default" w:ascii="Times New Roman" w:hAnsi="Times New Roman" w:eastAsia="宋体" w:cs="Times New Roman"/>
                <w:color w:val="auto"/>
                <w:sz w:val="24"/>
                <w:szCs w:val="24"/>
                <w:lang w:val="en-US" w:eastAsia="zh-CN"/>
              </w:rPr>
              <w:t>月）建成投产。</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新建尾矿库”位于现有尾矿库（本次拟回采尾矿库）下游西北侧500米处，库址为山谷型四等尾矿库，在场地东、西侧山谷分别建设1#、2#坝体，最大坝高58米，坝顶标高3006米，均为一次性碾压式土石坝，形成尾矿库总库容265.48万m³，有效库容为225.66万m³，服务年限为30a。库内进行全库防渗，防洪标准为200年一遇，库内采用溢洪道加集水池进行排洪，库外采用截洪沟排洪；放矿方式为坝前均匀分散放矿，采用库内浮船泵站回水方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建设单位30万t/a采矿计划，新库运行至2030年前后，30万t/a采选工程完成扩建计划，届时尾矿排放量由现在的12.4681万t/a增加至27.89万t/a，选矿厂服务期内共排放尾砂204.14万t，采矿工程服务期满后尾矿库内共堆存尾砂244.04万t（152.53万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）。本项目回选后的尾砂进入新建尾矿库内进行堆存，尾砂排放量为61.</w:t>
            </w:r>
            <w:r>
              <w:rPr>
                <w:rFonts w:hint="eastAsia" w:cs="Times New Roman"/>
                <w:color w:val="auto"/>
                <w:sz w:val="24"/>
                <w:szCs w:val="24"/>
                <w:highlight w:val="none"/>
                <w:lang w:val="en-US" w:eastAsia="zh-CN"/>
              </w:rPr>
              <w:t>76</w:t>
            </w:r>
            <w:r>
              <w:rPr>
                <w:rFonts w:hint="default" w:ascii="Times New Roman" w:hAnsi="Times New Roman" w:eastAsia="宋体" w:cs="Times New Roman"/>
                <w:color w:val="auto"/>
                <w:sz w:val="24"/>
                <w:szCs w:val="24"/>
                <w:highlight w:val="none"/>
                <w:lang w:val="en-US" w:eastAsia="zh-CN"/>
              </w:rPr>
              <w:t>万m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。至此，新建尾矿库内剩余有效库容为1</w:t>
            </w:r>
            <w:r>
              <w:rPr>
                <w:rFonts w:hint="eastAsia" w:cs="Times New Roman"/>
                <w:color w:val="auto"/>
                <w:sz w:val="24"/>
                <w:szCs w:val="24"/>
                <w:highlight w:val="none"/>
                <w:lang w:val="en-US" w:eastAsia="zh-CN"/>
              </w:rPr>
              <w:t>1.37</w:t>
            </w:r>
            <w:r>
              <w:rPr>
                <w:rFonts w:hint="default" w:ascii="Times New Roman" w:hAnsi="Times New Roman" w:eastAsia="宋体" w:cs="Times New Roman"/>
                <w:color w:val="auto"/>
                <w:sz w:val="24"/>
                <w:szCs w:val="24"/>
                <w:highlight w:val="none"/>
                <w:lang w:val="en-US" w:eastAsia="zh-CN"/>
              </w:rPr>
              <w:t>万m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综上，“新建尾矿库”既能够满足现状450t/d选矿厂及后续30万t/a选矿厂排尾需要，同时也可接受本项目产生的尾矿</w:t>
            </w:r>
            <w:r>
              <w:rPr>
                <w:rFonts w:hint="default"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本项目依托新建尾矿库可行</w:t>
            </w:r>
            <w:r>
              <w:rPr>
                <w:rFonts w:hint="default" w:ascii="Times New Roman" w:hAnsi="Times New Roman" w:eastAsia="宋体" w:cs="Times New Roman"/>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环评要求本项目投产时间与新建尾矿库建成投产时间有效衔接，在新建尾矿库完成竣工环境保护验收和运行前，不得投产本项目。</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4.3 危险废物贮存依托可行性</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现状危废贮存点为彩钢板房结构，面积17.5</w:t>
            </w:r>
            <w:r>
              <w:rPr>
                <w:rFonts w:hint="default"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w:t>
            </w:r>
            <w:r>
              <w:rPr>
                <w:rFonts w:hint="eastAsia" w:ascii="Times New Roman" w:hAnsi="Times New Roman" w:cs="Times New Roman"/>
                <w:color w:val="auto"/>
                <w:sz w:val="24"/>
                <w:szCs w:val="24"/>
                <w:lang w:val="en-US" w:eastAsia="zh-CN"/>
              </w:rPr>
              <w:t>现状危废贮存点暂存危险废物为废机油及药剂废包装，废机油</w:t>
            </w:r>
            <w:r>
              <w:rPr>
                <w:rFonts w:hint="default" w:ascii="Times New Roman" w:hAnsi="Times New Roman" w:eastAsia="宋体" w:cs="Times New Roman"/>
                <w:color w:val="auto"/>
                <w:sz w:val="24"/>
                <w:szCs w:val="24"/>
                <w:lang w:val="en-US" w:eastAsia="zh-CN"/>
              </w:rPr>
              <w:t>采用PE桶封装，进行了地面防渗</w:t>
            </w:r>
            <w:r>
              <w:rPr>
                <w:rFonts w:hint="eastAsia" w:ascii="Times New Roman" w:hAnsi="Times New Roman" w:cs="Times New Roman"/>
                <w:color w:val="auto"/>
                <w:sz w:val="24"/>
                <w:szCs w:val="24"/>
                <w:lang w:val="en-US" w:eastAsia="zh-CN"/>
              </w:rPr>
              <w:t>。本项目危废产生种类与原选矿厂相同，且</w:t>
            </w:r>
            <w:r>
              <w:rPr>
                <w:rFonts w:hint="default" w:ascii="Times New Roman" w:hAnsi="Times New Roman" w:eastAsia="宋体" w:cs="Times New Roman"/>
                <w:color w:val="auto"/>
                <w:sz w:val="24"/>
                <w:szCs w:val="24"/>
                <w:lang w:val="en-US" w:eastAsia="zh-CN"/>
              </w:rPr>
              <w:t>危废产生量较小（废机油0.5t/a+药剂废包装0.3t/a），能满足本项目贮存需求，依托现状危险废物贮存设施可行。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本项目危险废物运输委托有资质单位进行，危险废物运输过程污染控制应满足《危险废物收集 贮存 运输技术规范》（HJ2025-2012）相关要求，具体如下：</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1）危险废物运输应由持有危险废物经营许可证的单位按照其许可证的经营范围组织实施，承担危险废物运输的单位应获得交通运输部门颁发的危险货物运输资质。</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2）危险废物公路运输应按照交通运输部关于修改《道路危险货物运输管理规定》的决定（交通运输部令〔2019年〕第42号）、JT617以及JT618执行。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3）运输单位承运危险废物时，应在危险废物包装上按照GB18597附录A设置标志。</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4）危险废物公路运输时，运输车辆应按GB13392设置车辆标志。铁路运输和水路运输危险废物时应在集装箱外按GB190规定悬挂标志。</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5）建设单位应先在网上在线填报危险废物管理计划，按《危险废物转移管理办法》（部令第23号）办理电子联单。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6）本项目应建立环境管理台账记录制度，落实环境管理台账记录的责任部门和责任人，明确工作职责，并对环境管理台账的真实性、完整性和规范性负责。环境管理台账应真实记录</w:t>
            </w:r>
            <w:r>
              <w:rPr>
                <w:rFonts w:hint="default" w:ascii="Times New Roman" w:hAnsi="Times New Roman" w:cs="Times New Roman"/>
                <w:color w:val="auto"/>
                <w:sz w:val="24"/>
                <w:szCs w:val="24"/>
                <w:lang w:val="en-US" w:eastAsia="zh-CN"/>
              </w:rPr>
              <w:t>各类</w:t>
            </w:r>
            <w:r>
              <w:rPr>
                <w:rFonts w:hint="default" w:ascii="Times New Roman" w:hAnsi="Times New Roman" w:eastAsia="宋体" w:cs="Times New Roman"/>
                <w:color w:val="auto"/>
                <w:sz w:val="24"/>
                <w:szCs w:val="24"/>
                <w:lang w:val="en-US" w:eastAsia="zh-CN"/>
              </w:rPr>
              <w:t>危险废物贮存量、转运量等信息。</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cs="Times New Roman"/>
                <w:b/>
                <w:bCs/>
                <w:color w:val="auto"/>
                <w:sz w:val="24"/>
                <w:szCs w:val="24"/>
                <w:lang w:val="en-US" w:eastAsia="zh-CN"/>
              </w:rPr>
            </w:pPr>
            <w:r>
              <w:rPr>
                <w:rFonts w:hint="eastAsia" w:cs="Times New Roman"/>
                <w:b/>
                <w:bCs/>
                <w:color w:val="auto"/>
                <w:sz w:val="24"/>
                <w:szCs w:val="24"/>
                <w:lang w:val="en-US" w:eastAsia="zh-CN"/>
              </w:rPr>
              <w:t>4.4生活垃圾填埋场依托可行性</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cs="Times New Roman"/>
                <w:color w:val="auto"/>
                <w:sz w:val="24"/>
                <w:szCs w:val="24"/>
                <w:lang w:val="en-US" w:eastAsia="zh-CN"/>
              </w:rPr>
            </w:pPr>
            <w:r>
              <w:rPr>
                <w:rFonts w:hint="eastAsia" w:cs="Times New Roman"/>
                <w:color w:val="auto"/>
                <w:sz w:val="24"/>
                <w:szCs w:val="24"/>
                <w:lang w:val="en-US" w:eastAsia="zh-CN"/>
              </w:rPr>
              <w:t>本项目生活垃圾</w:t>
            </w:r>
            <w:r>
              <w:rPr>
                <w:rFonts w:hint="default" w:cs="Times New Roman"/>
                <w:color w:val="auto"/>
                <w:sz w:val="24"/>
                <w:szCs w:val="24"/>
                <w:lang w:val="en-US" w:eastAsia="zh-CN"/>
              </w:rPr>
              <w:t>厂内集中收集后，运往邻厂新疆路源矿业有限公司垃圾填埋场填埋处置。</w:t>
            </w:r>
            <w:r>
              <w:rPr>
                <w:rFonts w:hint="eastAsia" w:cs="Times New Roman"/>
                <w:color w:val="auto"/>
                <w:sz w:val="24"/>
                <w:szCs w:val="24"/>
                <w:lang w:val="en-US" w:eastAsia="zh-CN"/>
              </w:rPr>
              <w:t>该垃圾填埋场为原《新疆保利深蓝矿业有限公司且末县卡特里西铜锌矿30万吨/年选矿工程建设项目》中建设内容，2016年10月11日，原新疆维吾尔自治区环境保护厅以《关于新疆保利深蓝矿业有限公司且末卡特里西铜锌矿30万选矿工程环境影响报告书的备案意见》新环函[2016]1459号文对项目进行了备案，2018年6月完成竣工环保自主验收。生活垃圾填埋场位于</w:t>
            </w:r>
            <w:r>
              <w:rPr>
                <w:rFonts w:hint="default" w:cs="Times New Roman"/>
                <w:color w:val="auto"/>
                <w:sz w:val="24"/>
                <w:szCs w:val="24"/>
                <w:lang w:val="en-US" w:eastAsia="zh-CN"/>
              </w:rPr>
              <w:t>新疆路源矿业有限公司</w:t>
            </w:r>
            <w:r>
              <w:rPr>
                <w:rFonts w:hint="eastAsia" w:cs="Times New Roman"/>
                <w:color w:val="auto"/>
                <w:sz w:val="24"/>
                <w:szCs w:val="24"/>
                <w:lang w:val="en-US" w:eastAsia="zh-CN"/>
              </w:rPr>
              <w:t>南侧约500m处，此垃圾填埋场仅为现路源矿业及邦泰矿业公司共用（协议见附件），剩余容量可满足项目需求。</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val="0"/>
                <w:snapToGrid w:val="0"/>
                <w:color w:val="auto"/>
                <w:kern w:val="0"/>
                <w:sz w:val="24"/>
                <w:szCs w:val="24"/>
                <w:highlight w:val="none"/>
                <w:lang w:val="en-US" w:eastAsia="zh-CN"/>
              </w:rPr>
            </w:pPr>
            <w:r>
              <w:rPr>
                <w:rFonts w:hint="default" w:ascii="Times New Roman" w:hAnsi="Times New Roman" w:cs="Times New Roman"/>
                <w:b/>
                <w:bCs w:val="0"/>
                <w:snapToGrid w:val="0"/>
                <w:color w:val="auto"/>
                <w:kern w:val="0"/>
                <w:sz w:val="24"/>
                <w:szCs w:val="24"/>
                <w:highlight w:val="none"/>
                <w:lang w:val="en-US" w:eastAsia="zh-CN"/>
              </w:rPr>
              <w:t>5地下水环境影响分析</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5.1项目区水文地质概况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且末县邦泰矿业屈库勒克金矿选矿工程岩土工程详细勘察报告》（深圳市勘察研究院有限公司，2017年1月）。项目区位于喀拉米兰河出山段右岸台地上，喀拉米兰河自东向西于场区南面约700m处流过，场地与河床高差大于130m。场区全覆盖第四系冲洪积层（Q</w:t>
            </w:r>
            <w:r>
              <w:rPr>
                <w:rFonts w:hint="default" w:ascii="Times New Roman" w:hAnsi="Times New Roman" w:eastAsia="宋体" w:cs="Times New Roman"/>
                <w:color w:val="auto"/>
                <w:sz w:val="24"/>
                <w:szCs w:val="24"/>
                <w:vertAlign w:val="subscript"/>
                <w:lang w:val="en-US" w:eastAsia="zh-CN"/>
              </w:rPr>
              <w:t>3-4</w:t>
            </w:r>
            <w:r>
              <w:rPr>
                <w:rFonts w:hint="default" w:ascii="Times New Roman" w:hAnsi="Times New Roman" w:eastAsia="宋体" w:cs="Times New Roman"/>
                <w:color w:val="auto"/>
                <w:sz w:val="24"/>
                <w:szCs w:val="24"/>
                <w:vertAlign w:val="superscript"/>
                <w:lang w:val="en-US" w:eastAsia="zh-CN"/>
              </w:rPr>
              <w:t>al+pl</w:t>
            </w:r>
            <w:r>
              <w:rPr>
                <w:rFonts w:hint="default" w:ascii="Times New Roman" w:hAnsi="Times New Roman" w:eastAsia="宋体" w:cs="Times New Roman"/>
                <w:color w:val="auto"/>
                <w:sz w:val="24"/>
                <w:szCs w:val="24"/>
                <w:lang w:val="en-US" w:eastAsia="zh-CN"/>
              </w:rPr>
              <w:t>），其中上部为粉土，属弱透水层，厚度大于16m；下部为碎石层，属强透水层，于附近的喀拉米兰河峡谷可见厚度大于100m。场区内地下水类型为孔隙潜水类型，赋存于第四系土体孔隙中。主要接受上游径流侧向补给，以土体孔隙为赋存空间排泄通道，多以地下径流方式排泄。经调查，场地周边400m范围内无泉眼出露，推断场区地下水埋藏较深。</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综上所述，场区地质水文条件属较简单类型，地下水对基础施工无影响，也无地下水对工程基础腐蚀的问题。</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（1）地下水补给、径流和排泄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场区内地下水类型为孔隙潜水类型，赋存于第四系土体孔隙中。主要接受上游径流侧向补给，以土体孔隙为赋存空间及排泄通道，多以地下径流方式排泄。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选矿厂总体地势南东高、北西低，场地受南侧喀拉米兰河侧向补给。喀拉米兰河谷切割强烈，场地与河床高差大于130m。</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（2）地下水敏感性</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周边没有集中水源地保护区、集中式饮用水水源以外的国家和地方政府设定的地下水环境相关的其它保护区；也没有集中式饮用水源（包括已建成的在用、备用、应加水源，在建和规划的饮用水水源）准保护区以外的补给径流区；未划定准保护区的集中式饮用水水源，其保护区以外的补给径流区；分散式饮用水源地，特殊地下水资源（如矿泉水、温泉等）保护区以外的分布区，项目区地下水敏感程度属于不敏感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（3）包气带地层防污性能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包气带即地表与潜水面之间的地带，是地下含水层的天然保护层，是地表污染物质进入含水层的垂直过渡带。污染物质进入包气带便与周围介质发生物理化学和生物化学等作用，其作用时间越长越充分，包气带净化能力越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包气带土层对污染物质吸附能力大小与黏土、砾石颗粒大小及比表面积有关，通常粘性土大于砂性土。</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拟建场地位于喀拉米兰河出山段右岸台地上，地形较为平缓，项目区全覆盖第四系冲洪积层（Q</w:t>
            </w:r>
            <w:r>
              <w:rPr>
                <w:rFonts w:hint="default" w:ascii="Times New Roman" w:hAnsi="Times New Roman" w:eastAsia="宋体" w:cs="Times New Roman"/>
                <w:color w:val="auto"/>
                <w:sz w:val="24"/>
                <w:szCs w:val="24"/>
                <w:vertAlign w:val="subscript"/>
                <w:lang w:val="en-US" w:eastAsia="zh-CN"/>
              </w:rPr>
              <w:t>3-4</w:t>
            </w:r>
            <w:r>
              <w:rPr>
                <w:rFonts w:hint="default" w:ascii="Times New Roman" w:hAnsi="Times New Roman" w:eastAsia="宋体" w:cs="Times New Roman"/>
                <w:color w:val="auto"/>
                <w:sz w:val="24"/>
                <w:szCs w:val="24"/>
                <w:vertAlign w:val="superscript"/>
                <w:lang w:val="en-US" w:eastAsia="zh-CN"/>
              </w:rPr>
              <w:t>al+pl</w:t>
            </w:r>
            <w:r>
              <w:rPr>
                <w:rFonts w:hint="default" w:ascii="Times New Roman" w:hAnsi="Times New Roman" w:eastAsia="宋体" w:cs="Times New Roman"/>
                <w:color w:val="auto"/>
                <w:sz w:val="24"/>
                <w:szCs w:val="24"/>
                <w:lang w:val="en-US" w:eastAsia="zh-CN"/>
              </w:rPr>
              <w:t>），其中上部为粉土，属弱透水层，厚度大于16m；下部为碎石层，属强透水层，最小渗透系数为2.31×10</w:t>
            </w:r>
            <w:r>
              <w:rPr>
                <w:rFonts w:hint="default" w:ascii="Times New Roman" w:hAnsi="Times New Roman" w:eastAsia="宋体" w:cs="Times New Roman"/>
                <w:color w:val="auto"/>
                <w:sz w:val="24"/>
                <w:szCs w:val="24"/>
                <w:vertAlign w:val="superscript"/>
                <w:lang w:val="en-US" w:eastAsia="zh-CN"/>
              </w:rPr>
              <w:t>-4</w:t>
            </w:r>
            <w:r>
              <w:rPr>
                <w:rFonts w:hint="default" w:ascii="Times New Roman" w:hAnsi="Times New Roman" w:eastAsia="宋体" w:cs="Times New Roman"/>
                <w:color w:val="auto"/>
                <w:sz w:val="24"/>
                <w:szCs w:val="24"/>
                <w:lang w:val="en-US" w:eastAsia="zh-CN"/>
              </w:rPr>
              <w:t>cm/s，故建设项目场地的包气带防污性能为弱。</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val="0"/>
                <w:snapToGrid w:val="0"/>
                <w:color w:val="auto"/>
                <w:kern w:val="0"/>
                <w:sz w:val="24"/>
                <w:szCs w:val="24"/>
                <w:highlight w:val="none"/>
                <w:lang w:val="en-US" w:eastAsia="zh-CN"/>
              </w:rPr>
            </w:pPr>
            <w:r>
              <w:rPr>
                <w:rFonts w:hint="default" w:ascii="Times New Roman" w:hAnsi="Times New Roman" w:cs="Times New Roman"/>
                <w:b/>
                <w:bCs w:val="0"/>
                <w:snapToGrid w:val="0"/>
                <w:color w:val="auto"/>
                <w:kern w:val="0"/>
                <w:sz w:val="24"/>
                <w:szCs w:val="24"/>
                <w:highlight w:val="none"/>
                <w:lang w:val="en-US" w:eastAsia="zh-CN"/>
              </w:rPr>
              <w:t>5.2污染源及影响途径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snapToGrid w:val="0"/>
                <w:color w:val="auto"/>
                <w:kern w:val="0"/>
                <w:sz w:val="24"/>
                <w:szCs w:val="24"/>
                <w:highlight w:val="none"/>
                <w:lang w:val="en-US" w:eastAsia="zh-CN"/>
              </w:rPr>
            </w:pPr>
            <w:r>
              <w:rPr>
                <w:rFonts w:hint="default" w:ascii="Times New Roman" w:hAnsi="Times New Roman" w:cs="Times New Roman"/>
                <w:b w:val="0"/>
                <w:bCs/>
                <w:snapToGrid w:val="0"/>
                <w:color w:val="auto"/>
                <w:kern w:val="0"/>
                <w:sz w:val="24"/>
                <w:szCs w:val="24"/>
                <w:highlight w:val="none"/>
                <w:lang w:val="en-US" w:eastAsia="zh-CN"/>
              </w:rPr>
              <w:t>地下水污染源主要来自浓密池和下水管网，可能发生的事故为选矿厂浓密池池体和下水管网破裂泄漏。生产废水浓密池发生泄漏主要污染物指标分别为：铜、铅、锌、镉、砷、铬等。正常工况下不会发生污水泄漏或其他物料泄漏导致地下水污染的情况。非正常工况下，如果浓密池池体和下水管网发生泄漏的情况，并且防渗层破损未得到及时妥善处理，污染物可能会下渗进而对地下水水质产生影响。</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val="0"/>
                <w:snapToGrid w:val="0"/>
                <w:color w:val="auto"/>
                <w:kern w:val="0"/>
                <w:sz w:val="24"/>
                <w:szCs w:val="24"/>
                <w:highlight w:val="none"/>
                <w:lang w:val="en-US" w:eastAsia="zh-CN"/>
              </w:rPr>
            </w:pPr>
            <w:r>
              <w:rPr>
                <w:rFonts w:hint="default" w:ascii="Times New Roman" w:hAnsi="Times New Roman" w:cs="Times New Roman"/>
                <w:b/>
                <w:bCs w:val="0"/>
                <w:snapToGrid w:val="0"/>
                <w:color w:val="auto"/>
                <w:kern w:val="0"/>
                <w:sz w:val="24"/>
                <w:szCs w:val="24"/>
                <w:highlight w:val="none"/>
                <w:lang w:val="en-US" w:eastAsia="zh-CN"/>
              </w:rPr>
              <w:t>5.3防控措施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snapToGrid w:val="0"/>
                <w:color w:val="auto"/>
                <w:kern w:val="0"/>
                <w:sz w:val="24"/>
                <w:szCs w:val="24"/>
                <w:highlight w:val="none"/>
                <w:lang w:val="en-US" w:eastAsia="zh-CN"/>
              </w:rPr>
            </w:pPr>
            <w:r>
              <w:rPr>
                <w:rFonts w:hint="default" w:ascii="Times New Roman" w:hAnsi="Times New Roman" w:cs="Times New Roman"/>
                <w:b w:val="0"/>
                <w:bCs/>
                <w:snapToGrid w:val="0"/>
                <w:color w:val="auto"/>
                <w:kern w:val="0"/>
                <w:sz w:val="24"/>
                <w:szCs w:val="24"/>
                <w:highlight w:val="none"/>
                <w:lang w:val="en-US" w:eastAsia="zh-CN"/>
              </w:rPr>
              <w:t>根据《环境影响评价技术导则 地下水环境》（HJ610-2016），地下水环境保护措施按照“源头控制、分区防控、污染监控、应急响应”的原则确定。</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snapToGrid w:val="0"/>
                <w:color w:val="auto"/>
                <w:kern w:val="0"/>
                <w:sz w:val="24"/>
                <w:szCs w:val="24"/>
                <w:highlight w:val="none"/>
                <w:lang w:val="en-US" w:eastAsia="zh-CN"/>
              </w:rPr>
            </w:pPr>
            <w:r>
              <w:rPr>
                <w:rFonts w:hint="default" w:ascii="Times New Roman" w:hAnsi="Times New Roman" w:cs="Times New Roman"/>
                <w:b w:val="0"/>
                <w:bCs/>
                <w:snapToGrid w:val="0"/>
                <w:color w:val="auto"/>
                <w:kern w:val="0"/>
                <w:sz w:val="24"/>
                <w:szCs w:val="24"/>
                <w:highlight w:val="none"/>
                <w:lang w:val="en-US" w:eastAsia="zh-CN"/>
              </w:rPr>
              <w:t>（</w:t>
            </w:r>
            <w:r>
              <w:rPr>
                <w:rFonts w:hint="eastAsia" w:ascii="Times New Roman" w:hAnsi="Times New Roman" w:cs="Times New Roman"/>
                <w:b w:val="0"/>
                <w:bCs/>
                <w:snapToGrid w:val="0"/>
                <w:color w:val="auto"/>
                <w:kern w:val="0"/>
                <w:sz w:val="24"/>
                <w:szCs w:val="24"/>
                <w:highlight w:val="none"/>
                <w:lang w:val="en-US" w:eastAsia="zh-CN"/>
              </w:rPr>
              <w:t>1</w:t>
            </w:r>
            <w:r>
              <w:rPr>
                <w:rFonts w:hint="default" w:ascii="Times New Roman" w:hAnsi="Times New Roman" w:cs="Times New Roman"/>
                <w:b w:val="0"/>
                <w:bCs/>
                <w:snapToGrid w:val="0"/>
                <w:color w:val="auto"/>
                <w:kern w:val="0"/>
                <w:sz w:val="24"/>
                <w:szCs w:val="24"/>
                <w:highlight w:val="none"/>
                <w:lang w:val="en-US" w:eastAsia="zh-CN"/>
              </w:rPr>
              <w:t>）</w:t>
            </w:r>
            <w:r>
              <w:rPr>
                <w:rFonts w:hint="eastAsia" w:ascii="Times New Roman" w:hAnsi="Times New Roman" w:cs="Times New Roman"/>
                <w:b w:val="0"/>
                <w:bCs/>
                <w:snapToGrid w:val="0"/>
                <w:color w:val="auto"/>
                <w:kern w:val="0"/>
                <w:sz w:val="24"/>
                <w:szCs w:val="24"/>
                <w:highlight w:val="none"/>
                <w:lang w:val="en-US" w:eastAsia="zh-CN"/>
              </w:rPr>
              <w:t>源头</w:t>
            </w:r>
            <w:r>
              <w:rPr>
                <w:rFonts w:hint="default" w:ascii="Times New Roman" w:hAnsi="Times New Roman" w:cs="Times New Roman"/>
                <w:b w:val="0"/>
                <w:bCs/>
                <w:snapToGrid w:val="0"/>
                <w:color w:val="auto"/>
                <w:kern w:val="0"/>
                <w:sz w:val="24"/>
                <w:szCs w:val="24"/>
                <w:highlight w:val="none"/>
                <w:lang w:val="en-US" w:eastAsia="zh-CN"/>
              </w:rPr>
              <w:t>控制措施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snapToGrid w:val="0"/>
                <w:color w:val="auto"/>
                <w:kern w:val="0"/>
                <w:sz w:val="24"/>
                <w:szCs w:val="24"/>
                <w:highlight w:val="none"/>
                <w:lang w:val="en-US" w:eastAsia="zh-CN"/>
              </w:rPr>
            </w:pPr>
            <w:r>
              <w:rPr>
                <w:rFonts w:hint="default" w:ascii="Times New Roman" w:hAnsi="Times New Roman" w:cs="Times New Roman"/>
                <w:b w:val="0"/>
                <w:bCs/>
                <w:snapToGrid w:val="0"/>
                <w:color w:val="auto"/>
                <w:kern w:val="0"/>
                <w:sz w:val="24"/>
                <w:szCs w:val="24"/>
                <w:highlight w:val="none"/>
                <w:lang w:val="en-US" w:eastAsia="zh-CN"/>
              </w:rPr>
              <w:t>本项目严格按照国家相关规范要求，对工艺、管道、设备、污水储存采取相应的措施，以防止和降低污染物的跑、冒、滴、漏，将污染物泄漏的环境风险事故降低到最低程度。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snapToGrid w:val="0"/>
                <w:color w:val="auto"/>
                <w:kern w:val="0"/>
                <w:sz w:val="24"/>
                <w:szCs w:val="24"/>
                <w:highlight w:val="none"/>
                <w:lang w:val="en-US" w:eastAsia="zh-CN"/>
              </w:rPr>
            </w:pPr>
            <w:r>
              <w:rPr>
                <w:rFonts w:hint="default" w:ascii="Times New Roman" w:hAnsi="Times New Roman" w:cs="Times New Roman"/>
                <w:b w:val="0"/>
                <w:bCs/>
                <w:snapToGrid w:val="0"/>
                <w:color w:val="auto"/>
                <w:kern w:val="0"/>
                <w:sz w:val="24"/>
                <w:szCs w:val="24"/>
                <w:highlight w:val="none"/>
                <w:lang w:val="en-US" w:eastAsia="zh-CN"/>
              </w:rPr>
              <w:t>（</w:t>
            </w:r>
            <w:r>
              <w:rPr>
                <w:rFonts w:hint="eastAsia" w:cs="Times New Roman"/>
                <w:b w:val="0"/>
                <w:bCs/>
                <w:snapToGrid w:val="0"/>
                <w:color w:val="auto"/>
                <w:kern w:val="0"/>
                <w:sz w:val="24"/>
                <w:szCs w:val="24"/>
                <w:highlight w:val="none"/>
                <w:lang w:val="en-US" w:eastAsia="zh-CN"/>
              </w:rPr>
              <w:t>2</w:t>
            </w:r>
            <w:r>
              <w:rPr>
                <w:rFonts w:hint="default" w:ascii="Times New Roman" w:hAnsi="Times New Roman" w:cs="Times New Roman"/>
                <w:b w:val="0"/>
                <w:bCs/>
                <w:snapToGrid w:val="0"/>
                <w:color w:val="auto"/>
                <w:kern w:val="0"/>
                <w:sz w:val="24"/>
                <w:szCs w:val="24"/>
                <w:highlight w:val="none"/>
                <w:lang w:val="en-US" w:eastAsia="zh-CN"/>
              </w:rPr>
              <w:t>）分区防渗控制措施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snapToGrid w:val="0"/>
                <w:color w:val="auto"/>
                <w:kern w:val="0"/>
                <w:sz w:val="24"/>
                <w:szCs w:val="24"/>
                <w:highlight w:val="none"/>
                <w:lang w:val="en-US" w:eastAsia="zh-CN"/>
              </w:rPr>
            </w:pPr>
            <w:r>
              <w:rPr>
                <w:rFonts w:hint="default" w:ascii="Times New Roman" w:hAnsi="Times New Roman" w:cs="Times New Roman"/>
                <w:b w:val="0"/>
                <w:bCs/>
                <w:snapToGrid w:val="0"/>
                <w:color w:val="auto"/>
                <w:kern w:val="0"/>
                <w:sz w:val="24"/>
                <w:szCs w:val="24"/>
                <w:highlight w:val="none"/>
                <w:lang w:val="en-US" w:eastAsia="zh-CN"/>
              </w:rPr>
              <w:t>根据《环境影响评价技术导则  地下水环境》（HJ610-2016），地下水污染防治根据场地包气带防污性能及污染物控制难易程度等划分为重点污染防治区、一般污染防治区和常规地面硬化区。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snapToGrid w:val="0"/>
                <w:color w:val="auto"/>
                <w:kern w:val="0"/>
                <w:sz w:val="24"/>
                <w:szCs w:val="24"/>
                <w:highlight w:val="none"/>
                <w:lang w:val="en-US" w:eastAsia="zh-CN"/>
              </w:rPr>
            </w:pPr>
            <w:r>
              <w:rPr>
                <w:rFonts w:hint="eastAsia" w:cs="Times New Roman"/>
                <w:b w:val="0"/>
                <w:bCs/>
                <w:snapToGrid w:val="0"/>
                <w:color w:val="auto"/>
                <w:kern w:val="0"/>
                <w:sz w:val="24"/>
                <w:szCs w:val="24"/>
                <w:highlight w:val="none"/>
                <w:lang w:val="en-US" w:eastAsia="zh-CN"/>
              </w:rPr>
              <w:t>1）</w:t>
            </w:r>
            <w:r>
              <w:rPr>
                <w:rFonts w:hint="default" w:ascii="Times New Roman" w:hAnsi="Times New Roman" w:cs="Times New Roman"/>
                <w:b w:val="0"/>
                <w:bCs/>
                <w:snapToGrid w:val="0"/>
                <w:color w:val="auto"/>
                <w:kern w:val="0"/>
                <w:sz w:val="24"/>
                <w:szCs w:val="24"/>
                <w:highlight w:val="none"/>
                <w:lang w:val="en-US" w:eastAsia="zh-CN"/>
              </w:rPr>
              <w:t>防渗分区划分标准</w:t>
            </w:r>
          </w:p>
          <w:p>
            <w:pPr>
              <w:pStyle w:val="85"/>
              <w:bidi w:val="0"/>
              <w:outlineLvl w:val="9"/>
              <w:rPr>
                <w:rFonts w:hint="eastAsia"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表</w:t>
            </w:r>
            <w:r>
              <w:rPr>
                <w:rFonts w:hint="eastAsia" w:ascii="Times New Roman" w:hAnsi="Times New Roman" w:eastAsia="宋体" w:cs="Times New Roman"/>
                <w:color w:val="auto"/>
                <w:sz w:val="21"/>
                <w:szCs w:val="21"/>
                <w:highlight w:val="none"/>
                <w:lang w:val="en-US" w:eastAsia="zh-CN"/>
              </w:rPr>
              <w:t>4-1</w:t>
            </w:r>
            <w:r>
              <w:rPr>
                <w:rFonts w:hint="eastAsia"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rPr>
              <w:t xml:space="preserve">              地下水污染防治区参照表</w:t>
            </w:r>
          </w:p>
          <w:tbl>
            <w:tblPr>
              <w:tblStyle w:val="29"/>
              <w:tblW w:w="506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
              <w:gridCol w:w="1440"/>
              <w:gridCol w:w="1130"/>
              <w:gridCol w:w="1822"/>
              <w:gridCol w:w="3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23" w:type="pc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防渗分区</w:t>
                  </w:r>
                </w:p>
              </w:tc>
              <w:tc>
                <w:tcPr>
                  <w:tcW w:w="845" w:type="pc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天然包气带防污性能</w:t>
                  </w:r>
                </w:p>
              </w:tc>
              <w:tc>
                <w:tcPr>
                  <w:tcW w:w="663" w:type="pc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污染控制难易程度</w:t>
                  </w:r>
                </w:p>
              </w:tc>
              <w:tc>
                <w:tcPr>
                  <w:tcW w:w="1069" w:type="pc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污染物类型</w:t>
                  </w:r>
                </w:p>
              </w:tc>
              <w:tc>
                <w:tcPr>
                  <w:tcW w:w="1898" w:type="pct"/>
                  <w:shd w:val="clear" w:color="auto" w:fill="auto"/>
                  <w:noWrap w:val="0"/>
                  <w:vAlign w:val="center"/>
                </w:tcPr>
                <w:p>
                  <w:pPr>
                    <w:spacing w:line="240" w:lineRule="auto"/>
                    <w:ind w:firstLine="0" w:firstLineChars="0"/>
                    <w:jc w:val="center"/>
                    <w:rPr>
                      <w:color w:val="auto"/>
                      <w:sz w:val="21"/>
                    </w:rPr>
                  </w:pPr>
                  <w:r>
                    <w:rPr>
                      <w:color w:val="auto"/>
                      <w:sz w:val="21"/>
                    </w:rPr>
                    <w:t>防渗技术要求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23" w:type="pct"/>
                  <w:vMerge w:val="restar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重点防渗区</w:t>
                  </w:r>
                </w:p>
              </w:tc>
              <w:tc>
                <w:tcPr>
                  <w:tcW w:w="845" w:type="pc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强</w:t>
                  </w:r>
                </w:p>
              </w:tc>
              <w:tc>
                <w:tcPr>
                  <w:tcW w:w="663" w:type="pc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难</w:t>
                  </w:r>
                </w:p>
              </w:tc>
              <w:tc>
                <w:tcPr>
                  <w:tcW w:w="1069" w:type="pct"/>
                  <w:vMerge w:val="restar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重金属</w:t>
                  </w:r>
                </w:p>
              </w:tc>
              <w:tc>
                <w:tcPr>
                  <w:tcW w:w="1898" w:type="pct"/>
                  <w:vMerge w:val="restart"/>
                  <w:shd w:val="clear" w:color="auto" w:fill="auto"/>
                  <w:noWrap w:val="0"/>
                  <w:vAlign w:val="center"/>
                </w:tcPr>
                <w:p>
                  <w:pPr>
                    <w:spacing w:line="240" w:lineRule="auto"/>
                    <w:ind w:firstLine="0" w:firstLineChars="0"/>
                    <w:rPr>
                      <w:color w:val="auto"/>
                      <w:sz w:val="21"/>
                    </w:rPr>
                  </w:pPr>
                  <w:r>
                    <w:rPr>
                      <w:color w:val="auto"/>
                      <w:sz w:val="21"/>
                    </w:rPr>
                    <w:t>等效黏土防渗层Mb≥6.0m，K≤1×10</w:t>
                  </w:r>
                  <w:r>
                    <w:rPr>
                      <w:color w:val="auto"/>
                      <w:sz w:val="21"/>
                      <w:vertAlign w:val="superscript"/>
                    </w:rPr>
                    <w:t>-7</w:t>
                  </w:r>
                  <w:r>
                    <w:rPr>
                      <w:color w:val="auto"/>
                      <w:sz w:val="21"/>
                    </w:rPr>
                    <w:t>cm/s；或参照GB18598执行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23" w:type="pct"/>
                  <w:vMerge w:val="continue"/>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45" w:type="pc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中—强</w:t>
                  </w:r>
                </w:p>
              </w:tc>
              <w:tc>
                <w:tcPr>
                  <w:tcW w:w="663" w:type="pc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难</w:t>
                  </w:r>
                </w:p>
              </w:tc>
              <w:tc>
                <w:tcPr>
                  <w:tcW w:w="1069" w:type="pct"/>
                  <w:vMerge w:val="continue"/>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1898" w:type="pct"/>
                  <w:vMerge w:val="continue"/>
                  <w:shd w:val="clear" w:color="auto" w:fill="auto"/>
                  <w:noWrap w:val="0"/>
                  <w:vAlign w:val="center"/>
                </w:tcPr>
                <w:p>
                  <w:pPr>
                    <w:spacing w:line="240" w:lineRule="auto"/>
                    <w:ind w:firstLine="0" w:firstLineChars="0"/>
                    <w:jc w:val="center"/>
                    <w:rPr>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23" w:type="pct"/>
                  <w:vMerge w:val="continue"/>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45" w:type="pc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弱</w:t>
                  </w:r>
                </w:p>
              </w:tc>
              <w:tc>
                <w:tcPr>
                  <w:tcW w:w="663" w:type="pc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易</w:t>
                  </w:r>
                </w:p>
              </w:tc>
              <w:tc>
                <w:tcPr>
                  <w:tcW w:w="1069" w:type="pct"/>
                  <w:vMerge w:val="continue"/>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1898" w:type="pct"/>
                  <w:vMerge w:val="continue"/>
                  <w:shd w:val="clear" w:color="auto" w:fill="auto"/>
                  <w:noWrap w:val="0"/>
                  <w:vAlign w:val="center"/>
                </w:tcPr>
                <w:p>
                  <w:pPr>
                    <w:spacing w:line="240" w:lineRule="auto"/>
                    <w:ind w:firstLine="0" w:firstLineChars="0"/>
                    <w:jc w:val="center"/>
                    <w:rPr>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23" w:type="pct"/>
                  <w:vMerge w:val="restar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一般防渗区</w:t>
                  </w:r>
                </w:p>
              </w:tc>
              <w:tc>
                <w:tcPr>
                  <w:tcW w:w="845" w:type="pc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弱</w:t>
                  </w:r>
                </w:p>
              </w:tc>
              <w:tc>
                <w:tcPr>
                  <w:tcW w:w="663" w:type="pc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易—难</w:t>
                  </w:r>
                </w:p>
              </w:tc>
              <w:tc>
                <w:tcPr>
                  <w:tcW w:w="1069" w:type="pct"/>
                  <w:vMerge w:val="restar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其他类型</w:t>
                  </w:r>
                </w:p>
              </w:tc>
              <w:tc>
                <w:tcPr>
                  <w:tcW w:w="1898" w:type="pct"/>
                  <w:vMerge w:val="restart"/>
                  <w:shd w:val="clear" w:color="auto" w:fill="auto"/>
                  <w:noWrap w:val="0"/>
                  <w:vAlign w:val="center"/>
                </w:tcPr>
                <w:p>
                  <w:pPr>
                    <w:spacing w:line="240" w:lineRule="auto"/>
                    <w:ind w:firstLine="0" w:firstLineChars="0"/>
                    <w:rPr>
                      <w:color w:val="auto"/>
                      <w:sz w:val="21"/>
                    </w:rPr>
                  </w:pPr>
                  <w:r>
                    <w:rPr>
                      <w:color w:val="auto"/>
                      <w:sz w:val="21"/>
                    </w:rPr>
                    <w:t>等效黏土防渗层Mb≥1.5m，K≤1×10</w:t>
                  </w:r>
                  <w:r>
                    <w:rPr>
                      <w:color w:val="auto"/>
                      <w:sz w:val="21"/>
                      <w:vertAlign w:val="superscript"/>
                    </w:rPr>
                    <w:t>-7</w:t>
                  </w:r>
                  <w:r>
                    <w:rPr>
                      <w:color w:val="auto"/>
                      <w:sz w:val="21"/>
                    </w:rPr>
                    <w:t>cm/s；或参照GB16889执行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23" w:type="pct"/>
                  <w:vMerge w:val="continue"/>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45" w:type="pc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中—强</w:t>
                  </w:r>
                </w:p>
              </w:tc>
              <w:tc>
                <w:tcPr>
                  <w:tcW w:w="663" w:type="pc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难</w:t>
                  </w:r>
                </w:p>
              </w:tc>
              <w:tc>
                <w:tcPr>
                  <w:tcW w:w="1069" w:type="pct"/>
                  <w:vMerge w:val="continue"/>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1898" w:type="pct"/>
                  <w:vMerge w:val="continue"/>
                  <w:shd w:val="clear" w:color="auto" w:fill="auto"/>
                  <w:noWrap w:val="0"/>
                  <w:vAlign w:val="center"/>
                </w:tcPr>
                <w:p>
                  <w:pPr>
                    <w:spacing w:line="240" w:lineRule="auto"/>
                    <w:ind w:firstLine="0" w:firstLineChars="0"/>
                    <w:jc w:val="center"/>
                    <w:rPr>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23" w:type="pct"/>
                  <w:vMerge w:val="continue"/>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45" w:type="pc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中</w:t>
                  </w:r>
                </w:p>
              </w:tc>
              <w:tc>
                <w:tcPr>
                  <w:tcW w:w="663" w:type="pc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易</w:t>
                  </w:r>
                </w:p>
              </w:tc>
              <w:tc>
                <w:tcPr>
                  <w:tcW w:w="1069" w:type="pct"/>
                  <w:vMerge w:val="restar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重金属</w:t>
                  </w:r>
                </w:p>
              </w:tc>
              <w:tc>
                <w:tcPr>
                  <w:tcW w:w="1898" w:type="pct"/>
                  <w:vMerge w:val="continue"/>
                  <w:shd w:val="clear" w:color="auto" w:fill="auto"/>
                  <w:noWrap w:val="0"/>
                  <w:vAlign w:val="center"/>
                </w:tcPr>
                <w:p>
                  <w:pPr>
                    <w:spacing w:line="240" w:lineRule="auto"/>
                    <w:ind w:firstLine="0" w:firstLineChars="0"/>
                    <w:jc w:val="center"/>
                    <w:rPr>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23" w:type="pct"/>
                  <w:vMerge w:val="continue"/>
                  <w:shd w:val="clear" w:color="auto" w:fill="auto"/>
                  <w:noWrap w:val="0"/>
                  <w:vAlign w:val="center"/>
                </w:tcPr>
                <w:p>
                  <w:pPr>
                    <w:spacing w:line="240" w:lineRule="auto"/>
                    <w:ind w:firstLine="0" w:firstLineChars="0"/>
                    <w:jc w:val="center"/>
                    <w:rPr>
                      <w:color w:val="auto"/>
                      <w:sz w:val="21"/>
                    </w:rPr>
                  </w:pPr>
                </w:p>
              </w:tc>
              <w:tc>
                <w:tcPr>
                  <w:tcW w:w="845" w:type="pct"/>
                  <w:shd w:val="clear" w:color="auto" w:fill="auto"/>
                  <w:noWrap w:val="0"/>
                  <w:vAlign w:val="center"/>
                </w:tcPr>
                <w:p>
                  <w:pPr>
                    <w:spacing w:line="240" w:lineRule="auto"/>
                    <w:ind w:firstLine="0" w:firstLineChars="0"/>
                    <w:jc w:val="center"/>
                    <w:rPr>
                      <w:color w:val="auto"/>
                      <w:sz w:val="21"/>
                    </w:rPr>
                  </w:pPr>
                  <w:r>
                    <w:rPr>
                      <w:color w:val="auto"/>
                      <w:sz w:val="21"/>
                    </w:rPr>
                    <w:t>强</w:t>
                  </w:r>
                </w:p>
              </w:tc>
              <w:tc>
                <w:tcPr>
                  <w:tcW w:w="663" w:type="pct"/>
                  <w:shd w:val="clear" w:color="auto" w:fill="auto"/>
                  <w:noWrap w:val="0"/>
                  <w:vAlign w:val="center"/>
                </w:tcPr>
                <w:p>
                  <w:pPr>
                    <w:spacing w:line="240" w:lineRule="auto"/>
                    <w:ind w:firstLine="0" w:firstLineChars="0"/>
                    <w:jc w:val="center"/>
                    <w:rPr>
                      <w:color w:val="auto"/>
                      <w:sz w:val="21"/>
                    </w:rPr>
                  </w:pPr>
                  <w:r>
                    <w:rPr>
                      <w:color w:val="auto"/>
                      <w:sz w:val="21"/>
                    </w:rPr>
                    <w:t>易</w:t>
                  </w:r>
                </w:p>
              </w:tc>
              <w:tc>
                <w:tcPr>
                  <w:tcW w:w="1069" w:type="pct"/>
                  <w:vMerge w:val="continue"/>
                  <w:shd w:val="clear" w:color="auto" w:fill="auto"/>
                  <w:noWrap w:val="0"/>
                  <w:vAlign w:val="center"/>
                </w:tcPr>
                <w:p>
                  <w:pPr>
                    <w:spacing w:line="240" w:lineRule="auto"/>
                    <w:ind w:firstLine="0" w:firstLineChars="0"/>
                    <w:jc w:val="center"/>
                    <w:rPr>
                      <w:color w:val="auto"/>
                      <w:sz w:val="21"/>
                    </w:rPr>
                  </w:pPr>
                </w:p>
              </w:tc>
              <w:tc>
                <w:tcPr>
                  <w:tcW w:w="1898" w:type="pct"/>
                  <w:vMerge w:val="continue"/>
                  <w:shd w:val="clear" w:color="auto" w:fill="auto"/>
                  <w:noWrap w:val="0"/>
                  <w:vAlign w:val="center"/>
                </w:tcPr>
                <w:p>
                  <w:pPr>
                    <w:spacing w:line="240" w:lineRule="auto"/>
                    <w:ind w:firstLine="0" w:firstLineChars="0"/>
                    <w:jc w:val="center"/>
                    <w:rPr>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23" w:type="pc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简单防渗分区</w:t>
                  </w:r>
                </w:p>
              </w:tc>
              <w:tc>
                <w:tcPr>
                  <w:tcW w:w="845" w:type="pc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中—强</w:t>
                  </w:r>
                </w:p>
              </w:tc>
              <w:tc>
                <w:tcPr>
                  <w:tcW w:w="663" w:type="pc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易</w:t>
                  </w:r>
                </w:p>
              </w:tc>
              <w:tc>
                <w:tcPr>
                  <w:tcW w:w="1069" w:type="pc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其他类型</w:t>
                  </w:r>
                </w:p>
              </w:tc>
              <w:tc>
                <w:tcPr>
                  <w:tcW w:w="1898" w:type="pct"/>
                  <w:shd w:val="clear" w:color="auto" w:fill="auto"/>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一般地面硬化</w:t>
                  </w:r>
                </w:p>
              </w:tc>
            </w:tr>
          </w:tbl>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snapToGrid w:val="0"/>
                <w:color w:val="auto"/>
                <w:kern w:val="0"/>
                <w:sz w:val="24"/>
                <w:szCs w:val="24"/>
                <w:highlight w:val="none"/>
                <w:lang w:val="en-US" w:eastAsia="zh-CN"/>
              </w:rPr>
            </w:pPr>
            <w:r>
              <w:rPr>
                <w:rFonts w:hint="eastAsia" w:cs="Times New Roman"/>
                <w:b w:val="0"/>
                <w:bCs/>
                <w:snapToGrid w:val="0"/>
                <w:color w:val="auto"/>
                <w:kern w:val="0"/>
                <w:sz w:val="24"/>
                <w:szCs w:val="24"/>
                <w:highlight w:val="none"/>
                <w:lang w:val="en-US" w:eastAsia="zh-CN"/>
              </w:rPr>
              <w:t>2）</w:t>
            </w:r>
            <w:r>
              <w:rPr>
                <w:rFonts w:hint="default" w:ascii="Times New Roman" w:hAnsi="Times New Roman" w:cs="Times New Roman"/>
                <w:b w:val="0"/>
                <w:bCs/>
                <w:snapToGrid w:val="0"/>
                <w:color w:val="auto"/>
                <w:kern w:val="0"/>
                <w:sz w:val="24"/>
                <w:szCs w:val="24"/>
                <w:highlight w:val="none"/>
                <w:lang w:val="en-US" w:eastAsia="zh-CN"/>
              </w:rPr>
              <w:t>分区防渗</w:t>
            </w:r>
            <w:r>
              <w:rPr>
                <w:rFonts w:hint="eastAsia" w:cs="Times New Roman"/>
                <w:b w:val="0"/>
                <w:bCs/>
                <w:snapToGrid w:val="0"/>
                <w:color w:val="auto"/>
                <w:kern w:val="0"/>
                <w:sz w:val="24"/>
                <w:szCs w:val="24"/>
                <w:highlight w:val="none"/>
                <w:lang w:val="en-US" w:eastAsia="zh-CN"/>
              </w:rPr>
              <w:t>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snapToGrid w:val="0"/>
                <w:color w:val="auto"/>
                <w:kern w:val="0"/>
                <w:sz w:val="24"/>
                <w:szCs w:val="24"/>
                <w:highlight w:val="none"/>
                <w:lang w:val="en-US" w:eastAsia="zh-CN"/>
              </w:rPr>
            </w:pPr>
            <w:r>
              <w:rPr>
                <w:rFonts w:hint="default" w:ascii="Times New Roman" w:hAnsi="Times New Roman" w:cs="Times New Roman"/>
                <w:b w:val="0"/>
                <w:bCs/>
                <w:snapToGrid w:val="0"/>
                <w:color w:val="auto"/>
                <w:kern w:val="0"/>
                <w:sz w:val="24"/>
                <w:szCs w:val="24"/>
                <w:highlight w:val="none"/>
                <w:lang w:val="en-US" w:eastAsia="zh-CN"/>
              </w:rPr>
              <w:t>地面防渗工程设计原则：</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snapToGrid w:val="0"/>
                <w:color w:val="auto"/>
                <w:kern w:val="0"/>
                <w:sz w:val="24"/>
                <w:szCs w:val="24"/>
                <w:highlight w:val="none"/>
                <w:lang w:val="en-US" w:eastAsia="zh-CN"/>
              </w:rPr>
            </w:pPr>
            <w:r>
              <w:rPr>
                <w:rFonts w:hint="eastAsia" w:cs="Times New Roman"/>
                <w:b w:val="0"/>
                <w:bCs/>
                <w:snapToGrid w:val="0"/>
                <w:color w:val="auto"/>
                <w:kern w:val="0"/>
                <w:sz w:val="24"/>
                <w:szCs w:val="24"/>
                <w:highlight w:val="none"/>
                <w:lang w:val="en-US" w:eastAsia="zh-CN"/>
              </w:rPr>
              <w:t>①</w:t>
            </w:r>
            <w:r>
              <w:rPr>
                <w:rFonts w:hint="default" w:ascii="Times New Roman" w:hAnsi="Times New Roman" w:cs="Times New Roman"/>
                <w:b w:val="0"/>
                <w:bCs/>
                <w:snapToGrid w:val="0"/>
                <w:color w:val="auto"/>
                <w:kern w:val="0"/>
                <w:sz w:val="24"/>
                <w:szCs w:val="24"/>
                <w:highlight w:val="none"/>
                <w:lang w:val="en-US" w:eastAsia="zh-CN"/>
              </w:rPr>
              <w:t>采用国际国内先进的防渗材料、技术和实施手段，确保工程建设对区域内地下水影响最小，确保地下水现有水体功能。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snapToGrid w:val="0"/>
                <w:color w:val="auto"/>
                <w:kern w:val="0"/>
                <w:sz w:val="24"/>
                <w:szCs w:val="24"/>
                <w:highlight w:val="none"/>
                <w:lang w:val="en-US" w:eastAsia="zh-CN"/>
              </w:rPr>
            </w:pPr>
            <w:r>
              <w:rPr>
                <w:rFonts w:hint="eastAsia" w:cs="Times New Roman"/>
                <w:b w:val="0"/>
                <w:bCs/>
                <w:snapToGrid w:val="0"/>
                <w:color w:val="auto"/>
                <w:kern w:val="0"/>
                <w:sz w:val="24"/>
                <w:szCs w:val="24"/>
                <w:highlight w:val="none"/>
                <w:lang w:val="en-US" w:eastAsia="zh-CN"/>
              </w:rPr>
              <w:t>②</w:t>
            </w:r>
            <w:r>
              <w:rPr>
                <w:rFonts w:hint="default" w:ascii="Times New Roman" w:hAnsi="Times New Roman" w:cs="Times New Roman"/>
                <w:b w:val="0"/>
                <w:bCs/>
                <w:snapToGrid w:val="0"/>
                <w:color w:val="auto"/>
                <w:kern w:val="0"/>
                <w:sz w:val="24"/>
                <w:szCs w:val="24"/>
                <w:highlight w:val="none"/>
                <w:lang w:val="en-US" w:eastAsia="zh-CN"/>
              </w:rPr>
              <w:t>坚持分区管理和控制原则，根据场址所在地的工程地质、水文地质条件和全厂可能发生泄漏的物料性质、排放量，参照相应标准要求有针对性地分区，并分别设计地面防渗层结构。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snapToGrid w:val="0"/>
                <w:color w:val="auto"/>
                <w:kern w:val="0"/>
                <w:sz w:val="24"/>
                <w:szCs w:val="24"/>
                <w:highlight w:val="none"/>
                <w:lang w:val="en-US" w:eastAsia="zh-CN"/>
              </w:rPr>
            </w:pPr>
            <w:r>
              <w:rPr>
                <w:rFonts w:hint="eastAsia" w:cs="Times New Roman"/>
                <w:b w:val="0"/>
                <w:bCs/>
                <w:snapToGrid w:val="0"/>
                <w:color w:val="auto"/>
                <w:kern w:val="0"/>
                <w:sz w:val="24"/>
                <w:szCs w:val="24"/>
                <w:highlight w:val="none"/>
                <w:lang w:val="en-US" w:eastAsia="zh-CN"/>
              </w:rPr>
              <w:t>③</w:t>
            </w:r>
            <w:r>
              <w:rPr>
                <w:rFonts w:hint="default" w:ascii="Times New Roman" w:hAnsi="Times New Roman" w:cs="Times New Roman"/>
                <w:b w:val="0"/>
                <w:bCs/>
                <w:snapToGrid w:val="0"/>
                <w:color w:val="auto"/>
                <w:kern w:val="0"/>
                <w:sz w:val="24"/>
                <w:szCs w:val="24"/>
                <w:highlight w:val="none"/>
                <w:lang w:val="en-US" w:eastAsia="zh-CN"/>
              </w:rPr>
              <w:t>坚持“可视化”原则，在满足工程和防渗层结构标准要求的前提下，尽量在地表面实施防渗措施，便于泄漏物质的收集和及时发现破损的防渗层。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snapToGrid w:val="0"/>
                <w:color w:val="auto"/>
                <w:kern w:val="0"/>
                <w:sz w:val="24"/>
                <w:szCs w:val="24"/>
                <w:highlight w:val="none"/>
                <w:lang w:val="en-US" w:eastAsia="zh-CN"/>
              </w:rPr>
            </w:pPr>
            <w:r>
              <w:rPr>
                <w:rFonts w:hint="eastAsia" w:cs="Times New Roman"/>
                <w:b w:val="0"/>
                <w:bCs/>
                <w:snapToGrid w:val="0"/>
                <w:color w:val="auto"/>
                <w:kern w:val="0"/>
                <w:sz w:val="24"/>
                <w:szCs w:val="24"/>
                <w:highlight w:val="none"/>
                <w:lang w:val="en-US" w:eastAsia="zh-CN"/>
              </w:rPr>
              <w:t>④</w:t>
            </w:r>
            <w:r>
              <w:rPr>
                <w:rFonts w:hint="default" w:ascii="Times New Roman" w:hAnsi="Times New Roman" w:cs="Times New Roman"/>
                <w:b w:val="0"/>
                <w:bCs/>
                <w:snapToGrid w:val="0"/>
                <w:color w:val="auto"/>
                <w:kern w:val="0"/>
                <w:sz w:val="24"/>
                <w:szCs w:val="24"/>
                <w:highlight w:val="none"/>
                <w:lang w:val="en-US" w:eastAsia="zh-CN"/>
              </w:rPr>
              <w:t>在可能泄漏危险废物的重点污染防治区建立防渗设施的检漏系统。</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snapToGrid w:val="0"/>
                <w:color w:val="auto"/>
                <w:kern w:val="0"/>
                <w:sz w:val="24"/>
                <w:szCs w:val="24"/>
                <w:highlight w:val="none"/>
                <w:lang w:val="en-US" w:eastAsia="zh-CN"/>
              </w:rPr>
            </w:pPr>
            <w:r>
              <w:rPr>
                <w:rFonts w:hint="eastAsia" w:cs="Times New Roman"/>
                <w:b w:val="0"/>
                <w:bCs/>
                <w:snapToGrid w:val="0"/>
                <w:color w:val="auto"/>
                <w:kern w:val="0"/>
                <w:sz w:val="24"/>
                <w:szCs w:val="24"/>
                <w:highlight w:val="none"/>
                <w:lang w:val="en-US" w:eastAsia="zh-CN"/>
              </w:rPr>
              <w:t>⑤</w:t>
            </w:r>
            <w:r>
              <w:rPr>
                <w:rFonts w:hint="default" w:ascii="Times New Roman" w:hAnsi="Times New Roman" w:cs="Times New Roman"/>
                <w:b w:val="0"/>
                <w:bCs/>
                <w:snapToGrid w:val="0"/>
                <w:color w:val="auto"/>
                <w:kern w:val="0"/>
                <w:sz w:val="24"/>
                <w:szCs w:val="24"/>
                <w:highlight w:val="none"/>
                <w:lang w:val="en-US" w:eastAsia="zh-CN"/>
              </w:rPr>
              <w:t>防渗层上渗漏污染物和防渗层内渗漏污染物收集系统与全厂“三废”处理措施统筹考虑，统一处理。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snapToGrid w:val="0"/>
                <w:color w:val="auto"/>
                <w:kern w:val="0"/>
                <w:sz w:val="24"/>
                <w:szCs w:val="24"/>
                <w:highlight w:val="none"/>
                <w:lang w:val="en-US" w:eastAsia="zh-CN"/>
              </w:rPr>
            </w:pPr>
            <w:r>
              <w:rPr>
                <w:rFonts w:hint="default" w:ascii="Times New Roman" w:hAnsi="Times New Roman" w:cs="Times New Roman"/>
                <w:b w:val="0"/>
                <w:bCs/>
                <w:snapToGrid w:val="0"/>
                <w:color w:val="auto"/>
                <w:kern w:val="0"/>
                <w:sz w:val="24"/>
                <w:szCs w:val="24"/>
                <w:highlight w:val="none"/>
                <w:lang w:val="en-US" w:eastAsia="zh-CN"/>
              </w:rPr>
              <w:t>根据区域岩性结构，包气带天然防污性能为弱及生产装置的性质和防渗要求，将厂区防渗措施分为两个级别，并对应两个防治区，即一般防渗区和重点防渗区，本项目不设简单防渗区。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snapToGrid w:val="0"/>
                <w:color w:val="auto"/>
                <w:kern w:val="0"/>
                <w:sz w:val="24"/>
                <w:szCs w:val="24"/>
                <w:highlight w:val="none"/>
                <w:lang w:val="en-US" w:eastAsia="zh-CN"/>
              </w:rPr>
            </w:pPr>
            <w:r>
              <w:rPr>
                <w:rFonts w:hint="default" w:ascii="Times New Roman" w:hAnsi="Times New Roman" w:cs="Times New Roman"/>
                <w:b w:val="0"/>
                <w:bCs/>
                <w:snapToGrid w:val="0"/>
                <w:color w:val="auto"/>
                <w:kern w:val="0"/>
                <w:sz w:val="24"/>
                <w:szCs w:val="24"/>
                <w:highlight w:val="none"/>
                <w:lang w:val="en-US" w:eastAsia="zh-CN"/>
              </w:rPr>
              <w:t>重点防渗区</w:t>
            </w:r>
            <w:r>
              <w:rPr>
                <w:rFonts w:hint="eastAsia" w:cs="Times New Roman"/>
                <w:b w:val="0"/>
                <w:bCs/>
                <w:snapToGrid w:val="0"/>
                <w:color w:val="auto"/>
                <w:kern w:val="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snapToGrid w:val="0"/>
                <w:color w:val="auto"/>
                <w:kern w:val="0"/>
                <w:sz w:val="24"/>
                <w:szCs w:val="24"/>
                <w:highlight w:val="none"/>
                <w:lang w:val="en-US" w:eastAsia="zh-CN"/>
              </w:rPr>
            </w:pPr>
            <w:r>
              <w:rPr>
                <w:rFonts w:hint="default" w:ascii="Times New Roman" w:hAnsi="Times New Roman" w:cs="Times New Roman"/>
                <w:b w:val="0"/>
                <w:bCs/>
                <w:snapToGrid w:val="0"/>
                <w:color w:val="auto"/>
                <w:kern w:val="0"/>
                <w:sz w:val="24"/>
                <w:szCs w:val="24"/>
                <w:highlight w:val="none"/>
                <w:lang w:val="en-US" w:eastAsia="zh-CN"/>
              </w:rPr>
              <w:t>本次环评要求浓密池进行重点防渗区防渗处理，以防止物料泄漏对地下水环境造成污染。池体采用防渗钢筋混凝土，其壁厚不小于250mm，地基铺设≥2.0mm厚双糙面HDPE土工膜（膜下设无纺布垫层），采用双轨热熔焊接，真空法检漏，膜上铺设土工布保护层。池体内壁涂刷水泥基渗透结晶型防渗涂料，干膜厚度≥1.0mm。HDPE土工膜具有成本低、防渗能力好、化学稳定性好、抗紫外线老化性好以及微生物侵袭等优点，同时规避了渗漏的风险。</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snapToGrid w:val="0"/>
                <w:color w:val="auto"/>
                <w:kern w:val="0"/>
                <w:sz w:val="24"/>
                <w:szCs w:val="24"/>
                <w:highlight w:val="none"/>
                <w:lang w:val="en-US" w:eastAsia="zh-CN"/>
              </w:rPr>
            </w:pPr>
            <w:r>
              <w:rPr>
                <w:rFonts w:hint="default" w:ascii="Times New Roman" w:hAnsi="Times New Roman" w:cs="Times New Roman"/>
                <w:b w:val="0"/>
                <w:bCs/>
                <w:snapToGrid w:val="0"/>
                <w:color w:val="auto"/>
                <w:kern w:val="0"/>
                <w:sz w:val="24"/>
                <w:szCs w:val="24"/>
                <w:highlight w:val="none"/>
                <w:lang w:val="en-US" w:eastAsia="zh-CN"/>
              </w:rPr>
              <w:t>一般防渗区</w:t>
            </w:r>
            <w:r>
              <w:rPr>
                <w:rFonts w:hint="eastAsia" w:cs="Times New Roman"/>
                <w:b w:val="0"/>
                <w:bCs/>
                <w:snapToGrid w:val="0"/>
                <w:color w:val="auto"/>
                <w:kern w:val="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snapToGrid w:val="0"/>
                <w:color w:val="auto"/>
                <w:kern w:val="0"/>
                <w:sz w:val="24"/>
                <w:szCs w:val="24"/>
                <w:highlight w:val="none"/>
                <w:lang w:val="en-US" w:eastAsia="zh-CN"/>
              </w:rPr>
            </w:pPr>
            <w:r>
              <w:rPr>
                <w:rFonts w:hint="default" w:ascii="Times New Roman" w:hAnsi="Times New Roman" w:cs="Times New Roman"/>
                <w:b w:val="0"/>
                <w:bCs/>
                <w:snapToGrid w:val="0"/>
                <w:color w:val="auto"/>
                <w:kern w:val="0"/>
                <w:sz w:val="24"/>
                <w:szCs w:val="24"/>
                <w:highlight w:val="none"/>
                <w:lang w:val="en-US" w:eastAsia="zh-CN"/>
              </w:rPr>
              <w:t>项目要求对除重点防渗区外的选矿厂精选车间、尾矿浆输送管道进行一般防渗区防渗处理，以防止污水、物料泄漏对地下水环境造成污染。</w:t>
            </w:r>
            <w:r>
              <w:rPr>
                <w:rFonts w:hint="eastAsia" w:cs="Times New Roman"/>
                <w:b w:val="0"/>
                <w:bCs/>
                <w:snapToGrid w:val="0"/>
                <w:color w:val="auto"/>
                <w:kern w:val="0"/>
                <w:sz w:val="24"/>
                <w:szCs w:val="24"/>
                <w:highlight w:val="none"/>
                <w:lang w:val="en-US" w:eastAsia="zh-CN"/>
              </w:rPr>
              <w:t>车间</w:t>
            </w:r>
            <w:r>
              <w:rPr>
                <w:rFonts w:hint="default" w:ascii="Times New Roman" w:hAnsi="Times New Roman" w:cs="Times New Roman"/>
                <w:b w:val="0"/>
                <w:bCs/>
                <w:snapToGrid w:val="0"/>
                <w:color w:val="auto"/>
                <w:kern w:val="0"/>
                <w:sz w:val="24"/>
                <w:szCs w:val="24"/>
                <w:highlight w:val="none"/>
                <w:lang w:val="en-US" w:eastAsia="zh-CN"/>
              </w:rPr>
              <w:t>地面基层平整压实，铺设100mm厚细砂垫层</w:t>
            </w:r>
            <w:r>
              <w:rPr>
                <w:rFonts w:hint="eastAsia" w:cs="Times New Roman"/>
                <w:b w:val="0"/>
                <w:bCs/>
                <w:snapToGrid w:val="0"/>
                <w:color w:val="auto"/>
                <w:kern w:val="0"/>
                <w:sz w:val="24"/>
                <w:szCs w:val="24"/>
                <w:highlight w:val="none"/>
                <w:lang w:val="en-US" w:eastAsia="zh-CN"/>
              </w:rPr>
              <w:t>，采用厚度≥1.5mm的HDPE土工膜，土工膜上方铺设200mm厚细砂保护层，防止硬物刺穿；保护层上方浇筑100mm厚C20混凝土地面。局部管沟段底部铺设1.5mm厚HDPE土工膜，膜上铺设50mm厚细砂垫层，管道放置于垫层上，管道法兰接口处设置防渗包裹层，采用土工膜缠绕密封，防止接口跑冒滴漏下渗。</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cs="Times New Roman"/>
                <w:b w:val="0"/>
                <w:bCs/>
                <w:snapToGrid w:val="0"/>
                <w:color w:val="auto"/>
                <w:kern w:val="0"/>
                <w:sz w:val="24"/>
                <w:szCs w:val="24"/>
                <w:highlight w:val="none"/>
                <w:lang w:val="en-US" w:eastAsia="zh-CN"/>
              </w:rPr>
            </w:pPr>
            <w:r>
              <w:rPr>
                <w:rFonts w:hint="eastAsia" w:cs="Times New Roman"/>
                <w:b w:val="0"/>
                <w:bCs/>
                <w:snapToGrid w:val="0"/>
                <w:color w:val="auto"/>
                <w:kern w:val="0"/>
                <w:sz w:val="24"/>
                <w:szCs w:val="24"/>
                <w:highlight w:val="none"/>
                <w:lang w:val="en-US" w:eastAsia="zh-CN"/>
              </w:rPr>
              <w:t>土工膜焊缝采用充气法检测，所有破损修补点全部进行真空检漏，合格后方可铺设保护层。管道安装完成后开展水压试验，接口无渗漏为合格。运行期每日巡查地面、管沟有无积水积液，发现异常立即排查渗漏点；每周检查管道接口、阀门处有无跑冒滴漏，及时处置。</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snapToGrid w:val="0"/>
                <w:color w:val="auto"/>
                <w:kern w:val="0"/>
                <w:sz w:val="24"/>
                <w:szCs w:val="24"/>
                <w:highlight w:val="none"/>
                <w:lang w:val="en-US" w:eastAsia="zh-CN"/>
              </w:rPr>
            </w:pPr>
            <w:r>
              <w:rPr>
                <w:rFonts w:hint="eastAsia" w:cs="Times New Roman"/>
                <w:b w:val="0"/>
                <w:bCs/>
                <w:snapToGrid w:val="0"/>
                <w:color w:val="auto"/>
                <w:kern w:val="0"/>
                <w:sz w:val="24"/>
                <w:szCs w:val="24"/>
                <w:highlight w:val="none"/>
                <w:lang w:val="en-US" w:eastAsia="zh-CN"/>
              </w:rPr>
              <w:t>（3）污染监控措施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snapToGrid w:val="0"/>
                <w:color w:val="auto"/>
                <w:kern w:val="0"/>
                <w:sz w:val="24"/>
                <w:szCs w:val="24"/>
                <w:highlight w:val="none"/>
                <w:lang w:val="en-US" w:eastAsia="zh-CN"/>
              </w:rPr>
            </w:pPr>
            <w:r>
              <w:rPr>
                <w:rFonts w:hint="default" w:ascii="Times New Roman" w:hAnsi="Times New Roman" w:cs="Times New Roman"/>
                <w:b w:val="0"/>
                <w:bCs/>
                <w:snapToGrid w:val="0"/>
                <w:color w:val="auto"/>
                <w:kern w:val="0"/>
                <w:sz w:val="24"/>
                <w:szCs w:val="24"/>
                <w:highlight w:val="none"/>
                <w:lang w:val="en-US" w:eastAsia="zh-CN"/>
              </w:rPr>
              <w:t>建立地下水环境</w:t>
            </w:r>
            <w:r>
              <w:rPr>
                <w:rFonts w:hint="eastAsia" w:cs="Times New Roman"/>
                <w:b w:val="0"/>
                <w:bCs/>
                <w:snapToGrid w:val="0"/>
                <w:color w:val="auto"/>
                <w:kern w:val="0"/>
                <w:sz w:val="24"/>
                <w:szCs w:val="24"/>
                <w:highlight w:val="none"/>
                <w:lang w:val="en-US" w:eastAsia="zh-CN"/>
              </w:rPr>
              <w:t>监控</w:t>
            </w:r>
            <w:r>
              <w:rPr>
                <w:rFonts w:hint="default" w:ascii="Times New Roman" w:hAnsi="Times New Roman" w:cs="Times New Roman"/>
                <w:b w:val="0"/>
                <w:bCs/>
                <w:snapToGrid w:val="0"/>
                <w:color w:val="auto"/>
                <w:kern w:val="0"/>
                <w:sz w:val="24"/>
                <w:szCs w:val="24"/>
                <w:highlight w:val="none"/>
                <w:lang w:val="en-US" w:eastAsia="zh-CN"/>
              </w:rPr>
              <w:t>管理体系，制订地下水环境影响跟踪监测计划，及时掌握地下水动态变化规律。</w:t>
            </w:r>
            <w:r>
              <w:rPr>
                <w:rFonts w:hint="eastAsia" w:cs="Times New Roman"/>
                <w:b w:val="0"/>
                <w:bCs/>
                <w:snapToGrid w:val="0"/>
                <w:color w:val="auto"/>
                <w:kern w:val="0"/>
                <w:sz w:val="24"/>
                <w:szCs w:val="24"/>
                <w:highlight w:val="none"/>
                <w:lang w:val="en-US" w:eastAsia="zh-CN"/>
              </w:rPr>
              <w:t>本项目</w:t>
            </w:r>
            <w:r>
              <w:rPr>
                <w:rFonts w:hint="default" w:ascii="Times New Roman" w:hAnsi="Times New Roman" w:cs="Times New Roman"/>
                <w:b w:val="0"/>
                <w:bCs/>
                <w:snapToGrid w:val="0"/>
                <w:color w:val="auto"/>
                <w:kern w:val="0"/>
                <w:sz w:val="24"/>
                <w:szCs w:val="24"/>
                <w:highlight w:val="none"/>
                <w:lang w:val="en-US" w:eastAsia="zh-CN"/>
              </w:rPr>
              <w:t>依托</w:t>
            </w:r>
            <w:r>
              <w:rPr>
                <w:rFonts w:hint="eastAsia" w:cs="Times New Roman"/>
                <w:b w:val="0"/>
                <w:bCs/>
                <w:snapToGrid w:val="0"/>
                <w:color w:val="auto"/>
                <w:kern w:val="0"/>
                <w:sz w:val="24"/>
                <w:szCs w:val="24"/>
                <w:highlight w:val="none"/>
                <w:lang w:val="en-US" w:eastAsia="zh-CN"/>
              </w:rPr>
              <w:t>选矿厂</w:t>
            </w:r>
            <w:r>
              <w:rPr>
                <w:rFonts w:hint="default" w:ascii="Times New Roman" w:hAnsi="Times New Roman" w:cs="Times New Roman"/>
                <w:b w:val="0"/>
                <w:bCs/>
                <w:snapToGrid w:val="0"/>
                <w:color w:val="auto"/>
                <w:kern w:val="0"/>
                <w:sz w:val="24"/>
                <w:szCs w:val="24"/>
                <w:highlight w:val="none"/>
                <w:lang w:val="en-US" w:eastAsia="zh-CN"/>
              </w:rPr>
              <w:t>已建地下水污染监控井（上游1眼，下游2眼），对地下水水质因子进行监测，一旦发现地下水出现异常情况，启动应急预案、采取相应的应急措施。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cs="Times New Roman"/>
                <w:b w:val="0"/>
                <w:bCs/>
                <w:snapToGrid w:val="0"/>
                <w:color w:val="auto"/>
                <w:kern w:val="0"/>
                <w:sz w:val="24"/>
                <w:szCs w:val="24"/>
                <w:highlight w:val="none"/>
                <w:lang w:val="en-US" w:eastAsia="zh-CN"/>
              </w:rPr>
            </w:pPr>
            <w:r>
              <w:rPr>
                <w:rFonts w:hint="eastAsia" w:cs="Times New Roman"/>
                <w:b w:val="0"/>
                <w:bCs/>
                <w:snapToGrid w:val="0"/>
                <w:color w:val="auto"/>
                <w:kern w:val="0"/>
                <w:sz w:val="24"/>
                <w:szCs w:val="24"/>
                <w:highlight w:val="none"/>
                <w:lang w:val="en-US" w:eastAsia="zh-CN"/>
              </w:rPr>
              <w:t>事故应急监测将在环境风险事故发生后连续取样，监测地下水污染物浓度变化情况，直至恢复正常。以事故发生地为中心，根据本地区地下水流向采用网格法或辐射法在周围 2km 内布设监测井采样。监测pH、Sb、Pb、石油类等。</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snapToGrid w:val="0"/>
                <w:color w:val="auto"/>
                <w:kern w:val="0"/>
                <w:sz w:val="24"/>
                <w:szCs w:val="24"/>
                <w:highlight w:val="none"/>
                <w:lang w:val="en-US" w:eastAsia="zh-CN"/>
              </w:rPr>
            </w:pPr>
            <w:r>
              <w:rPr>
                <w:rFonts w:hint="eastAsia" w:ascii="Times New Roman" w:hAnsi="Times New Roman" w:eastAsia="宋体" w:cs="Times New Roman"/>
                <w:b w:val="0"/>
                <w:bCs/>
                <w:snapToGrid w:val="0"/>
                <w:color w:val="auto"/>
                <w:kern w:val="0"/>
                <w:sz w:val="24"/>
                <w:szCs w:val="24"/>
                <w:highlight w:val="none"/>
                <w:lang w:val="en-US" w:eastAsia="zh-CN"/>
              </w:rPr>
              <w:t>（4）应急响应措施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snapToGrid w:val="0"/>
                <w:color w:val="auto"/>
                <w:kern w:val="0"/>
                <w:sz w:val="24"/>
                <w:szCs w:val="24"/>
                <w:highlight w:val="none"/>
                <w:lang w:val="en-US" w:eastAsia="zh-CN"/>
              </w:rPr>
            </w:pPr>
            <w:r>
              <w:rPr>
                <w:rFonts w:hint="default" w:ascii="Times New Roman" w:hAnsi="Times New Roman" w:eastAsia="宋体" w:cs="Times New Roman"/>
                <w:b w:val="0"/>
                <w:bCs/>
                <w:snapToGrid w:val="0"/>
                <w:color w:val="auto"/>
                <w:kern w:val="0"/>
                <w:sz w:val="24"/>
                <w:szCs w:val="24"/>
                <w:highlight w:val="none"/>
                <w:lang w:val="en-US" w:eastAsia="zh-CN"/>
              </w:rPr>
              <w:t>在制定选厂环境管理体制的基础上，制订专门的地下水污染事故的应急措施，并应与其它应急预案相协调。地下水应急预案应包括以下内容：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snapToGrid w:val="0"/>
                <w:color w:val="auto"/>
                <w:kern w:val="0"/>
                <w:sz w:val="24"/>
                <w:szCs w:val="24"/>
                <w:highlight w:val="none"/>
                <w:lang w:val="en-US" w:eastAsia="zh-CN"/>
              </w:rPr>
            </w:pPr>
            <w:r>
              <w:rPr>
                <w:rFonts w:hint="default" w:ascii="Times New Roman" w:hAnsi="Times New Roman" w:eastAsia="宋体" w:cs="Times New Roman"/>
                <w:b w:val="0"/>
                <w:bCs/>
                <w:snapToGrid w:val="0"/>
                <w:color w:val="auto"/>
                <w:kern w:val="0"/>
                <w:sz w:val="24"/>
                <w:szCs w:val="24"/>
                <w:highlight w:val="none"/>
                <w:lang w:val="en-US" w:eastAsia="zh-CN"/>
              </w:rPr>
              <w:t>①应急预案的日常协调和指挥机构；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snapToGrid w:val="0"/>
                <w:color w:val="auto"/>
                <w:kern w:val="0"/>
                <w:sz w:val="24"/>
                <w:szCs w:val="24"/>
                <w:highlight w:val="none"/>
                <w:lang w:val="en-US" w:eastAsia="zh-CN"/>
              </w:rPr>
            </w:pPr>
            <w:r>
              <w:rPr>
                <w:rFonts w:hint="default" w:ascii="Times New Roman" w:hAnsi="Times New Roman" w:eastAsia="宋体" w:cs="Times New Roman"/>
                <w:b w:val="0"/>
                <w:bCs/>
                <w:snapToGrid w:val="0"/>
                <w:color w:val="auto"/>
                <w:kern w:val="0"/>
                <w:sz w:val="24"/>
                <w:szCs w:val="24"/>
                <w:highlight w:val="none"/>
                <w:lang w:val="en-US" w:eastAsia="zh-CN"/>
              </w:rPr>
              <w:t>②相关部门在应急预案中的职责和分工；</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snapToGrid w:val="0"/>
                <w:color w:val="auto"/>
                <w:kern w:val="0"/>
                <w:sz w:val="24"/>
                <w:szCs w:val="24"/>
                <w:highlight w:val="none"/>
                <w:lang w:val="en-US" w:eastAsia="zh-CN"/>
              </w:rPr>
            </w:pPr>
            <w:r>
              <w:rPr>
                <w:rFonts w:hint="default" w:ascii="Times New Roman" w:hAnsi="Times New Roman" w:eastAsia="宋体" w:cs="Times New Roman"/>
                <w:b w:val="0"/>
                <w:bCs/>
                <w:snapToGrid w:val="0"/>
                <w:color w:val="auto"/>
                <w:kern w:val="0"/>
                <w:sz w:val="24"/>
                <w:szCs w:val="24"/>
                <w:highlight w:val="none"/>
                <w:lang w:val="en-US" w:eastAsia="zh-CN"/>
              </w:rPr>
              <w:t>③地下水环境保护目标的确定，采取的紧急处置措施和潜在污染源评估；</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snapToGrid w:val="0"/>
                <w:color w:val="auto"/>
                <w:kern w:val="0"/>
                <w:sz w:val="24"/>
                <w:szCs w:val="24"/>
                <w:highlight w:val="none"/>
                <w:lang w:val="en-US" w:eastAsia="zh-CN"/>
              </w:rPr>
            </w:pPr>
            <w:r>
              <w:rPr>
                <w:rFonts w:hint="default" w:ascii="Times New Roman" w:hAnsi="Times New Roman" w:eastAsia="宋体" w:cs="Times New Roman"/>
                <w:b w:val="0"/>
                <w:bCs/>
                <w:snapToGrid w:val="0"/>
                <w:color w:val="auto"/>
                <w:kern w:val="0"/>
                <w:sz w:val="24"/>
                <w:szCs w:val="24"/>
                <w:highlight w:val="none"/>
                <w:lang w:val="en-US" w:eastAsia="zh-CN"/>
              </w:rPr>
              <w:t>④特大事故应急救援组织状况和人员、装备情况，平常的训练和演习；</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snapToGrid w:val="0"/>
                <w:color w:val="auto"/>
                <w:kern w:val="0"/>
                <w:sz w:val="24"/>
                <w:szCs w:val="24"/>
                <w:highlight w:val="none"/>
                <w:lang w:val="en-US" w:eastAsia="zh-CN"/>
              </w:rPr>
            </w:pPr>
            <w:r>
              <w:rPr>
                <w:rFonts w:hint="default" w:ascii="Times New Roman" w:hAnsi="Times New Roman" w:eastAsia="宋体" w:cs="Times New Roman"/>
                <w:b w:val="0"/>
                <w:bCs/>
                <w:snapToGrid w:val="0"/>
                <w:color w:val="auto"/>
                <w:kern w:val="0"/>
                <w:sz w:val="24"/>
                <w:szCs w:val="24"/>
                <w:highlight w:val="none"/>
                <w:lang w:val="en-US" w:eastAsia="zh-CN"/>
              </w:rPr>
              <w:t>⑤特大事故的社会支持和援助，应急救援的经费保障。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snapToGrid w:val="0"/>
                <w:color w:val="auto"/>
                <w:kern w:val="0"/>
                <w:sz w:val="24"/>
                <w:szCs w:val="24"/>
                <w:highlight w:val="none"/>
                <w:lang w:val="en-US" w:eastAsia="zh-CN"/>
              </w:rPr>
            </w:pPr>
            <w:r>
              <w:rPr>
                <w:rFonts w:hint="default" w:ascii="Times New Roman" w:hAnsi="Times New Roman" w:eastAsia="宋体" w:cs="Times New Roman"/>
                <w:b w:val="0"/>
                <w:bCs/>
                <w:snapToGrid w:val="0"/>
                <w:color w:val="auto"/>
                <w:kern w:val="0"/>
                <w:sz w:val="24"/>
                <w:szCs w:val="24"/>
                <w:highlight w:val="none"/>
                <w:lang w:val="en-US" w:eastAsia="zh-CN"/>
              </w:rPr>
              <w:t>一旦发现地下水发生异常情况，必须按照应急预案马上采取紧急措施：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snapToGrid w:val="0"/>
                <w:color w:val="auto"/>
                <w:kern w:val="0"/>
                <w:sz w:val="24"/>
                <w:szCs w:val="24"/>
                <w:highlight w:val="none"/>
                <w:lang w:val="en-US" w:eastAsia="zh-CN"/>
              </w:rPr>
            </w:pPr>
            <w:r>
              <w:rPr>
                <w:rFonts w:hint="default" w:ascii="Times New Roman" w:hAnsi="Times New Roman" w:eastAsia="宋体" w:cs="Times New Roman"/>
                <w:b w:val="0"/>
                <w:bCs/>
                <w:snapToGrid w:val="0"/>
                <w:color w:val="auto"/>
                <w:kern w:val="0"/>
                <w:sz w:val="24"/>
                <w:szCs w:val="24"/>
                <w:highlight w:val="none"/>
                <w:lang w:val="en-US" w:eastAsia="zh-CN"/>
              </w:rPr>
              <w:t>①当确定发生地下水异常情况时，按照制订的地下水应急预案，在第一时间尽快上报主管领导，通知当地生态环境局，密切关注地下水水质变化情况。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snapToGrid w:val="0"/>
                <w:color w:val="auto"/>
                <w:kern w:val="0"/>
                <w:sz w:val="24"/>
                <w:szCs w:val="24"/>
                <w:highlight w:val="none"/>
                <w:lang w:val="en-US" w:eastAsia="zh-CN"/>
              </w:rPr>
            </w:pPr>
            <w:r>
              <w:rPr>
                <w:rFonts w:hint="default" w:ascii="Times New Roman" w:hAnsi="Times New Roman" w:eastAsia="宋体" w:cs="Times New Roman"/>
                <w:b w:val="0"/>
                <w:bCs/>
                <w:snapToGrid w:val="0"/>
                <w:color w:val="auto"/>
                <w:kern w:val="0"/>
                <w:sz w:val="24"/>
                <w:szCs w:val="24"/>
                <w:highlight w:val="none"/>
                <w:lang w:val="en-US" w:eastAsia="zh-CN"/>
              </w:rPr>
              <w:t>②组织有相应资质单位对事故现场进行调查、监测，查找环境事故发生地点、分析事故原因，尽量将紧急事件局部化，如可能应予以消除，采取包括切断生产装置或设施等措施，防止事故的扩散、蔓延及连锁反应，尽量缩小地下水污染事故对人和财产的影响。</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snapToGrid w:val="0"/>
                <w:color w:val="auto"/>
                <w:kern w:val="0"/>
                <w:sz w:val="24"/>
                <w:szCs w:val="24"/>
                <w:highlight w:val="none"/>
                <w:lang w:val="en-US" w:eastAsia="zh-CN"/>
              </w:rPr>
            </w:pPr>
            <w:r>
              <w:rPr>
                <w:rFonts w:hint="default" w:ascii="Times New Roman" w:hAnsi="Times New Roman" w:eastAsia="宋体" w:cs="Times New Roman"/>
                <w:b w:val="0"/>
                <w:bCs/>
                <w:snapToGrid w:val="0"/>
                <w:color w:val="auto"/>
                <w:kern w:val="0"/>
                <w:sz w:val="24"/>
                <w:szCs w:val="24"/>
                <w:highlight w:val="none"/>
                <w:lang w:val="en-US" w:eastAsia="zh-CN"/>
              </w:rPr>
              <w:t>③对事故后果进行评估，并制定防止类似事件发生的措施。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snapToGrid w:val="0"/>
                <w:color w:val="auto"/>
                <w:kern w:val="0"/>
                <w:sz w:val="24"/>
                <w:szCs w:val="24"/>
                <w:highlight w:val="none"/>
                <w:lang w:val="en-US" w:eastAsia="zh-CN"/>
              </w:rPr>
            </w:pPr>
            <w:r>
              <w:rPr>
                <w:rFonts w:hint="default" w:ascii="Times New Roman" w:hAnsi="Times New Roman" w:eastAsia="宋体" w:cs="Times New Roman"/>
                <w:b w:val="0"/>
                <w:bCs/>
                <w:snapToGrid w:val="0"/>
                <w:color w:val="auto"/>
                <w:kern w:val="0"/>
                <w:sz w:val="24"/>
                <w:szCs w:val="24"/>
                <w:highlight w:val="none"/>
                <w:lang w:val="en-US" w:eastAsia="zh-CN"/>
              </w:rPr>
              <w:t>④如果自身力量无法应对污染事故，应立即请求社会应急力量协助处理。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snapToGrid w:val="0"/>
                <w:color w:val="auto"/>
                <w:kern w:val="0"/>
                <w:sz w:val="24"/>
                <w:szCs w:val="24"/>
                <w:highlight w:val="none"/>
                <w:lang w:val="en-US" w:eastAsia="zh-CN"/>
              </w:rPr>
            </w:pPr>
            <w:r>
              <w:rPr>
                <w:rFonts w:hint="default" w:ascii="Times New Roman" w:hAnsi="Times New Roman" w:eastAsia="宋体" w:cs="Times New Roman"/>
                <w:b w:val="0"/>
                <w:bCs/>
                <w:snapToGrid w:val="0"/>
                <w:color w:val="auto"/>
                <w:kern w:val="0"/>
                <w:sz w:val="24"/>
                <w:szCs w:val="24"/>
                <w:highlight w:val="none"/>
                <w:lang w:val="en-US" w:eastAsia="zh-CN"/>
              </w:rPr>
              <w:t>本项目</w:t>
            </w:r>
            <w:r>
              <w:rPr>
                <w:rFonts w:hint="default" w:ascii="Times New Roman" w:hAnsi="Times New Roman" w:cs="Times New Roman"/>
                <w:b w:val="0"/>
                <w:bCs/>
                <w:snapToGrid w:val="0"/>
                <w:color w:val="auto"/>
                <w:kern w:val="0"/>
                <w:sz w:val="24"/>
                <w:szCs w:val="24"/>
                <w:highlight w:val="none"/>
                <w:lang w:val="en-US" w:eastAsia="zh-CN"/>
              </w:rPr>
              <w:t>属于尾矿综合利用项目</w:t>
            </w:r>
            <w:r>
              <w:rPr>
                <w:rFonts w:hint="default" w:ascii="Times New Roman" w:hAnsi="Times New Roman" w:eastAsia="宋体" w:cs="Times New Roman"/>
                <w:b w:val="0"/>
                <w:bCs/>
                <w:snapToGrid w:val="0"/>
                <w:color w:val="auto"/>
                <w:kern w:val="0"/>
                <w:sz w:val="24"/>
                <w:szCs w:val="24"/>
                <w:highlight w:val="none"/>
                <w:lang w:val="en-US" w:eastAsia="zh-CN"/>
              </w:rPr>
              <w:t>，本项目实施后通过尾砂的回采综合利用将彻底消除尾矿库对周边地下水的污染，将有利于区域地下水质量的改善；类比现有尾矿库的运行对周边地下水质影响的实际情况，在严格落实环评提出的地下水污染物防治措施前提下，本项目的实施不会对周边地下水水质造成不利影响。</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cs="Times New Roman"/>
                <w:b/>
                <w:bCs w:val="0"/>
                <w:snapToGrid w:val="0"/>
                <w:color w:val="auto"/>
                <w:kern w:val="0"/>
                <w:sz w:val="24"/>
                <w:szCs w:val="24"/>
                <w:highlight w:val="none"/>
                <w:lang w:val="en-US" w:eastAsia="zh-CN"/>
              </w:rPr>
            </w:pPr>
            <w:r>
              <w:rPr>
                <w:rFonts w:hint="default" w:ascii="Times New Roman" w:hAnsi="Times New Roman" w:cs="Times New Roman"/>
                <w:b/>
                <w:bCs w:val="0"/>
                <w:snapToGrid w:val="0"/>
                <w:color w:val="auto"/>
                <w:kern w:val="0"/>
                <w:sz w:val="24"/>
                <w:szCs w:val="24"/>
                <w:highlight w:val="none"/>
                <w:lang w:val="en-US" w:eastAsia="zh-CN"/>
              </w:rPr>
              <w:t>5.4监测计划</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根据《排污单位自行监测技术指南 总纲（HJ819-2019）》、《工业企业土壤和地下水自行监测技术指南（试行)》（HU1209-2021）制定监测计划，内容详见下表。</w:t>
            </w:r>
          </w:p>
          <w:p>
            <w:pPr>
              <w:pStyle w:val="85"/>
              <w:bidi w:val="0"/>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表</w:t>
            </w:r>
            <w:r>
              <w:rPr>
                <w:rFonts w:hint="default" w:ascii="Times New Roman" w:hAnsi="Times New Roman" w:eastAsia="宋体" w:cs="Times New Roman"/>
                <w:color w:val="auto"/>
                <w:sz w:val="21"/>
                <w:szCs w:val="21"/>
                <w:highlight w:val="none"/>
                <w:lang w:val="en-US" w:eastAsia="zh-CN"/>
              </w:rPr>
              <w:t>4-1</w:t>
            </w:r>
            <w:r>
              <w:rPr>
                <w:rFonts w:hint="eastAsia" w:eastAsia="宋体" w:cs="Times New Roman"/>
                <w:color w:val="auto"/>
                <w:sz w:val="21"/>
                <w:szCs w:val="21"/>
                <w:highlight w:val="none"/>
                <w:lang w:val="en-US" w:eastAsia="zh-CN"/>
              </w:rPr>
              <w:t xml:space="preserve">4 </w:t>
            </w:r>
            <w:r>
              <w:rPr>
                <w:rFonts w:hint="default" w:ascii="Times New Roman" w:hAnsi="Times New Roman" w:eastAsia="宋体" w:cs="Times New Roman"/>
                <w:color w:val="auto"/>
                <w:sz w:val="21"/>
                <w:szCs w:val="21"/>
                <w:highlight w:val="none"/>
              </w:rPr>
              <w:t>监测计划内容</w:t>
            </w:r>
          </w:p>
          <w:tbl>
            <w:tblPr>
              <w:tblStyle w:val="29"/>
              <w:tblW w:w="4998" w:type="pct"/>
              <w:jc w:val="center"/>
              <w:tblBorders>
                <w:top w:val="single" w:color="000000" w:sz="12" w:space="0"/>
                <w:left w:val="single" w:color="000000" w:sz="12" w:space="0"/>
                <w:bottom w:val="single" w:color="000000" w:sz="12" w:space="0"/>
                <w:right w:val="single" w:color="000000" w:sz="12" w:space="0"/>
                <w:insideH w:val="none" w:color="auto" w:sz="0" w:space="0"/>
                <w:insideV w:val="single" w:color="000000" w:sz="4" w:space="0"/>
              </w:tblBorders>
              <w:tblLayout w:type="autofit"/>
              <w:tblCellMar>
                <w:top w:w="0" w:type="dxa"/>
                <w:left w:w="108" w:type="dxa"/>
                <w:bottom w:w="0" w:type="dxa"/>
                <w:right w:w="108" w:type="dxa"/>
              </w:tblCellMar>
            </w:tblPr>
            <w:tblGrid>
              <w:gridCol w:w="639"/>
              <w:gridCol w:w="1158"/>
              <w:gridCol w:w="3538"/>
              <w:gridCol w:w="923"/>
              <w:gridCol w:w="2131"/>
            </w:tblGrid>
            <w:tr>
              <w:tblPrEx>
                <w:tblBorders>
                  <w:top w:val="single" w:color="000000" w:sz="12" w:space="0"/>
                  <w:left w:val="single" w:color="000000" w:sz="12" w:space="0"/>
                  <w:bottom w:val="single" w:color="000000" w:sz="12" w:space="0"/>
                  <w:right w:val="single" w:color="000000" w:sz="12" w:space="0"/>
                  <w:insideH w:val="none" w:color="auto" w:sz="0" w:space="0"/>
                  <w:insideV w:val="single" w:color="000000" w:sz="4" w:space="0"/>
                </w:tblBorders>
                <w:tblCellMar>
                  <w:top w:w="0" w:type="dxa"/>
                  <w:left w:w="108" w:type="dxa"/>
                  <w:bottom w:w="0" w:type="dxa"/>
                  <w:right w:w="108" w:type="dxa"/>
                </w:tblCellMar>
              </w:tblPrEx>
              <w:trPr>
                <w:trHeight w:val="99" w:hRule="atLeast"/>
                <w:jc w:val="center"/>
              </w:trPr>
              <w:tc>
                <w:tcPr>
                  <w:tcW w:w="391" w:type="pct"/>
                  <w:tcBorders>
                    <w:bottom w:val="single" w:color="000000" w:sz="4" w:space="0"/>
                  </w:tcBorders>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环境要素</w:t>
                  </w:r>
                </w:p>
              </w:tc>
              <w:tc>
                <w:tcPr>
                  <w:tcW w:w="700" w:type="pct"/>
                  <w:tcBorders>
                    <w:bottom w:val="single" w:color="000000" w:sz="4" w:space="0"/>
                  </w:tcBorders>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监测点位</w:t>
                  </w:r>
                </w:p>
              </w:tc>
              <w:tc>
                <w:tcPr>
                  <w:tcW w:w="2118" w:type="pct"/>
                  <w:tcBorders>
                    <w:bottom w:val="single" w:color="000000" w:sz="4" w:space="0"/>
                  </w:tcBorders>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监测因子</w:t>
                  </w:r>
                </w:p>
              </w:tc>
              <w:tc>
                <w:tcPr>
                  <w:tcW w:w="560" w:type="pct"/>
                  <w:tcBorders>
                    <w:bottom w:val="single" w:color="000000" w:sz="4" w:space="0"/>
                  </w:tcBorders>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监测频次</w:t>
                  </w:r>
                </w:p>
              </w:tc>
              <w:tc>
                <w:tcPr>
                  <w:tcW w:w="1229" w:type="pct"/>
                  <w:tcBorders>
                    <w:bottom w:val="single" w:color="000000" w:sz="4" w:space="0"/>
                  </w:tcBorders>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执行标准</w:t>
                  </w:r>
                </w:p>
              </w:tc>
            </w:tr>
            <w:tr>
              <w:tblPrEx>
                <w:tblBorders>
                  <w:top w:val="single" w:color="000000" w:sz="12" w:space="0"/>
                  <w:left w:val="single" w:color="000000" w:sz="12" w:space="0"/>
                  <w:bottom w:val="single" w:color="000000" w:sz="12" w:space="0"/>
                  <w:right w:val="single" w:color="000000" w:sz="12" w:space="0"/>
                  <w:insideH w:val="none" w:color="auto" w:sz="0" w:space="0"/>
                  <w:insideV w:val="single" w:color="000000" w:sz="4" w:space="0"/>
                </w:tblBorders>
                <w:tblCellMar>
                  <w:top w:w="0" w:type="dxa"/>
                  <w:left w:w="108" w:type="dxa"/>
                  <w:bottom w:w="0" w:type="dxa"/>
                  <w:right w:w="108" w:type="dxa"/>
                </w:tblCellMar>
              </w:tblPrEx>
              <w:trPr>
                <w:trHeight w:val="223" w:hRule="atLeast"/>
                <w:jc w:val="center"/>
              </w:trPr>
              <w:tc>
                <w:tcPr>
                  <w:tcW w:w="391" w:type="pct"/>
                  <w:tcBorders>
                    <w:top w:val="single" w:color="000000" w:sz="4" w:space="0"/>
                    <w:bottom w:val="single" w:color="000000" w:sz="4" w:space="0"/>
                  </w:tcBorders>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地下水</w:t>
                  </w:r>
                </w:p>
              </w:tc>
              <w:tc>
                <w:tcPr>
                  <w:tcW w:w="700" w:type="pct"/>
                  <w:tcBorders>
                    <w:top w:val="single" w:color="000000" w:sz="4" w:space="0"/>
                    <w:bottom w:val="single" w:color="000000" w:sz="4" w:space="0"/>
                  </w:tcBorders>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项目区</w:t>
                  </w:r>
                  <w:r>
                    <w:rPr>
                      <w:rFonts w:hint="eastAsia" w:eastAsia="宋体" w:cs="Times New Roman"/>
                      <w:color w:val="auto"/>
                      <w:sz w:val="21"/>
                      <w:szCs w:val="21"/>
                      <w:highlight w:val="none"/>
                      <w:lang w:val="en-US" w:eastAsia="zh-CN"/>
                    </w:rPr>
                    <w:t>上游、</w:t>
                  </w:r>
                  <w:r>
                    <w:rPr>
                      <w:rFonts w:hint="default" w:ascii="Times New Roman" w:hAnsi="Times New Roman" w:eastAsia="宋体" w:cs="Times New Roman"/>
                      <w:color w:val="auto"/>
                      <w:sz w:val="21"/>
                      <w:szCs w:val="21"/>
                      <w:highlight w:val="none"/>
                      <w:lang w:val="en-US" w:eastAsia="zh-CN"/>
                    </w:rPr>
                    <w:t>下游</w:t>
                  </w:r>
                  <w:r>
                    <w:rPr>
                      <w:rFonts w:hint="eastAsia" w:eastAsia="宋体" w:cs="Times New Roman"/>
                      <w:color w:val="auto"/>
                      <w:sz w:val="21"/>
                      <w:szCs w:val="21"/>
                      <w:highlight w:val="none"/>
                      <w:lang w:val="en-US" w:eastAsia="zh-CN"/>
                    </w:rPr>
                    <w:t>共</w:t>
                  </w:r>
                  <w:r>
                    <w:rPr>
                      <w:rFonts w:hint="default" w:ascii="Times New Roman" w:hAnsi="Times New Roman" w:eastAsia="宋体" w:cs="Times New Roman"/>
                      <w:color w:val="auto"/>
                      <w:sz w:val="21"/>
                      <w:szCs w:val="21"/>
                      <w:highlight w:val="none"/>
                      <w:lang w:val="en-US" w:eastAsia="zh-CN"/>
                    </w:rPr>
                    <w:t>设置</w:t>
                  </w:r>
                  <w:r>
                    <w:rPr>
                      <w:rFonts w:hint="eastAsia"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口监测井</w:t>
                  </w:r>
                </w:p>
              </w:tc>
              <w:tc>
                <w:tcPr>
                  <w:tcW w:w="2118" w:type="pct"/>
                  <w:tcBorders>
                    <w:top w:val="single" w:color="000000" w:sz="4" w:space="0"/>
                    <w:bottom w:val="single" w:color="000000" w:sz="4" w:space="0"/>
                  </w:tcBorders>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pH、氨氮、硝酸盐、亚硝酸盐、挥发性酚类、氰化物、砷、汞、铬（六价）、总硬度、铅、氟、镉、铁、锰、溶解性总固体、高锰酸盐指数、硫酸盐、氯化物、总大肠菌群、铜、锌、钴、银、镍、锑、水温。</w:t>
                  </w:r>
                </w:p>
              </w:tc>
              <w:tc>
                <w:tcPr>
                  <w:tcW w:w="560" w:type="pct"/>
                  <w:tcBorders>
                    <w:top w:val="single" w:color="000000" w:sz="4" w:space="0"/>
                    <w:bottom w:val="single" w:color="000000" w:sz="4" w:space="0"/>
                  </w:tcBorders>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1次</w:t>
                  </w:r>
                  <w:r>
                    <w:rPr>
                      <w:rFonts w:hint="default" w:ascii="Times New Roman" w:hAnsi="Times New Roman" w:eastAsia="宋体" w:cs="Times New Roman"/>
                      <w:color w:val="auto"/>
                      <w:sz w:val="21"/>
                      <w:szCs w:val="21"/>
                      <w:highlight w:val="none"/>
                      <w:lang w:val="en-US" w:eastAsia="zh-CN"/>
                    </w:rPr>
                    <w:t>/年</w:t>
                  </w:r>
                </w:p>
              </w:tc>
              <w:tc>
                <w:tcPr>
                  <w:tcW w:w="1229" w:type="pct"/>
                  <w:tcBorders>
                    <w:top w:val="single" w:color="000000" w:sz="4" w:space="0"/>
                    <w:bottom w:val="single" w:color="000000" w:sz="4" w:space="0"/>
                  </w:tcBorders>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《地下水质量标准》（GB/T14848-2017）Ⅲ类标准</w:t>
                  </w:r>
                </w:p>
              </w:tc>
            </w:tr>
          </w:tbl>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cs="Times New Roman"/>
                <w:b/>
                <w:bCs w:val="0"/>
                <w:snapToGrid w:val="0"/>
                <w:color w:val="auto"/>
                <w:kern w:val="0"/>
                <w:sz w:val="24"/>
                <w:szCs w:val="24"/>
                <w:highlight w:val="none"/>
                <w:lang w:val="en-US" w:eastAsia="zh-CN"/>
              </w:rPr>
            </w:pPr>
            <w:r>
              <w:rPr>
                <w:rFonts w:hint="default" w:ascii="Times New Roman" w:hAnsi="Times New Roman" w:cs="Times New Roman"/>
                <w:b/>
                <w:bCs w:val="0"/>
                <w:snapToGrid w:val="0"/>
                <w:color w:val="auto"/>
                <w:kern w:val="0"/>
                <w:sz w:val="24"/>
                <w:szCs w:val="24"/>
                <w:highlight w:val="none"/>
                <w:lang w:val="en-US" w:eastAsia="zh-CN"/>
              </w:rPr>
              <w:t>6土壤环境影响分析</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cs="Times New Roman"/>
                <w:b/>
                <w:bCs/>
                <w:color w:val="auto"/>
                <w:kern w:val="2"/>
                <w:sz w:val="24"/>
                <w:szCs w:val="24"/>
                <w:highlight w:val="none"/>
                <w:lang w:val="en-US" w:eastAsia="zh-CN" w:bidi="ar-SA"/>
              </w:rPr>
              <w:t>6</w:t>
            </w:r>
            <w:r>
              <w:rPr>
                <w:rFonts w:hint="default" w:ascii="Times New Roman" w:hAnsi="Times New Roman" w:eastAsia="宋体" w:cs="Times New Roman"/>
                <w:b/>
                <w:bCs/>
                <w:color w:val="auto"/>
                <w:kern w:val="2"/>
                <w:sz w:val="24"/>
                <w:szCs w:val="24"/>
                <w:highlight w:val="none"/>
                <w:lang w:val="en-US" w:eastAsia="zh-CN" w:bidi="ar-SA"/>
              </w:rPr>
              <w:t>.1</w:t>
            </w:r>
            <w:r>
              <w:rPr>
                <w:rFonts w:hint="default" w:ascii="Times New Roman" w:hAnsi="Times New Roman" w:cs="Times New Roman"/>
                <w:b/>
                <w:bCs/>
                <w:color w:val="auto"/>
                <w:kern w:val="2"/>
                <w:sz w:val="24"/>
                <w:szCs w:val="24"/>
                <w:highlight w:val="none"/>
                <w:lang w:val="en-US" w:eastAsia="zh-CN" w:bidi="ar-SA"/>
              </w:rPr>
              <w:t>污染源及影响途径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运营期环境影响因素为生产废水、固废等污染物，其中对土壤产生的主要影响为生产过程中生产废水等跑冒滴漏及浓密池破损发生废水垂直入渗对土壤造成的不利影响。</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cs="Times New Roman"/>
                <w:b/>
                <w:bCs/>
                <w:color w:val="auto"/>
                <w:kern w:val="2"/>
                <w:sz w:val="24"/>
                <w:szCs w:val="24"/>
                <w:highlight w:val="none"/>
                <w:lang w:val="en-US" w:eastAsia="zh-CN" w:bidi="ar-SA"/>
              </w:rPr>
              <w:t>6</w:t>
            </w:r>
            <w:r>
              <w:rPr>
                <w:rFonts w:hint="default" w:ascii="Times New Roman" w:hAnsi="Times New Roman" w:eastAsia="宋体" w:cs="Times New Roman"/>
                <w:b/>
                <w:bCs/>
                <w:color w:val="auto"/>
                <w:kern w:val="2"/>
                <w:sz w:val="24"/>
                <w:szCs w:val="24"/>
                <w:highlight w:val="none"/>
                <w:lang w:val="en-US" w:eastAsia="zh-CN" w:bidi="ar-SA"/>
              </w:rPr>
              <w:t>.2污染物类型及危害</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对于地下或半地下工程构筑物，在事故情况下，会造成物料、污染物等的泄漏，通过垂直入渗进一步污染土壤。拟建项目实施后，由于严格按照要求采取防渗措施，在正常工况下不会发生污水泄漏进入土壤。因此，垂直入渗造成土壤污染主要为事故状态下，选矿厂运行过程中选矿厂渗滤液事故情况下经垂直入渗途径对土壤环境的影响。</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本项目土壤环境影响源及影响因子识别见下表。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表4-1</w:t>
            </w:r>
            <w:r>
              <w:rPr>
                <w:rFonts w:hint="eastAsia" w:cs="Times New Roman"/>
                <w:b/>
                <w:bCs w:val="0"/>
                <w:color w:val="auto"/>
                <w:sz w:val="21"/>
                <w:szCs w:val="21"/>
                <w:lang w:val="en-US" w:eastAsia="zh-CN"/>
              </w:rPr>
              <w:t xml:space="preserve">5 </w:t>
            </w:r>
            <w:r>
              <w:rPr>
                <w:rFonts w:hint="default" w:ascii="Times New Roman" w:hAnsi="Times New Roman" w:eastAsia="宋体" w:cs="Times New Roman"/>
                <w:b/>
                <w:bCs w:val="0"/>
                <w:color w:val="auto"/>
                <w:sz w:val="21"/>
                <w:szCs w:val="21"/>
                <w:lang w:val="en-US" w:eastAsia="zh-CN"/>
              </w:rPr>
              <w:t xml:space="preserve">  本项环境影响源与影响因子识别表</w:t>
            </w:r>
          </w:p>
          <w:tbl>
            <w:tblPr>
              <w:tblStyle w:val="29"/>
              <w:tblW w:w="496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77"/>
              <w:gridCol w:w="1570"/>
              <w:gridCol w:w="1285"/>
              <w:gridCol w:w="972"/>
              <w:gridCol w:w="2150"/>
              <w:gridCol w:w="97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827" w:type="pct"/>
                  <w:tcBorders>
                    <w:right w:val="single" w:color="000000" w:sz="4" w:space="0"/>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污染源</w:t>
                  </w:r>
                </w:p>
              </w:tc>
              <w:tc>
                <w:tcPr>
                  <w:tcW w:w="942" w:type="pct"/>
                  <w:tcBorders>
                    <w:left w:val="single" w:color="000000" w:sz="4" w:space="0"/>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产污环节</w:t>
                  </w:r>
                </w:p>
              </w:tc>
              <w:tc>
                <w:tcPr>
                  <w:tcW w:w="771"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污染途径</w:t>
                  </w:r>
                </w:p>
              </w:tc>
              <w:tc>
                <w:tcPr>
                  <w:tcW w:w="583"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污染物</w:t>
                  </w:r>
                </w:p>
              </w:tc>
              <w:tc>
                <w:tcPr>
                  <w:tcW w:w="1290"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特征因子</w:t>
                  </w:r>
                </w:p>
              </w:tc>
              <w:tc>
                <w:tcPr>
                  <w:tcW w:w="58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827" w:type="pct"/>
                  <w:tcBorders>
                    <w:right w:val="single" w:color="000000" w:sz="4" w:space="0"/>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尾矿回采选矿车间</w:t>
                  </w:r>
                </w:p>
              </w:tc>
              <w:tc>
                <w:tcPr>
                  <w:tcW w:w="942" w:type="pct"/>
                  <w:tcBorders>
                    <w:left w:val="single" w:color="000000" w:sz="4" w:space="0"/>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阀门、密封接口处</w:t>
                  </w:r>
                </w:p>
              </w:tc>
              <w:tc>
                <w:tcPr>
                  <w:tcW w:w="771"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垂直入渗、地表漫流</w:t>
                  </w:r>
                </w:p>
              </w:tc>
              <w:tc>
                <w:tcPr>
                  <w:tcW w:w="583"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废水</w:t>
                  </w:r>
                </w:p>
              </w:tc>
              <w:tc>
                <w:tcPr>
                  <w:tcW w:w="1290"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砷、镉、铬（六价）、铜、铅、汞、镍、锌、pH值。</w:t>
                  </w:r>
                </w:p>
              </w:tc>
              <w:tc>
                <w:tcPr>
                  <w:tcW w:w="584" w:type="pct"/>
                  <w:tcBorders>
                    <w:tl2br w:val="nil"/>
                    <w:tr2bl w:val="nil"/>
                  </w:tcBorders>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事故及降雨</w:t>
                  </w:r>
                </w:p>
              </w:tc>
            </w:tr>
          </w:tbl>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cs="Times New Roman"/>
                <w:b/>
                <w:bCs/>
                <w:color w:val="auto"/>
                <w:kern w:val="2"/>
                <w:sz w:val="24"/>
                <w:szCs w:val="24"/>
                <w:highlight w:val="none"/>
                <w:lang w:val="en-US" w:eastAsia="zh-CN" w:bidi="ar-SA"/>
              </w:rPr>
              <w:t>6</w:t>
            </w:r>
            <w:r>
              <w:rPr>
                <w:rFonts w:hint="default" w:ascii="Times New Roman" w:hAnsi="Times New Roman" w:eastAsia="宋体" w:cs="Times New Roman"/>
                <w:b/>
                <w:bCs/>
                <w:color w:val="auto"/>
                <w:kern w:val="2"/>
                <w:sz w:val="24"/>
                <w:szCs w:val="24"/>
                <w:highlight w:val="none"/>
                <w:lang w:val="en-US" w:eastAsia="zh-CN" w:bidi="ar-SA"/>
              </w:rPr>
              <w:t>.3采取的防控措施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（1）源头控制措施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kern w:val="0"/>
                <w:sz w:val="24"/>
                <w:szCs w:val="24"/>
                <w:lang w:val="en-US" w:eastAsia="zh-CN" w:bidi="ar"/>
              </w:rPr>
            </w:pPr>
            <w:r>
              <w:rPr>
                <w:rFonts w:hint="eastAsia" w:cs="Times New Roman"/>
                <w:b w:val="0"/>
                <w:bCs w:val="0"/>
                <w:color w:val="auto"/>
                <w:kern w:val="0"/>
                <w:sz w:val="24"/>
                <w:szCs w:val="24"/>
                <w:lang w:val="en-US" w:eastAsia="zh-CN" w:bidi="ar"/>
              </w:rPr>
              <w:t>①</w:t>
            </w:r>
            <w:r>
              <w:rPr>
                <w:rFonts w:hint="default" w:ascii="Times New Roman" w:hAnsi="Times New Roman" w:eastAsia="宋体" w:cs="Times New Roman"/>
                <w:b w:val="0"/>
                <w:bCs w:val="0"/>
                <w:color w:val="auto"/>
                <w:kern w:val="0"/>
                <w:sz w:val="24"/>
                <w:szCs w:val="24"/>
                <w:lang w:val="en-US" w:eastAsia="zh-CN" w:bidi="ar"/>
              </w:rPr>
              <w:t>生产废水经管道排入厂区现有集水池，经沉淀后溢流澄清水泵入现有回水池后循环利用</w:t>
            </w:r>
            <w:r>
              <w:rPr>
                <w:rFonts w:hint="default" w:ascii="Times New Roman" w:hAnsi="Times New Roman" w:cs="Times New Roman"/>
                <w:b w:val="0"/>
                <w:bCs w:val="0"/>
                <w:color w:val="auto"/>
                <w:kern w:val="0"/>
                <w:sz w:val="24"/>
                <w:szCs w:val="24"/>
                <w:lang w:val="en-US" w:eastAsia="zh-CN" w:bidi="ar"/>
              </w:rPr>
              <w:t>，</w:t>
            </w:r>
            <w:r>
              <w:rPr>
                <w:rFonts w:hint="default" w:ascii="Times New Roman" w:hAnsi="Times New Roman" w:eastAsia="宋体" w:cs="Times New Roman"/>
                <w:b w:val="0"/>
                <w:bCs w:val="0"/>
                <w:color w:val="auto"/>
                <w:kern w:val="0"/>
                <w:sz w:val="24"/>
                <w:szCs w:val="24"/>
                <w:lang w:val="en-US" w:eastAsia="zh-CN" w:bidi="ar"/>
              </w:rPr>
              <w:t>项目生产废水闭路循环。</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②项目浓密池为钢混结构，下面留有检修空间，方便巡查及检修，如渗漏可及时发现，防止池体破损进一步扩大，污染土壤及地下水。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③废水管道采用地上式，加强生产系统、浓密池及管线日常巡查，发现跑冒滴漏及时采取措施，防止矿浆或废水持续渗漏。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（2）过程防控措施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阻断意外渗漏地下水污染土壤及地下水，采取分区防渗措施，具体分区及防治措施如下：</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重点防渗区：根据调查，浓密池池底已进行了防渗处理，以防止物料泄漏对地下水环境造成污染。等效黏土防渗层Mb≥6.0m，K≤1.0×10</w:t>
            </w:r>
            <w:r>
              <w:rPr>
                <w:rFonts w:hint="default" w:ascii="Times New Roman" w:hAnsi="Times New Roman" w:eastAsia="宋体" w:cs="Times New Roman"/>
                <w:b w:val="0"/>
                <w:bCs w:val="0"/>
                <w:color w:val="auto"/>
                <w:kern w:val="0"/>
                <w:sz w:val="24"/>
                <w:szCs w:val="24"/>
                <w:vertAlign w:val="superscript"/>
                <w:lang w:val="en-US" w:eastAsia="zh-CN" w:bidi="ar"/>
              </w:rPr>
              <w:t>-7</w:t>
            </w:r>
            <w:r>
              <w:rPr>
                <w:rFonts w:hint="default" w:ascii="Times New Roman" w:hAnsi="Times New Roman" w:eastAsia="宋体" w:cs="Times New Roman"/>
                <w:b w:val="0"/>
                <w:bCs w:val="0"/>
                <w:color w:val="auto"/>
                <w:kern w:val="0"/>
                <w:sz w:val="24"/>
                <w:szCs w:val="24"/>
                <w:lang w:val="en-US" w:eastAsia="zh-CN" w:bidi="ar"/>
              </w:rPr>
              <w:t>cm/s。</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一般防渗区：根据调查，精选车间、尾矿浆输送管道进行了一般防渗处理，以防止污水、物料泄漏对地下水环境造成污染。采用柔性防渗结构，防渗层为厚度≥1.5mm的土工膜，渗透系数≤10</w:t>
            </w:r>
            <w:r>
              <w:rPr>
                <w:rFonts w:hint="default" w:ascii="Times New Roman" w:hAnsi="Times New Roman" w:eastAsia="宋体" w:cs="Times New Roman"/>
                <w:b w:val="0"/>
                <w:bCs w:val="0"/>
                <w:color w:val="auto"/>
                <w:kern w:val="0"/>
                <w:sz w:val="24"/>
                <w:szCs w:val="24"/>
                <w:vertAlign w:val="superscript"/>
                <w:lang w:val="en-US" w:eastAsia="zh-CN" w:bidi="ar"/>
              </w:rPr>
              <w:t>-7</w:t>
            </w:r>
            <w:r>
              <w:rPr>
                <w:rFonts w:hint="default" w:ascii="Times New Roman" w:hAnsi="Times New Roman" w:eastAsia="宋体" w:cs="Times New Roman"/>
                <w:b w:val="0"/>
                <w:bCs w:val="0"/>
                <w:color w:val="auto"/>
                <w:kern w:val="0"/>
                <w:sz w:val="24"/>
                <w:szCs w:val="24"/>
                <w:lang w:val="en-US" w:eastAsia="zh-CN" w:bidi="ar"/>
              </w:rPr>
              <w:t>cm/s，防渗性能与1.5m厚粘土层等效。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cs="Times New Roman"/>
                <w:b w:val="0"/>
                <w:bCs w:val="0"/>
                <w:color w:val="auto"/>
                <w:kern w:val="0"/>
                <w:sz w:val="24"/>
                <w:szCs w:val="24"/>
                <w:lang w:val="en-US" w:eastAsia="zh-CN" w:bidi="ar"/>
              </w:rPr>
            </w:pPr>
            <w:r>
              <w:rPr>
                <w:rFonts w:hint="eastAsia" w:ascii="Times New Roman" w:hAnsi="Times New Roman" w:eastAsia="宋体" w:cs="Times New Roman"/>
                <w:b w:val="0"/>
                <w:bCs w:val="0"/>
                <w:color w:val="auto"/>
                <w:kern w:val="0"/>
                <w:sz w:val="24"/>
                <w:szCs w:val="24"/>
                <w:lang w:val="en-US" w:eastAsia="zh-CN" w:bidi="ar"/>
              </w:rPr>
              <w:t>项目浓密池已要求采取严格防渗、防泄漏措施，建设和安装防泄漏设施和泄漏监测装置，防止有毒有害物质污染土壤和地下水。建设单位应当制定年度土壤污染隐患排查制度，定期对重点区域、重点设施开展隐患排查。发现污染隐患的，应当制定整改方案，及时采取技术、管理措施消除隐患。隐患排查、治理情况应当如实记录并建立档案。</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6.4监测计划</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根据《排污单位自行监测技术指南 总纲（HJ819-2019）》、《工业企业土壤和地下水自行监测技术指南（试行)》（HU1209-2021）制定监测计划，内容详见下表。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表4-1</w:t>
            </w:r>
            <w:r>
              <w:rPr>
                <w:rFonts w:hint="eastAsia" w:cs="Times New Roman"/>
                <w:b/>
                <w:bCs w:val="0"/>
                <w:color w:val="auto"/>
                <w:sz w:val="21"/>
                <w:szCs w:val="21"/>
                <w:lang w:val="en-US" w:eastAsia="zh-CN"/>
              </w:rPr>
              <w:t xml:space="preserve">6 </w:t>
            </w:r>
            <w:r>
              <w:rPr>
                <w:rFonts w:hint="default" w:ascii="Times New Roman" w:hAnsi="Times New Roman" w:eastAsia="宋体" w:cs="Times New Roman"/>
                <w:b/>
                <w:bCs w:val="0"/>
                <w:color w:val="auto"/>
                <w:sz w:val="21"/>
                <w:szCs w:val="21"/>
                <w:lang w:val="en-US" w:eastAsia="zh-CN"/>
              </w:rPr>
              <w:t>监测计划内容</w:t>
            </w:r>
          </w:p>
          <w:tbl>
            <w:tblPr>
              <w:tblStyle w:val="29"/>
              <w:tblW w:w="4998" w:type="pct"/>
              <w:jc w:val="center"/>
              <w:tblBorders>
                <w:top w:val="single" w:color="000000" w:sz="12" w:space="0"/>
                <w:left w:val="single" w:color="000000" w:sz="12" w:space="0"/>
                <w:bottom w:val="single" w:color="000000" w:sz="12" w:space="0"/>
                <w:right w:val="single" w:color="000000" w:sz="12" w:space="0"/>
                <w:insideH w:val="none" w:color="auto" w:sz="0" w:space="0"/>
                <w:insideV w:val="single" w:color="000000" w:sz="4" w:space="0"/>
              </w:tblBorders>
              <w:tblLayout w:type="autofit"/>
              <w:tblCellMar>
                <w:top w:w="0" w:type="dxa"/>
                <w:left w:w="108" w:type="dxa"/>
                <w:bottom w:w="0" w:type="dxa"/>
                <w:right w:w="108" w:type="dxa"/>
              </w:tblCellMar>
            </w:tblPr>
            <w:tblGrid>
              <w:gridCol w:w="645"/>
              <w:gridCol w:w="1163"/>
              <w:gridCol w:w="3546"/>
              <w:gridCol w:w="928"/>
              <w:gridCol w:w="2107"/>
            </w:tblGrid>
            <w:tr>
              <w:tblPrEx>
                <w:tblBorders>
                  <w:top w:val="single" w:color="000000" w:sz="12" w:space="0"/>
                  <w:left w:val="single" w:color="000000" w:sz="12" w:space="0"/>
                  <w:bottom w:val="single" w:color="000000" w:sz="12" w:space="0"/>
                  <w:right w:val="single" w:color="000000" w:sz="12" w:space="0"/>
                  <w:insideH w:val="none" w:color="auto" w:sz="0" w:space="0"/>
                  <w:insideV w:val="single" w:color="000000" w:sz="4" w:space="0"/>
                </w:tblBorders>
                <w:tblCellMar>
                  <w:top w:w="0" w:type="dxa"/>
                  <w:left w:w="108" w:type="dxa"/>
                  <w:bottom w:w="0" w:type="dxa"/>
                  <w:right w:w="108" w:type="dxa"/>
                </w:tblCellMar>
              </w:tblPrEx>
              <w:trPr>
                <w:trHeight w:val="99" w:hRule="atLeast"/>
                <w:jc w:val="center"/>
              </w:trPr>
              <w:tc>
                <w:tcPr>
                  <w:tcW w:w="384" w:type="pct"/>
                  <w:tcBorders>
                    <w:bottom w:val="single" w:color="000000" w:sz="4" w:space="0"/>
                  </w:tcBorders>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环境要素</w:t>
                  </w:r>
                </w:p>
              </w:tc>
              <w:tc>
                <w:tcPr>
                  <w:tcW w:w="693" w:type="pct"/>
                  <w:tcBorders>
                    <w:bottom w:val="single" w:color="000000" w:sz="4" w:space="0"/>
                  </w:tcBorders>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监测点位</w:t>
                  </w:r>
                </w:p>
              </w:tc>
              <w:tc>
                <w:tcPr>
                  <w:tcW w:w="2112" w:type="pct"/>
                  <w:tcBorders>
                    <w:bottom w:val="single" w:color="000000" w:sz="4" w:space="0"/>
                  </w:tcBorders>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监测因子</w:t>
                  </w:r>
                </w:p>
              </w:tc>
              <w:tc>
                <w:tcPr>
                  <w:tcW w:w="553" w:type="pct"/>
                  <w:tcBorders>
                    <w:bottom w:val="single" w:color="000000" w:sz="4" w:space="0"/>
                  </w:tcBorders>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监测频次</w:t>
                  </w:r>
                </w:p>
              </w:tc>
              <w:tc>
                <w:tcPr>
                  <w:tcW w:w="1255" w:type="pct"/>
                  <w:tcBorders>
                    <w:bottom w:val="single" w:color="000000" w:sz="4" w:space="0"/>
                  </w:tcBorders>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执行标准</w:t>
                  </w:r>
                </w:p>
              </w:tc>
            </w:tr>
            <w:tr>
              <w:tblPrEx>
                <w:tblBorders>
                  <w:top w:val="single" w:color="000000" w:sz="12" w:space="0"/>
                  <w:left w:val="single" w:color="000000" w:sz="12" w:space="0"/>
                  <w:bottom w:val="single" w:color="000000" w:sz="12" w:space="0"/>
                  <w:right w:val="single" w:color="000000" w:sz="12" w:space="0"/>
                  <w:insideH w:val="none" w:color="auto" w:sz="0" w:space="0"/>
                  <w:insideV w:val="single" w:color="000000" w:sz="4" w:space="0"/>
                </w:tblBorders>
                <w:tblCellMar>
                  <w:top w:w="0" w:type="dxa"/>
                  <w:left w:w="108" w:type="dxa"/>
                  <w:bottom w:w="0" w:type="dxa"/>
                  <w:right w:w="108" w:type="dxa"/>
                </w:tblCellMar>
              </w:tblPrEx>
              <w:trPr>
                <w:trHeight w:val="246" w:hRule="atLeast"/>
                <w:jc w:val="center"/>
              </w:trPr>
              <w:tc>
                <w:tcPr>
                  <w:tcW w:w="384" w:type="pct"/>
                  <w:vMerge w:val="restart"/>
                  <w:tcBorders>
                    <w:top w:val="single" w:color="000000" w:sz="4" w:space="0"/>
                    <w:bottom w:val="single" w:color="000000" w:sz="4" w:space="0"/>
                  </w:tcBorders>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w:t>
                  </w:r>
                </w:p>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质量</w:t>
                  </w:r>
                </w:p>
              </w:tc>
              <w:tc>
                <w:tcPr>
                  <w:tcW w:w="693" w:type="pct"/>
                  <w:tcBorders>
                    <w:top w:val="single" w:color="000000" w:sz="4" w:space="0"/>
                    <w:bottom w:val="single" w:color="000000" w:sz="4" w:space="0"/>
                  </w:tcBorders>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浓密池旁表层样</w:t>
                  </w:r>
                </w:p>
              </w:tc>
              <w:tc>
                <w:tcPr>
                  <w:tcW w:w="2112" w:type="pct"/>
                  <w:tcBorders>
                    <w:top w:val="single" w:color="000000" w:sz="4" w:space="0"/>
                    <w:bottom w:val="single" w:color="000000" w:sz="4" w:space="0"/>
                  </w:tcBorders>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砷、镉、六价铬、铜、铅、汞、镍</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pH、锑</w:t>
                  </w:r>
                </w:p>
              </w:tc>
              <w:tc>
                <w:tcPr>
                  <w:tcW w:w="553" w:type="pct"/>
                  <w:vMerge w:val="restart"/>
                  <w:tcBorders>
                    <w:top w:val="single" w:color="000000" w:sz="4" w:space="0"/>
                  </w:tcBorders>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1次/</w:t>
                  </w:r>
                  <w:r>
                    <w:rPr>
                      <w:rFonts w:hint="default" w:ascii="Times New Roman" w:hAnsi="Times New Roman" w:eastAsia="宋体"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年</w:t>
                  </w:r>
                </w:p>
              </w:tc>
              <w:tc>
                <w:tcPr>
                  <w:tcW w:w="1255" w:type="pct"/>
                  <w:vMerge w:val="restart"/>
                  <w:tcBorders>
                    <w:top w:val="single" w:color="000000" w:sz="4" w:space="0"/>
                  </w:tcBorders>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《土壤环境质量 建设用地土壤污染风险管控标准（试行）》（GB36600-2018）</w:t>
                  </w:r>
                </w:p>
              </w:tc>
            </w:tr>
            <w:tr>
              <w:tblPrEx>
                <w:tblBorders>
                  <w:top w:val="single" w:color="000000" w:sz="12" w:space="0"/>
                  <w:left w:val="single" w:color="000000" w:sz="12" w:space="0"/>
                  <w:bottom w:val="single" w:color="000000" w:sz="12" w:space="0"/>
                  <w:right w:val="single" w:color="000000" w:sz="12" w:space="0"/>
                  <w:insideH w:val="none" w:color="auto" w:sz="0" w:space="0"/>
                  <w:insideV w:val="single" w:color="000000" w:sz="4" w:space="0"/>
                </w:tblBorders>
                <w:tblCellMar>
                  <w:top w:w="0" w:type="dxa"/>
                  <w:left w:w="108" w:type="dxa"/>
                  <w:bottom w:w="0" w:type="dxa"/>
                  <w:right w:w="108" w:type="dxa"/>
                </w:tblCellMar>
              </w:tblPrEx>
              <w:trPr>
                <w:trHeight w:val="246" w:hRule="atLeast"/>
                <w:jc w:val="center"/>
              </w:trPr>
              <w:tc>
                <w:tcPr>
                  <w:tcW w:w="384" w:type="pct"/>
                  <w:vMerge w:val="continue"/>
                  <w:tcBorders>
                    <w:top w:val="single" w:color="000000" w:sz="4" w:space="0"/>
                  </w:tcBorders>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693" w:type="pct"/>
                  <w:tcBorders>
                    <w:top w:val="single" w:color="000000" w:sz="4" w:space="0"/>
                  </w:tcBorders>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生产车间下</w:t>
                  </w:r>
                  <w:r>
                    <w:rPr>
                      <w:rFonts w:hint="eastAsia" w:eastAsia="宋体" w:cs="Times New Roman"/>
                      <w:color w:val="auto"/>
                      <w:sz w:val="21"/>
                      <w:szCs w:val="21"/>
                      <w:highlight w:val="none"/>
                      <w:lang w:val="en-US" w:eastAsia="zh-CN"/>
                    </w:rPr>
                    <w:t>游</w:t>
                  </w:r>
                </w:p>
              </w:tc>
              <w:tc>
                <w:tcPr>
                  <w:tcW w:w="2112" w:type="pct"/>
                  <w:tcBorders>
                    <w:top w:val="single" w:color="000000" w:sz="4" w:space="0"/>
                  </w:tcBorders>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锑、</w:t>
                  </w:r>
                  <w:r>
                    <w:rPr>
                      <w:rFonts w:hint="default" w:ascii="Times New Roman" w:hAnsi="Times New Roman" w:eastAsia="宋体" w:cs="Times New Roman"/>
                      <w:color w:val="auto"/>
                      <w:sz w:val="21"/>
                      <w:szCs w:val="21"/>
                      <w:highlight w:val="none"/>
                    </w:rPr>
                    <w:t>砷、镉、六价铬、铜、铅、汞、</w:t>
                  </w:r>
                  <w:r>
                    <w:rPr>
                      <w:rFonts w:hint="default" w:ascii="Times New Roman" w:hAnsi="Times New Roman" w:eastAsia="宋体" w:cs="Times New Roman"/>
                      <w:color w:val="auto"/>
                      <w:sz w:val="21"/>
                      <w:szCs w:val="21"/>
                      <w:highlight w:val="none"/>
                      <w:lang w:val="en-US" w:eastAsia="zh-CN"/>
                    </w:rPr>
                    <w:t>pH</w:t>
                  </w:r>
                </w:p>
              </w:tc>
              <w:tc>
                <w:tcPr>
                  <w:tcW w:w="553" w:type="pct"/>
                  <w:vMerge w:val="continue"/>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1255" w:type="pct"/>
                  <w:vMerge w:val="continue"/>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bl>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综上，本项目在完善项目区防渗防漏措施下，对周围土壤的环境影响较小，从环境角度是可行的，项目运营过程对其附近土壤</w:t>
            </w:r>
            <w:r>
              <w:rPr>
                <w:rFonts w:hint="default" w:ascii="Times New Roman" w:hAnsi="Times New Roman" w:cs="Times New Roman"/>
                <w:b w:val="0"/>
                <w:bCs w:val="0"/>
                <w:color w:val="auto"/>
                <w:kern w:val="0"/>
                <w:sz w:val="24"/>
                <w:szCs w:val="24"/>
                <w:lang w:val="en-US" w:eastAsia="zh-CN" w:bidi="ar"/>
              </w:rPr>
              <w:t>环境</w:t>
            </w:r>
            <w:r>
              <w:rPr>
                <w:rFonts w:hint="default" w:ascii="Times New Roman" w:hAnsi="Times New Roman" w:eastAsia="宋体" w:cs="Times New Roman"/>
                <w:b w:val="0"/>
                <w:bCs w:val="0"/>
                <w:color w:val="auto"/>
                <w:kern w:val="0"/>
                <w:sz w:val="24"/>
                <w:szCs w:val="24"/>
                <w:lang w:val="en-US" w:eastAsia="zh-CN" w:bidi="ar"/>
              </w:rPr>
              <w:t>不会造成较大影响。</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cs="Times New Roman"/>
                <w:b/>
                <w:bCs/>
                <w:snapToGrid w:val="0"/>
                <w:color w:val="auto"/>
                <w:kern w:val="0"/>
                <w:sz w:val="24"/>
                <w:szCs w:val="24"/>
                <w:highlight w:val="none"/>
                <w:lang w:val="en-US" w:eastAsia="zh-CN"/>
              </w:rPr>
            </w:pPr>
            <w:r>
              <w:rPr>
                <w:rFonts w:hint="default" w:ascii="Times New Roman" w:hAnsi="Times New Roman" w:cs="Times New Roman"/>
                <w:b/>
                <w:bCs/>
                <w:snapToGrid w:val="0"/>
                <w:color w:val="auto"/>
                <w:kern w:val="0"/>
                <w:sz w:val="24"/>
                <w:szCs w:val="24"/>
                <w:highlight w:val="none"/>
                <w:lang w:val="en-US" w:eastAsia="zh-CN"/>
              </w:rPr>
              <w:t>7生态环境影响分析</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color w:val="auto"/>
                <w:kern w:val="0"/>
                <w:sz w:val="24"/>
                <w:szCs w:val="24"/>
                <w:lang w:val="en-US" w:eastAsia="zh-CN" w:bidi="ar"/>
              </w:rPr>
            </w:pPr>
            <w:r>
              <w:rPr>
                <w:rFonts w:hint="default" w:ascii="Times New Roman" w:hAnsi="Times New Roman" w:cs="Times New Roman"/>
                <w:b/>
                <w:bCs/>
                <w:color w:val="auto"/>
                <w:kern w:val="0"/>
                <w:sz w:val="24"/>
                <w:szCs w:val="24"/>
                <w:lang w:val="en-US" w:eastAsia="zh-CN" w:bidi="ar"/>
              </w:rPr>
              <w:t>7.1生态影响分析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项目营运期对生态环境的影响主要表现在土地利用状况变化、地表形态变化、土壤的影响、野生动植物影响及景观变化等。</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cs="Times New Roman"/>
                <w:b w:val="0"/>
                <w:bCs w:val="0"/>
                <w:color w:val="auto"/>
                <w:kern w:val="0"/>
                <w:sz w:val="24"/>
                <w:szCs w:val="24"/>
                <w:lang w:val="en-US" w:eastAsia="zh-CN" w:bidi="ar"/>
              </w:rPr>
              <w:t>（</w:t>
            </w:r>
            <w:r>
              <w:rPr>
                <w:rFonts w:hint="default" w:ascii="Times New Roman" w:hAnsi="Times New Roman" w:eastAsia="宋体" w:cs="Times New Roman"/>
                <w:b w:val="0"/>
                <w:bCs w:val="0"/>
                <w:color w:val="auto"/>
                <w:kern w:val="0"/>
                <w:sz w:val="24"/>
                <w:szCs w:val="24"/>
                <w:lang w:val="en-US" w:eastAsia="zh-CN" w:bidi="ar"/>
              </w:rPr>
              <w:t>1）土地利用状况变化的影响分析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项目在原有厂界范围内进行扩建，项目的建设不会改变土地利用状况。回采作业均在现有占地范围内进行，不涉及新增占地，回采结束后按照生态修复方案对清挖后的场地进行覆土后植被恢复，恢复原库地貌。故本工程建设不会导致生态环境质量的降低。</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cs="Times New Roman"/>
                <w:b w:val="0"/>
                <w:bCs w:val="0"/>
                <w:color w:val="auto"/>
                <w:kern w:val="0"/>
                <w:sz w:val="24"/>
                <w:szCs w:val="24"/>
                <w:lang w:val="en-US" w:eastAsia="zh-CN" w:bidi="ar"/>
              </w:rPr>
              <w:t>（</w:t>
            </w:r>
            <w:r>
              <w:rPr>
                <w:rFonts w:hint="default" w:ascii="Times New Roman" w:hAnsi="Times New Roman" w:eastAsia="宋体" w:cs="Times New Roman"/>
                <w:b w:val="0"/>
                <w:bCs w:val="0"/>
                <w:color w:val="auto"/>
                <w:kern w:val="0"/>
                <w:sz w:val="24"/>
                <w:szCs w:val="24"/>
                <w:lang w:val="en-US" w:eastAsia="zh-CN" w:bidi="ar"/>
              </w:rPr>
              <w:t>2）地表形态变化</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运营期随着尾矿库内尾砂通过回采被全部清理以及尾矿库坝体被拆除，原始地形地貌将逐步得到恢复，逐步与周边地形趋于一致，从地形方面而言，其生态系统连通性有所增加。</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（3）景观变化影响分析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本项目选矿工程在原有选矿厂厂区范围内扩建，现状土地利用类型为工业用地，项目的建设对区域景观影响有限。尾矿库回采后进行覆土植被恢复，恢复原库地貌，有利于改善区域局部景观质量。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w:t>
            </w:r>
            <w:r>
              <w:rPr>
                <w:rFonts w:hint="default" w:ascii="Times New Roman" w:hAnsi="Times New Roman" w:cs="Times New Roman"/>
                <w:b w:val="0"/>
                <w:bCs w:val="0"/>
                <w:color w:val="auto"/>
                <w:kern w:val="0"/>
                <w:sz w:val="24"/>
                <w:szCs w:val="24"/>
                <w:lang w:val="en-US" w:eastAsia="zh-CN" w:bidi="ar"/>
              </w:rPr>
              <w:t>4</w:t>
            </w:r>
            <w:r>
              <w:rPr>
                <w:rFonts w:hint="default" w:ascii="Times New Roman" w:hAnsi="Times New Roman" w:eastAsia="宋体" w:cs="Times New Roman"/>
                <w:b w:val="0"/>
                <w:bCs w:val="0"/>
                <w:color w:val="auto"/>
                <w:kern w:val="0"/>
                <w:sz w:val="24"/>
                <w:szCs w:val="24"/>
                <w:lang w:val="en-US" w:eastAsia="zh-CN" w:bidi="ar"/>
              </w:rPr>
              <w:t>）对周围动植物资源影响分析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项目投入运营后，将会加强厂区及其周围的绿化和植被工作，生产过程中不存在破坏植被的工业活动。因此，运营期不会对植物资源产生不利影响。</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w:t>
            </w:r>
            <w:r>
              <w:rPr>
                <w:rFonts w:hint="default" w:ascii="Times New Roman" w:hAnsi="Times New Roman" w:cs="Times New Roman"/>
                <w:b w:val="0"/>
                <w:bCs w:val="0"/>
                <w:color w:val="auto"/>
                <w:kern w:val="0"/>
                <w:sz w:val="24"/>
                <w:szCs w:val="24"/>
                <w:lang w:val="en-US" w:eastAsia="zh-CN" w:bidi="ar"/>
              </w:rPr>
              <w:t>5</w:t>
            </w:r>
            <w:r>
              <w:rPr>
                <w:rFonts w:hint="default" w:ascii="Times New Roman" w:hAnsi="Times New Roman" w:eastAsia="宋体" w:cs="Times New Roman"/>
                <w:b w:val="0"/>
                <w:bCs w:val="0"/>
                <w:color w:val="auto"/>
                <w:kern w:val="0"/>
                <w:sz w:val="24"/>
                <w:szCs w:val="24"/>
                <w:lang w:val="en-US" w:eastAsia="zh-CN" w:bidi="ar"/>
              </w:rPr>
              <w:t>）对野生动物的影响</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项目区因现有企业以及其他人为活动，厂址附近没有珍贵的野生动物，在拟建项目建设完成后，厂区的正常生产不会对野生动物的栖息地和生境再次产生干扰和影响，因此，在运营期对野生动物的影响很小。</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snapToGrid w:val="0"/>
                <w:color w:val="auto"/>
                <w:kern w:val="0"/>
                <w:sz w:val="24"/>
                <w:szCs w:val="24"/>
                <w:lang w:val="en-US" w:eastAsia="zh-CN"/>
              </w:rPr>
            </w:pPr>
            <w:r>
              <w:rPr>
                <w:rFonts w:hint="default" w:ascii="Times New Roman" w:hAnsi="Times New Roman" w:cs="Times New Roman"/>
                <w:b/>
                <w:bCs/>
                <w:snapToGrid w:val="0"/>
                <w:color w:val="auto"/>
                <w:kern w:val="0"/>
                <w:sz w:val="24"/>
                <w:szCs w:val="24"/>
                <w:lang w:val="en-US" w:eastAsia="zh-CN"/>
              </w:rPr>
              <w:t>7.2</w:t>
            </w:r>
            <w:r>
              <w:rPr>
                <w:rFonts w:hint="default" w:ascii="Times New Roman" w:hAnsi="Times New Roman" w:eastAsia="宋体" w:cs="Times New Roman"/>
                <w:b/>
                <w:bCs/>
                <w:snapToGrid w:val="0"/>
                <w:color w:val="auto"/>
                <w:kern w:val="0"/>
                <w:sz w:val="24"/>
                <w:szCs w:val="24"/>
                <w:lang w:val="en-US" w:eastAsia="zh-CN"/>
              </w:rPr>
              <w:t>运营期生态保护措施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val="0"/>
                <w:snapToGrid w:val="0"/>
                <w:color w:val="auto"/>
                <w:kern w:val="0"/>
                <w:sz w:val="24"/>
                <w:szCs w:val="24"/>
                <w:lang w:val="en-US" w:eastAsia="zh-CN"/>
              </w:rPr>
            </w:pPr>
            <w:r>
              <w:rPr>
                <w:rFonts w:hint="default" w:ascii="Times New Roman" w:hAnsi="Times New Roman" w:cs="Times New Roman"/>
                <w:b w:val="0"/>
                <w:bCs w:val="0"/>
                <w:snapToGrid w:val="0"/>
                <w:color w:val="auto"/>
                <w:kern w:val="0"/>
                <w:sz w:val="24"/>
                <w:szCs w:val="24"/>
                <w:lang w:val="en-US" w:eastAsia="zh-CN"/>
              </w:rPr>
              <w:t>本次尾砂回采过程不新增占地，为减少尾砂回采过程项目生产活动对周边环境影响，评价提出以下生态环境保护措施：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val="0"/>
                <w:snapToGrid w:val="0"/>
                <w:color w:val="auto"/>
                <w:kern w:val="0"/>
                <w:sz w:val="24"/>
                <w:szCs w:val="24"/>
                <w:lang w:val="en-US" w:eastAsia="zh-CN"/>
              </w:rPr>
            </w:pPr>
            <w:r>
              <w:rPr>
                <w:rFonts w:hint="default" w:ascii="Times New Roman" w:hAnsi="Times New Roman" w:cs="Times New Roman"/>
                <w:b w:val="0"/>
                <w:bCs w:val="0"/>
                <w:snapToGrid w:val="0"/>
                <w:color w:val="auto"/>
                <w:kern w:val="0"/>
                <w:sz w:val="24"/>
                <w:szCs w:val="24"/>
                <w:lang w:val="en-US" w:eastAsia="zh-CN"/>
              </w:rPr>
              <w:t>（1）尾砂回采和其他活动必须在规定的范围内进行，回采活动应尽量减少和控制生态环境的影响范围和程度；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val="0"/>
                <w:snapToGrid w:val="0"/>
                <w:color w:val="auto"/>
                <w:kern w:val="0"/>
                <w:sz w:val="24"/>
                <w:szCs w:val="24"/>
                <w:lang w:val="en-US" w:eastAsia="zh-CN"/>
              </w:rPr>
            </w:pPr>
            <w:r>
              <w:rPr>
                <w:rFonts w:hint="default" w:ascii="Times New Roman" w:hAnsi="Times New Roman" w:cs="Times New Roman"/>
                <w:b w:val="0"/>
                <w:bCs w:val="0"/>
                <w:snapToGrid w:val="0"/>
                <w:color w:val="auto"/>
                <w:kern w:val="0"/>
                <w:sz w:val="24"/>
                <w:szCs w:val="24"/>
                <w:lang w:val="en-US" w:eastAsia="zh-CN"/>
              </w:rPr>
              <w:t>（2）合理安排作业时间，禁止大风天气和夜间进行回采作业；</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val="0"/>
                <w:snapToGrid w:val="0"/>
                <w:color w:val="auto"/>
                <w:kern w:val="0"/>
                <w:sz w:val="24"/>
                <w:szCs w:val="24"/>
                <w:lang w:val="en-US" w:eastAsia="zh-CN"/>
              </w:rPr>
            </w:pPr>
            <w:r>
              <w:rPr>
                <w:rFonts w:hint="default" w:ascii="Times New Roman" w:hAnsi="Times New Roman" w:cs="Times New Roman"/>
                <w:b w:val="0"/>
                <w:bCs w:val="0"/>
                <w:snapToGrid w:val="0"/>
                <w:color w:val="auto"/>
                <w:kern w:val="0"/>
                <w:sz w:val="24"/>
                <w:szCs w:val="24"/>
                <w:lang w:val="en-US" w:eastAsia="zh-CN"/>
              </w:rPr>
              <w:t>（3）加强运输车辆管理，必须科学装载，车辆必须覆盖，防止运送物料沿途洒落，占压道路沿线植被</w:t>
            </w:r>
            <w:r>
              <w:rPr>
                <w:rFonts w:hint="eastAsia" w:cs="Times New Roman"/>
                <w:b w:val="0"/>
                <w:bCs w:val="0"/>
                <w:snapToGrid w:val="0"/>
                <w:color w:val="auto"/>
                <w:kern w:val="0"/>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val="0"/>
                <w:snapToGrid w:val="0"/>
                <w:color w:val="auto"/>
                <w:kern w:val="0"/>
                <w:sz w:val="24"/>
                <w:szCs w:val="24"/>
                <w:lang w:val="en-US" w:eastAsia="zh-CN"/>
              </w:rPr>
            </w:pPr>
            <w:r>
              <w:rPr>
                <w:rFonts w:hint="default" w:ascii="Times New Roman" w:hAnsi="Times New Roman" w:cs="Times New Roman"/>
                <w:b w:val="0"/>
                <w:bCs w:val="0"/>
                <w:snapToGrid w:val="0"/>
                <w:color w:val="auto"/>
                <w:kern w:val="0"/>
                <w:sz w:val="24"/>
                <w:szCs w:val="24"/>
                <w:lang w:val="en-US" w:eastAsia="zh-CN"/>
              </w:rPr>
              <w:t>（4）加强职工的生态环保宣传教育，严禁随意开辟便道，禁止所有人员随意进入非工程用地区域活动，踩踏破坏植被，破坏地表生态；</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val="0"/>
                <w:snapToGrid w:val="0"/>
                <w:color w:val="auto"/>
                <w:kern w:val="0"/>
                <w:sz w:val="24"/>
                <w:szCs w:val="24"/>
                <w:lang w:val="en-US" w:eastAsia="zh-CN"/>
              </w:rPr>
            </w:pPr>
            <w:r>
              <w:rPr>
                <w:rFonts w:hint="default" w:ascii="Times New Roman" w:hAnsi="Times New Roman" w:cs="Times New Roman"/>
                <w:b w:val="0"/>
                <w:bCs w:val="0"/>
                <w:snapToGrid w:val="0"/>
                <w:color w:val="auto"/>
                <w:kern w:val="0"/>
                <w:sz w:val="24"/>
                <w:szCs w:val="24"/>
                <w:lang w:val="en-US" w:eastAsia="zh-CN"/>
              </w:rPr>
              <w:t>（5）建设单位应严格按照生态恢复方案及时对库区进行生态修复。</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cs="Times New Roman"/>
                <w:b/>
                <w:bCs/>
                <w:snapToGrid w:val="0"/>
                <w:color w:val="auto"/>
                <w:kern w:val="0"/>
                <w:sz w:val="24"/>
                <w:szCs w:val="24"/>
                <w:lang w:val="en-US" w:eastAsia="zh-CN"/>
              </w:rPr>
            </w:pPr>
            <w:r>
              <w:rPr>
                <w:rFonts w:hint="default" w:ascii="Times New Roman" w:hAnsi="Times New Roman" w:cs="Times New Roman"/>
                <w:b/>
                <w:bCs/>
                <w:snapToGrid w:val="0"/>
                <w:color w:val="auto"/>
                <w:kern w:val="0"/>
                <w:sz w:val="24"/>
                <w:szCs w:val="24"/>
                <w:lang w:val="en-US" w:eastAsia="zh-CN"/>
              </w:rPr>
              <w:t>7.3服务期满生态环境保护措施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val="0"/>
                <w:snapToGrid w:val="0"/>
                <w:color w:val="auto"/>
                <w:kern w:val="0"/>
                <w:sz w:val="24"/>
                <w:szCs w:val="24"/>
                <w:lang w:val="en-US" w:eastAsia="zh-CN"/>
              </w:rPr>
            </w:pPr>
            <w:r>
              <w:rPr>
                <w:rFonts w:hint="eastAsia" w:ascii="Times New Roman" w:hAnsi="Times New Roman" w:cs="Times New Roman"/>
                <w:b w:val="0"/>
                <w:bCs w:val="0"/>
                <w:snapToGrid w:val="0"/>
                <w:color w:val="auto"/>
                <w:kern w:val="0"/>
                <w:sz w:val="24"/>
                <w:szCs w:val="24"/>
                <w:lang w:val="en-US" w:eastAsia="zh-CN"/>
              </w:rPr>
              <w:t>服务期满后</w:t>
            </w:r>
            <w:r>
              <w:rPr>
                <w:rFonts w:hint="default" w:ascii="Times New Roman" w:hAnsi="Times New Roman" w:cs="Times New Roman"/>
                <w:b w:val="0"/>
                <w:bCs w:val="0"/>
                <w:snapToGrid w:val="0"/>
                <w:color w:val="auto"/>
                <w:kern w:val="0"/>
                <w:sz w:val="24"/>
                <w:szCs w:val="24"/>
                <w:lang w:val="en-US" w:eastAsia="zh-CN"/>
              </w:rPr>
              <w:t>的生态保护措施主要是对工程占地进行生态恢复。</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val="0"/>
                <w:snapToGrid w:val="0"/>
                <w:color w:val="auto"/>
                <w:kern w:val="0"/>
                <w:sz w:val="24"/>
                <w:szCs w:val="24"/>
                <w:lang w:val="en-US" w:eastAsia="zh-CN"/>
              </w:rPr>
            </w:pPr>
            <w:r>
              <w:rPr>
                <w:rFonts w:hint="default" w:ascii="Times New Roman" w:hAnsi="Times New Roman" w:cs="Times New Roman"/>
                <w:b w:val="0"/>
                <w:bCs w:val="0"/>
                <w:snapToGrid w:val="0"/>
                <w:color w:val="auto"/>
                <w:kern w:val="0"/>
                <w:sz w:val="24"/>
                <w:szCs w:val="24"/>
                <w:lang w:val="en-US" w:eastAsia="zh-CN"/>
              </w:rPr>
              <w:t>（1）尾矿回采结束后，</w:t>
            </w:r>
            <w:r>
              <w:rPr>
                <w:rFonts w:hint="eastAsia" w:ascii="Times New Roman" w:hAnsi="Times New Roman" w:cs="Times New Roman"/>
                <w:b w:val="0"/>
                <w:bCs w:val="0"/>
                <w:snapToGrid w:val="0"/>
                <w:color w:val="auto"/>
                <w:kern w:val="0"/>
                <w:sz w:val="24"/>
                <w:szCs w:val="24"/>
                <w:lang w:val="en-US" w:eastAsia="zh-CN"/>
              </w:rPr>
              <w:t>应</w:t>
            </w:r>
            <w:r>
              <w:rPr>
                <w:rFonts w:hint="eastAsia" w:ascii="Times New Roman" w:hAnsi="Times New Roman" w:cs="Times New Roman"/>
                <w:color w:val="auto"/>
                <w:sz w:val="24"/>
                <w:szCs w:val="24"/>
                <w:lang w:val="en-US" w:eastAsia="zh-CN"/>
              </w:rPr>
              <w:t>按照《</w:t>
            </w:r>
            <w:r>
              <w:rPr>
                <w:rFonts w:hint="default" w:ascii="Times New Roman" w:hAnsi="Times New Roman" w:eastAsia="宋体" w:cs="Times New Roman"/>
                <w:color w:val="auto"/>
                <w:sz w:val="24"/>
                <w:szCs w:val="24"/>
                <w:lang w:val="en-US" w:eastAsia="zh-CN"/>
              </w:rPr>
              <w:t>建设用地土壤污染状况调查技术导则</w:t>
            </w:r>
            <w:r>
              <w:rPr>
                <w:rFonts w:hint="eastAsia"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HJ 25.1-2019</w:t>
            </w:r>
            <w:r>
              <w:rPr>
                <w:rFonts w:hint="eastAsia" w:ascii="Times New Roman" w:hAnsi="Times New Roman" w:cs="Times New Roman"/>
                <w:color w:val="auto"/>
                <w:sz w:val="24"/>
                <w:szCs w:val="24"/>
                <w:lang w:val="en-US" w:eastAsia="zh-CN"/>
              </w:rPr>
              <w:t>）要求</w:t>
            </w:r>
            <w:r>
              <w:rPr>
                <w:rFonts w:hint="default" w:ascii="Times New Roman" w:hAnsi="Times New Roman" w:cs="Times New Roman"/>
                <w:b w:val="0"/>
                <w:bCs w:val="0"/>
                <w:snapToGrid w:val="0"/>
                <w:color w:val="auto"/>
                <w:kern w:val="0"/>
                <w:sz w:val="24"/>
                <w:szCs w:val="24"/>
                <w:lang w:val="en-US" w:eastAsia="zh-CN"/>
              </w:rPr>
              <w:t>开展土壤污染状况调查，调查范围全覆盖原库区、坝基、排洪渠、回水管道沿线等区域，根据初步采样分析结果，如果污染物浓度均未超过GB 36600等国家标准，可直接进入覆土复垦工序。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val="0"/>
                <w:snapToGrid w:val="0"/>
                <w:color w:val="auto"/>
                <w:kern w:val="0"/>
                <w:sz w:val="24"/>
                <w:szCs w:val="24"/>
                <w:highlight w:val="none"/>
                <w:lang w:val="en-US" w:eastAsia="zh-CN"/>
              </w:rPr>
            </w:pPr>
            <w:r>
              <w:rPr>
                <w:rFonts w:hint="default" w:ascii="Times New Roman" w:hAnsi="Times New Roman" w:cs="Times New Roman"/>
                <w:b w:val="0"/>
                <w:bCs w:val="0"/>
                <w:snapToGrid w:val="0"/>
                <w:color w:val="auto"/>
                <w:kern w:val="0"/>
                <w:sz w:val="24"/>
                <w:szCs w:val="24"/>
                <w:lang w:val="en-US" w:eastAsia="zh-CN"/>
              </w:rPr>
              <w:t>（2）</w:t>
            </w:r>
            <w:r>
              <w:rPr>
                <w:rFonts w:hint="default" w:ascii="Times New Roman" w:hAnsi="Times New Roman" w:cs="Times New Roman"/>
                <w:b w:val="0"/>
                <w:bCs w:val="0"/>
                <w:snapToGrid w:val="0"/>
                <w:color w:val="auto"/>
                <w:kern w:val="0"/>
                <w:sz w:val="24"/>
                <w:szCs w:val="24"/>
                <w:highlight w:val="none"/>
                <w:lang w:val="en-US" w:eastAsia="zh-CN"/>
              </w:rPr>
              <w:t>对尾矿库应进行覆土回填、平整等措施，选择适合当地生长的耐旱物种。根据项目区实际情况，主要采取以下几种工程技术措施：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snapToGrid w:val="0"/>
                <w:color w:val="auto"/>
                <w:kern w:val="0"/>
                <w:sz w:val="24"/>
                <w:szCs w:val="24"/>
                <w:lang w:val="en-US" w:eastAsia="zh-CN"/>
              </w:rPr>
            </w:pPr>
            <w:r>
              <w:rPr>
                <w:rFonts w:hint="default" w:ascii="Times New Roman" w:hAnsi="Times New Roman" w:eastAsia="宋体" w:cs="Times New Roman"/>
                <w:b w:val="0"/>
                <w:bCs w:val="0"/>
                <w:snapToGrid w:val="0"/>
                <w:color w:val="auto"/>
                <w:kern w:val="0"/>
                <w:sz w:val="24"/>
                <w:szCs w:val="24"/>
                <w:lang w:val="en-US" w:eastAsia="zh-CN"/>
              </w:rPr>
              <w:t>①场地平整：尾矿库库面、坝脚部分区域不平整，有坑洼，在闭库过程中对库面、坝脚坑洼区域填土按地形利用机械平整。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snapToGrid w:val="0"/>
                <w:color w:val="auto"/>
                <w:kern w:val="0"/>
                <w:sz w:val="24"/>
                <w:szCs w:val="24"/>
                <w:lang w:val="en-US" w:eastAsia="zh-CN"/>
              </w:rPr>
            </w:pPr>
            <w:r>
              <w:rPr>
                <w:rFonts w:hint="default" w:ascii="Times New Roman" w:hAnsi="Times New Roman" w:eastAsia="宋体" w:cs="Times New Roman"/>
                <w:b w:val="0"/>
                <w:bCs w:val="0"/>
                <w:snapToGrid w:val="0"/>
                <w:color w:val="auto"/>
                <w:kern w:val="0"/>
                <w:sz w:val="24"/>
                <w:szCs w:val="24"/>
                <w:lang w:val="en-US" w:eastAsia="zh-CN"/>
              </w:rPr>
              <w:t>②土方回覆：对尾矿库进行覆土，</w:t>
            </w:r>
            <w:r>
              <w:rPr>
                <w:rFonts w:hint="default" w:ascii="Times New Roman" w:hAnsi="Times New Roman" w:cs="Times New Roman"/>
                <w:b w:val="0"/>
                <w:bCs w:val="0"/>
                <w:snapToGrid w:val="0"/>
                <w:color w:val="auto"/>
                <w:kern w:val="0"/>
                <w:sz w:val="24"/>
                <w:szCs w:val="24"/>
                <w:lang w:val="en-US" w:eastAsia="zh-CN"/>
              </w:rPr>
              <w:t>尾矿库占</w:t>
            </w:r>
            <w:r>
              <w:rPr>
                <w:rFonts w:hint="default" w:ascii="Times New Roman" w:hAnsi="Times New Roman" w:eastAsia="宋体" w:cs="Times New Roman"/>
                <w:b w:val="0"/>
                <w:bCs w:val="0"/>
                <w:snapToGrid w:val="0"/>
                <w:color w:val="auto"/>
                <w:kern w:val="0"/>
                <w:sz w:val="24"/>
                <w:szCs w:val="24"/>
                <w:lang w:val="en-US" w:eastAsia="zh-CN"/>
              </w:rPr>
              <w:t>地面积88124.23㎡，覆土厚度0.</w:t>
            </w:r>
            <w:r>
              <w:rPr>
                <w:rFonts w:hint="default" w:ascii="Times New Roman" w:hAnsi="Times New Roman" w:cs="Times New Roman"/>
                <w:b w:val="0"/>
                <w:bCs w:val="0"/>
                <w:snapToGrid w:val="0"/>
                <w:color w:val="auto"/>
                <w:kern w:val="0"/>
                <w:sz w:val="24"/>
                <w:szCs w:val="24"/>
                <w:lang w:val="en-US" w:eastAsia="zh-CN"/>
              </w:rPr>
              <w:t>4</w:t>
            </w:r>
            <w:r>
              <w:rPr>
                <w:rFonts w:hint="default" w:ascii="Times New Roman" w:hAnsi="Times New Roman" w:eastAsia="宋体" w:cs="Times New Roman"/>
                <w:b w:val="0"/>
                <w:bCs w:val="0"/>
                <w:snapToGrid w:val="0"/>
                <w:color w:val="auto"/>
                <w:kern w:val="0"/>
                <w:sz w:val="24"/>
                <w:szCs w:val="24"/>
                <w:lang w:val="en-US" w:eastAsia="zh-CN"/>
              </w:rPr>
              <w:t>m，覆土方量为</w:t>
            </w:r>
            <w:r>
              <w:rPr>
                <w:rFonts w:hint="default" w:ascii="Times New Roman" w:hAnsi="Times New Roman" w:cs="Times New Roman"/>
                <w:b w:val="0"/>
                <w:bCs w:val="0"/>
                <w:snapToGrid w:val="0"/>
                <w:color w:val="auto"/>
                <w:kern w:val="0"/>
                <w:sz w:val="24"/>
                <w:szCs w:val="24"/>
                <w:highlight w:val="none"/>
                <w:lang w:val="en-US" w:eastAsia="zh-CN"/>
              </w:rPr>
              <w:t>35249m³</w:t>
            </w:r>
            <w:r>
              <w:rPr>
                <w:rFonts w:hint="default" w:ascii="Times New Roman" w:hAnsi="Times New Roman" w:eastAsia="宋体" w:cs="Times New Roman"/>
                <w:b w:val="0"/>
                <w:bCs w:val="0"/>
                <w:snapToGrid w:val="0"/>
                <w:color w:val="auto"/>
                <w:kern w:val="0"/>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snapToGrid w:val="0"/>
                <w:color w:val="auto"/>
                <w:kern w:val="0"/>
                <w:sz w:val="24"/>
                <w:szCs w:val="24"/>
                <w:lang w:val="en-US" w:eastAsia="zh-CN"/>
              </w:rPr>
            </w:pPr>
            <w:r>
              <w:rPr>
                <w:rFonts w:hint="default" w:ascii="Times New Roman" w:hAnsi="Times New Roman" w:eastAsia="宋体" w:cs="Times New Roman"/>
                <w:b w:val="0"/>
                <w:bCs w:val="0"/>
                <w:snapToGrid w:val="0"/>
                <w:color w:val="auto"/>
                <w:kern w:val="0"/>
                <w:sz w:val="24"/>
                <w:szCs w:val="24"/>
                <w:lang w:val="en-US" w:eastAsia="zh-CN"/>
              </w:rPr>
              <w:t>③土壤改良：覆土后采用施肥改良的办法提高土壤的肥力。土壤改良期内，采用绿肥的种植结构，基肥以有机肥为主。</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snapToGrid w:val="0"/>
                <w:color w:val="auto"/>
                <w:kern w:val="0"/>
                <w:sz w:val="24"/>
                <w:szCs w:val="24"/>
                <w:lang w:val="en-US" w:eastAsia="zh-CN"/>
              </w:rPr>
            </w:pPr>
            <w:r>
              <w:rPr>
                <w:rFonts w:hint="default" w:ascii="Times New Roman" w:hAnsi="Times New Roman" w:eastAsia="宋体" w:cs="Times New Roman"/>
                <w:b w:val="0"/>
                <w:bCs w:val="0"/>
                <w:snapToGrid w:val="0"/>
                <w:color w:val="auto"/>
                <w:kern w:val="0"/>
                <w:sz w:val="24"/>
                <w:szCs w:val="24"/>
                <w:lang w:val="en-US" w:eastAsia="zh-CN"/>
              </w:rPr>
              <w:t>④植被工程：根据现场调查，</w:t>
            </w:r>
            <w:r>
              <w:rPr>
                <w:rFonts w:hint="default" w:ascii="Times New Roman" w:hAnsi="Times New Roman" w:eastAsia="宋体" w:cs="Times New Roman"/>
                <w:b w:val="0"/>
                <w:bCs w:val="0"/>
                <w:snapToGrid w:val="0"/>
                <w:color w:val="auto"/>
                <w:kern w:val="0"/>
                <w:sz w:val="24"/>
                <w:szCs w:val="24"/>
                <w:highlight w:val="none"/>
                <w:lang w:val="en-US" w:eastAsia="zh-CN"/>
              </w:rPr>
              <w:t>选择</w:t>
            </w:r>
            <w:r>
              <w:rPr>
                <w:rFonts w:hint="default" w:ascii="Times New Roman" w:hAnsi="Times New Roman" w:cs="Times New Roman"/>
                <w:b w:val="0"/>
                <w:bCs w:val="0"/>
                <w:snapToGrid w:val="0"/>
                <w:color w:val="auto"/>
                <w:kern w:val="0"/>
                <w:sz w:val="24"/>
                <w:szCs w:val="24"/>
                <w:highlight w:val="none"/>
                <w:lang w:val="en-US" w:eastAsia="zh-CN"/>
              </w:rPr>
              <w:t>当地</w:t>
            </w:r>
            <w:r>
              <w:rPr>
                <w:rFonts w:hint="default" w:ascii="Times New Roman" w:hAnsi="Times New Roman" w:eastAsia="宋体" w:cs="Times New Roman"/>
                <w:b w:val="0"/>
                <w:bCs w:val="0"/>
                <w:snapToGrid w:val="0"/>
                <w:color w:val="auto"/>
                <w:kern w:val="0"/>
                <w:sz w:val="24"/>
                <w:szCs w:val="24"/>
                <w:highlight w:val="none"/>
                <w:lang w:val="en-US" w:eastAsia="zh-CN"/>
              </w:rPr>
              <w:t>耐旱草本</w:t>
            </w:r>
            <w:r>
              <w:rPr>
                <w:rFonts w:hint="default" w:ascii="Times New Roman" w:hAnsi="Times New Roman" w:cs="Times New Roman"/>
                <w:b w:val="0"/>
                <w:bCs w:val="0"/>
                <w:snapToGrid w:val="0"/>
                <w:color w:val="auto"/>
                <w:kern w:val="0"/>
                <w:sz w:val="24"/>
                <w:szCs w:val="24"/>
                <w:highlight w:val="none"/>
                <w:lang w:val="en-US" w:eastAsia="zh-CN"/>
              </w:rPr>
              <w:t>如</w:t>
            </w:r>
            <w:r>
              <w:rPr>
                <w:rFonts w:hint="default" w:ascii="Times New Roman" w:hAnsi="Times New Roman" w:eastAsia="宋体" w:cs="Times New Roman"/>
                <w:b w:val="0"/>
                <w:bCs w:val="0"/>
                <w:snapToGrid w:val="0"/>
                <w:color w:val="auto"/>
                <w:kern w:val="0"/>
                <w:sz w:val="24"/>
                <w:szCs w:val="24"/>
                <w:highlight w:val="none"/>
                <w:lang w:val="en-US" w:eastAsia="zh-CN"/>
              </w:rPr>
              <w:t>针茅</w:t>
            </w:r>
            <w:r>
              <w:rPr>
                <w:rFonts w:hint="default" w:ascii="Times New Roman" w:hAnsi="Times New Roman" w:cs="Times New Roman"/>
                <w:b w:val="0"/>
                <w:bCs w:val="0"/>
                <w:snapToGrid w:val="0"/>
                <w:color w:val="auto"/>
                <w:kern w:val="0"/>
                <w:sz w:val="24"/>
                <w:szCs w:val="24"/>
                <w:highlight w:val="none"/>
                <w:lang w:val="en-US" w:eastAsia="zh-CN"/>
              </w:rPr>
              <w:t>、</w:t>
            </w:r>
            <w:r>
              <w:rPr>
                <w:rFonts w:hint="default" w:ascii="Times New Roman" w:hAnsi="Times New Roman" w:eastAsia="宋体" w:cs="Times New Roman"/>
                <w:b w:val="0"/>
                <w:bCs w:val="0"/>
                <w:snapToGrid w:val="0"/>
                <w:color w:val="auto"/>
                <w:kern w:val="0"/>
                <w:sz w:val="24"/>
                <w:szCs w:val="24"/>
                <w:highlight w:val="none"/>
                <w:lang w:val="en-US" w:eastAsia="zh-CN"/>
              </w:rPr>
              <w:t>黄花蒿</w:t>
            </w:r>
            <w:r>
              <w:rPr>
                <w:rFonts w:hint="default" w:ascii="Times New Roman" w:hAnsi="Times New Roman" w:cs="Times New Roman"/>
                <w:b w:val="0"/>
                <w:bCs w:val="0"/>
                <w:snapToGrid w:val="0"/>
                <w:color w:val="auto"/>
                <w:kern w:val="0"/>
                <w:sz w:val="24"/>
                <w:szCs w:val="24"/>
                <w:highlight w:val="none"/>
                <w:lang w:val="en-US" w:eastAsia="zh-CN"/>
              </w:rPr>
              <w:t>等</w:t>
            </w:r>
            <w:r>
              <w:rPr>
                <w:rFonts w:hint="default" w:ascii="Times New Roman" w:hAnsi="Times New Roman" w:eastAsia="宋体" w:cs="Times New Roman"/>
                <w:b w:val="0"/>
                <w:bCs w:val="0"/>
                <w:snapToGrid w:val="0"/>
                <w:color w:val="auto"/>
                <w:kern w:val="0"/>
                <w:sz w:val="24"/>
                <w:szCs w:val="24"/>
                <w:lang w:val="en-US" w:eastAsia="zh-CN"/>
              </w:rPr>
              <w:t>，对场地</w:t>
            </w:r>
            <w:r>
              <w:rPr>
                <w:rFonts w:hint="default" w:ascii="Times New Roman" w:hAnsi="Times New Roman" w:cs="Times New Roman"/>
                <w:b w:val="0"/>
                <w:bCs w:val="0"/>
                <w:snapToGrid w:val="0"/>
                <w:color w:val="auto"/>
                <w:kern w:val="0"/>
                <w:sz w:val="24"/>
                <w:szCs w:val="24"/>
                <w:lang w:val="en-US" w:eastAsia="zh-CN"/>
              </w:rPr>
              <w:t>进行混播</w:t>
            </w:r>
            <w:r>
              <w:rPr>
                <w:rFonts w:hint="default" w:ascii="Times New Roman" w:hAnsi="Times New Roman" w:eastAsia="宋体" w:cs="Times New Roman"/>
                <w:b w:val="0"/>
                <w:bCs w:val="0"/>
                <w:snapToGrid w:val="0"/>
                <w:color w:val="auto"/>
                <w:kern w:val="0"/>
                <w:sz w:val="24"/>
                <w:szCs w:val="24"/>
                <w:lang w:val="en-US" w:eastAsia="zh-CN"/>
              </w:rPr>
              <w:t>，草籽按80kg/hm</w:t>
            </w:r>
            <w:r>
              <w:rPr>
                <w:rFonts w:hint="default" w:ascii="Times New Roman" w:hAnsi="Times New Roman" w:eastAsia="宋体" w:cs="Times New Roman"/>
                <w:b w:val="0"/>
                <w:bCs w:val="0"/>
                <w:snapToGrid w:val="0"/>
                <w:color w:val="auto"/>
                <w:kern w:val="0"/>
                <w:sz w:val="24"/>
                <w:szCs w:val="24"/>
                <w:vertAlign w:val="superscript"/>
                <w:lang w:val="en-US" w:eastAsia="zh-CN"/>
              </w:rPr>
              <w:t>2</w:t>
            </w:r>
            <w:r>
              <w:rPr>
                <w:rFonts w:hint="default" w:ascii="Times New Roman" w:hAnsi="Times New Roman" w:eastAsia="宋体" w:cs="Times New Roman"/>
                <w:b w:val="0"/>
                <w:bCs w:val="0"/>
                <w:snapToGrid w:val="0"/>
                <w:color w:val="auto"/>
                <w:kern w:val="0"/>
                <w:sz w:val="24"/>
                <w:szCs w:val="24"/>
                <w:lang w:val="en-US" w:eastAsia="zh-CN"/>
              </w:rPr>
              <w:t>播撒。不布设长效灌溉管网，仅</w:t>
            </w:r>
            <w:r>
              <w:rPr>
                <w:rFonts w:hint="default" w:ascii="Times New Roman" w:hAnsi="Times New Roman" w:cs="Times New Roman"/>
                <w:b w:val="0"/>
                <w:bCs w:val="0"/>
                <w:snapToGrid w:val="0"/>
                <w:color w:val="auto"/>
                <w:kern w:val="0"/>
                <w:sz w:val="24"/>
                <w:szCs w:val="24"/>
                <w:lang w:val="en-US" w:eastAsia="zh-CN"/>
              </w:rPr>
              <w:t>恢复</w:t>
            </w:r>
            <w:r>
              <w:rPr>
                <w:rFonts w:hint="default" w:ascii="Times New Roman" w:hAnsi="Times New Roman" w:eastAsia="宋体" w:cs="Times New Roman"/>
                <w:b w:val="0"/>
                <w:bCs w:val="0"/>
                <w:snapToGrid w:val="0"/>
                <w:color w:val="auto"/>
                <w:kern w:val="0"/>
                <w:sz w:val="24"/>
                <w:szCs w:val="24"/>
                <w:lang w:val="en-US" w:eastAsia="zh-CN"/>
              </w:rPr>
              <w:t>初期采用洒水车补水养护1个生长季，依靠自然降水维持植被</w:t>
            </w:r>
            <w:r>
              <w:rPr>
                <w:rFonts w:hint="default" w:ascii="Times New Roman" w:hAnsi="Times New Roman" w:cs="Times New Roman"/>
                <w:b w:val="0"/>
                <w:bCs w:val="0"/>
                <w:snapToGrid w:val="0"/>
                <w:color w:val="auto"/>
                <w:kern w:val="0"/>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val="0"/>
                <w:snapToGrid w:val="0"/>
                <w:color w:val="auto"/>
                <w:kern w:val="0"/>
                <w:sz w:val="24"/>
                <w:szCs w:val="24"/>
                <w:lang w:val="en-US" w:eastAsia="zh-CN"/>
              </w:rPr>
            </w:pPr>
            <w:r>
              <w:rPr>
                <w:rFonts w:hint="default" w:ascii="Times New Roman" w:hAnsi="Times New Roman" w:cs="Times New Roman"/>
                <w:b w:val="0"/>
                <w:bCs w:val="0"/>
                <w:snapToGrid w:val="0"/>
                <w:color w:val="auto"/>
                <w:kern w:val="0"/>
                <w:sz w:val="24"/>
                <w:szCs w:val="24"/>
                <w:lang w:val="en-US" w:eastAsia="zh-CN"/>
              </w:rPr>
              <w:t>综上，项目服务期满后，只要严格按照生态恢复方案要求对库区进行复垦和恢复植被，可降低项目回采带来的生态环境影响，项目在服务期满后对环境的影响较小。</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snapToGrid w:val="0"/>
                <w:color w:val="auto"/>
                <w:kern w:val="0"/>
                <w:sz w:val="24"/>
                <w:szCs w:val="24"/>
                <w:lang w:val="en-US" w:eastAsia="zh-CN"/>
              </w:rPr>
            </w:pPr>
            <w:r>
              <w:rPr>
                <w:rFonts w:hint="default" w:ascii="Times New Roman" w:hAnsi="Times New Roman" w:cs="Times New Roman"/>
                <w:b/>
                <w:bCs/>
                <w:snapToGrid w:val="0"/>
                <w:color w:val="auto"/>
                <w:kern w:val="0"/>
                <w:sz w:val="24"/>
                <w:szCs w:val="24"/>
                <w:lang w:val="en-US" w:eastAsia="zh-CN"/>
              </w:rPr>
              <w:t>8</w:t>
            </w:r>
            <w:r>
              <w:rPr>
                <w:rFonts w:hint="default" w:ascii="Times New Roman" w:hAnsi="Times New Roman" w:eastAsia="宋体" w:cs="Times New Roman"/>
                <w:b/>
                <w:bCs/>
                <w:snapToGrid w:val="0"/>
                <w:color w:val="auto"/>
                <w:kern w:val="0"/>
                <w:sz w:val="24"/>
                <w:szCs w:val="24"/>
                <w:lang w:val="en-US" w:eastAsia="zh-CN"/>
              </w:rPr>
              <w:t>风险分析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（1）风险调查</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对照《建设项目环境风险评价技术导则》（HJ 169-2018）和《企业突发环境事件风险分级方法》（HJ941-2018），本项目涉及风险主要为油类物质和</w:t>
            </w:r>
            <w:r>
              <w:rPr>
                <w:rFonts w:hint="default" w:ascii="Times New Roman" w:hAnsi="Times New Roman" w:cs="Times New Roman"/>
                <w:snapToGrid w:val="0"/>
                <w:color w:val="auto"/>
                <w:kern w:val="0"/>
                <w:sz w:val="24"/>
                <w:szCs w:val="24"/>
                <w:lang w:val="en-US" w:eastAsia="zh-CN"/>
              </w:rPr>
              <w:t>选矿</w:t>
            </w:r>
            <w:r>
              <w:rPr>
                <w:rFonts w:hint="default" w:ascii="Times New Roman" w:hAnsi="Times New Roman" w:eastAsia="宋体" w:cs="Times New Roman"/>
                <w:snapToGrid w:val="0"/>
                <w:color w:val="auto"/>
                <w:kern w:val="0"/>
                <w:sz w:val="24"/>
                <w:szCs w:val="24"/>
                <w:lang w:val="en-US" w:eastAsia="zh-CN"/>
              </w:rPr>
              <w:t>工序中添加的药剂等物质风险及生产设施尾矿库溃坝风险。</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①物质危险性识别</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cs="Times New Roman"/>
                <w:snapToGrid w:val="0"/>
                <w:color w:val="auto"/>
                <w:kern w:val="0"/>
                <w:sz w:val="24"/>
                <w:szCs w:val="24"/>
                <w:lang w:val="en-US" w:eastAsia="zh-CN"/>
              </w:rPr>
              <w:t>本项目主要危险物质包括浮选药剂及废矿物油。</w:t>
            </w:r>
            <w:r>
              <w:rPr>
                <w:rFonts w:hint="default" w:ascii="Times New Roman" w:hAnsi="Times New Roman" w:eastAsia="宋体" w:cs="Times New Roman"/>
                <w:snapToGrid w:val="0"/>
                <w:color w:val="auto"/>
                <w:kern w:val="0"/>
                <w:sz w:val="24"/>
                <w:szCs w:val="24"/>
                <w:lang w:val="en-US" w:eastAsia="zh-CN"/>
              </w:rPr>
              <w:t>风险物质储存量与临界量比值（Q）计算结果见下表：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表4-1</w:t>
            </w:r>
            <w:r>
              <w:rPr>
                <w:rFonts w:hint="eastAsia" w:cs="Times New Roman"/>
                <w:b/>
                <w:bCs w:val="0"/>
                <w:color w:val="auto"/>
                <w:sz w:val="21"/>
                <w:szCs w:val="21"/>
                <w:lang w:val="en-US" w:eastAsia="zh-CN"/>
              </w:rPr>
              <w:t>7</w:t>
            </w:r>
            <w:r>
              <w:rPr>
                <w:rFonts w:hint="default" w:ascii="Times New Roman" w:hAnsi="Times New Roman" w:eastAsia="宋体" w:cs="Times New Roman"/>
                <w:b/>
                <w:bCs w:val="0"/>
                <w:color w:val="auto"/>
                <w:sz w:val="21"/>
                <w:szCs w:val="21"/>
                <w:lang w:val="en-US" w:eastAsia="zh-CN"/>
              </w:rPr>
              <w:t xml:space="preserve">  项目Q值计算表</w:t>
            </w:r>
          </w:p>
          <w:tbl>
            <w:tblPr>
              <w:tblStyle w:val="29"/>
              <w:tblW w:w="5000" w:type="pct"/>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468"/>
              <w:gridCol w:w="1323"/>
              <w:gridCol w:w="1967"/>
              <w:gridCol w:w="1206"/>
              <w:gridCol w:w="17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20" w:hRule="atLeast"/>
              </w:trPr>
              <w:tc>
                <w:tcPr>
                  <w:tcW w:w="423" w:type="pct"/>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序号</w:t>
                  </w:r>
                </w:p>
              </w:tc>
              <w:tc>
                <w:tcPr>
                  <w:tcW w:w="874" w:type="pct"/>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危险物质</w:t>
                  </w:r>
                </w:p>
              </w:tc>
              <w:tc>
                <w:tcPr>
                  <w:tcW w:w="788" w:type="pct"/>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CAS号</w:t>
                  </w:r>
                </w:p>
              </w:tc>
              <w:tc>
                <w:tcPr>
                  <w:tcW w:w="1171" w:type="pct"/>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最大存在总量（t）</w:t>
                  </w:r>
                </w:p>
              </w:tc>
              <w:tc>
                <w:tcPr>
                  <w:tcW w:w="718" w:type="pct"/>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临界量（t）</w:t>
                  </w:r>
                </w:p>
              </w:tc>
              <w:tc>
                <w:tcPr>
                  <w:tcW w:w="1023" w:type="pct"/>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该种危险物Q值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23" w:type="pct"/>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1490"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油类物质</w:t>
                  </w:r>
                </w:p>
              </w:tc>
              <w:tc>
                <w:tcPr>
                  <w:tcW w:w="1344"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c>
                <w:tcPr>
                  <w:tcW w:w="1997"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0.5</w:t>
                  </w:r>
                </w:p>
              </w:tc>
              <w:tc>
                <w:tcPr>
                  <w:tcW w:w="1225"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2500</w:t>
                  </w:r>
                </w:p>
              </w:tc>
              <w:tc>
                <w:tcPr>
                  <w:tcW w:w="1744"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0.0002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23" w:type="pct"/>
                  <w:noWrap w:val="0"/>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w:t>
                  </w:r>
                </w:p>
              </w:tc>
              <w:tc>
                <w:tcPr>
                  <w:tcW w:w="1490"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硫酸铜</w:t>
                  </w:r>
                </w:p>
              </w:tc>
              <w:tc>
                <w:tcPr>
                  <w:tcW w:w="1344"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7758-99-8</w:t>
                  </w:r>
                </w:p>
              </w:tc>
              <w:tc>
                <w:tcPr>
                  <w:tcW w:w="1997"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7</w:t>
                  </w:r>
                </w:p>
              </w:tc>
              <w:tc>
                <w:tcPr>
                  <w:tcW w:w="1225"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50</w:t>
                  </w:r>
                </w:p>
              </w:tc>
              <w:tc>
                <w:tcPr>
                  <w:tcW w:w="1744"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2"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w:t>
                  </w:r>
                </w:p>
              </w:tc>
              <w:tc>
                <w:tcPr>
                  <w:tcW w:w="1490"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MIBC</w:t>
                  </w:r>
                </w:p>
              </w:tc>
              <w:tc>
                <w:tcPr>
                  <w:tcW w:w="1344"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108-11-2</w:t>
                  </w:r>
                </w:p>
              </w:tc>
              <w:tc>
                <w:tcPr>
                  <w:tcW w:w="1997"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4.5</w:t>
                  </w:r>
                </w:p>
              </w:tc>
              <w:tc>
                <w:tcPr>
                  <w:tcW w:w="1225"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50</w:t>
                  </w:r>
                </w:p>
              </w:tc>
              <w:tc>
                <w:tcPr>
                  <w:tcW w:w="1744"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2"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w:t>
                  </w:r>
                </w:p>
              </w:tc>
              <w:tc>
                <w:tcPr>
                  <w:tcW w:w="1490"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BK301</w:t>
                  </w:r>
                </w:p>
              </w:tc>
              <w:tc>
                <w:tcPr>
                  <w:tcW w:w="1344"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p>
              </w:tc>
              <w:tc>
                <w:tcPr>
                  <w:tcW w:w="1997"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18</w:t>
                  </w:r>
                </w:p>
              </w:tc>
              <w:tc>
                <w:tcPr>
                  <w:tcW w:w="1225"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50</w:t>
                  </w:r>
                </w:p>
              </w:tc>
              <w:tc>
                <w:tcPr>
                  <w:tcW w:w="1744"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0.36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2"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w:t>
                  </w:r>
                </w:p>
              </w:tc>
              <w:tc>
                <w:tcPr>
                  <w:tcW w:w="1490" w:type="dxa"/>
                  <w:noWrap w:val="0"/>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辛基黄药</w:t>
                  </w:r>
                </w:p>
              </w:tc>
              <w:tc>
                <w:tcPr>
                  <w:tcW w:w="1344"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c>
                <w:tcPr>
                  <w:tcW w:w="1997"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11.5</w:t>
                  </w:r>
                </w:p>
              </w:tc>
              <w:tc>
                <w:tcPr>
                  <w:tcW w:w="1225"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50</w:t>
                  </w:r>
                </w:p>
              </w:tc>
              <w:tc>
                <w:tcPr>
                  <w:tcW w:w="1744"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0.23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2"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w:t>
                  </w:r>
                </w:p>
              </w:tc>
              <w:tc>
                <w:tcPr>
                  <w:tcW w:w="1490" w:type="dxa"/>
                  <w:noWrap w:val="0"/>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丁基黑药</w:t>
                  </w:r>
                </w:p>
              </w:tc>
              <w:tc>
                <w:tcPr>
                  <w:tcW w:w="1344"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53378-51-1</w:t>
                  </w:r>
                </w:p>
              </w:tc>
              <w:tc>
                <w:tcPr>
                  <w:tcW w:w="1997"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2.7</w:t>
                  </w:r>
                </w:p>
              </w:tc>
              <w:tc>
                <w:tcPr>
                  <w:tcW w:w="1225"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50</w:t>
                  </w:r>
                </w:p>
              </w:tc>
              <w:tc>
                <w:tcPr>
                  <w:tcW w:w="1744"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0.054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3556" w:type="dxa"/>
                  <w:gridSpan w:val="3"/>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总计</w:t>
                  </w:r>
                </w:p>
              </w:tc>
              <w:tc>
                <w:tcPr>
                  <w:tcW w:w="1997"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44.2</w:t>
                  </w:r>
                </w:p>
              </w:tc>
              <w:tc>
                <w:tcPr>
                  <w:tcW w:w="1225"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b/>
                      <w:bCs/>
                      <w:color w:val="auto"/>
                      <w:highlight w:val="none"/>
                      <w:lang w:val="en-US" w:eastAsia="zh-CN"/>
                    </w:rPr>
                  </w:pPr>
                </w:p>
              </w:tc>
              <w:tc>
                <w:tcPr>
                  <w:tcW w:w="1744" w:type="dxa"/>
                  <w:noWrap w:val="0"/>
                  <w:vAlign w:val="center"/>
                </w:tcPr>
                <w:p>
                  <w:pPr>
                    <w:pStyle w:val="87"/>
                    <w:keepNext w:val="0"/>
                    <w:keepLines w:val="0"/>
                    <w:widowControl/>
                    <w:suppressLineNumbers w:val="0"/>
                    <w:bidi w:val="0"/>
                    <w:spacing w:before="0" w:beforeAutospacing="0" w:after="0" w:afterAutospacing="0"/>
                    <w:ind w:left="0" w:leftChars="0" w:right="0" w:rightChars="0"/>
                    <w:jc w:val="center"/>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0.8742</w:t>
                  </w:r>
                </w:p>
              </w:tc>
            </w:tr>
          </w:tbl>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②生产单元（设施）危险性识别</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表4-1</w:t>
            </w:r>
            <w:r>
              <w:rPr>
                <w:rFonts w:hint="eastAsia" w:cs="Times New Roman"/>
                <w:b/>
                <w:bCs w:val="0"/>
                <w:color w:val="auto"/>
                <w:sz w:val="21"/>
                <w:szCs w:val="21"/>
                <w:lang w:val="en-US" w:eastAsia="zh-CN"/>
              </w:rPr>
              <w:t>8</w:t>
            </w:r>
            <w:r>
              <w:rPr>
                <w:rFonts w:hint="default" w:ascii="Times New Roman" w:hAnsi="Times New Roman" w:eastAsia="宋体" w:cs="Times New Roman"/>
                <w:b/>
                <w:bCs w:val="0"/>
                <w:color w:val="auto"/>
                <w:sz w:val="21"/>
                <w:szCs w:val="21"/>
                <w:lang w:val="en-US" w:eastAsia="zh-CN"/>
              </w:rPr>
              <w:t xml:space="preserve">  生产设施环境风险识别表</w:t>
            </w:r>
          </w:p>
          <w:tbl>
            <w:tblPr>
              <w:tblStyle w:val="29"/>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76"/>
              <w:gridCol w:w="1674"/>
              <w:gridCol w:w="1315"/>
              <w:gridCol w:w="1430"/>
              <w:gridCol w:w="289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641" w:type="pct"/>
                  <w:shd w:val="clear" w:color="auto" w:fill="auto"/>
                  <w:noWrap w:val="0"/>
                  <w:vAlign w:val="center"/>
                </w:tcPr>
                <w:p>
                  <w:pPr>
                    <w:pStyle w:val="97"/>
                    <w:adjustRightInd w:val="0"/>
                    <w:snapToGrid w:val="0"/>
                    <w:rPr>
                      <w:rFonts w:hint="default" w:ascii="Times New Roman" w:hAnsi="Times New Roman" w:eastAsia="宋体" w:cs="Times New Roman"/>
                      <w:color w:val="auto"/>
                    </w:rPr>
                  </w:pPr>
                  <w:r>
                    <w:rPr>
                      <w:rFonts w:hint="default" w:ascii="Times New Roman" w:hAnsi="Times New Roman" w:eastAsia="宋体" w:cs="Times New Roman"/>
                      <w:color w:val="auto"/>
                    </w:rPr>
                    <w:t>危险单元</w:t>
                  </w:r>
                </w:p>
              </w:tc>
              <w:tc>
                <w:tcPr>
                  <w:tcW w:w="997" w:type="pct"/>
                  <w:shd w:val="clear" w:color="auto" w:fill="auto"/>
                  <w:noWrap w:val="0"/>
                  <w:vAlign w:val="center"/>
                </w:tcPr>
                <w:p>
                  <w:pPr>
                    <w:pStyle w:val="97"/>
                    <w:adjustRightInd w:val="0"/>
                    <w:snapToGrid w:val="0"/>
                    <w:rPr>
                      <w:rFonts w:hint="default" w:ascii="Times New Roman" w:hAnsi="Times New Roman" w:eastAsia="宋体" w:cs="Times New Roman"/>
                      <w:color w:val="auto"/>
                    </w:rPr>
                  </w:pPr>
                  <w:r>
                    <w:rPr>
                      <w:rFonts w:hint="default" w:ascii="Times New Roman" w:hAnsi="Times New Roman" w:eastAsia="宋体" w:cs="Times New Roman"/>
                      <w:color w:val="auto"/>
                    </w:rPr>
                    <w:t>风险源</w:t>
                  </w:r>
                </w:p>
              </w:tc>
              <w:tc>
                <w:tcPr>
                  <w:tcW w:w="783" w:type="pct"/>
                  <w:shd w:val="clear" w:color="auto" w:fill="auto"/>
                  <w:noWrap w:val="0"/>
                  <w:vAlign w:val="center"/>
                </w:tcPr>
                <w:p>
                  <w:pPr>
                    <w:pStyle w:val="97"/>
                    <w:adjustRightInd w:val="0"/>
                    <w:snapToGrid w:val="0"/>
                    <w:rPr>
                      <w:rFonts w:hint="default" w:ascii="Times New Roman" w:hAnsi="Times New Roman" w:eastAsia="宋体" w:cs="Times New Roman"/>
                      <w:color w:val="auto"/>
                    </w:rPr>
                  </w:pPr>
                  <w:r>
                    <w:rPr>
                      <w:rFonts w:hint="default" w:ascii="Times New Roman" w:hAnsi="Times New Roman" w:eastAsia="宋体" w:cs="Times New Roman"/>
                      <w:color w:val="auto"/>
                    </w:rPr>
                    <w:t>主要危险物质</w:t>
                  </w:r>
                </w:p>
              </w:tc>
              <w:tc>
                <w:tcPr>
                  <w:tcW w:w="852" w:type="pct"/>
                  <w:shd w:val="clear" w:color="auto" w:fill="auto"/>
                  <w:noWrap w:val="0"/>
                  <w:vAlign w:val="center"/>
                </w:tcPr>
                <w:p>
                  <w:pPr>
                    <w:pStyle w:val="97"/>
                    <w:adjustRightInd w:val="0"/>
                    <w:snapToGrid w:val="0"/>
                    <w:rPr>
                      <w:rFonts w:hint="default" w:ascii="Times New Roman" w:hAnsi="Times New Roman" w:eastAsia="宋体" w:cs="Times New Roman"/>
                      <w:color w:val="auto"/>
                    </w:rPr>
                  </w:pPr>
                  <w:r>
                    <w:rPr>
                      <w:rFonts w:hint="default" w:ascii="Times New Roman" w:hAnsi="Times New Roman" w:eastAsia="宋体" w:cs="Times New Roman"/>
                      <w:color w:val="auto"/>
                    </w:rPr>
                    <w:t>事故类型</w:t>
                  </w:r>
                </w:p>
              </w:tc>
              <w:tc>
                <w:tcPr>
                  <w:tcW w:w="1724" w:type="pct"/>
                  <w:shd w:val="clear" w:color="auto" w:fill="auto"/>
                  <w:noWrap w:val="0"/>
                  <w:vAlign w:val="center"/>
                </w:tcPr>
                <w:p>
                  <w:pPr>
                    <w:pStyle w:val="97"/>
                    <w:adjustRightInd w:val="0"/>
                    <w:snapToGrid w:val="0"/>
                    <w:rPr>
                      <w:rFonts w:hint="default" w:ascii="Times New Roman" w:hAnsi="Times New Roman" w:eastAsia="宋体" w:cs="Times New Roman"/>
                      <w:color w:val="auto"/>
                    </w:rPr>
                  </w:pPr>
                  <w:r>
                    <w:rPr>
                      <w:rFonts w:hint="default" w:ascii="Times New Roman" w:hAnsi="Times New Roman" w:eastAsia="宋体" w:cs="Times New Roman"/>
                      <w:color w:val="auto"/>
                    </w:rPr>
                    <w:t>事故原因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1" w:type="pct"/>
                  <w:vMerge w:val="restart"/>
                  <w:shd w:val="clear" w:color="auto" w:fill="auto"/>
                  <w:noWrap w:val="0"/>
                  <w:vAlign w:val="center"/>
                </w:tcPr>
                <w:p>
                  <w:pPr>
                    <w:pStyle w:val="97"/>
                    <w:adjustRightInd w:val="0"/>
                    <w:snapToGrid w:val="0"/>
                    <w:rPr>
                      <w:rFonts w:hint="default" w:ascii="Times New Roman" w:hAnsi="Times New Roman" w:eastAsia="宋体" w:cs="Times New Roman"/>
                      <w:color w:val="auto"/>
                    </w:rPr>
                  </w:pPr>
                  <w:r>
                    <w:rPr>
                      <w:rFonts w:hint="default" w:ascii="Times New Roman" w:hAnsi="Times New Roman" w:eastAsia="宋体" w:cs="Times New Roman"/>
                      <w:color w:val="auto"/>
                    </w:rPr>
                    <w:t>生产单元</w:t>
                  </w:r>
                </w:p>
              </w:tc>
              <w:tc>
                <w:tcPr>
                  <w:tcW w:w="997" w:type="pct"/>
                  <w:shd w:val="clear" w:color="auto" w:fill="auto"/>
                  <w:noWrap w:val="0"/>
                  <w:vAlign w:val="center"/>
                </w:tcPr>
                <w:p>
                  <w:pPr>
                    <w:pStyle w:val="97"/>
                    <w:adjustRightInd w:val="0"/>
                    <w:snapToGrid w:val="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浓密池</w:t>
                  </w:r>
                </w:p>
              </w:tc>
              <w:tc>
                <w:tcPr>
                  <w:tcW w:w="783" w:type="pct"/>
                  <w:shd w:val="clear" w:color="auto" w:fill="auto"/>
                  <w:noWrap w:val="0"/>
                  <w:vAlign w:val="center"/>
                </w:tcPr>
                <w:p>
                  <w:pPr>
                    <w:pStyle w:val="97"/>
                    <w:adjustRightInd w:val="0"/>
                    <w:snapToGrid w:val="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废水</w:t>
                  </w:r>
                </w:p>
              </w:tc>
              <w:tc>
                <w:tcPr>
                  <w:tcW w:w="852" w:type="pct"/>
                  <w:shd w:val="clear" w:color="auto" w:fill="auto"/>
                  <w:noWrap w:val="0"/>
                  <w:vAlign w:val="center"/>
                </w:tcPr>
                <w:p>
                  <w:pPr>
                    <w:pStyle w:val="97"/>
                    <w:adjustRightInd w:val="0"/>
                    <w:snapToGrid w:val="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泄漏</w:t>
                  </w:r>
                </w:p>
              </w:tc>
              <w:tc>
                <w:tcPr>
                  <w:tcW w:w="1724" w:type="pct"/>
                  <w:shd w:val="clear" w:color="auto" w:fill="auto"/>
                  <w:noWrap w:val="0"/>
                  <w:vAlign w:val="center"/>
                </w:tcPr>
                <w:p>
                  <w:pPr>
                    <w:pStyle w:val="97"/>
                    <w:adjustRightInd w:val="0"/>
                    <w:snapToGrid w:val="0"/>
                    <w:rPr>
                      <w:rFonts w:hint="default" w:ascii="Times New Roman" w:hAnsi="Times New Roman" w:eastAsia="宋体" w:cs="Times New Roman"/>
                      <w:color w:val="auto"/>
                    </w:rPr>
                  </w:pPr>
                  <w:r>
                    <w:rPr>
                      <w:rFonts w:hint="default" w:ascii="Times New Roman" w:hAnsi="Times New Roman" w:eastAsia="宋体" w:cs="Times New Roman"/>
                      <w:color w:val="auto"/>
                    </w:rPr>
                    <w:t>建筑破损等原因可能发生选矿废水泄漏事故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1" w:type="pct"/>
                  <w:vMerge w:val="continue"/>
                  <w:shd w:val="clear" w:color="auto" w:fill="auto"/>
                  <w:noWrap w:val="0"/>
                  <w:vAlign w:val="center"/>
                </w:tcPr>
                <w:p>
                  <w:pPr>
                    <w:pStyle w:val="97"/>
                    <w:adjustRightInd w:val="0"/>
                    <w:snapToGrid w:val="0"/>
                    <w:rPr>
                      <w:rFonts w:hint="default" w:ascii="Times New Roman" w:hAnsi="Times New Roman" w:eastAsia="宋体" w:cs="Times New Roman"/>
                      <w:color w:val="auto"/>
                    </w:rPr>
                  </w:pPr>
                </w:p>
              </w:tc>
              <w:tc>
                <w:tcPr>
                  <w:tcW w:w="997" w:type="pct"/>
                  <w:shd w:val="clear" w:color="auto" w:fill="auto"/>
                  <w:noWrap w:val="0"/>
                  <w:vAlign w:val="center"/>
                </w:tcPr>
                <w:p>
                  <w:pPr>
                    <w:pStyle w:val="97"/>
                    <w:adjustRightInd w:val="0"/>
                    <w:snapToGrid w:val="0"/>
                    <w:rPr>
                      <w:rFonts w:hint="default" w:ascii="Times New Roman" w:hAnsi="Times New Roman" w:eastAsia="宋体" w:cs="Times New Roman"/>
                      <w:color w:val="auto"/>
                    </w:rPr>
                  </w:pPr>
                  <w:r>
                    <w:rPr>
                      <w:rFonts w:hint="default" w:ascii="Times New Roman" w:hAnsi="Times New Roman" w:eastAsia="宋体" w:cs="Times New Roman"/>
                      <w:color w:val="auto"/>
                    </w:rPr>
                    <w:t>尾矿库</w:t>
                  </w:r>
                </w:p>
              </w:tc>
              <w:tc>
                <w:tcPr>
                  <w:tcW w:w="783" w:type="pct"/>
                  <w:shd w:val="clear" w:color="auto" w:fill="auto"/>
                  <w:noWrap w:val="0"/>
                  <w:vAlign w:val="center"/>
                </w:tcPr>
                <w:p>
                  <w:pPr>
                    <w:pStyle w:val="97"/>
                    <w:adjustRightInd w:val="0"/>
                    <w:snapToGrid w:val="0"/>
                    <w:rPr>
                      <w:rFonts w:hint="default" w:ascii="Times New Roman" w:hAnsi="Times New Roman" w:eastAsia="宋体" w:cs="Times New Roman"/>
                      <w:color w:val="auto"/>
                    </w:rPr>
                  </w:pPr>
                  <w:r>
                    <w:rPr>
                      <w:rFonts w:hint="default" w:ascii="Times New Roman" w:hAnsi="Times New Roman" w:eastAsia="宋体" w:cs="Times New Roman"/>
                      <w:color w:val="auto"/>
                    </w:rPr>
                    <w:t>尾矿、废水</w:t>
                  </w:r>
                </w:p>
              </w:tc>
              <w:tc>
                <w:tcPr>
                  <w:tcW w:w="852" w:type="pct"/>
                  <w:shd w:val="clear" w:color="auto" w:fill="auto"/>
                  <w:noWrap w:val="0"/>
                  <w:vAlign w:val="center"/>
                </w:tcPr>
                <w:p>
                  <w:pPr>
                    <w:pStyle w:val="97"/>
                    <w:adjustRightInd w:val="0"/>
                    <w:snapToGrid w:val="0"/>
                    <w:rPr>
                      <w:rFonts w:hint="default" w:ascii="Times New Roman" w:hAnsi="Times New Roman" w:eastAsia="宋体" w:cs="Times New Roman"/>
                      <w:color w:val="auto"/>
                    </w:rPr>
                  </w:pPr>
                  <w:r>
                    <w:rPr>
                      <w:rFonts w:hint="default" w:ascii="Times New Roman" w:hAnsi="Times New Roman" w:eastAsia="宋体" w:cs="Times New Roman"/>
                      <w:color w:val="auto"/>
                    </w:rPr>
                    <w:t>溃坝</w:t>
                  </w:r>
                </w:p>
              </w:tc>
              <w:tc>
                <w:tcPr>
                  <w:tcW w:w="1724" w:type="pct"/>
                  <w:shd w:val="clear" w:color="auto" w:fill="auto"/>
                  <w:noWrap w:val="0"/>
                  <w:vAlign w:val="center"/>
                </w:tcPr>
                <w:p>
                  <w:pPr>
                    <w:pStyle w:val="97"/>
                    <w:adjustRightInd w:val="0"/>
                    <w:snapToGrid w:val="0"/>
                    <w:rPr>
                      <w:rFonts w:hint="default" w:ascii="Times New Roman" w:hAnsi="Times New Roman" w:eastAsia="宋体" w:cs="Times New Roman"/>
                      <w:color w:val="auto"/>
                    </w:rPr>
                  </w:pPr>
                  <w:r>
                    <w:rPr>
                      <w:rFonts w:hint="default" w:ascii="Times New Roman" w:hAnsi="Times New Roman" w:eastAsia="宋体" w:cs="Times New Roman"/>
                      <w:color w:val="auto"/>
                    </w:rPr>
                    <w:t>极端天气情况下尾矿库排洪不及时</w:t>
                  </w:r>
                </w:p>
              </w:tc>
            </w:tr>
          </w:tbl>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由上可知，Q&lt;1，即环境风险潜势为Ⅰ，</w:t>
            </w:r>
            <w:r>
              <w:rPr>
                <w:rFonts w:hint="default" w:ascii="Times New Roman" w:hAnsi="Times New Roman" w:cs="Times New Roman"/>
                <w:snapToGrid w:val="0"/>
                <w:color w:val="auto"/>
                <w:kern w:val="0"/>
                <w:sz w:val="24"/>
                <w:szCs w:val="24"/>
                <w:lang w:val="en-US" w:eastAsia="zh-CN"/>
              </w:rPr>
              <w:t>风险评价为简单分析</w:t>
            </w:r>
            <w:r>
              <w:rPr>
                <w:rFonts w:hint="default" w:ascii="Times New Roman" w:hAnsi="Times New Roman" w:eastAsia="宋体" w:cs="Times New Roman"/>
                <w:snapToGrid w:val="0"/>
                <w:color w:val="auto"/>
                <w:kern w:val="0"/>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其分布情况及可能影响途径见下表。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表4-1</w:t>
            </w:r>
            <w:r>
              <w:rPr>
                <w:rFonts w:hint="eastAsia" w:cs="Times New Roman"/>
                <w:b/>
                <w:bCs w:val="0"/>
                <w:color w:val="auto"/>
                <w:sz w:val="21"/>
                <w:szCs w:val="21"/>
                <w:lang w:val="en-US" w:eastAsia="zh-CN"/>
              </w:rPr>
              <w:t>9</w:t>
            </w:r>
            <w:r>
              <w:rPr>
                <w:rFonts w:hint="default" w:ascii="Times New Roman" w:hAnsi="Times New Roman" w:eastAsia="宋体" w:cs="Times New Roman"/>
                <w:b/>
                <w:bCs w:val="0"/>
                <w:color w:val="auto"/>
                <w:sz w:val="21"/>
                <w:szCs w:val="21"/>
                <w:lang w:val="en-US" w:eastAsia="zh-CN"/>
              </w:rPr>
              <w:t xml:space="preserve"> 项目环境风险物质分布情况及可能影响途径一览表</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49"/>
              <w:gridCol w:w="2704"/>
              <w:gridCol w:w="1421"/>
              <w:gridCol w:w="1803"/>
              <w:gridCol w:w="181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 w:type="pct"/>
                  <w:noWrap w:val="0"/>
                  <w:vAlign w:val="center"/>
                </w:tcPr>
                <w:p>
                  <w:pPr>
                    <w:tabs>
                      <w:tab w:val="left" w:pos="900"/>
                    </w:tabs>
                    <w:adjustRightInd w:val="0"/>
                    <w:snapToGrid w:val="0"/>
                    <w:spacing w:line="240" w:lineRule="auto"/>
                    <w:jc w:val="center"/>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vertAlign w:val="baseline"/>
                    </w:rPr>
                    <w:t>序号</w:t>
                  </w:r>
                </w:p>
              </w:tc>
              <w:tc>
                <w:tcPr>
                  <w:tcW w:w="1610" w:type="pct"/>
                  <w:noWrap w:val="0"/>
                  <w:vAlign w:val="center"/>
                </w:tcPr>
                <w:p>
                  <w:pPr>
                    <w:tabs>
                      <w:tab w:val="left" w:pos="900"/>
                    </w:tabs>
                    <w:adjustRightInd w:val="0"/>
                    <w:snapToGrid w:val="0"/>
                    <w:spacing w:line="240" w:lineRule="auto"/>
                    <w:jc w:val="center"/>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vertAlign w:val="baseline"/>
                    </w:rPr>
                    <w:t>名称</w:t>
                  </w:r>
                </w:p>
              </w:tc>
              <w:tc>
                <w:tcPr>
                  <w:tcW w:w="846" w:type="pct"/>
                  <w:noWrap w:val="0"/>
                  <w:vAlign w:val="center"/>
                </w:tcPr>
                <w:p>
                  <w:pPr>
                    <w:tabs>
                      <w:tab w:val="left" w:pos="900"/>
                    </w:tabs>
                    <w:adjustRightInd w:val="0"/>
                    <w:snapToGrid w:val="0"/>
                    <w:spacing w:line="240" w:lineRule="auto"/>
                    <w:jc w:val="center"/>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vertAlign w:val="baseline"/>
                    </w:rPr>
                    <w:t>分布情况</w:t>
                  </w:r>
                </w:p>
              </w:tc>
              <w:tc>
                <w:tcPr>
                  <w:tcW w:w="1074" w:type="pct"/>
                  <w:noWrap w:val="0"/>
                  <w:vAlign w:val="center"/>
                </w:tcPr>
                <w:p>
                  <w:pPr>
                    <w:tabs>
                      <w:tab w:val="left" w:pos="900"/>
                    </w:tabs>
                    <w:adjustRightInd w:val="0"/>
                    <w:snapToGrid w:val="0"/>
                    <w:spacing w:line="240" w:lineRule="auto"/>
                    <w:jc w:val="center"/>
                    <w:rPr>
                      <w:rFonts w:hint="default" w:ascii="Times New Roman" w:hAnsi="Times New Roman" w:eastAsia="宋体" w:cs="Times New Roman"/>
                      <w:b w:val="0"/>
                      <w:bCs w:val="0"/>
                      <w:color w:val="auto"/>
                      <w:sz w:val="21"/>
                      <w:szCs w:val="21"/>
                      <w:highlight w:val="none"/>
                      <w:vertAlign w:val="baseline"/>
                      <w:lang w:eastAsia="zh-CN"/>
                    </w:rPr>
                  </w:pPr>
                  <w:r>
                    <w:rPr>
                      <w:rFonts w:hint="default" w:ascii="Times New Roman" w:hAnsi="Times New Roman" w:eastAsia="宋体" w:cs="Times New Roman"/>
                      <w:b w:val="0"/>
                      <w:bCs w:val="0"/>
                      <w:color w:val="auto"/>
                      <w:sz w:val="21"/>
                      <w:szCs w:val="21"/>
                      <w:highlight w:val="none"/>
                      <w:vertAlign w:val="baseline"/>
                      <w:lang w:eastAsia="zh-CN"/>
                    </w:rPr>
                    <w:t>风险类型</w:t>
                  </w:r>
                </w:p>
              </w:tc>
              <w:tc>
                <w:tcPr>
                  <w:tcW w:w="1079" w:type="pct"/>
                  <w:noWrap w:val="0"/>
                  <w:vAlign w:val="center"/>
                </w:tcPr>
                <w:p>
                  <w:pPr>
                    <w:tabs>
                      <w:tab w:val="left" w:pos="900"/>
                    </w:tabs>
                    <w:adjustRightInd w:val="0"/>
                    <w:snapToGrid w:val="0"/>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影响范围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7" w:type="pct"/>
                  <w:noWrap w:val="0"/>
                  <w:vAlign w:val="center"/>
                </w:tcPr>
                <w:p>
                  <w:pPr>
                    <w:tabs>
                      <w:tab w:val="left" w:pos="900"/>
                    </w:tabs>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w:t>
                  </w:r>
                </w:p>
              </w:tc>
              <w:tc>
                <w:tcPr>
                  <w:tcW w:w="1610" w:type="pct"/>
                  <w:noWrap w:val="0"/>
                  <w:vAlign w:val="center"/>
                </w:tcPr>
                <w:p>
                  <w:pPr>
                    <w:tabs>
                      <w:tab w:val="left" w:pos="900"/>
                    </w:tabs>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val="en-US" w:eastAsia="zh-CN"/>
                    </w:rPr>
                    <w:t>废矿物油类</w:t>
                  </w:r>
                </w:p>
              </w:tc>
              <w:tc>
                <w:tcPr>
                  <w:tcW w:w="846" w:type="pct"/>
                  <w:noWrap w:val="0"/>
                  <w:vAlign w:val="center"/>
                </w:tcPr>
                <w:p>
                  <w:pPr>
                    <w:tabs>
                      <w:tab w:val="left" w:pos="900"/>
                    </w:tabs>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eastAsia="zh-CN"/>
                    </w:rPr>
                    <w:t>危废</w:t>
                  </w:r>
                  <w:r>
                    <w:rPr>
                      <w:rFonts w:hint="default" w:ascii="Times New Roman" w:hAnsi="Times New Roman" w:eastAsia="宋体" w:cs="Times New Roman"/>
                      <w:color w:val="auto"/>
                      <w:sz w:val="21"/>
                      <w:szCs w:val="21"/>
                      <w:highlight w:val="none"/>
                      <w:vertAlign w:val="baseline"/>
                      <w:lang w:val="en-US" w:eastAsia="zh-CN"/>
                    </w:rPr>
                    <w:t>贮存</w:t>
                  </w:r>
                  <w:r>
                    <w:rPr>
                      <w:rFonts w:hint="default" w:ascii="Times New Roman" w:hAnsi="Times New Roman" w:eastAsia="宋体" w:cs="Times New Roman"/>
                      <w:color w:val="auto"/>
                      <w:sz w:val="21"/>
                      <w:szCs w:val="21"/>
                      <w:highlight w:val="none"/>
                      <w:vertAlign w:val="baseline"/>
                      <w:lang w:eastAsia="zh-CN"/>
                    </w:rPr>
                    <w:t>点</w:t>
                  </w:r>
                </w:p>
              </w:tc>
              <w:tc>
                <w:tcPr>
                  <w:tcW w:w="1074" w:type="pct"/>
                  <w:noWrap w:val="0"/>
                  <w:vAlign w:val="center"/>
                </w:tcPr>
                <w:p>
                  <w:pPr>
                    <w:tabs>
                      <w:tab w:val="left" w:pos="900"/>
                    </w:tabs>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eastAsia="zh-CN"/>
                    </w:rPr>
                  </w:pPr>
                  <w:r>
                    <w:rPr>
                      <w:rFonts w:hint="eastAsia" w:cs="Times New Roman"/>
                      <w:color w:val="auto"/>
                      <w:sz w:val="21"/>
                      <w:szCs w:val="21"/>
                      <w:highlight w:val="none"/>
                      <w:vertAlign w:val="baseline"/>
                      <w:lang w:eastAsia="zh-CN"/>
                    </w:rPr>
                    <w:t>泄漏</w:t>
                  </w:r>
                  <w:r>
                    <w:rPr>
                      <w:rFonts w:hint="default" w:ascii="Times New Roman" w:hAnsi="Times New Roman" w:eastAsia="宋体" w:cs="Times New Roman"/>
                      <w:color w:val="auto"/>
                      <w:sz w:val="21"/>
                      <w:szCs w:val="21"/>
                      <w:highlight w:val="none"/>
                      <w:vertAlign w:val="baseline"/>
                      <w:lang w:eastAsia="zh-CN"/>
                    </w:rPr>
                    <w:t>、火灾、爆炸</w:t>
                  </w:r>
                </w:p>
              </w:tc>
              <w:tc>
                <w:tcPr>
                  <w:tcW w:w="1079" w:type="pct"/>
                  <w:vMerge w:val="restart"/>
                  <w:noWrap w:val="0"/>
                  <w:vAlign w:val="center"/>
                </w:tcPr>
                <w:p>
                  <w:pPr>
                    <w:pStyle w:val="82"/>
                    <w:spacing w:beforeLines="0" w:afterLines="0"/>
                    <w:ind w:firstLine="0" w:firstLineChars="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lang w:val="en-US" w:eastAsia="zh-CN"/>
                    </w:rPr>
                    <w:t>水环境、大气环境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 w:type="pct"/>
                  <w:noWrap w:val="0"/>
                  <w:vAlign w:val="center"/>
                </w:tcPr>
                <w:p>
                  <w:pPr>
                    <w:tabs>
                      <w:tab w:val="left" w:pos="900"/>
                    </w:tabs>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w:t>
                  </w:r>
                </w:p>
              </w:tc>
              <w:tc>
                <w:tcPr>
                  <w:tcW w:w="1610" w:type="pct"/>
                  <w:shd w:val="clear" w:color="auto" w:fill="auto"/>
                  <w:noWrap w:val="0"/>
                  <w:vAlign w:val="center"/>
                </w:tcPr>
                <w:p>
                  <w:pPr>
                    <w:tabs>
                      <w:tab w:val="left" w:pos="900"/>
                    </w:tabs>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硫酸铜、MIBC、BK301、辛基黄药、丁基黑药</w:t>
                  </w:r>
                </w:p>
              </w:tc>
              <w:tc>
                <w:tcPr>
                  <w:tcW w:w="846" w:type="pct"/>
                  <w:noWrap w:val="0"/>
                  <w:vAlign w:val="center"/>
                </w:tcPr>
                <w:p>
                  <w:pPr>
                    <w:tabs>
                      <w:tab w:val="left" w:pos="900"/>
                    </w:tabs>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Cs w:val="21"/>
                      <w:highlight w:val="none"/>
                      <w:lang w:val="en-US" w:eastAsia="zh-CN"/>
                    </w:rPr>
                    <w:t>药剂库</w:t>
                  </w:r>
                </w:p>
              </w:tc>
              <w:tc>
                <w:tcPr>
                  <w:tcW w:w="1074" w:type="pct"/>
                  <w:noWrap w:val="0"/>
                  <w:vAlign w:val="center"/>
                </w:tcPr>
                <w:p>
                  <w:pPr>
                    <w:tabs>
                      <w:tab w:val="left" w:pos="900"/>
                    </w:tabs>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泄漏</w:t>
                  </w:r>
                  <w:r>
                    <w:rPr>
                      <w:rFonts w:hint="default" w:ascii="Times New Roman" w:hAnsi="Times New Roman" w:eastAsia="宋体" w:cs="Times New Roman"/>
                      <w:color w:val="auto"/>
                      <w:sz w:val="21"/>
                      <w:szCs w:val="21"/>
                      <w:highlight w:val="none"/>
                      <w:vertAlign w:val="baseline"/>
                      <w:lang w:val="en-US" w:eastAsia="zh-CN"/>
                    </w:rPr>
                    <w:t>、火灾</w:t>
                  </w:r>
                </w:p>
              </w:tc>
              <w:tc>
                <w:tcPr>
                  <w:tcW w:w="1079" w:type="pct"/>
                  <w:vMerge w:val="continue"/>
                  <w:noWrap w:val="0"/>
                  <w:vAlign w:val="center"/>
                </w:tcPr>
                <w:p>
                  <w:pPr>
                    <w:pStyle w:val="82"/>
                    <w:spacing w:beforeLines="0" w:afterLines="0"/>
                    <w:ind w:firstLine="0" w:firstLineChars="0"/>
                    <w:jc w:val="center"/>
                    <w:rPr>
                      <w:rFonts w:hint="default" w:ascii="Times New Roman" w:hAnsi="Times New Roman" w:eastAsia="宋体" w:cs="Times New Roman"/>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 w:type="pct"/>
                  <w:noWrap w:val="0"/>
                  <w:vAlign w:val="center"/>
                </w:tcPr>
                <w:p>
                  <w:pPr>
                    <w:tabs>
                      <w:tab w:val="left" w:pos="900"/>
                    </w:tabs>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3</w:t>
                  </w:r>
                </w:p>
              </w:tc>
              <w:tc>
                <w:tcPr>
                  <w:tcW w:w="1610" w:type="pct"/>
                  <w:shd w:val="clear" w:color="auto" w:fill="auto"/>
                  <w:noWrap w:val="0"/>
                  <w:vAlign w:val="center"/>
                </w:tcPr>
                <w:p>
                  <w:pPr>
                    <w:tabs>
                      <w:tab w:val="left" w:pos="900"/>
                    </w:tabs>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生产单元</w:t>
                  </w:r>
                </w:p>
              </w:tc>
              <w:tc>
                <w:tcPr>
                  <w:tcW w:w="846" w:type="pct"/>
                  <w:noWrap w:val="0"/>
                  <w:vAlign w:val="center"/>
                </w:tcPr>
                <w:p>
                  <w:pPr>
                    <w:tabs>
                      <w:tab w:val="left" w:pos="900"/>
                    </w:tabs>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lang w:val="en-US" w:eastAsia="zh-CN"/>
                    </w:rPr>
                    <w:t>浓密池</w:t>
                  </w:r>
                </w:p>
              </w:tc>
              <w:tc>
                <w:tcPr>
                  <w:tcW w:w="1074" w:type="pct"/>
                  <w:noWrap w:val="0"/>
                  <w:vAlign w:val="center"/>
                </w:tcPr>
                <w:p>
                  <w:pPr>
                    <w:tabs>
                      <w:tab w:val="left" w:pos="900"/>
                    </w:tabs>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lang w:val="en-US" w:eastAsia="zh-CN"/>
                    </w:rPr>
                    <w:t>泄漏</w:t>
                  </w:r>
                </w:p>
              </w:tc>
              <w:tc>
                <w:tcPr>
                  <w:tcW w:w="1079" w:type="pct"/>
                  <w:noWrap w:val="0"/>
                  <w:vAlign w:val="center"/>
                </w:tcPr>
                <w:p>
                  <w:pPr>
                    <w:pStyle w:val="82"/>
                    <w:spacing w:beforeLines="0" w:afterLines="0"/>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土壤环境、水环境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 w:type="pct"/>
                  <w:noWrap w:val="0"/>
                  <w:vAlign w:val="center"/>
                </w:tcPr>
                <w:p>
                  <w:pPr>
                    <w:tabs>
                      <w:tab w:val="left" w:pos="900"/>
                    </w:tabs>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4</w:t>
                  </w:r>
                </w:p>
              </w:tc>
              <w:tc>
                <w:tcPr>
                  <w:tcW w:w="1610" w:type="pct"/>
                  <w:shd w:val="clear" w:color="auto" w:fill="auto"/>
                  <w:noWrap w:val="0"/>
                  <w:vAlign w:val="center"/>
                </w:tcPr>
                <w:p>
                  <w:pPr>
                    <w:tabs>
                      <w:tab w:val="left" w:pos="900"/>
                    </w:tabs>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生产单元</w:t>
                  </w:r>
                </w:p>
              </w:tc>
              <w:tc>
                <w:tcPr>
                  <w:tcW w:w="846" w:type="pct"/>
                  <w:noWrap w:val="0"/>
                  <w:vAlign w:val="center"/>
                </w:tcPr>
                <w:p>
                  <w:pPr>
                    <w:tabs>
                      <w:tab w:val="left" w:pos="900"/>
                    </w:tabs>
                    <w:adjustRightInd w:val="0"/>
                    <w:snapToGrid w:val="0"/>
                    <w:spacing w:line="24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 w:val="21"/>
                      <w:szCs w:val="21"/>
                      <w:highlight w:val="none"/>
                      <w:vertAlign w:val="baseline"/>
                      <w:lang w:val="en-US" w:eastAsia="zh-CN"/>
                    </w:rPr>
                    <w:t>尾矿库</w:t>
                  </w:r>
                </w:p>
              </w:tc>
              <w:tc>
                <w:tcPr>
                  <w:tcW w:w="1074" w:type="pct"/>
                  <w:noWrap w:val="0"/>
                  <w:vAlign w:val="center"/>
                </w:tcPr>
                <w:p>
                  <w:pPr>
                    <w:tabs>
                      <w:tab w:val="left" w:pos="900"/>
                    </w:tabs>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溃坝</w:t>
                  </w:r>
                </w:p>
              </w:tc>
              <w:tc>
                <w:tcPr>
                  <w:tcW w:w="1079" w:type="pct"/>
                  <w:noWrap w:val="0"/>
                  <w:vAlign w:val="center"/>
                </w:tcPr>
                <w:p>
                  <w:pPr>
                    <w:pStyle w:val="82"/>
                    <w:spacing w:beforeLines="0" w:afterLines="0"/>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水环境</w:t>
                  </w:r>
                </w:p>
              </w:tc>
            </w:tr>
          </w:tbl>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snapToGrid w:val="0"/>
                <w:color w:val="auto"/>
                <w:kern w:val="0"/>
                <w:sz w:val="24"/>
                <w:szCs w:val="24"/>
                <w:lang w:val="en-US" w:eastAsia="zh-CN"/>
              </w:rPr>
            </w:pPr>
            <w:r>
              <w:rPr>
                <w:rFonts w:hint="eastAsia" w:cs="Times New Roman"/>
                <w:snapToGrid w:val="0"/>
                <w:color w:val="auto"/>
                <w:kern w:val="0"/>
                <w:sz w:val="24"/>
                <w:szCs w:val="24"/>
                <w:lang w:val="en-US" w:eastAsia="zh-CN"/>
              </w:rPr>
              <w:t>（2）</w:t>
            </w:r>
            <w:r>
              <w:rPr>
                <w:rFonts w:hint="default" w:ascii="Times New Roman" w:hAnsi="Times New Roman" w:cs="Times New Roman"/>
                <w:snapToGrid w:val="0"/>
                <w:color w:val="auto"/>
                <w:kern w:val="0"/>
                <w:sz w:val="24"/>
                <w:szCs w:val="24"/>
                <w:lang w:val="en-US" w:eastAsia="zh-CN"/>
              </w:rPr>
              <w:t>典型风险事故情景分析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snapToGrid w:val="0"/>
                <w:color w:val="auto"/>
                <w:kern w:val="0"/>
                <w:sz w:val="24"/>
                <w:szCs w:val="24"/>
                <w:lang w:val="en-US" w:eastAsia="zh-CN"/>
              </w:rPr>
            </w:pPr>
            <w:r>
              <w:rPr>
                <w:rFonts w:hint="default" w:ascii="Times New Roman" w:hAnsi="Times New Roman" w:cs="Times New Roman"/>
                <w:snapToGrid w:val="0"/>
                <w:color w:val="auto"/>
                <w:kern w:val="0"/>
                <w:sz w:val="24"/>
                <w:szCs w:val="24"/>
                <w:lang w:val="en-US" w:eastAsia="zh-CN"/>
              </w:rPr>
              <w:t>根据《建设项目环境风险评价技术导则》（HJ169-2018）的要求，风险事故情形的设定是在风险识别的基础上，选择对环境影响较大并具有代表性的事故类型，设定风险事故情形。</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cs="Times New Roman"/>
                <w:snapToGrid w:val="0"/>
                <w:color w:val="auto"/>
                <w:kern w:val="0"/>
                <w:sz w:val="24"/>
                <w:szCs w:val="24"/>
                <w:lang w:val="en-US" w:eastAsia="zh-CN"/>
              </w:rPr>
            </w:pPr>
            <w:r>
              <w:rPr>
                <w:rFonts w:hint="default" w:ascii="Times New Roman" w:hAnsi="Times New Roman" w:eastAsia="宋体" w:cs="Times New Roman"/>
                <w:b w:val="0"/>
                <w:bCs w:val="0"/>
                <w:color w:val="auto"/>
                <w:sz w:val="24"/>
                <w:szCs w:val="24"/>
                <w:lang w:val="en-US" w:eastAsia="zh-CN"/>
              </w:rPr>
              <w:t>项目场地位于喀拉米兰河右岸台地之上，场区整体地势南东高、北西低，精选车间、输送管道泄漏点均位于厂区内部，地面径流沿地势向西北低洼处汇集，</w:t>
            </w:r>
            <w:r>
              <w:rPr>
                <w:rFonts w:hint="eastAsia" w:ascii="Times New Roman" w:hAnsi="Times New Roman" w:eastAsia="宋体" w:cs="Times New Roman"/>
                <w:b w:val="0"/>
                <w:bCs w:val="0"/>
                <w:color w:val="auto"/>
                <w:sz w:val="24"/>
                <w:szCs w:val="24"/>
                <w:lang w:val="en-US" w:eastAsia="zh-CN"/>
              </w:rPr>
              <w:t>矿浆泄露不会进入河流。</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snapToGrid w:val="0"/>
                <w:color w:val="auto"/>
                <w:kern w:val="0"/>
                <w:sz w:val="24"/>
                <w:szCs w:val="24"/>
                <w:lang w:val="en-US" w:eastAsia="zh-CN"/>
              </w:rPr>
            </w:pPr>
            <w:r>
              <w:rPr>
                <w:rFonts w:hint="default" w:ascii="Times New Roman" w:hAnsi="Times New Roman" w:cs="Times New Roman"/>
                <w:snapToGrid w:val="0"/>
                <w:color w:val="auto"/>
                <w:kern w:val="0"/>
                <w:sz w:val="24"/>
                <w:szCs w:val="24"/>
                <w:lang w:val="en-US" w:eastAsia="zh-CN"/>
              </w:rPr>
              <w:t>根据风险识别结果，本项目可能发生污染事故的环节主要是：</w:t>
            </w:r>
            <w:r>
              <w:rPr>
                <w:rFonts w:hint="eastAsia" w:cs="Times New Roman"/>
                <w:snapToGrid w:val="0"/>
                <w:color w:val="auto"/>
                <w:kern w:val="0"/>
                <w:sz w:val="24"/>
                <w:szCs w:val="24"/>
                <w:lang w:val="en-US" w:eastAsia="zh-CN"/>
              </w:rPr>
              <w:t>①药剂</w:t>
            </w:r>
            <w:r>
              <w:rPr>
                <w:rFonts w:hint="default" w:ascii="Times New Roman" w:hAnsi="Times New Roman" w:cs="Times New Roman"/>
                <w:snapToGrid w:val="0"/>
                <w:color w:val="auto"/>
                <w:kern w:val="0"/>
                <w:sz w:val="24"/>
                <w:szCs w:val="24"/>
                <w:lang w:val="en-US" w:eastAsia="zh-CN"/>
              </w:rPr>
              <w:t>在输送、生产使用过程中，</w:t>
            </w:r>
            <w:r>
              <w:rPr>
                <w:rFonts w:hint="eastAsia" w:cs="Times New Roman"/>
                <w:snapToGrid w:val="0"/>
                <w:color w:val="auto"/>
                <w:kern w:val="0"/>
                <w:sz w:val="24"/>
                <w:szCs w:val="24"/>
                <w:lang w:val="en-US" w:eastAsia="zh-CN"/>
              </w:rPr>
              <w:t>因人为</w:t>
            </w:r>
            <w:r>
              <w:rPr>
                <w:rFonts w:hint="default" w:ascii="Times New Roman" w:hAnsi="Times New Roman" w:cs="Times New Roman"/>
                <w:snapToGrid w:val="0"/>
                <w:color w:val="auto"/>
                <w:kern w:val="0"/>
                <w:sz w:val="24"/>
                <w:szCs w:val="24"/>
                <w:lang w:val="en-US" w:eastAsia="zh-CN"/>
              </w:rPr>
              <w:t>操作不当、设备老化或一些非人为的因素，可能导致</w:t>
            </w:r>
            <w:r>
              <w:rPr>
                <w:rFonts w:hint="eastAsia" w:cs="Times New Roman"/>
                <w:snapToGrid w:val="0"/>
                <w:color w:val="auto"/>
                <w:kern w:val="0"/>
                <w:sz w:val="24"/>
                <w:szCs w:val="24"/>
                <w:lang w:val="en-US" w:eastAsia="zh-CN"/>
              </w:rPr>
              <w:t>药剂</w:t>
            </w:r>
            <w:r>
              <w:rPr>
                <w:rFonts w:hint="default" w:ascii="Times New Roman" w:hAnsi="Times New Roman" w:cs="Times New Roman"/>
                <w:snapToGrid w:val="0"/>
                <w:color w:val="auto"/>
                <w:kern w:val="0"/>
                <w:sz w:val="24"/>
                <w:szCs w:val="24"/>
                <w:lang w:val="en-US" w:eastAsia="zh-CN"/>
              </w:rPr>
              <w:t>泄漏，对周边环境</w:t>
            </w:r>
            <w:r>
              <w:rPr>
                <w:rFonts w:hint="eastAsia" w:cs="Times New Roman"/>
                <w:snapToGrid w:val="0"/>
                <w:color w:val="auto"/>
                <w:kern w:val="0"/>
                <w:sz w:val="24"/>
                <w:szCs w:val="24"/>
                <w:lang w:val="en-US" w:eastAsia="zh-CN"/>
              </w:rPr>
              <w:t>产生</w:t>
            </w:r>
            <w:r>
              <w:rPr>
                <w:rFonts w:hint="default" w:ascii="Times New Roman" w:hAnsi="Times New Roman" w:cs="Times New Roman"/>
                <w:snapToGrid w:val="0"/>
                <w:color w:val="auto"/>
                <w:kern w:val="0"/>
                <w:sz w:val="24"/>
                <w:szCs w:val="24"/>
                <w:lang w:val="en-US" w:eastAsia="zh-CN"/>
              </w:rPr>
              <w:t>影响。</w:t>
            </w:r>
            <w:r>
              <w:rPr>
                <w:rFonts w:hint="eastAsia" w:cs="Times New Roman"/>
                <w:snapToGrid w:val="0"/>
                <w:color w:val="auto"/>
                <w:kern w:val="0"/>
                <w:sz w:val="24"/>
                <w:szCs w:val="24"/>
                <w:lang w:val="en-US" w:eastAsia="zh-CN"/>
              </w:rPr>
              <w:t>②</w:t>
            </w:r>
            <w:r>
              <w:rPr>
                <w:rFonts w:hint="default" w:ascii="Times New Roman" w:hAnsi="Times New Roman" w:cs="Times New Roman"/>
                <w:snapToGrid w:val="0"/>
                <w:color w:val="auto"/>
                <w:kern w:val="0"/>
                <w:sz w:val="24"/>
                <w:szCs w:val="24"/>
                <w:lang w:val="en-US" w:eastAsia="zh-CN"/>
              </w:rPr>
              <w:t>回采施工过程中，未严格控制回采边坡坡比</w:t>
            </w:r>
            <w:r>
              <w:rPr>
                <w:rFonts w:hint="eastAsia" w:cs="Times New Roman"/>
                <w:snapToGrid w:val="0"/>
                <w:color w:val="auto"/>
                <w:kern w:val="0"/>
                <w:sz w:val="24"/>
                <w:szCs w:val="24"/>
                <w:lang w:val="en-US" w:eastAsia="zh-CN"/>
              </w:rPr>
              <w:t>，引发下游坝坡局部滑塌失稳。</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cs="Times New Roman"/>
                <w:snapToGrid w:val="0"/>
                <w:color w:val="auto"/>
                <w:kern w:val="0"/>
                <w:sz w:val="24"/>
                <w:szCs w:val="24"/>
                <w:lang w:val="en-US" w:eastAsia="zh-CN"/>
              </w:rPr>
            </w:pPr>
            <w:r>
              <w:rPr>
                <w:rFonts w:hint="eastAsia" w:ascii="Times New Roman" w:hAnsi="Times New Roman" w:eastAsia="宋体" w:cs="Times New Roman"/>
                <w:snapToGrid w:val="0"/>
                <w:color w:val="auto"/>
                <w:kern w:val="0"/>
                <w:sz w:val="24"/>
                <w:szCs w:val="24"/>
                <w:lang w:val="en-US" w:eastAsia="zh-CN"/>
              </w:rPr>
              <w:t>1）尾矿库溃坝泄漏滑坡</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cs="Times New Roman"/>
                <w:snapToGrid w:val="0"/>
                <w:color w:val="auto"/>
                <w:kern w:val="0"/>
                <w:sz w:val="24"/>
                <w:szCs w:val="24"/>
                <w:lang w:val="en-US" w:eastAsia="zh-CN"/>
              </w:rPr>
            </w:pPr>
            <w:r>
              <w:rPr>
                <w:rFonts w:hint="eastAsia" w:ascii="Times New Roman" w:hAnsi="Times New Roman" w:eastAsia="宋体" w:cs="Times New Roman"/>
                <w:snapToGrid w:val="0"/>
                <w:color w:val="auto"/>
                <w:kern w:val="0"/>
                <w:sz w:val="24"/>
                <w:szCs w:val="24"/>
                <w:lang w:val="en-US" w:eastAsia="zh-CN"/>
              </w:rPr>
              <w:t>现状尾矿库坝高29.5m，有效库容为68.45万m³。</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cs="Times New Roman"/>
                <w:snapToGrid w:val="0"/>
                <w:color w:val="auto"/>
                <w:kern w:val="0"/>
                <w:sz w:val="24"/>
                <w:szCs w:val="24"/>
                <w:lang w:val="en-US" w:eastAsia="zh-CN"/>
              </w:rPr>
            </w:pPr>
            <w:r>
              <w:rPr>
                <w:rFonts w:hint="eastAsia" w:ascii="Times New Roman" w:hAnsi="Times New Roman" w:eastAsia="宋体" w:cs="Times New Roman"/>
                <w:snapToGrid w:val="0"/>
                <w:color w:val="auto"/>
                <w:kern w:val="0"/>
                <w:sz w:val="24"/>
                <w:szCs w:val="24"/>
                <w:lang w:val="en-US" w:eastAsia="zh-CN"/>
              </w:rPr>
              <w:t>①溃口宽度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highlight w:val="none"/>
                <w:vertAlign w:val="baseline"/>
              </w:rPr>
            </w:pPr>
            <w:r>
              <w:rPr>
                <w:rFonts w:hint="default" w:ascii="Times New Roman" w:hAnsi="Times New Roman" w:eastAsia="宋体" w:cs="Times New Roman"/>
                <w:snapToGrid w:val="0"/>
                <w:color w:val="auto"/>
                <w:kern w:val="0"/>
                <w:sz w:val="24"/>
                <w:szCs w:val="24"/>
              </w:rPr>
              <w:t>b=0.1kW</w:t>
            </w:r>
            <w:r>
              <w:rPr>
                <w:rFonts w:hint="default" w:ascii="Times New Roman" w:hAnsi="Times New Roman" w:eastAsia="宋体" w:cs="Times New Roman"/>
                <w:snapToGrid w:val="0"/>
                <w:color w:val="auto"/>
                <w:kern w:val="0"/>
                <w:sz w:val="24"/>
                <w:szCs w:val="24"/>
                <w:vertAlign w:val="superscript"/>
              </w:rPr>
              <w:t>0.25</w:t>
            </w:r>
            <w:r>
              <w:rPr>
                <w:rFonts w:hint="default" w:ascii="Times New Roman" w:hAnsi="Times New Roman" w:eastAsia="宋体" w:cs="Times New Roman"/>
                <w:snapToGrid w:val="0"/>
                <w:color w:val="auto"/>
                <w:kern w:val="0"/>
                <w:sz w:val="24"/>
                <w:szCs w:val="24"/>
              </w:rPr>
              <w:t>B</w:t>
            </w:r>
            <w:r>
              <w:rPr>
                <w:rFonts w:hint="default" w:ascii="Times New Roman" w:hAnsi="Times New Roman" w:eastAsia="宋体" w:cs="Times New Roman"/>
                <w:snapToGrid w:val="0"/>
                <w:color w:val="auto"/>
                <w:kern w:val="0"/>
                <w:sz w:val="24"/>
                <w:szCs w:val="24"/>
                <w:vertAlign w:val="superscript"/>
              </w:rPr>
              <w:t>0.25</w:t>
            </w:r>
            <w:r>
              <w:rPr>
                <w:rFonts w:hint="default" w:ascii="Times New Roman" w:hAnsi="Times New Roman" w:eastAsia="宋体" w:cs="Times New Roman"/>
                <w:snapToGrid w:val="0"/>
                <w:color w:val="auto"/>
                <w:kern w:val="0"/>
                <w:sz w:val="24"/>
                <w:szCs w:val="24"/>
              </w:rPr>
              <w:t>H</w:t>
            </w:r>
            <w:r>
              <w:rPr>
                <w:rFonts w:hint="default" w:ascii="Times New Roman" w:hAnsi="Times New Roman" w:eastAsia="宋体" w:cs="Times New Roman"/>
                <w:snapToGrid w:val="0"/>
                <w:color w:val="auto"/>
                <w:kern w:val="0"/>
                <w:sz w:val="24"/>
                <w:szCs w:val="24"/>
                <w:vertAlign w:val="superscript"/>
              </w:rPr>
              <w:t>0.5</w:t>
            </w:r>
            <w:r>
              <w:rPr>
                <w:rFonts w:hint="default" w:ascii="Times New Roman" w:hAnsi="Times New Roman" w:eastAsia="宋体" w:cs="Times New Roman"/>
                <w:bCs/>
                <w:color w:val="auto"/>
                <w:sz w:val="24"/>
                <w:szCs w:val="24"/>
                <w:highlight w:val="none"/>
              </w:rPr>
              <w:t>（黄河水利委员会经验公式）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highlight w:val="yellow"/>
                <w:lang w:val="en-US" w:eastAsia="zh-CN"/>
              </w:rPr>
            </w:pPr>
            <w:r>
              <w:rPr>
                <w:rFonts w:hint="default" w:ascii="Times New Roman" w:hAnsi="Times New Roman" w:eastAsia="宋体" w:cs="Times New Roman"/>
                <w:snapToGrid w:val="0"/>
                <w:color w:val="auto"/>
                <w:kern w:val="0"/>
                <w:sz w:val="24"/>
                <w:szCs w:val="24"/>
              </w:rPr>
              <w:t>上式中，W——下泄尾砂量，取有效库容的80%，</w:t>
            </w:r>
            <w:r>
              <w:rPr>
                <w:rFonts w:hint="default" w:ascii="Times New Roman" w:hAnsi="Times New Roman" w:eastAsia="宋体" w:cs="Times New Roman"/>
                <w:snapToGrid w:val="0"/>
                <w:color w:val="auto"/>
                <w:kern w:val="0"/>
                <w:sz w:val="24"/>
                <w:szCs w:val="24"/>
                <w:lang w:val="en-US" w:eastAsia="zh-CN"/>
              </w:rPr>
              <w:t>54.76</w:t>
            </w:r>
            <w:r>
              <w:rPr>
                <w:rFonts w:hint="default" w:ascii="Times New Roman" w:hAnsi="Times New Roman" w:eastAsia="宋体" w:cs="Times New Roman"/>
                <w:snapToGrid w:val="0"/>
                <w:color w:val="auto"/>
                <w:kern w:val="0"/>
                <w:sz w:val="24"/>
                <w:szCs w:val="24"/>
              </w:rPr>
              <w:t>万m</w:t>
            </w:r>
            <w:r>
              <w:rPr>
                <w:rFonts w:hint="default" w:ascii="Times New Roman" w:hAnsi="Times New Roman" w:eastAsia="宋体" w:cs="Times New Roman"/>
                <w:snapToGrid w:val="0"/>
                <w:color w:val="auto"/>
                <w:kern w:val="0"/>
                <w:sz w:val="24"/>
                <w:szCs w:val="24"/>
                <w:vertAlign w:val="superscript"/>
              </w:rPr>
              <w:t>3</w:t>
            </w:r>
            <w:r>
              <w:rPr>
                <w:rFonts w:hint="default" w:ascii="Times New Roman" w:hAnsi="Times New Roman" w:eastAsia="宋体" w:cs="Times New Roman"/>
                <w:snapToGrid w:val="0"/>
                <w:color w:val="auto"/>
                <w:kern w:val="0"/>
                <w:sz w:val="24"/>
                <w:szCs w:val="24"/>
              </w:rPr>
              <w:t>；</w:t>
            </w:r>
          </w:p>
          <w:p>
            <w:pPr>
              <w:keepNext w:val="0"/>
              <w:keepLines w:val="0"/>
              <w:pageBreakBefore w:val="0"/>
              <w:widowControl w:val="0"/>
              <w:kinsoku/>
              <w:wordWrap/>
              <w:overflowPunct/>
              <w:topLinePunct w:val="0"/>
              <w:autoSpaceDE/>
              <w:autoSpaceDN/>
              <w:bidi w:val="0"/>
              <w:adjustRightInd/>
              <w:snapToGrid/>
              <w:spacing w:line="500" w:lineRule="exact"/>
              <w:ind w:firstLine="1440" w:firstLineChars="600"/>
              <w:textAlignment w:val="auto"/>
              <w:rPr>
                <w:rFonts w:hint="default" w:ascii="Times New Roman" w:hAnsi="Times New Roman" w:eastAsia="宋体" w:cs="Times New Roman"/>
                <w:snapToGrid w:val="0"/>
                <w:color w:val="auto"/>
                <w:kern w:val="0"/>
                <w:sz w:val="24"/>
                <w:szCs w:val="24"/>
                <w:highlight w:val="yellow"/>
              </w:rPr>
            </w:pPr>
            <w:r>
              <w:rPr>
                <w:rFonts w:hint="default" w:ascii="Times New Roman" w:hAnsi="Times New Roman" w:eastAsia="宋体" w:cs="Times New Roman"/>
                <w:snapToGrid w:val="0"/>
                <w:color w:val="auto"/>
                <w:kern w:val="0"/>
                <w:sz w:val="24"/>
                <w:szCs w:val="24"/>
              </w:rPr>
              <w:t>B——主坝顶长度，为</w:t>
            </w:r>
            <w:r>
              <w:rPr>
                <w:rFonts w:hint="default" w:ascii="Times New Roman" w:hAnsi="Times New Roman" w:eastAsia="宋体" w:cs="Times New Roman"/>
                <w:snapToGrid w:val="0"/>
                <w:color w:val="auto"/>
                <w:kern w:val="0"/>
                <w:sz w:val="24"/>
                <w:szCs w:val="24"/>
                <w:lang w:val="en-US" w:eastAsia="zh-CN"/>
              </w:rPr>
              <w:t>372.98</w:t>
            </w:r>
            <w:r>
              <w:rPr>
                <w:rFonts w:hint="default" w:ascii="Times New Roman" w:hAnsi="Times New Roman" w:eastAsia="宋体" w:cs="Times New Roman"/>
                <w:snapToGrid w:val="0"/>
                <w:color w:val="auto"/>
                <w:kern w:val="0"/>
                <w:sz w:val="24"/>
                <w:szCs w:val="24"/>
              </w:rPr>
              <w:t>m；</w:t>
            </w:r>
          </w:p>
          <w:p>
            <w:pPr>
              <w:keepNext w:val="0"/>
              <w:keepLines w:val="0"/>
              <w:pageBreakBefore w:val="0"/>
              <w:widowControl w:val="0"/>
              <w:kinsoku/>
              <w:wordWrap/>
              <w:overflowPunct/>
              <w:topLinePunct w:val="0"/>
              <w:autoSpaceDE/>
              <w:autoSpaceDN/>
              <w:bidi w:val="0"/>
              <w:adjustRightInd/>
              <w:snapToGrid/>
              <w:spacing w:line="500" w:lineRule="exact"/>
              <w:ind w:firstLine="1440" w:firstLineChars="600"/>
              <w:textAlignment w:val="auto"/>
              <w:rPr>
                <w:rFonts w:hint="default" w:ascii="Times New Roman" w:hAnsi="Times New Roman" w:eastAsia="宋体" w:cs="Times New Roman"/>
                <w:snapToGrid w:val="0"/>
                <w:color w:val="auto"/>
                <w:kern w:val="0"/>
                <w:sz w:val="24"/>
                <w:szCs w:val="24"/>
                <w:highlight w:val="yellow"/>
              </w:rPr>
            </w:pPr>
            <w:r>
              <w:rPr>
                <w:rFonts w:hint="default" w:ascii="Times New Roman" w:hAnsi="Times New Roman" w:eastAsia="宋体" w:cs="Times New Roman"/>
                <w:snapToGrid w:val="0"/>
                <w:color w:val="auto"/>
                <w:kern w:val="0"/>
                <w:sz w:val="24"/>
                <w:szCs w:val="24"/>
              </w:rPr>
              <w:t>H——坝高，为</w:t>
            </w:r>
            <w:r>
              <w:rPr>
                <w:rFonts w:hint="default" w:ascii="Times New Roman" w:hAnsi="Times New Roman" w:eastAsia="宋体" w:cs="Times New Roman"/>
                <w:snapToGrid w:val="0"/>
                <w:color w:val="auto"/>
                <w:kern w:val="0"/>
                <w:sz w:val="24"/>
                <w:szCs w:val="24"/>
                <w:lang w:val="en-US" w:eastAsia="zh-CN"/>
              </w:rPr>
              <w:t>29.5</w:t>
            </w:r>
            <w:r>
              <w:rPr>
                <w:rFonts w:hint="default" w:ascii="Times New Roman" w:hAnsi="Times New Roman" w:eastAsia="宋体" w:cs="Times New Roman"/>
                <w:snapToGrid w:val="0"/>
                <w:color w:val="auto"/>
                <w:kern w:val="0"/>
                <w:sz w:val="24"/>
                <w:szCs w:val="24"/>
              </w:rPr>
              <w:t>m；</w:t>
            </w:r>
          </w:p>
          <w:p>
            <w:pPr>
              <w:keepNext w:val="0"/>
              <w:keepLines w:val="0"/>
              <w:pageBreakBefore w:val="0"/>
              <w:widowControl w:val="0"/>
              <w:kinsoku/>
              <w:wordWrap/>
              <w:overflowPunct/>
              <w:topLinePunct w:val="0"/>
              <w:autoSpaceDE/>
              <w:autoSpaceDN/>
              <w:bidi w:val="0"/>
              <w:adjustRightInd/>
              <w:snapToGrid/>
              <w:spacing w:line="500" w:lineRule="exact"/>
              <w:ind w:firstLine="1440" w:firstLineChars="600"/>
              <w:textAlignment w:val="auto"/>
              <w:rPr>
                <w:rFonts w:hint="default" w:ascii="Times New Roman" w:hAnsi="Times New Roman" w:eastAsia="宋体" w:cs="Times New Roman"/>
                <w:snapToGrid w:val="0"/>
                <w:color w:val="auto"/>
                <w:kern w:val="0"/>
                <w:sz w:val="24"/>
                <w:szCs w:val="24"/>
              </w:rPr>
            </w:pPr>
            <w:r>
              <w:rPr>
                <w:rFonts w:hint="default" w:ascii="Times New Roman" w:hAnsi="Times New Roman" w:eastAsia="宋体" w:cs="Times New Roman"/>
                <w:snapToGrid w:val="0"/>
                <w:color w:val="auto"/>
                <w:kern w:val="0"/>
                <w:sz w:val="24"/>
                <w:szCs w:val="24"/>
              </w:rPr>
              <w:t>K——与坝体土质有关的经验系数，粘土取0.65。</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highlight w:val="yellow"/>
                <w:lang w:val="en-US" w:eastAsia="zh-CN"/>
              </w:rPr>
            </w:pPr>
            <w:r>
              <w:rPr>
                <w:rFonts w:hint="default" w:ascii="Times New Roman" w:hAnsi="Times New Roman" w:eastAsia="宋体" w:cs="Times New Roman"/>
                <w:snapToGrid w:val="0"/>
                <w:color w:val="auto"/>
                <w:kern w:val="0"/>
                <w:sz w:val="24"/>
                <w:szCs w:val="24"/>
              </w:rPr>
              <w:t>计算结果b=</w:t>
            </w:r>
            <w:r>
              <w:rPr>
                <w:rFonts w:hint="default" w:ascii="Times New Roman" w:hAnsi="Times New Roman" w:eastAsia="宋体" w:cs="Times New Roman"/>
                <w:snapToGrid w:val="0"/>
                <w:color w:val="auto"/>
                <w:kern w:val="0"/>
                <w:sz w:val="24"/>
                <w:szCs w:val="24"/>
                <w:lang w:val="en-US" w:eastAsia="zh-CN"/>
              </w:rPr>
              <w:t>4.22</w:t>
            </w:r>
            <w:r>
              <w:rPr>
                <w:rFonts w:hint="default" w:ascii="Times New Roman" w:hAnsi="Times New Roman" w:eastAsia="宋体" w:cs="Times New Roman"/>
                <w:snapToGrid w:val="0"/>
                <w:color w:val="auto"/>
                <w:kern w:val="0"/>
                <w:sz w:val="24"/>
                <w:szCs w:val="24"/>
              </w:rPr>
              <w:t>m。</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rPr>
            </w:pPr>
            <w:r>
              <w:rPr>
                <w:rFonts w:hint="default" w:ascii="Times New Roman" w:hAnsi="Times New Roman" w:eastAsia="宋体" w:cs="Times New Roman"/>
                <w:snapToGrid w:val="0"/>
                <w:color w:val="auto"/>
                <w:kern w:val="0"/>
                <w:sz w:val="24"/>
                <w:szCs w:val="24"/>
              </w:rPr>
              <w:t>②最大下泄流量</w:t>
            </w:r>
          </w:p>
          <w:p>
            <w:pPr>
              <w:spacing w:line="360" w:lineRule="auto"/>
              <w:ind w:firstLine="480" w:firstLineChars="200"/>
              <w:contextualSpacing/>
              <w:jc w:val="center"/>
              <w:rPr>
                <w:rFonts w:hint="default" w:ascii="Times New Roman" w:hAnsi="Times New Roman" w:eastAsia="宋体" w:cs="Times New Roman"/>
                <w:snapToGrid w:val="0"/>
                <w:color w:val="auto"/>
                <w:kern w:val="0"/>
                <w:sz w:val="24"/>
                <w:szCs w:val="24"/>
              </w:rPr>
            </w:pPr>
            <w:r>
              <w:rPr>
                <w:rFonts w:hint="default" w:ascii="Times New Roman" w:hAnsi="Times New Roman" w:eastAsia="宋体" w:cs="Times New Roman"/>
                <w:snapToGrid w:val="0"/>
                <w:color w:val="auto"/>
                <w:kern w:val="0"/>
                <w:sz w:val="24"/>
                <w:szCs w:val="24"/>
              </w:rPr>
              <w:drawing>
                <wp:inline distT="0" distB="0" distL="114300" distR="114300">
                  <wp:extent cx="1656715" cy="484505"/>
                  <wp:effectExtent l="0" t="0" r="635" b="10795"/>
                  <wp:docPr id="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5"/>
                          <pic:cNvPicPr>
                            <a:picLocks noChangeAspect="1"/>
                          </pic:cNvPicPr>
                        </pic:nvPicPr>
                        <pic:blipFill>
                          <a:blip r:embed="rId34"/>
                          <a:stretch>
                            <a:fillRect/>
                          </a:stretch>
                        </pic:blipFill>
                        <pic:spPr>
                          <a:xfrm>
                            <a:off x="0" y="0"/>
                            <a:ext cx="1656715" cy="48450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highlight w:val="yellow"/>
                <w:lang w:val="en-US" w:eastAsia="zh-CN"/>
              </w:rPr>
            </w:pPr>
            <w:r>
              <w:rPr>
                <w:rFonts w:hint="default" w:ascii="Times New Roman" w:hAnsi="Times New Roman" w:eastAsia="宋体" w:cs="Times New Roman"/>
                <w:snapToGrid w:val="0"/>
                <w:color w:val="auto"/>
                <w:kern w:val="0"/>
                <w:sz w:val="24"/>
                <w:szCs w:val="24"/>
              </w:rPr>
              <w:t>式中：b－溃口宽度，取</w:t>
            </w:r>
            <w:r>
              <w:rPr>
                <w:rFonts w:hint="default" w:ascii="Times New Roman" w:hAnsi="Times New Roman" w:eastAsia="宋体" w:cs="Times New Roman"/>
                <w:snapToGrid w:val="0"/>
                <w:color w:val="auto"/>
                <w:kern w:val="0"/>
                <w:sz w:val="24"/>
                <w:szCs w:val="24"/>
                <w:lang w:val="en-US" w:eastAsia="zh-CN"/>
              </w:rPr>
              <w:t>4.22</w:t>
            </w:r>
            <w:r>
              <w:rPr>
                <w:rFonts w:hint="default" w:ascii="Times New Roman" w:hAnsi="Times New Roman" w:eastAsia="宋体" w:cs="Times New Roman"/>
                <w:snapToGrid w:val="0"/>
                <w:color w:val="auto"/>
                <w:kern w:val="0"/>
                <w:sz w:val="24"/>
                <w:szCs w:val="24"/>
              </w:rPr>
              <w:t>m；</w:t>
            </w:r>
          </w:p>
          <w:p>
            <w:pPr>
              <w:keepNext w:val="0"/>
              <w:keepLines w:val="0"/>
              <w:pageBreakBefore w:val="0"/>
              <w:widowControl w:val="0"/>
              <w:kinsoku/>
              <w:wordWrap/>
              <w:overflowPunct/>
              <w:topLinePunct w:val="0"/>
              <w:autoSpaceDE/>
              <w:autoSpaceDN/>
              <w:bidi w:val="0"/>
              <w:adjustRightInd/>
              <w:snapToGrid/>
              <w:spacing w:line="500" w:lineRule="exact"/>
              <w:ind w:firstLine="1200" w:firstLineChars="500"/>
              <w:textAlignment w:val="auto"/>
              <w:rPr>
                <w:rFonts w:hint="default" w:ascii="Times New Roman" w:hAnsi="Times New Roman" w:eastAsia="宋体" w:cs="Times New Roman"/>
                <w:snapToGrid w:val="0"/>
                <w:color w:val="auto"/>
                <w:kern w:val="0"/>
                <w:sz w:val="24"/>
                <w:szCs w:val="24"/>
              </w:rPr>
            </w:pPr>
            <w:r>
              <w:rPr>
                <w:rFonts w:hint="default" w:ascii="Times New Roman" w:hAnsi="Times New Roman" w:eastAsia="宋体" w:cs="Times New Roman"/>
                <w:snapToGrid w:val="0"/>
                <w:color w:val="auto"/>
                <w:kern w:val="0"/>
                <w:sz w:val="24"/>
                <w:szCs w:val="24"/>
              </w:rPr>
              <w:t>B－主坝长度，取</w:t>
            </w:r>
            <w:r>
              <w:rPr>
                <w:rFonts w:hint="default" w:ascii="Times New Roman" w:hAnsi="Times New Roman" w:eastAsia="宋体" w:cs="Times New Roman"/>
                <w:snapToGrid w:val="0"/>
                <w:color w:val="auto"/>
                <w:kern w:val="0"/>
                <w:sz w:val="24"/>
                <w:szCs w:val="24"/>
                <w:lang w:val="en-US" w:eastAsia="zh-CN"/>
              </w:rPr>
              <w:t>372.98</w:t>
            </w:r>
            <w:r>
              <w:rPr>
                <w:rFonts w:hint="default" w:ascii="Times New Roman" w:hAnsi="Times New Roman" w:eastAsia="宋体" w:cs="Times New Roman"/>
                <w:snapToGrid w:val="0"/>
                <w:color w:val="auto"/>
                <w:kern w:val="0"/>
                <w:sz w:val="24"/>
                <w:szCs w:val="24"/>
              </w:rPr>
              <w:t>m；</w:t>
            </w:r>
          </w:p>
          <w:p>
            <w:pPr>
              <w:keepNext w:val="0"/>
              <w:keepLines w:val="0"/>
              <w:pageBreakBefore w:val="0"/>
              <w:widowControl w:val="0"/>
              <w:kinsoku/>
              <w:wordWrap/>
              <w:overflowPunct/>
              <w:topLinePunct w:val="0"/>
              <w:autoSpaceDE/>
              <w:autoSpaceDN/>
              <w:bidi w:val="0"/>
              <w:adjustRightInd/>
              <w:snapToGrid/>
              <w:spacing w:line="500" w:lineRule="exact"/>
              <w:ind w:firstLine="1200" w:firstLineChars="500"/>
              <w:textAlignment w:val="auto"/>
              <w:rPr>
                <w:rFonts w:hint="default" w:ascii="Times New Roman" w:hAnsi="Times New Roman" w:eastAsia="宋体" w:cs="Times New Roman"/>
                <w:snapToGrid w:val="0"/>
                <w:color w:val="auto"/>
                <w:kern w:val="0"/>
                <w:sz w:val="24"/>
                <w:szCs w:val="24"/>
              </w:rPr>
            </w:pPr>
            <w:r>
              <w:rPr>
                <w:rFonts w:hint="default" w:ascii="Times New Roman" w:hAnsi="Times New Roman" w:eastAsia="宋体" w:cs="Times New Roman"/>
                <w:snapToGrid w:val="0"/>
                <w:color w:val="auto"/>
                <w:kern w:val="0"/>
                <w:sz w:val="24"/>
                <w:szCs w:val="24"/>
              </w:rPr>
              <w:t>g－重力加速度，9.8；</w:t>
            </w:r>
          </w:p>
          <w:p>
            <w:pPr>
              <w:keepNext w:val="0"/>
              <w:keepLines w:val="0"/>
              <w:pageBreakBefore w:val="0"/>
              <w:widowControl w:val="0"/>
              <w:kinsoku/>
              <w:wordWrap/>
              <w:overflowPunct/>
              <w:topLinePunct w:val="0"/>
              <w:autoSpaceDE/>
              <w:autoSpaceDN/>
              <w:bidi w:val="0"/>
              <w:adjustRightInd/>
              <w:snapToGrid/>
              <w:spacing w:line="500" w:lineRule="exact"/>
              <w:ind w:firstLine="1200" w:firstLineChars="500"/>
              <w:textAlignment w:val="auto"/>
              <w:rPr>
                <w:rFonts w:hint="default" w:ascii="Times New Roman" w:hAnsi="Times New Roman" w:eastAsia="宋体" w:cs="Times New Roman"/>
                <w:snapToGrid w:val="0"/>
                <w:color w:val="auto"/>
                <w:kern w:val="0"/>
                <w:sz w:val="24"/>
                <w:szCs w:val="24"/>
              </w:rPr>
            </w:pPr>
            <w:r>
              <w:rPr>
                <w:rFonts w:hint="default" w:ascii="Times New Roman" w:hAnsi="Times New Roman" w:eastAsia="宋体" w:cs="Times New Roman"/>
                <w:snapToGrid w:val="0"/>
                <w:color w:val="auto"/>
                <w:kern w:val="0"/>
                <w:sz w:val="24"/>
                <w:szCs w:val="24"/>
              </w:rPr>
              <w:t>H</w:t>
            </w:r>
            <w:r>
              <w:rPr>
                <w:rFonts w:hint="default" w:ascii="Times New Roman" w:hAnsi="Times New Roman" w:eastAsia="宋体" w:cs="Times New Roman"/>
                <w:snapToGrid w:val="0"/>
                <w:color w:val="auto"/>
                <w:kern w:val="0"/>
                <w:sz w:val="24"/>
                <w:szCs w:val="24"/>
                <w:vertAlign w:val="subscript"/>
              </w:rPr>
              <w:t>0</w:t>
            </w:r>
            <w:r>
              <w:rPr>
                <w:rFonts w:hint="default" w:ascii="Times New Roman" w:hAnsi="Times New Roman" w:eastAsia="宋体" w:cs="Times New Roman"/>
                <w:snapToGrid w:val="0"/>
                <w:color w:val="auto"/>
                <w:kern w:val="0"/>
                <w:sz w:val="24"/>
                <w:szCs w:val="24"/>
              </w:rPr>
              <w:t>－坝前上游水深，初期坝堆满时取</w:t>
            </w:r>
            <w:r>
              <w:rPr>
                <w:rFonts w:hint="default" w:ascii="Times New Roman" w:hAnsi="Times New Roman" w:eastAsia="宋体" w:cs="Times New Roman"/>
                <w:snapToGrid w:val="0"/>
                <w:color w:val="auto"/>
                <w:kern w:val="0"/>
                <w:sz w:val="24"/>
                <w:szCs w:val="24"/>
                <w:lang w:val="en-US" w:eastAsia="zh-CN"/>
              </w:rPr>
              <w:t>1.5</w:t>
            </w:r>
            <w:r>
              <w:rPr>
                <w:rFonts w:hint="default" w:ascii="Times New Roman" w:hAnsi="Times New Roman" w:eastAsia="宋体" w:cs="Times New Roman"/>
                <w:snapToGrid w:val="0"/>
                <w:color w:val="auto"/>
                <w:kern w:val="0"/>
                <w:sz w:val="24"/>
                <w:szCs w:val="24"/>
              </w:rPr>
              <w:t>m。</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rPr>
              <w:t>通过计算可得，最大下泄流量为</w:t>
            </w:r>
            <w:r>
              <w:rPr>
                <w:rFonts w:hint="default" w:ascii="Times New Roman" w:hAnsi="Times New Roman" w:eastAsia="宋体" w:cs="Times New Roman"/>
                <w:snapToGrid w:val="0"/>
                <w:color w:val="auto"/>
                <w:kern w:val="0"/>
                <w:sz w:val="24"/>
                <w:szCs w:val="24"/>
                <w:lang w:val="en-US" w:eastAsia="zh-CN"/>
              </w:rPr>
              <w:t>22.048</w:t>
            </w:r>
            <w:r>
              <w:rPr>
                <w:rFonts w:hint="default" w:ascii="Times New Roman" w:hAnsi="Times New Roman" w:eastAsia="宋体" w:cs="Times New Roman"/>
                <w:snapToGrid w:val="0"/>
                <w:color w:val="auto"/>
                <w:kern w:val="0"/>
                <w:sz w:val="24"/>
                <w:szCs w:val="24"/>
              </w:rPr>
              <w:t>m</w:t>
            </w:r>
            <w:r>
              <w:rPr>
                <w:rFonts w:hint="default" w:ascii="Times New Roman" w:hAnsi="Times New Roman" w:eastAsia="宋体" w:cs="Times New Roman"/>
                <w:snapToGrid w:val="0"/>
                <w:color w:val="auto"/>
                <w:kern w:val="0"/>
                <w:sz w:val="24"/>
                <w:szCs w:val="24"/>
                <w:vertAlign w:val="superscript"/>
              </w:rPr>
              <w:t>3</w:t>
            </w:r>
            <w:r>
              <w:rPr>
                <w:rFonts w:hint="default" w:ascii="Times New Roman" w:hAnsi="Times New Roman" w:eastAsia="宋体" w:cs="Times New Roman"/>
                <w:snapToGrid w:val="0"/>
                <w:color w:val="auto"/>
                <w:kern w:val="0"/>
                <w:sz w:val="24"/>
                <w:szCs w:val="24"/>
              </w:rPr>
              <w:t>/s。</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③溃坝尾砂流到达时间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根据尾矿泄漏量和最大泄砂流量可以计算，溃坝尾矿下泄最小总历时，计算公式如下：</w:t>
            </w:r>
          </w:p>
          <w:p>
            <w:pPr>
              <w:pStyle w:val="102"/>
              <w:ind w:firstLine="480"/>
              <w:jc w:val="center"/>
              <w:rPr>
                <w:rFonts w:hint="default" w:ascii="Times New Roman" w:hAnsi="Times New Roman" w:eastAsia="宋体" w:cs="Times New Roman"/>
                <w:color w:val="auto"/>
                <w:position w:val="-12"/>
                <w:sz w:val="24"/>
                <w:szCs w:val="24"/>
                <w:highlight w:val="none"/>
              </w:rPr>
            </w:pPr>
            <w:r>
              <w:rPr>
                <w:rFonts w:hint="default" w:ascii="Times New Roman" w:hAnsi="Times New Roman" w:eastAsia="宋体" w:cs="Times New Roman"/>
                <w:color w:val="auto"/>
                <w:position w:val="-12"/>
                <w:sz w:val="24"/>
                <w:szCs w:val="24"/>
                <w:highlight w:val="none"/>
              </w:rPr>
              <w:drawing>
                <wp:inline distT="0" distB="0" distL="114300" distR="114300">
                  <wp:extent cx="501015" cy="349250"/>
                  <wp:effectExtent l="0" t="0" r="13335" b="13335"/>
                  <wp:docPr id="4" name="图片 16"/>
                  <wp:cNvGraphicFramePr/>
                  <a:graphic xmlns:a="http://schemas.openxmlformats.org/drawingml/2006/main">
                    <a:graphicData uri="http://schemas.openxmlformats.org/drawingml/2006/picture">
                      <pic:pic xmlns:pic="http://schemas.openxmlformats.org/drawingml/2006/picture">
                        <pic:nvPicPr>
                          <pic:cNvPr id="4" name="图片 16"/>
                          <pic:cNvPicPr/>
                        </pic:nvPicPr>
                        <pic:blipFill>
                          <a:blip r:embed="rId35"/>
                          <a:stretch>
                            <a:fillRect/>
                          </a:stretch>
                        </pic:blipFill>
                        <pic:spPr>
                          <a:xfrm>
                            <a:off x="0" y="0"/>
                            <a:ext cx="501015" cy="3492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式中：V—尾矿最大下泄量，取有效库容的50%，为68.45万</w:t>
            </w:r>
            <w:r>
              <w:rPr>
                <w:rFonts w:hint="eastAsia" w:ascii="Times New Roman" w:hAnsi="Times New Roman" w:eastAsia="宋体" w:cs="Times New Roman"/>
                <w:color w:val="auto"/>
                <w:sz w:val="24"/>
                <w:szCs w:val="24"/>
                <w:lang w:val="en-US" w:eastAsia="zh-CN"/>
              </w:rPr>
              <w:t>m³</w:t>
            </w:r>
            <w:r>
              <w:rPr>
                <w:rFonts w:hint="default" w:ascii="Times New Roman" w:hAnsi="Times New Roman" w:eastAsia="宋体" w:cs="Times New Roman"/>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960" w:firstLineChars="4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Qmax—最大泄砂流量，为22.048</w:t>
            </w:r>
            <w:r>
              <w:rPr>
                <w:rFonts w:hint="eastAsia" w:ascii="Times New Roman" w:hAnsi="Times New Roman" w:eastAsia="宋体" w:cs="Times New Roman"/>
                <w:color w:val="auto"/>
                <w:sz w:val="24"/>
                <w:szCs w:val="24"/>
                <w:lang w:val="en-US" w:eastAsia="zh-CN"/>
              </w:rPr>
              <w:t>m³</w:t>
            </w:r>
            <w:r>
              <w:rPr>
                <w:rFonts w:hint="default" w:ascii="Times New Roman" w:hAnsi="Times New Roman" w:eastAsia="宋体" w:cs="Times New Roman"/>
                <w:color w:val="auto"/>
                <w:sz w:val="24"/>
                <w:szCs w:val="24"/>
                <w:lang w:val="en-US" w:eastAsia="zh-CN"/>
              </w:rPr>
              <w:t>/s；</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经计算，尾矿下泄最小总历时为31045.9s。</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④环境影响范围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总结国内外曾发生的尾矿库溃坝事故实例，溃坝影响范围与坝高和下游坡度有较大的关系，一般溃坝影响范围是坝高的10-50倍。本项目尾矿库下游坡度约为2%左右，根据经验值估算，溃坝事故的环境影响范围取总坝高的40倍，本项目尾矿库坝高最大值29.5m，库体下游为沟谷，则本次主坝溃坝风险影响范围为尾矿坝下游1180m范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尾矿库所在沟谷呈南东-西北向展布，喀拉米兰河流向由东向西，尾矿库下泄方向与喀拉米兰河相背，溃坝事故对该河流无污染影响。</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本项目的尾矿砂属于I类固体废物，不属于有毒有害物质，即便尾矿外泄，由于尾矿砂不属于有毒有害物质的大面积扩散，不构成重大危险事故源。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预测结果，当尾矿库发生溃坝事件时，下泄流量为22.048m³/s，一旦发生溃坝事件将对尾矿库下游的生态环境造成影响，因此回采施工过程中，应严格控制回采边坡坡比，加强尾矿库的监管及隐患排查工作，避免出现尾矿库溃坝现象对下游环境产生影响。</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snapToGrid w:val="0"/>
                <w:color w:val="auto"/>
                <w:kern w:val="0"/>
                <w:sz w:val="24"/>
                <w:szCs w:val="24"/>
                <w:lang w:val="en-US" w:eastAsia="zh-CN"/>
              </w:rPr>
            </w:pPr>
            <w:r>
              <w:rPr>
                <w:rFonts w:hint="eastAsia" w:ascii="Times New Roman" w:hAnsi="Times New Roman" w:cs="Times New Roman"/>
                <w:snapToGrid w:val="0"/>
                <w:color w:val="auto"/>
                <w:kern w:val="0"/>
                <w:sz w:val="24"/>
                <w:szCs w:val="24"/>
                <w:lang w:val="en-US" w:eastAsia="zh-CN"/>
              </w:rPr>
              <w:t>2）药剂</w:t>
            </w:r>
            <w:r>
              <w:rPr>
                <w:rFonts w:hint="default" w:ascii="Times New Roman" w:hAnsi="Times New Roman" w:cs="Times New Roman"/>
                <w:snapToGrid w:val="0"/>
                <w:color w:val="auto"/>
                <w:kern w:val="0"/>
                <w:sz w:val="24"/>
                <w:szCs w:val="24"/>
                <w:lang w:val="en-US" w:eastAsia="zh-CN"/>
              </w:rPr>
              <w:t>泄漏风险事故分析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snapToGrid w:val="0"/>
                <w:color w:val="auto"/>
                <w:kern w:val="0"/>
                <w:sz w:val="24"/>
                <w:szCs w:val="24"/>
                <w:lang w:val="en-US" w:eastAsia="zh-CN"/>
              </w:rPr>
            </w:pPr>
            <w:r>
              <w:rPr>
                <w:rFonts w:hint="default" w:ascii="Times New Roman" w:hAnsi="Times New Roman" w:cs="Times New Roman"/>
                <w:snapToGrid w:val="0"/>
                <w:color w:val="auto"/>
                <w:kern w:val="0"/>
                <w:sz w:val="24"/>
                <w:szCs w:val="24"/>
                <w:lang w:val="en-US" w:eastAsia="zh-CN"/>
              </w:rPr>
              <w:t>本项目涉及的化学药剂均存放在专用容器中，贮存于药剂间。生产过程中，各类原辅料通过管道输送到选矿工序。在输送过程中，由于人为操作不当或其他原因导致包装破损，致使物料泄漏，将造成环境污染。建设单位应安排专人负责定期巡视加强管理，设备定期检修，一旦发现有泄漏现象，则立刻启动应急计划，及时处理，尽量减少泄漏事故带来的危害。</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snapToGrid w:val="0"/>
                <w:color w:val="auto"/>
                <w:kern w:val="0"/>
                <w:sz w:val="24"/>
                <w:szCs w:val="24"/>
                <w:lang w:val="en-US" w:eastAsia="zh-CN"/>
              </w:rPr>
            </w:pPr>
            <w:r>
              <w:rPr>
                <w:rFonts w:hint="default" w:ascii="Times New Roman" w:hAnsi="Times New Roman" w:cs="Times New Roman"/>
                <w:snapToGrid w:val="0"/>
                <w:color w:val="auto"/>
                <w:kern w:val="0"/>
                <w:sz w:val="24"/>
                <w:szCs w:val="24"/>
                <w:lang w:val="en-US" w:eastAsia="zh-CN"/>
              </w:rPr>
              <w:t>（2）环境风险分析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snapToGrid w:val="0"/>
                <w:color w:val="auto"/>
                <w:kern w:val="0"/>
                <w:sz w:val="24"/>
                <w:szCs w:val="24"/>
                <w:lang w:val="en-US" w:eastAsia="zh-CN"/>
              </w:rPr>
            </w:pPr>
            <w:r>
              <w:rPr>
                <w:rFonts w:hint="eastAsia" w:cs="Times New Roman"/>
                <w:snapToGrid w:val="0"/>
                <w:color w:val="auto"/>
                <w:kern w:val="0"/>
                <w:sz w:val="24"/>
                <w:szCs w:val="24"/>
                <w:lang w:val="en-US" w:eastAsia="zh-CN"/>
              </w:rPr>
              <w:t>1）</w:t>
            </w:r>
            <w:r>
              <w:rPr>
                <w:rFonts w:hint="default" w:ascii="Times New Roman" w:hAnsi="Times New Roman" w:cs="Times New Roman"/>
                <w:snapToGrid w:val="0"/>
                <w:color w:val="auto"/>
                <w:kern w:val="0"/>
                <w:sz w:val="24"/>
                <w:szCs w:val="24"/>
                <w:lang w:val="en-US" w:eastAsia="zh-CN"/>
              </w:rPr>
              <w:t>火灾事故环境空气影响分析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snapToGrid w:val="0"/>
                <w:color w:val="auto"/>
                <w:kern w:val="0"/>
                <w:sz w:val="24"/>
                <w:szCs w:val="24"/>
                <w:lang w:val="en-US" w:eastAsia="zh-CN"/>
              </w:rPr>
            </w:pPr>
            <w:r>
              <w:rPr>
                <w:rFonts w:hint="default" w:ascii="Times New Roman" w:hAnsi="Times New Roman" w:cs="Times New Roman"/>
                <w:snapToGrid w:val="0"/>
                <w:color w:val="auto"/>
                <w:kern w:val="0"/>
                <w:sz w:val="24"/>
                <w:szCs w:val="24"/>
                <w:lang w:val="en-US" w:eastAsia="zh-CN"/>
              </w:rPr>
              <w:t>物料发生火灾时将放出大量辐射热，同时还散发出大量的浓烟，浓烟是由燃烧物质释放出的高温蒸汽和毒气、被分解和凝聚的未燃烧物质、被火焰加热而带入上升气流中的大量空气等多种物质组成。它不但含有大量的热量，而且含有毒气体和弥散的固体微粒。因此浓烟对火场周围人员的生命安全危害程度远超过火灾本身，并对周围的大气环境质量造成很大的污染和破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snapToGrid w:val="0"/>
                <w:color w:val="auto"/>
                <w:kern w:val="0"/>
                <w:sz w:val="24"/>
                <w:szCs w:val="24"/>
                <w:lang w:val="en-US" w:eastAsia="zh-CN"/>
              </w:rPr>
            </w:pPr>
            <w:r>
              <w:rPr>
                <w:rFonts w:hint="eastAsia" w:cs="Times New Roman"/>
                <w:snapToGrid w:val="0"/>
                <w:color w:val="auto"/>
                <w:kern w:val="0"/>
                <w:sz w:val="24"/>
                <w:szCs w:val="24"/>
                <w:lang w:val="en-US" w:eastAsia="zh-CN"/>
              </w:rPr>
              <w:t>2）</w:t>
            </w:r>
            <w:r>
              <w:rPr>
                <w:rFonts w:hint="default" w:ascii="Times New Roman" w:hAnsi="Times New Roman" w:cs="Times New Roman"/>
                <w:snapToGrid w:val="0"/>
                <w:color w:val="auto"/>
                <w:kern w:val="0"/>
                <w:sz w:val="24"/>
                <w:szCs w:val="24"/>
                <w:lang w:val="en-US" w:eastAsia="zh-CN"/>
              </w:rPr>
              <w:t>废机油存储与运输风险影响</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snapToGrid w:val="0"/>
                <w:color w:val="auto"/>
                <w:kern w:val="0"/>
                <w:sz w:val="24"/>
                <w:szCs w:val="24"/>
                <w:lang w:val="en-US" w:eastAsia="zh-CN"/>
              </w:rPr>
            </w:pPr>
            <w:r>
              <w:rPr>
                <w:rFonts w:hint="default" w:ascii="Times New Roman" w:hAnsi="Times New Roman" w:cs="Times New Roman"/>
                <w:snapToGrid w:val="0"/>
                <w:color w:val="auto"/>
                <w:kern w:val="0"/>
                <w:sz w:val="24"/>
                <w:szCs w:val="24"/>
                <w:lang w:val="en-US" w:eastAsia="zh-CN"/>
              </w:rPr>
              <w:t>项目选矿厂已设置危废贮存点，用于收集和暂存废机油，在贮运过程中因容器破损或操作失误发生泄漏进入土壤、地下水，可能导致污染影响。</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cs="Times New Roman"/>
                <w:snapToGrid w:val="0"/>
                <w:color w:val="auto"/>
                <w:kern w:val="0"/>
                <w:sz w:val="24"/>
                <w:szCs w:val="24"/>
                <w:lang w:val="en-US" w:eastAsia="zh-CN"/>
              </w:rPr>
            </w:pPr>
            <w:r>
              <w:rPr>
                <w:rFonts w:hint="eastAsia" w:cs="Times New Roman"/>
                <w:snapToGrid w:val="0"/>
                <w:color w:val="auto"/>
                <w:kern w:val="0"/>
                <w:sz w:val="24"/>
                <w:szCs w:val="24"/>
                <w:lang w:val="en-US" w:eastAsia="zh-CN"/>
              </w:rPr>
              <w:t>3）对地表水的风险影响分析</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选矿废水非正常工况排放，主要指回采、选矿事故工况下矿浆泄漏对Ⅰ类地表水的迁移风险</w:t>
            </w:r>
            <w:r>
              <w:rPr>
                <w:rFonts w:hint="eastAsia"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事故状态下矿浆污染物存在地表径流与地下下渗两条潜在迁移路径</w:t>
            </w:r>
            <w:r>
              <w:rPr>
                <w:rFonts w:hint="eastAsia" w:cs="Times New Roman"/>
                <w:b w:val="0"/>
                <w:bCs w:val="0"/>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①地表径流</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项目场地位于喀拉米兰河右岸台地之上，与河床水平距离700m，垂直高差大于130m，河谷切割强烈，台地南侧为陡坡地貌。场区整体地势南东高、北西低，地表径流整体向西北方向汇集，南侧受山体与河谷陡坎阻隔，无直接地表汇水通道通向喀拉米兰河。</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回采</w:t>
            </w:r>
            <w:r>
              <w:rPr>
                <w:rFonts w:hint="default" w:ascii="Times New Roman" w:hAnsi="Times New Roman" w:eastAsia="宋体" w:cs="Times New Roman"/>
                <w:b w:val="0"/>
                <w:bCs w:val="0"/>
                <w:color w:val="auto"/>
                <w:sz w:val="24"/>
                <w:szCs w:val="24"/>
                <w:lang w:val="en-US" w:eastAsia="zh-CN"/>
              </w:rPr>
              <w:t>尾矿库位于选矿厂西南侧，为山谷型库，坝体朝向西北，溃坝后尾矿浆主要沿沟谷向西北下游方向扩散，与喀拉米兰河走向相反；库区南侧为山体分水岭，地表径流无法越过分水岭向南汇入河谷。</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精选车间、输送管道泄漏点均位于厂区内部，地面径流沿地势向西北低洼处汇集，不具备向南侧河道直排的地形条件。</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②地下下渗</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eastAsia"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若泄漏矿浆在地表滞留并逐步垂向下渗，污染物将通过包气带进入地下含水层。</w:t>
            </w:r>
            <w:r>
              <w:rPr>
                <w:rFonts w:hint="eastAsia" w:cs="Times New Roman"/>
                <w:b w:val="0"/>
                <w:bCs w:val="0"/>
                <w:color w:val="auto"/>
                <w:sz w:val="24"/>
                <w:szCs w:val="24"/>
                <w:lang w:val="en-US" w:eastAsia="zh-CN"/>
              </w:rPr>
              <w:t>选矿场地</w:t>
            </w:r>
            <w:r>
              <w:rPr>
                <w:rFonts w:hint="default" w:ascii="Times New Roman" w:hAnsi="Times New Roman" w:eastAsia="宋体" w:cs="Times New Roman"/>
                <w:b w:val="0"/>
                <w:bCs w:val="0"/>
                <w:color w:val="auto"/>
                <w:sz w:val="24"/>
                <w:szCs w:val="24"/>
                <w:lang w:val="en-US" w:eastAsia="zh-CN"/>
              </w:rPr>
              <w:t>包气带弱透水层，渗透系数小，对悬浮物、锑等重金属具有极强的截留作用，尾矿锑品位本底较低</w:t>
            </w:r>
            <w:r>
              <w:rPr>
                <w:rFonts w:hint="eastAsia" w:cs="Times New Roman"/>
                <w:b w:val="0"/>
                <w:bCs w:val="0"/>
                <w:color w:val="auto"/>
                <w:sz w:val="24"/>
                <w:szCs w:val="24"/>
                <w:lang w:val="en-US" w:eastAsia="zh-CN"/>
              </w:rPr>
              <w:t>，经包气带与含水层双重净化后，到达喀拉米兰河的污染物浓度远低于Ⅰ类水体标准限值，不会对地表水水质造成显著影响。</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浓密池、药剂储存区采取重点防渗，精选车间、矿浆管线沿线采取一般防渗，可有效阻止池体破损后矿浆垂向下渗，防止地面跑冒滴漏的矿浆下渗，将泄漏污染物控制在池体周边小范围，避免污染物快速进入包气带与含水层。</w:t>
            </w:r>
          </w:p>
          <w:p>
            <w:pPr>
              <w:keepNext w:val="0"/>
              <w:keepLines w:val="0"/>
              <w:pageBreakBefore w:val="0"/>
              <w:widowControl w:val="0"/>
              <w:kinsoku/>
              <w:wordWrap/>
              <w:overflowPunct/>
              <w:topLinePunct w:val="0"/>
              <w:autoSpaceDE/>
              <w:autoSpaceDN/>
              <w:bidi w:val="0"/>
              <w:adjustRightInd/>
              <w:snapToGrid/>
              <w:spacing w:line="500" w:lineRule="exact"/>
              <w:ind w:firstLine="468" w:firstLineChars="195"/>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综合天然地形阻隔、弱透水包气带净化、防渗截排</w:t>
            </w:r>
            <w:r>
              <w:rPr>
                <w:rFonts w:hint="eastAsia" w:cs="Times New Roman"/>
                <w:b w:val="0"/>
                <w:bCs w:val="0"/>
                <w:color w:val="auto"/>
                <w:sz w:val="24"/>
                <w:szCs w:val="24"/>
                <w:lang w:val="en-US" w:eastAsia="zh-CN"/>
              </w:rPr>
              <w:t>等措施</w:t>
            </w:r>
            <w:r>
              <w:rPr>
                <w:rFonts w:hint="default" w:ascii="Times New Roman" w:hAnsi="Times New Roman" w:eastAsia="宋体" w:cs="Times New Roman"/>
                <w:b w:val="0"/>
                <w:bCs w:val="0"/>
                <w:color w:val="auto"/>
                <w:sz w:val="24"/>
                <w:szCs w:val="24"/>
                <w:lang w:val="en-US" w:eastAsia="zh-CN"/>
              </w:rPr>
              <w:t>，事故工况下矿浆泄漏无直接地表通道汇入喀拉米兰河；地下迁移路径受包气带强烈阻滞，在严格落实各项防渗、截排水</w:t>
            </w:r>
            <w:r>
              <w:rPr>
                <w:rFonts w:hint="eastAsia" w:cs="Times New Roman"/>
                <w:b w:val="0"/>
                <w:bCs w:val="0"/>
                <w:color w:val="auto"/>
                <w:sz w:val="24"/>
                <w:szCs w:val="24"/>
                <w:lang w:val="en-US" w:eastAsia="zh-CN"/>
              </w:rPr>
              <w:t>等</w:t>
            </w:r>
            <w:r>
              <w:rPr>
                <w:rFonts w:hint="default" w:ascii="Times New Roman" w:hAnsi="Times New Roman" w:eastAsia="宋体" w:cs="Times New Roman"/>
                <w:b w:val="0"/>
                <w:bCs w:val="0"/>
                <w:color w:val="auto"/>
                <w:sz w:val="24"/>
                <w:szCs w:val="24"/>
                <w:lang w:val="en-US" w:eastAsia="zh-CN"/>
              </w:rPr>
              <w:t>措施的前提下，项目事故泄漏不会对Ⅰ类水体喀拉米兰河造成水质超标影响，地表水环境风险可控。</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eastAsia" w:cs="Times New Roman"/>
                <w:snapToGrid w:val="0"/>
                <w:color w:val="auto"/>
                <w:kern w:val="0"/>
                <w:sz w:val="24"/>
                <w:szCs w:val="24"/>
                <w:lang w:val="en-US" w:eastAsia="zh-CN"/>
              </w:rPr>
              <w:t>4）</w:t>
            </w:r>
            <w:r>
              <w:rPr>
                <w:rFonts w:hint="default" w:ascii="Times New Roman" w:hAnsi="Times New Roman" w:eastAsia="宋体" w:cs="Times New Roman"/>
                <w:snapToGrid w:val="0"/>
                <w:color w:val="auto"/>
                <w:kern w:val="0"/>
                <w:sz w:val="24"/>
                <w:szCs w:val="24"/>
                <w:lang w:val="en-US" w:eastAsia="zh-CN"/>
              </w:rPr>
              <w:t>尾矿库溃坝的风险影响分析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尾矿回采过程中，因操作不当，可能导致坝体位移，造成尾矿坝体坍塌，导致尾矿流失污染。引发该危险的主要因素有：①不按设计要求采装作业；②采装作业时破坏了库内排水构筑物，造成排水不畅。③尾矿采装作业破坏了原有坝体及坡面的稳定，遇大气降水容易造成坝外坡冲刷拉沟，影响坝体的稳定性，严重时甚至决口溃坝。④排洪构筑物断裂常常造成大量泄漏或者垮塌造成堵塞，排洪能力急剧下降，直接危及坝体安全。</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snapToGrid w:val="0"/>
                <w:color w:val="auto"/>
                <w:kern w:val="0"/>
                <w:sz w:val="24"/>
                <w:szCs w:val="24"/>
                <w:lang w:val="en-US" w:eastAsia="zh-CN"/>
              </w:rPr>
            </w:pPr>
            <w:r>
              <w:rPr>
                <w:rFonts w:hint="default" w:ascii="Times New Roman" w:hAnsi="Times New Roman" w:eastAsia="宋体" w:cs="Times New Roman"/>
                <w:snapToGrid w:val="0"/>
                <w:color w:val="auto"/>
                <w:kern w:val="0"/>
                <w:sz w:val="24"/>
                <w:szCs w:val="24"/>
                <w:lang w:val="en-US" w:eastAsia="zh-CN"/>
              </w:rPr>
              <w:t>本项目回采过程中分为2块区域，依次按顺序开采，采区之间坡度不陡于1:3。尾矿库回采过程中，随着回采工作的进行库内尾砂被运出至库外，尾矿坝坝高降低，尾矿库整体载荷减小，坝体受到的载荷降低，同时库内做好排水工作。因此在回采过程中，坝体的抗滑稳定安全系数随着回采工作的进行相应提高，能够满足规范要求，回采过程中坝体是稳定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snapToGrid w:val="0"/>
                <w:color w:val="auto"/>
                <w:kern w:val="0"/>
                <w:sz w:val="24"/>
                <w:szCs w:val="24"/>
                <w:lang w:val="en-US" w:eastAsia="zh-CN"/>
              </w:rPr>
              <w:t>（</w:t>
            </w:r>
            <w:r>
              <w:rPr>
                <w:rFonts w:hint="default" w:ascii="Times New Roman" w:hAnsi="Times New Roman" w:cs="Times New Roman"/>
                <w:snapToGrid w:val="0"/>
                <w:color w:val="auto"/>
                <w:kern w:val="0"/>
                <w:sz w:val="24"/>
                <w:szCs w:val="24"/>
                <w:lang w:val="en-US" w:eastAsia="zh-CN"/>
              </w:rPr>
              <w:t>3</w:t>
            </w:r>
            <w:r>
              <w:rPr>
                <w:rFonts w:hint="default" w:ascii="Times New Roman" w:hAnsi="Times New Roman" w:eastAsia="宋体" w:cs="Times New Roman"/>
                <w:snapToGrid w:val="0"/>
                <w:color w:val="auto"/>
                <w:kern w:val="0"/>
                <w:sz w:val="24"/>
                <w:szCs w:val="24"/>
                <w:lang w:val="en-US" w:eastAsia="zh-CN"/>
              </w:rPr>
              <w:t>）防范措施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1）危废贮存点防范措施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危险废物贮存污染控制标准》（GB18597-2023）》的相关要求规定，对危废贮存点采取防渗漏、防流失措施，定期检查危废贮存点储存废机油的容器或包装袋以及粘染药剂的废包装等，防止危险废物泄漏的事故发生。</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2）药剂库防范措施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①将选矿药剂存储在专用存储区域内，同时采用密封完好的专用容器进行存储。一旦发现存储容器有破损或泄漏等，则第一时间予以更换；同时妥善收集泄漏选矿药剂。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②设置专人负责管理，加强巡检，通过加强管理减少跑冒滴漏的风险概率；详细记录选矿</w:t>
            </w:r>
            <w:r>
              <w:rPr>
                <w:rFonts w:hint="default" w:ascii="Times New Roman" w:hAnsi="Times New Roman" w:cs="Times New Roman"/>
                <w:color w:val="auto"/>
                <w:sz w:val="24"/>
                <w:szCs w:val="24"/>
                <w:lang w:val="en-US" w:eastAsia="zh-CN"/>
              </w:rPr>
              <w:t>药剂</w:t>
            </w:r>
            <w:r>
              <w:rPr>
                <w:rFonts w:hint="default" w:ascii="Times New Roman" w:hAnsi="Times New Roman" w:eastAsia="宋体" w:cs="Times New Roman"/>
                <w:color w:val="auto"/>
                <w:sz w:val="24"/>
                <w:szCs w:val="24"/>
                <w:lang w:val="en-US" w:eastAsia="zh-CN"/>
              </w:rPr>
              <w:t>的出入库、使用量等信息。</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③在选矿药剂存储库房内设置应急处置设施，一旦发生异常则迅速采取措施，减少污染环境的风险。</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3）物料堆放火灾事故防范措施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①项目区内应配备一定的消防设施，如灭火器、消防沙等；同时配备一定数量的应急物资，如沙袋、吸油毡、防护物资等；定期检查消防设施，保证火灾发生时消防设施可以正常使用。</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②加强物料堆放管理制度，物料堆放区域采用封闭库房，采取定时洒水降尘、进出车辆冲洗等措施降低粉尘浓度。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③暂存库房周边设置防火警示标识，车间内工作人员不得携带易燃易爆危险品，控制明火，不得在车间内任何区域吸烟。</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④建立每日巡检、每周专项检查、每月综合排查制度，巡检重点包括：排气系统是否通畅，电气设备是否完好，防火间距内是否有易燃杂物，排水沟是否堵塞等，做好巡检记录，发现隐患立即整改并跟踪闭环。</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尾矿库溃坝风险防范措施</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①建设单位应当</w:t>
            </w:r>
            <w:r>
              <w:rPr>
                <w:rFonts w:hint="default" w:ascii="Times New Roman" w:hAnsi="Times New Roman" w:eastAsia="宋体" w:cs="Times New Roman"/>
                <w:color w:val="auto"/>
                <w:sz w:val="24"/>
                <w:szCs w:val="24"/>
                <w:lang w:val="en-US" w:eastAsia="zh-CN"/>
              </w:rPr>
              <w:t>及时修编</w:t>
            </w:r>
            <w:r>
              <w:rPr>
                <w:rFonts w:hint="default" w:ascii="Times New Roman" w:hAnsi="Times New Roman" w:eastAsia="宋体" w:cs="Times New Roman"/>
                <w:color w:val="auto"/>
                <w:sz w:val="24"/>
                <w:szCs w:val="24"/>
              </w:rPr>
              <w:t>突发环境事件应急预案，配备足够的应急物资，预案应重点关注尾矿库溃坝事故的预防、处置，并且该应急预案需与当地政府应急预案联动。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②建设单位应安排专职人员对尾矿库回采库区内以及回采库区外及周边排洪设施以及各个泄洪口进行检查，雨季期间应加强检查频率，确保各个排洪设施能够正常运行。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③</w:t>
            </w:r>
            <w:r>
              <w:rPr>
                <w:rFonts w:hint="default" w:ascii="Times New Roman" w:hAnsi="Times New Roman" w:eastAsia="宋体" w:cs="Times New Roman"/>
                <w:color w:val="auto"/>
                <w:sz w:val="24"/>
                <w:szCs w:val="24"/>
              </w:rPr>
              <w:t>委托有资质单位进行施工方案设计，并进行安全评价，报安监部门批复后，严格执行，以防止施工过程中发生安全事故，进而造成严重的环境影响。</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④</w:t>
            </w:r>
            <w:r>
              <w:rPr>
                <w:rFonts w:hint="default" w:ascii="Times New Roman" w:hAnsi="Times New Roman" w:eastAsia="宋体" w:cs="Times New Roman"/>
                <w:color w:val="auto"/>
                <w:sz w:val="24"/>
                <w:szCs w:val="24"/>
              </w:rPr>
              <w:t>严格按设计的尾砂回采顺序、防洪排水等技术参数作业，严禁超挖超采以及越界开采；雨季特别是下大雨时，应停止尾砂回采，做好回采库区雨水疏排以及回采区外围雨水截流，防止回采区以外山体雨水进入到回采区内；尾砂回采时不得破坏尾矿库内的排洪设施，若有破坏，必须立即</w:t>
            </w:r>
            <w:r>
              <w:rPr>
                <w:rFonts w:hint="default" w:ascii="Times New Roman" w:hAnsi="Times New Roman" w:eastAsia="宋体" w:cs="Times New Roman"/>
                <w:color w:val="auto"/>
                <w:sz w:val="24"/>
                <w:szCs w:val="24"/>
                <w:lang w:val="en-US" w:eastAsia="zh-CN"/>
              </w:rPr>
              <w:t>停工</w:t>
            </w:r>
            <w:r>
              <w:rPr>
                <w:rFonts w:hint="default" w:ascii="Times New Roman" w:hAnsi="Times New Roman" w:eastAsia="宋体" w:cs="Times New Roman"/>
                <w:color w:val="auto"/>
                <w:sz w:val="24"/>
                <w:szCs w:val="24"/>
              </w:rPr>
              <w:t>修复，防止尾砂在排洪沟内</w:t>
            </w:r>
            <w:r>
              <w:rPr>
                <w:rFonts w:hint="default" w:ascii="Times New Roman" w:hAnsi="Times New Roman" w:cs="Times New Roman"/>
                <w:color w:val="auto"/>
                <w:sz w:val="24"/>
                <w:szCs w:val="24"/>
                <w:lang w:eastAsia="zh-CN"/>
              </w:rPr>
              <w:t>淤积</w:t>
            </w:r>
            <w:r>
              <w:rPr>
                <w:rFonts w:hint="default" w:ascii="Times New Roman" w:hAnsi="Times New Roman" w:eastAsia="宋体" w:cs="Times New Roman"/>
                <w:color w:val="auto"/>
                <w:sz w:val="24"/>
                <w:szCs w:val="24"/>
              </w:rPr>
              <w:t>尾砂，导致排洪不畅。</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⑤</w:t>
            </w:r>
            <w:r>
              <w:rPr>
                <w:rFonts w:hint="default" w:ascii="Times New Roman" w:hAnsi="Times New Roman" w:eastAsia="宋体" w:cs="Times New Roman"/>
                <w:color w:val="auto"/>
                <w:sz w:val="24"/>
                <w:szCs w:val="24"/>
              </w:rPr>
              <w:t>尾砂回采后，应按规定进行土地复垦和日常管理、维护，并按有关要求进行生态或植被的恢复，确保场地的稳定。</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en-US" w:eastAsia="zh-CN"/>
              </w:rPr>
              <w:t>4</w:t>
            </w:r>
            <w:r>
              <w:rPr>
                <w:rFonts w:hint="default" w:ascii="Times New Roman" w:hAnsi="Times New Roman" w:eastAsia="宋体" w:cs="Times New Roman"/>
                <w:color w:val="auto"/>
                <w:sz w:val="24"/>
                <w:szCs w:val="24"/>
                <w:lang w:val="en-US" w:eastAsia="zh-CN"/>
              </w:rPr>
              <w:t>）应急管理制度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制定安全生产管理制度、严格的生产操作规则，同时注重加强安全教育，</w:t>
            </w:r>
            <w:r>
              <w:rPr>
                <w:rFonts w:hint="eastAsia" w:cs="Times New Roman"/>
                <w:color w:val="auto"/>
                <w:sz w:val="24"/>
                <w:szCs w:val="24"/>
                <w:lang w:val="en-US" w:eastAsia="zh-CN"/>
              </w:rPr>
              <w:t>增强</w:t>
            </w:r>
            <w:r>
              <w:rPr>
                <w:rFonts w:hint="default" w:ascii="Times New Roman" w:hAnsi="Times New Roman" w:eastAsia="宋体" w:cs="Times New Roman"/>
                <w:color w:val="auto"/>
                <w:sz w:val="24"/>
                <w:szCs w:val="24"/>
                <w:lang w:val="en-US" w:eastAsia="zh-CN"/>
              </w:rPr>
              <w:t>了职工的安全意识和安全防范能力。每月进行环境检查，及时发现事故隐患，防患于未然。完善风险管理，严格落实环境风险防范措施，与区域应急预案体系联动，定期组织演练。</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2024年10月，邦泰公司发布了《新疆且末县屈库勒克东金（锑）矿450t/d采选工程尾矿库突发环境事件应急预案》并完成备案，备案编号：652825-2021-030-L。</w:t>
            </w:r>
            <w:r>
              <w:rPr>
                <w:rFonts w:hint="eastAsia" w:ascii="Times New Roman" w:hAnsi="Times New Roman" w:eastAsia="宋体" w:cs="Times New Roman"/>
                <w:color w:val="auto"/>
                <w:sz w:val="24"/>
                <w:szCs w:val="24"/>
                <w:lang w:val="en-US" w:eastAsia="zh-CN"/>
              </w:rPr>
              <w:t>根据《应急预案2024版》，</w:t>
            </w:r>
            <w:r>
              <w:rPr>
                <w:rFonts w:hint="default" w:ascii="Times New Roman" w:hAnsi="Times New Roman" w:eastAsia="宋体" w:cs="Times New Roman"/>
                <w:color w:val="auto"/>
                <w:sz w:val="24"/>
                <w:szCs w:val="24"/>
                <w:lang w:val="en-US" w:eastAsia="zh-CN"/>
              </w:rPr>
              <w:t>现有工程应急物资调查结果显示现有工程共配套应急物资</w:t>
            </w:r>
            <w:r>
              <w:rPr>
                <w:rFonts w:hint="eastAsia" w:ascii="Times New Roman" w:hAnsi="Times New Roman" w:eastAsia="宋体" w:cs="Times New Roman"/>
                <w:color w:val="auto"/>
                <w:sz w:val="24"/>
                <w:szCs w:val="24"/>
                <w:lang w:val="en-US" w:eastAsia="zh-CN"/>
              </w:rPr>
              <w:t>16</w:t>
            </w:r>
            <w:r>
              <w:rPr>
                <w:rFonts w:hint="default" w:ascii="Times New Roman" w:hAnsi="Times New Roman" w:eastAsia="宋体" w:cs="Times New Roman"/>
                <w:color w:val="auto"/>
                <w:sz w:val="24"/>
                <w:szCs w:val="24"/>
                <w:lang w:val="en-US" w:eastAsia="zh-CN"/>
              </w:rPr>
              <w:t>种，物资储备可满足现有工程物资应急需要。</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color w:val="auto"/>
                <w:kern w:val="2"/>
                <w:sz w:val="24"/>
                <w:szCs w:val="24"/>
                <w:lang w:val="en-US" w:eastAsia="zh-CN" w:bidi="ar-SA"/>
              </w:rPr>
            </w:pPr>
            <w:r>
              <w:rPr>
                <w:rFonts w:hint="default" w:ascii="Times New Roman" w:hAnsi="Times New Roman" w:eastAsia="宋体" w:cs="Times New Roman"/>
                <w:color w:val="auto"/>
                <w:sz w:val="24"/>
                <w:szCs w:val="24"/>
                <w:lang w:val="en-US" w:eastAsia="zh-CN"/>
              </w:rPr>
              <w:t>本项目经审批后，应当在建设项目投入生产或者使用前，</w:t>
            </w:r>
            <w:r>
              <w:rPr>
                <w:rFonts w:hint="default" w:ascii="Times New Roman" w:hAnsi="Times New Roman" w:cs="Times New Roman"/>
                <w:color w:val="auto"/>
                <w:sz w:val="24"/>
                <w:szCs w:val="24"/>
                <w:lang w:val="en-US" w:eastAsia="zh-CN"/>
              </w:rPr>
              <w:t>对</w:t>
            </w:r>
            <w:r>
              <w:rPr>
                <w:rFonts w:hint="default" w:ascii="Times New Roman" w:hAnsi="Times New Roman" w:eastAsia="宋体" w:cs="Times New Roman"/>
                <w:color w:val="auto"/>
                <w:sz w:val="24"/>
                <w:szCs w:val="24"/>
                <w:lang w:val="en-US" w:eastAsia="zh-CN"/>
              </w:rPr>
              <w:t>应急预案进行修订</w:t>
            </w:r>
            <w:r>
              <w:rPr>
                <w:rFonts w:hint="default" w:ascii="Times New Roman" w:hAnsi="Times New Roman" w:cs="Times New Roman"/>
                <w:color w:val="auto"/>
                <w:sz w:val="24"/>
                <w:szCs w:val="24"/>
                <w:lang w:val="en-US" w:eastAsia="zh-CN"/>
              </w:rPr>
              <w:t>并</w:t>
            </w:r>
            <w:r>
              <w:rPr>
                <w:rFonts w:hint="default" w:ascii="Times New Roman" w:hAnsi="Times New Roman" w:eastAsia="宋体" w:cs="Times New Roman"/>
                <w:color w:val="auto"/>
                <w:sz w:val="24"/>
                <w:szCs w:val="24"/>
                <w:lang w:val="en-US" w:eastAsia="zh-CN"/>
              </w:rPr>
              <w:t>及时向生态环境部门和有关部门或单位报告修订情况，并按照有关程序重新备案</w:t>
            </w:r>
            <w:r>
              <w:rPr>
                <w:rFonts w:hint="eastAsia" w:cs="Times New Roman"/>
                <w:color w:val="auto"/>
                <w:sz w:val="24"/>
                <w:szCs w:val="24"/>
                <w:lang w:val="en-US" w:eastAsia="zh-CN"/>
              </w:rPr>
              <w:t>，同时按照要求补充应急物资，</w:t>
            </w:r>
            <w:r>
              <w:rPr>
                <w:rFonts w:hint="default" w:ascii="Times New Roman" w:hAnsi="Times New Roman" w:eastAsia="宋体" w:cs="Times New Roman"/>
                <w:color w:val="auto"/>
                <w:sz w:val="24"/>
                <w:szCs w:val="24"/>
                <w:lang w:val="en-US" w:eastAsia="zh-CN"/>
              </w:rPr>
              <w:t>每年至少1次尾矿库专项应急演练。</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表4-</w:t>
            </w:r>
            <w:r>
              <w:rPr>
                <w:rFonts w:hint="eastAsia" w:cs="Times New Roman"/>
                <w:b/>
                <w:bCs w:val="0"/>
                <w:color w:val="auto"/>
                <w:sz w:val="21"/>
                <w:szCs w:val="21"/>
                <w:lang w:val="en-US" w:eastAsia="zh-CN"/>
              </w:rPr>
              <w:t>20</w:t>
            </w:r>
            <w:r>
              <w:rPr>
                <w:rFonts w:hint="default" w:ascii="Times New Roman" w:hAnsi="Times New Roman" w:eastAsia="宋体" w:cs="Times New Roman"/>
                <w:b/>
                <w:bCs w:val="0"/>
                <w:color w:val="auto"/>
                <w:sz w:val="21"/>
                <w:szCs w:val="21"/>
                <w:lang w:val="en-US" w:eastAsia="zh-CN"/>
              </w:rPr>
              <w:t xml:space="preserve">   应急预案措施</w:t>
            </w:r>
          </w:p>
          <w:tbl>
            <w:tblPr>
              <w:tblStyle w:val="29"/>
              <w:tblW w:w="5000" w:type="pct"/>
              <w:tblInd w:w="0" w:type="dxa"/>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autofit"/>
              <w:tblCellMar>
                <w:top w:w="0" w:type="dxa"/>
                <w:left w:w="0" w:type="dxa"/>
                <w:bottom w:w="0" w:type="dxa"/>
                <w:right w:w="0" w:type="dxa"/>
              </w:tblCellMar>
            </w:tblPr>
            <w:tblGrid>
              <w:gridCol w:w="605"/>
              <w:gridCol w:w="2292"/>
              <w:gridCol w:w="5495"/>
            </w:tblGrid>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61"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序号</w:t>
                  </w:r>
                </w:p>
              </w:tc>
              <w:tc>
                <w:tcPr>
                  <w:tcW w:w="1365"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项目</w:t>
                  </w:r>
                </w:p>
              </w:tc>
              <w:tc>
                <w:tcPr>
                  <w:tcW w:w="3273"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内容及要求</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61"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w:t>
                  </w:r>
                </w:p>
              </w:tc>
              <w:tc>
                <w:tcPr>
                  <w:tcW w:w="1365"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应急计划区</w:t>
                  </w:r>
                </w:p>
              </w:tc>
              <w:tc>
                <w:tcPr>
                  <w:tcW w:w="3273"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选矿厂</w:t>
                  </w:r>
                  <w:r>
                    <w:rPr>
                      <w:rFonts w:hint="default" w:ascii="Times New Roman" w:hAnsi="Times New Roman" w:eastAsia="宋体" w:cs="Times New Roman"/>
                      <w:color w:val="auto"/>
                      <w:highlight w:val="none"/>
                      <w:lang w:eastAsia="zh-CN"/>
                    </w:rPr>
                    <w:t>场地、</w:t>
                  </w:r>
                  <w:r>
                    <w:rPr>
                      <w:rFonts w:hint="default" w:ascii="Times New Roman" w:hAnsi="Times New Roman" w:eastAsia="宋体" w:cs="Times New Roman"/>
                      <w:color w:val="auto"/>
                      <w:highlight w:val="none"/>
                      <w:lang w:val="en-US" w:eastAsia="zh-CN"/>
                    </w:rPr>
                    <w:t>尾矿库</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361"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w:t>
                  </w:r>
                </w:p>
              </w:tc>
              <w:tc>
                <w:tcPr>
                  <w:tcW w:w="1365"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应急组织机构、人员</w:t>
                  </w:r>
                </w:p>
              </w:tc>
              <w:tc>
                <w:tcPr>
                  <w:tcW w:w="3273" w:type="pct"/>
                  <w:vAlign w:val="center"/>
                </w:tcPr>
                <w:p>
                  <w:pPr>
                    <w:pStyle w:val="87"/>
                    <w:keepNext w:val="0"/>
                    <w:keepLines w:val="0"/>
                    <w:widowControl/>
                    <w:suppressLineNumbers w:val="0"/>
                    <w:bidi w:val="0"/>
                    <w:spacing w:before="0" w:beforeAutospacing="0" w:after="0" w:afterAutospacing="0"/>
                    <w:ind w:left="0" w:right="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应急组织机构分级，各级别主要负责人为应急计划、协调第一人，应急人员必须为培训上岗熟练工；区域应急组织结构由喀什地区政府、相关行业专家、卫生安全相关单位组成，并由</w:t>
                  </w:r>
                  <w:r>
                    <w:rPr>
                      <w:rFonts w:hint="default" w:ascii="Times New Roman" w:hAnsi="Times New Roman" w:eastAsia="宋体" w:cs="Times New Roman"/>
                      <w:color w:val="auto"/>
                      <w:highlight w:val="none"/>
                      <w:lang w:val="en-US" w:eastAsia="zh-CN"/>
                    </w:rPr>
                    <w:t>且末县</w:t>
                  </w:r>
                  <w:r>
                    <w:rPr>
                      <w:rFonts w:hint="default" w:ascii="Times New Roman" w:hAnsi="Times New Roman" w:eastAsia="宋体" w:cs="Times New Roman"/>
                      <w:color w:val="auto"/>
                      <w:highlight w:val="none"/>
                    </w:rPr>
                    <w:t>政府进行统一调度。</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61"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w:t>
                  </w:r>
                </w:p>
              </w:tc>
              <w:tc>
                <w:tcPr>
                  <w:tcW w:w="1365"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预案分级响应条例</w:t>
                  </w:r>
                </w:p>
              </w:tc>
              <w:tc>
                <w:tcPr>
                  <w:tcW w:w="3273" w:type="pct"/>
                  <w:vAlign w:val="center"/>
                </w:tcPr>
                <w:p>
                  <w:pPr>
                    <w:pStyle w:val="87"/>
                    <w:keepNext w:val="0"/>
                    <w:keepLines w:val="0"/>
                    <w:widowControl/>
                    <w:suppressLineNumbers w:val="0"/>
                    <w:bidi w:val="0"/>
                    <w:spacing w:before="0" w:beforeAutospacing="0" w:after="0" w:afterAutospacing="0"/>
                    <w:ind w:left="0" w:right="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根据事故的严重程度制定相应级别的应急预案，以及适合相应情况的处理措施。</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61"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w:t>
                  </w:r>
                </w:p>
              </w:tc>
              <w:tc>
                <w:tcPr>
                  <w:tcW w:w="1365"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应急救援</w:t>
                  </w:r>
                  <w:r>
                    <w:rPr>
                      <w:rFonts w:hint="default" w:ascii="Times New Roman" w:hAnsi="Times New Roman" w:eastAsia="宋体" w:cs="Times New Roman"/>
                      <w:color w:val="auto"/>
                      <w:highlight w:val="none"/>
                      <w:lang w:eastAsia="zh-CN"/>
                    </w:rPr>
                    <w:t>保障</w:t>
                  </w:r>
                </w:p>
              </w:tc>
              <w:tc>
                <w:tcPr>
                  <w:tcW w:w="3273" w:type="pct"/>
                  <w:vAlign w:val="center"/>
                </w:tcPr>
                <w:p>
                  <w:pPr>
                    <w:pStyle w:val="87"/>
                    <w:keepNext w:val="0"/>
                    <w:keepLines w:val="0"/>
                    <w:widowControl/>
                    <w:suppressLineNumbers w:val="0"/>
                    <w:bidi w:val="0"/>
                    <w:spacing w:before="0" w:beforeAutospacing="0" w:after="0" w:afterAutospacing="0"/>
                    <w:ind w:left="0" w:right="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应急设施、设备与器材等。</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1"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w:t>
                  </w:r>
                </w:p>
              </w:tc>
              <w:tc>
                <w:tcPr>
                  <w:tcW w:w="1365"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报警、通讯联络方式</w:t>
                  </w:r>
                </w:p>
              </w:tc>
              <w:tc>
                <w:tcPr>
                  <w:tcW w:w="3273" w:type="pct"/>
                  <w:vAlign w:val="center"/>
                </w:tcPr>
                <w:p>
                  <w:pPr>
                    <w:pStyle w:val="87"/>
                    <w:keepNext w:val="0"/>
                    <w:keepLines w:val="0"/>
                    <w:widowControl/>
                    <w:suppressLineNumbers w:val="0"/>
                    <w:bidi w:val="0"/>
                    <w:spacing w:before="0" w:beforeAutospacing="0" w:after="0" w:afterAutospacing="0"/>
                    <w:ind w:left="0" w:right="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逐一细化应急状态下各主要负责单位的报警通讯方式、地点、电话号码以及相关配套的交通保障、管制、消防联络方法。</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361"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6</w:t>
                  </w:r>
                </w:p>
              </w:tc>
              <w:tc>
                <w:tcPr>
                  <w:tcW w:w="1365"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应急环境监测、抢</w:t>
                  </w:r>
                </w:p>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险、救援及控制措施</w:t>
                  </w:r>
                </w:p>
              </w:tc>
              <w:tc>
                <w:tcPr>
                  <w:tcW w:w="3273" w:type="pct"/>
                  <w:vAlign w:val="center"/>
                </w:tcPr>
                <w:p>
                  <w:pPr>
                    <w:pStyle w:val="87"/>
                    <w:keepNext w:val="0"/>
                    <w:keepLines w:val="0"/>
                    <w:widowControl/>
                    <w:suppressLineNumbers w:val="0"/>
                    <w:bidi w:val="0"/>
                    <w:spacing w:before="0" w:beforeAutospacing="0" w:after="0" w:afterAutospacing="0"/>
                    <w:ind w:left="0" w:right="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组织专业队伍负责对事故现场进行侦察监测，对事故性质、参数与后果进行评估，为指挥部门提供决策依据。</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1"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7</w:t>
                  </w:r>
                </w:p>
              </w:tc>
              <w:tc>
                <w:tcPr>
                  <w:tcW w:w="1365"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应急检测、防护措施、清除泄漏措施和器材</w:t>
                  </w:r>
                </w:p>
              </w:tc>
              <w:tc>
                <w:tcPr>
                  <w:tcW w:w="3273" w:type="pct"/>
                  <w:vAlign w:val="center"/>
                </w:tcPr>
                <w:p>
                  <w:pPr>
                    <w:pStyle w:val="87"/>
                    <w:keepNext w:val="0"/>
                    <w:keepLines w:val="0"/>
                    <w:widowControl/>
                    <w:suppressLineNumbers w:val="0"/>
                    <w:bidi w:val="0"/>
                    <w:spacing w:before="0" w:beforeAutospacing="0" w:after="0" w:afterAutospacing="0"/>
                    <w:ind w:left="0" w:right="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严格规定事故多发区、事故现场、邻近区域、设置控制和清除污染措施及相应设备的数量、使用方法、使用人员。</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361"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8</w:t>
                  </w:r>
                </w:p>
              </w:tc>
              <w:tc>
                <w:tcPr>
                  <w:tcW w:w="1365"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人员紧急撤离、疏散计划</w:t>
                  </w:r>
                </w:p>
              </w:tc>
              <w:tc>
                <w:tcPr>
                  <w:tcW w:w="3273" w:type="pct"/>
                  <w:vAlign w:val="center"/>
                </w:tcPr>
                <w:p>
                  <w:pPr>
                    <w:pStyle w:val="87"/>
                    <w:keepNext w:val="0"/>
                    <w:keepLines w:val="0"/>
                    <w:widowControl/>
                    <w:suppressLineNumbers w:val="0"/>
                    <w:bidi w:val="0"/>
                    <w:spacing w:before="0" w:beforeAutospacing="0" w:after="0" w:afterAutospacing="0"/>
                    <w:ind w:left="0" w:right="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制定紧急撤离组织计划和救护，医疗救护与公众健康。</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1"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9</w:t>
                  </w:r>
                </w:p>
              </w:tc>
              <w:tc>
                <w:tcPr>
                  <w:tcW w:w="1365"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事故应急救援关闭程序与恢复措施</w:t>
                  </w:r>
                </w:p>
              </w:tc>
              <w:tc>
                <w:tcPr>
                  <w:tcW w:w="3273" w:type="pct"/>
                  <w:vAlign w:val="center"/>
                </w:tcPr>
                <w:p>
                  <w:pPr>
                    <w:pStyle w:val="87"/>
                    <w:keepNext w:val="0"/>
                    <w:keepLines w:val="0"/>
                    <w:widowControl/>
                    <w:suppressLineNumbers w:val="0"/>
                    <w:bidi w:val="0"/>
                    <w:spacing w:before="0" w:beforeAutospacing="0" w:after="0" w:afterAutospacing="0"/>
                    <w:ind w:left="0" w:right="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制定相关应急状态终止程序，事故现场、受影响范围内的善后处理、恢复措施，邻近区域解除事故警戒及善后恢复措施。制定有关的环境恢复措施（包括生态环境），组织专业人员对事故后的环境变化进行监测，对事故应急措施的环境可行性进行后影响评价。</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361"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10</w:t>
                  </w:r>
                </w:p>
              </w:tc>
              <w:tc>
                <w:tcPr>
                  <w:tcW w:w="1365"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应急培训计划</w:t>
                  </w:r>
                </w:p>
              </w:tc>
              <w:tc>
                <w:tcPr>
                  <w:tcW w:w="3273" w:type="pct"/>
                  <w:vAlign w:val="center"/>
                </w:tcPr>
                <w:p>
                  <w:pPr>
                    <w:pStyle w:val="87"/>
                    <w:keepNext w:val="0"/>
                    <w:keepLines w:val="0"/>
                    <w:widowControl/>
                    <w:suppressLineNumbers w:val="0"/>
                    <w:bidi w:val="0"/>
                    <w:spacing w:before="0" w:beforeAutospacing="0" w:after="0" w:afterAutospacing="0"/>
                    <w:ind w:left="0" w:right="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定期安排有关人员进行培训与演练。</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361"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11</w:t>
                  </w:r>
                </w:p>
              </w:tc>
              <w:tc>
                <w:tcPr>
                  <w:tcW w:w="1365" w:type="pct"/>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公众教育和信息</w:t>
                  </w:r>
                </w:p>
              </w:tc>
              <w:tc>
                <w:tcPr>
                  <w:tcW w:w="3273" w:type="pct"/>
                  <w:vAlign w:val="center"/>
                </w:tcPr>
                <w:p>
                  <w:pPr>
                    <w:pStyle w:val="87"/>
                    <w:keepNext w:val="0"/>
                    <w:keepLines w:val="0"/>
                    <w:widowControl/>
                    <w:suppressLineNumbers w:val="0"/>
                    <w:bidi w:val="0"/>
                    <w:spacing w:before="0" w:beforeAutospacing="0" w:after="0" w:afterAutospacing="0"/>
                    <w:ind w:left="0" w:right="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对</w:t>
                  </w:r>
                  <w:r>
                    <w:rPr>
                      <w:rFonts w:hint="default" w:ascii="Times New Roman" w:hAnsi="Times New Roman" w:eastAsia="宋体" w:cs="Times New Roman"/>
                      <w:color w:val="auto"/>
                      <w:highlight w:val="none"/>
                      <w:lang w:eastAsia="zh-CN"/>
                    </w:rPr>
                    <w:t>项目区</w:t>
                  </w:r>
                  <w:r>
                    <w:rPr>
                      <w:rFonts w:hint="default" w:ascii="Times New Roman" w:hAnsi="Times New Roman" w:eastAsia="宋体" w:cs="Times New Roman"/>
                      <w:color w:val="auto"/>
                      <w:highlight w:val="none"/>
                    </w:rPr>
                    <w:t>邻近地区开展公众教育、培训和发布有关信息</w:t>
                  </w:r>
                </w:p>
              </w:tc>
            </w:tr>
          </w:tbl>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zh-CN" w:eastAsia="zh-CN"/>
              </w:rPr>
            </w:pPr>
            <w:r>
              <w:rPr>
                <w:rFonts w:hint="default" w:ascii="Times New Roman" w:hAnsi="Times New Roman" w:eastAsia="宋体" w:cs="Times New Roman"/>
                <w:b/>
                <w:bCs w:val="0"/>
                <w:color w:val="auto"/>
                <w:sz w:val="21"/>
                <w:szCs w:val="21"/>
                <w:lang w:val="zh-CN" w:eastAsia="zh-CN"/>
              </w:rPr>
              <w:t>表</w:t>
            </w:r>
            <w:r>
              <w:rPr>
                <w:rFonts w:hint="default" w:ascii="Times New Roman" w:hAnsi="Times New Roman" w:eastAsia="宋体" w:cs="Times New Roman"/>
                <w:b/>
                <w:bCs w:val="0"/>
                <w:color w:val="auto"/>
                <w:sz w:val="21"/>
                <w:szCs w:val="21"/>
                <w:lang w:val="en-US" w:eastAsia="zh-CN"/>
              </w:rPr>
              <w:t>4-</w:t>
            </w:r>
            <w:r>
              <w:rPr>
                <w:rFonts w:hint="default" w:ascii="Times New Roman" w:hAnsi="Times New Roman" w:cs="Times New Roman"/>
                <w:b/>
                <w:bCs w:val="0"/>
                <w:color w:val="auto"/>
                <w:sz w:val="21"/>
                <w:szCs w:val="21"/>
                <w:lang w:val="en-US" w:eastAsia="zh-CN"/>
              </w:rPr>
              <w:t>2</w:t>
            </w:r>
            <w:r>
              <w:rPr>
                <w:rFonts w:hint="eastAsia" w:cs="Times New Roman"/>
                <w:b/>
                <w:bCs w:val="0"/>
                <w:color w:val="auto"/>
                <w:sz w:val="21"/>
                <w:szCs w:val="21"/>
                <w:lang w:val="en-US" w:eastAsia="zh-CN"/>
              </w:rPr>
              <w:t>1</w:t>
            </w:r>
            <w:r>
              <w:rPr>
                <w:rFonts w:hint="default" w:ascii="Times New Roman" w:hAnsi="Times New Roman" w:eastAsia="宋体" w:cs="Times New Roman"/>
                <w:b/>
                <w:bCs w:val="0"/>
                <w:color w:val="auto"/>
                <w:sz w:val="21"/>
                <w:szCs w:val="21"/>
                <w:lang w:val="zh-CN" w:eastAsia="zh-CN"/>
              </w:rPr>
              <w:t xml:space="preserve">           建设项目环境风险简单分析内容表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Layout w:type="autofit"/>
              <w:tblCellMar>
                <w:top w:w="0" w:type="dxa"/>
                <w:left w:w="108" w:type="dxa"/>
                <w:bottom w:w="0" w:type="dxa"/>
                <w:right w:w="108" w:type="dxa"/>
              </w:tblCellMar>
            </w:tblPr>
            <w:tblGrid>
              <w:gridCol w:w="1327"/>
              <w:gridCol w:w="1526"/>
              <w:gridCol w:w="1858"/>
              <w:gridCol w:w="889"/>
              <w:gridCol w:w="1716"/>
              <w:gridCol w:w="1096"/>
            </w:tblGrid>
            <w:tr>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374" w:hRule="atLeast"/>
                <w:jc w:val="center"/>
              </w:trPr>
              <w:tc>
                <w:tcPr>
                  <w:tcW w:w="789" w:type="pct"/>
                  <w:noWrap w:val="0"/>
                  <w:vAlign w:val="center"/>
                </w:tcPr>
                <w:p>
                  <w:pPr>
                    <w:pStyle w:val="5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建设项目</w:t>
                  </w:r>
                </w:p>
                <w:p>
                  <w:pPr>
                    <w:pStyle w:val="5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名称</w:t>
                  </w:r>
                </w:p>
              </w:tc>
              <w:tc>
                <w:tcPr>
                  <w:tcW w:w="4210" w:type="pct"/>
                  <w:gridSpan w:val="5"/>
                  <w:noWrap w:val="0"/>
                  <w:vAlign w:val="center"/>
                </w:tcPr>
                <w:p>
                  <w:pPr>
                    <w:pStyle w:val="5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rPr>
                    <w:t>且末县邦泰矿业投资有限公司新疆且末县屈库勒克东金锑矿450吨/天选矿厂尾矿库回采</w:t>
                  </w:r>
                  <w:r>
                    <w:rPr>
                      <w:rFonts w:hint="eastAsia" w:ascii="Times New Roman" w:eastAsia="宋体" w:cs="Times New Roman"/>
                      <w:bCs/>
                      <w:color w:val="auto"/>
                      <w:sz w:val="21"/>
                      <w:szCs w:val="21"/>
                      <w:highlight w:val="none"/>
                      <w:lang w:val="en-US" w:eastAsia="zh-CN"/>
                    </w:rPr>
                    <w:t>项目</w:t>
                  </w:r>
                </w:p>
              </w:tc>
            </w:tr>
            <w:tr>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374" w:hRule="atLeast"/>
                <w:jc w:val="center"/>
              </w:trPr>
              <w:tc>
                <w:tcPr>
                  <w:tcW w:w="789" w:type="pct"/>
                  <w:noWrap w:val="0"/>
                  <w:vAlign w:val="center"/>
                </w:tcPr>
                <w:p>
                  <w:pPr>
                    <w:pStyle w:val="5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建设地点</w:t>
                  </w:r>
                </w:p>
              </w:tc>
              <w:tc>
                <w:tcPr>
                  <w:tcW w:w="907" w:type="pct"/>
                  <w:noWrap w:val="0"/>
                  <w:vAlign w:val="center"/>
                </w:tcPr>
                <w:p>
                  <w:pPr>
                    <w:pStyle w:val="5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新疆维吾尔自治区</w:t>
                  </w:r>
                </w:p>
              </w:tc>
              <w:tc>
                <w:tcPr>
                  <w:tcW w:w="1104" w:type="pct"/>
                  <w:noWrap w:val="0"/>
                  <w:vAlign w:val="center"/>
                </w:tcPr>
                <w:p>
                  <w:pPr>
                    <w:pStyle w:val="5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巴州</w:t>
                  </w:r>
                </w:p>
              </w:tc>
              <w:tc>
                <w:tcPr>
                  <w:tcW w:w="528" w:type="pct"/>
                  <w:noWrap w:val="0"/>
                  <w:vAlign w:val="center"/>
                </w:tcPr>
                <w:p>
                  <w:pPr>
                    <w:pStyle w:val="5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w:t>
                  </w:r>
                  <w:r>
                    <w:rPr>
                      <w:rFonts w:hint="default" w:ascii="Times New Roman" w:hAnsi="Times New Roman" w:eastAsia="宋体" w:cs="Times New Roman"/>
                      <w:bCs/>
                      <w:color w:val="auto"/>
                      <w:sz w:val="21"/>
                      <w:szCs w:val="21"/>
                      <w:highlight w:val="none"/>
                      <w:lang w:val="en-US" w:eastAsia="zh-CN"/>
                    </w:rPr>
                    <w:t>/</w:t>
                  </w:r>
                  <w:r>
                    <w:rPr>
                      <w:rFonts w:hint="default" w:ascii="Times New Roman" w:hAnsi="Times New Roman" w:eastAsia="宋体" w:cs="Times New Roman"/>
                      <w:bCs/>
                      <w:color w:val="auto"/>
                      <w:sz w:val="21"/>
                      <w:szCs w:val="21"/>
                      <w:highlight w:val="none"/>
                    </w:rPr>
                    <w:t>）区</w:t>
                  </w:r>
                </w:p>
              </w:tc>
              <w:tc>
                <w:tcPr>
                  <w:tcW w:w="1020" w:type="pct"/>
                  <w:noWrap w:val="0"/>
                  <w:vAlign w:val="center"/>
                </w:tcPr>
                <w:p>
                  <w:pPr>
                    <w:pStyle w:val="5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（且末）县</w:t>
                  </w:r>
                </w:p>
              </w:tc>
              <w:tc>
                <w:tcPr>
                  <w:tcW w:w="650" w:type="pct"/>
                  <w:noWrap w:val="0"/>
                  <w:vAlign w:val="center"/>
                </w:tcPr>
                <w:p>
                  <w:pPr>
                    <w:pStyle w:val="5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w:t>
                  </w:r>
                  <w:r>
                    <w:rPr>
                      <w:rFonts w:hint="default" w:ascii="Times New Roman" w:hAnsi="Times New Roman" w:eastAsia="宋体" w:cs="Times New Roman"/>
                      <w:bCs/>
                      <w:color w:val="auto"/>
                      <w:sz w:val="21"/>
                      <w:szCs w:val="21"/>
                      <w:highlight w:val="none"/>
                      <w:lang w:val="en-US" w:eastAsia="zh-CN"/>
                    </w:rPr>
                    <w:t>/</w:t>
                  </w:r>
                  <w:r>
                    <w:rPr>
                      <w:rFonts w:hint="default" w:ascii="Times New Roman" w:hAnsi="Times New Roman" w:eastAsia="宋体" w:cs="Times New Roman"/>
                      <w:bCs/>
                      <w:color w:val="auto"/>
                      <w:sz w:val="21"/>
                      <w:szCs w:val="21"/>
                      <w:highlight w:val="none"/>
                    </w:rPr>
                    <w:t>）园区</w:t>
                  </w:r>
                </w:p>
              </w:tc>
            </w:tr>
            <w:tr>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374" w:hRule="atLeast"/>
                <w:jc w:val="center"/>
              </w:trPr>
              <w:tc>
                <w:tcPr>
                  <w:tcW w:w="789" w:type="pct"/>
                  <w:noWrap w:val="0"/>
                  <w:vAlign w:val="center"/>
                </w:tcPr>
                <w:p>
                  <w:pPr>
                    <w:pStyle w:val="5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地理坐标</w:t>
                  </w:r>
                </w:p>
              </w:tc>
              <w:tc>
                <w:tcPr>
                  <w:tcW w:w="907" w:type="pct"/>
                  <w:noWrap w:val="0"/>
                  <w:vAlign w:val="center"/>
                </w:tcPr>
                <w:p>
                  <w:pPr>
                    <w:pStyle w:val="5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经度</w:t>
                  </w:r>
                </w:p>
              </w:tc>
              <w:tc>
                <w:tcPr>
                  <w:tcW w:w="1104" w:type="pct"/>
                  <w:noWrap w:val="0"/>
                  <w:vAlign w:val="center"/>
                </w:tcPr>
                <w:p>
                  <w:pPr>
                    <w:pStyle w:val="5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85°14′48.152″</w:t>
                  </w:r>
                </w:p>
              </w:tc>
              <w:tc>
                <w:tcPr>
                  <w:tcW w:w="528" w:type="pct"/>
                  <w:noWrap w:val="0"/>
                  <w:vAlign w:val="center"/>
                </w:tcPr>
                <w:p>
                  <w:pPr>
                    <w:pStyle w:val="5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纬度</w:t>
                  </w:r>
                </w:p>
              </w:tc>
              <w:tc>
                <w:tcPr>
                  <w:tcW w:w="1670" w:type="pct"/>
                  <w:gridSpan w:val="2"/>
                  <w:noWrap w:val="0"/>
                  <w:vAlign w:val="center"/>
                </w:tcPr>
                <w:p>
                  <w:pPr>
                    <w:pStyle w:val="5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37°12′24.175″</w:t>
                  </w:r>
                </w:p>
              </w:tc>
            </w:tr>
            <w:tr>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789" w:type="pct"/>
                  <w:noWrap w:val="0"/>
                  <w:vAlign w:val="center"/>
                </w:tcPr>
                <w:p>
                  <w:pPr>
                    <w:pStyle w:val="5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主要危险物质及分布</w:t>
                  </w:r>
                </w:p>
              </w:tc>
              <w:tc>
                <w:tcPr>
                  <w:tcW w:w="4210" w:type="pct"/>
                  <w:gridSpan w:val="5"/>
                  <w:noWrap w:val="0"/>
                  <w:vAlign w:val="center"/>
                </w:tcPr>
                <w:p>
                  <w:pPr>
                    <w:pStyle w:val="5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rPr>
                  </w:pPr>
                  <w:r>
                    <w:rPr>
                      <w:rFonts w:hint="default" w:ascii="Times New Roman" w:hAnsi="Times New Roman" w:eastAsia="宋体" w:cs="Times New Roman"/>
                      <w:bCs/>
                      <w:color w:val="auto"/>
                      <w:sz w:val="21"/>
                      <w:szCs w:val="21"/>
                      <w:highlight w:val="none"/>
                      <w:lang w:val="en-US" w:eastAsia="zh-CN"/>
                    </w:rPr>
                    <w:t>浓密池、</w:t>
                  </w:r>
                  <w:r>
                    <w:rPr>
                      <w:rFonts w:hint="default" w:ascii="Times New Roman" w:hAnsi="Times New Roman" w:eastAsia="宋体" w:cs="Times New Roman"/>
                      <w:bCs/>
                      <w:color w:val="auto"/>
                      <w:sz w:val="21"/>
                      <w:szCs w:val="21"/>
                      <w:highlight w:val="none"/>
                    </w:rPr>
                    <w:t>废机油暂存于危废</w:t>
                  </w:r>
                  <w:r>
                    <w:rPr>
                      <w:rFonts w:hint="default" w:ascii="Times New Roman" w:hAnsi="Times New Roman" w:eastAsia="宋体" w:cs="Times New Roman"/>
                      <w:bCs/>
                      <w:color w:val="auto"/>
                      <w:sz w:val="21"/>
                      <w:szCs w:val="21"/>
                      <w:highlight w:val="none"/>
                      <w:lang w:val="en-US" w:eastAsia="zh-CN"/>
                    </w:rPr>
                    <w:t>贮存点、尾矿库</w:t>
                  </w:r>
                </w:p>
              </w:tc>
            </w:tr>
            <w:tr>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374" w:hRule="atLeast"/>
                <w:jc w:val="center"/>
              </w:trPr>
              <w:tc>
                <w:tcPr>
                  <w:tcW w:w="789" w:type="pct"/>
                  <w:noWrap w:val="0"/>
                  <w:vAlign w:val="center"/>
                </w:tcPr>
                <w:p>
                  <w:pPr>
                    <w:pStyle w:val="5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环境影响途径及危害后果（大气、地下水等）</w:t>
                  </w:r>
                </w:p>
              </w:tc>
              <w:tc>
                <w:tcPr>
                  <w:tcW w:w="4210" w:type="pct"/>
                  <w:gridSpan w:val="5"/>
                  <w:noWrap w:val="0"/>
                  <w:vAlign w:val="center"/>
                </w:tcPr>
                <w:p>
                  <w:pPr>
                    <w:pStyle w:val="5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both"/>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在管理、存放等过程中会因管理不当造成事故。废机油发生火灾事故对周围的大气环境质量造成很大的污染和破坏；</w:t>
                  </w:r>
                  <w:r>
                    <w:rPr>
                      <w:rFonts w:hint="default" w:ascii="Times New Roman" w:hAnsi="Times New Roman" w:eastAsia="宋体" w:cs="Times New Roman"/>
                      <w:bCs/>
                      <w:color w:val="auto"/>
                      <w:sz w:val="21"/>
                      <w:szCs w:val="21"/>
                      <w:highlight w:val="none"/>
                      <w:lang w:val="en-US" w:eastAsia="zh-CN"/>
                    </w:rPr>
                    <w:t>选矿药剂</w:t>
                  </w:r>
                  <w:r>
                    <w:rPr>
                      <w:rFonts w:hint="default" w:ascii="Times New Roman" w:hAnsi="Times New Roman" w:eastAsia="宋体" w:cs="Times New Roman"/>
                      <w:bCs/>
                      <w:color w:val="auto"/>
                      <w:sz w:val="21"/>
                      <w:szCs w:val="21"/>
                      <w:highlight w:val="none"/>
                    </w:rPr>
                    <w:t>泄漏，可能造成事故发生地地表水体、土壤的污染；</w:t>
                  </w:r>
                  <w:r>
                    <w:rPr>
                      <w:rFonts w:hint="default" w:ascii="Times New Roman" w:hAnsi="Times New Roman" w:eastAsia="宋体" w:cs="Times New Roman"/>
                      <w:bCs/>
                      <w:color w:val="auto"/>
                      <w:sz w:val="21"/>
                      <w:szCs w:val="21"/>
                      <w:highlight w:val="none"/>
                      <w:lang w:val="en-US" w:eastAsia="zh-CN"/>
                    </w:rPr>
                    <w:t>浓密池</w:t>
                  </w:r>
                  <w:r>
                    <w:rPr>
                      <w:rFonts w:hint="default" w:ascii="Times New Roman" w:hAnsi="Times New Roman" w:eastAsia="宋体" w:cs="Times New Roman"/>
                      <w:bCs/>
                      <w:color w:val="auto"/>
                      <w:sz w:val="21"/>
                      <w:szCs w:val="21"/>
                      <w:highlight w:val="none"/>
                    </w:rPr>
                    <w:t>故障造成选矿废水事故排放；尾矿库溃坝造成的人身安全、财产损失、环境污染、生态破坏等环境伤害。</w:t>
                  </w:r>
                </w:p>
              </w:tc>
            </w:tr>
            <w:tr>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374" w:hRule="atLeast"/>
                <w:jc w:val="center"/>
              </w:trPr>
              <w:tc>
                <w:tcPr>
                  <w:tcW w:w="789" w:type="pct"/>
                  <w:noWrap w:val="0"/>
                  <w:vAlign w:val="center"/>
                </w:tcPr>
                <w:p>
                  <w:pPr>
                    <w:pStyle w:val="5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风险防范措施要求</w:t>
                  </w:r>
                </w:p>
              </w:tc>
              <w:tc>
                <w:tcPr>
                  <w:tcW w:w="4210" w:type="pct"/>
                  <w:gridSpan w:val="5"/>
                  <w:noWrap w:val="0"/>
                  <w:vAlign w:val="center"/>
                </w:tcPr>
                <w:p>
                  <w:pPr>
                    <w:pStyle w:val="5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both"/>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（1）火灾事故防范措施：车间内配备相应品种和数量的消防器材及泄漏应急处理设备；安排专人每周对废机油储存桶进行安全检查；严格遵守操作规程。</w:t>
                  </w:r>
                </w:p>
                <w:p>
                  <w:pPr>
                    <w:pStyle w:val="5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both"/>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2）废机油运输风险防范措施：运输危险物料的单位，应有资质，车辆应有危险废物运输许可证，司机、押运员有上岗证，具备运输危险品的资格，熟悉所运输的危险品的毒性及应急防范措施。包装物、容器应是定点单位生产。运输途中，要平稳行车、安全驾驶。行车途中勤检查废机油是否有泄漏。</w:t>
                  </w:r>
                </w:p>
                <w:p>
                  <w:pPr>
                    <w:pStyle w:val="5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both"/>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（3）地下水风险防范措施：源头控制、严格做好工程防渗，定期对防渗措施进行检查和维护，确保防渗层的防渗效果，一旦发现防渗层有开裂、腐蚀等问题，应及时修补。</w:t>
                  </w:r>
                </w:p>
                <w:p>
                  <w:pPr>
                    <w:pStyle w:val="5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both"/>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（4）尾矿库溃坝风险防范措施：在运行中应加强尾矿库的监测和尾矿浆排放管理，避免尾矿浆流出库外，特别是在汛期要加强尾矿库的巡视工作，避免库内水位骤升洪水漫过坝顶造成溃坝事故。</w:t>
                  </w:r>
                </w:p>
              </w:tc>
            </w:tr>
          </w:tbl>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color w:val="auto"/>
                <w:kern w:val="0"/>
                <w:sz w:val="24"/>
                <w:szCs w:val="24"/>
                <w:lang w:val="en-US" w:eastAsia="zh-CN" w:bidi="ar"/>
              </w:rPr>
            </w:pPr>
            <w:r>
              <w:rPr>
                <w:rFonts w:hint="default" w:ascii="Times New Roman" w:hAnsi="Times New Roman" w:cs="Times New Roman"/>
                <w:b/>
                <w:bCs/>
                <w:color w:val="auto"/>
                <w:kern w:val="0"/>
                <w:sz w:val="24"/>
                <w:szCs w:val="24"/>
                <w:lang w:val="en-US" w:eastAsia="zh-CN" w:bidi="ar"/>
              </w:rPr>
              <w:t>9</w:t>
            </w:r>
            <w:r>
              <w:rPr>
                <w:rFonts w:hint="default" w:ascii="Times New Roman" w:hAnsi="Times New Roman" w:eastAsia="宋体" w:cs="Times New Roman"/>
                <w:b/>
                <w:bCs/>
                <w:color w:val="auto"/>
                <w:kern w:val="0"/>
                <w:sz w:val="24"/>
                <w:szCs w:val="24"/>
                <w:lang w:val="en-US" w:eastAsia="zh-CN" w:bidi="ar"/>
              </w:rPr>
              <w:t xml:space="preserve"> 环保投资</w:t>
            </w:r>
          </w:p>
          <w:p>
            <w:pPr>
              <w:pStyle w:val="78"/>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highlight w:val="none"/>
              </w:rPr>
              <w:t>本项目</w:t>
            </w:r>
            <w:r>
              <w:rPr>
                <w:rFonts w:hint="default" w:ascii="Times New Roman" w:hAnsi="Times New Roman" w:eastAsia="宋体" w:cs="Times New Roman"/>
                <w:color w:val="auto"/>
                <w:highlight w:val="none"/>
                <w:lang w:val="en-US" w:eastAsia="zh-CN"/>
              </w:rPr>
              <w:t>总投资1000万元，其中</w:t>
            </w:r>
            <w:r>
              <w:rPr>
                <w:rFonts w:hint="default" w:ascii="Times New Roman" w:hAnsi="Times New Roman" w:eastAsia="宋体" w:cs="Times New Roman"/>
                <w:color w:val="auto"/>
                <w:highlight w:val="none"/>
              </w:rPr>
              <w:t>环保投资</w:t>
            </w:r>
            <w:r>
              <w:rPr>
                <w:rFonts w:hint="default" w:ascii="Times New Roman" w:hAnsi="Times New Roman" w:eastAsia="宋体" w:cs="Times New Roman"/>
                <w:color w:val="auto"/>
                <w:highlight w:val="none"/>
                <w:lang w:val="en-US" w:eastAsia="zh-CN"/>
              </w:rPr>
              <w:t>70</w:t>
            </w:r>
            <w:r>
              <w:rPr>
                <w:rFonts w:hint="default" w:ascii="Times New Roman" w:hAnsi="Times New Roman" w:eastAsia="宋体" w:cs="Times New Roman"/>
                <w:color w:val="auto"/>
                <w:highlight w:val="none"/>
              </w:rPr>
              <w:t>万元，占总投资</w:t>
            </w:r>
            <w:r>
              <w:rPr>
                <w:rFonts w:hint="default" w:ascii="Times New Roman" w:hAnsi="Times New Roman" w:eastAsia="宋体" w:cs="Times New Roman"/>
                <w:color w:val="auto"/>
                <w:szCs w:val="21"/>
                <w:highlight w:val="none"/>
              </w:rPr>
              <w:t>的</w:t>
            </w:r>
            <w:r>
              <w:rPr>
                <w:rFonts w:hint="default" w:ascii="Times New Roman" w:hAnsi="Times New Roman" w:eastAsia="宋体" w:cs="Times New Roman"/>
                <w:color w:val="auto"/>
                <w:szCs w:val="21"/>
                <w:highlight w:val="none"/>
                <w:lang w:val="en-US" w:eastAsia="zh-CN"/>
              </w:rPr>
              <w:t>7</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4"/>
                <w:highlight w:val="none"/>
              </w:rPr>
              <w:t>环保投资估算见</w:t>
            </w:r>
            <w:r>
              <w:rPr>
                <w:rFonts w:hint="default" w:ascii="Times New Roman" w:hAnsi="Times New Roman" w:eastAsia="宋体" w:cs="Times New Roman"/>
                <w:color w:val="auto"/>
                <w:szCs w:val="24"/>
                <w:highlight w:val="none"/>
                <w:lang w:val="en-US" w:eastAsia="zh-CN"/>
              </w:rPr>
              <w:t>下</w:t>
            </w:r>
            <w:r>
              <w:rPr>
                <w:rFonts w:hint="default" w:ascii="Times New Roman" w:hAnsi="Times New Roman" w:eastAsia="宋体" w:cs="Times New Roman"/>
                <w:color w:val="auto"/>
                <w:szCs w:val="24"/>
                <w:highlight w:val="none"/>
              </w:rPr>
              <w:t>表</w:t>
            </w:r>
            <w:r>
              <w:rPr>
                <w:rFonts w:hint="eastAsia" w:eastAsia="宋体" w:cs="Times New Roman"/>
                <w:color w:val="auto"/>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表4-</w:t>
            </w:r>
            <w:r>
              <w:rPr>
                <w:rFonts w:hint="default" w:ascii="Times New Roman" w:hAnsi="Times New Roman" w:cs="Times New Roman"/>
                <w:b/>
                <w:bCs w:val="0"/>
                <w:color w:val="auto"/>
                <w:sz w:val="21"/>
                <w:szCs w:val="21"/>
                <w:lang w:val="en-US" w:eastAsia="zh-CN"/>
              </w:rPr>
              <w:t>2</w:t>
            </w:r>
            <w:r>
              <w:rPr>
                <w:rFonts w:hint="eastAsia" w:cs="Times New Roman"/>
                <w:b/>
                <w:bCs w:val="0"/>
                <w:color w:val="auto"/>
                <w:sz w:val="21"/>
                <w:szCs w:val="21"/>
                <w:lang w:val="en-US" w:eastAsia="zh-CN"/>
              </w:rPr>
              <w:t>2</w:t>
            </w:r>
            <w:r>
              <w:rPr>
                <w:rFonts w:hint="default" w:ascii="Times New Roman" w:hAnsi="Times New Roman" w:eastAsia="宋体" w:cs="Times New Roman"/>
                <w:b/>
                <w:bCs w:val="0"/>
                <w:color w:val="auto"/>
                <w:sz w:val="21"/>
                <w:szCs w:val="21"/>
                <w:lang w:val="en-US" w:eastAsia="zh-CN"/>
              </w:rPr>
              <w:t xml:space="preserve">  环保投资估算一览表</w:t>
            </w:r>
          </w:p>
          <w:tbl>
            <w:tblPr>
              <w:tblStyle w:val="29"/>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33"/>
              <w:gridCol w:w="894"/>
              <w:gridCol w:w="1304"/>
              <w:gridCol w:w="3406"/>
              <w:gridCol w:w="1064"/>
              <w:gridCol w:w="118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1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阶段</w:t>
                  </w:r>
                </w:p>
              </w:tc>
              <w:tc>
                <w:tcPr>
                  <w:tcW w:w="1310" w:type="pct"/>
                  <w:gridSpan w:val="2"/>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eastAsia" w:eastAsia="宋体" w:cs="Times New Roman"/>
                      <w:color w:val="auto"/>
                      <w:highlight w:val="none"/>
                      <w:lang w:val="en-US" w:eastAsia="zh-CN"/>
                    </w:rPr>
                    <w:t>工程</w:t>
                  </w:r>
                  <w:r>
                    <w:rPr>
                      <w:rFonts w:hint="default" w:ascii="Times New Roman" w:hAnsi="Times New Roman" w:eastAsia="宋体" w:cs="Times New Roman"/>
                      <w:color w:val="auto"/>
                      <w:highlight w:val="none"/>
                    </w:rPr>
                    <w:t>类别</w:t>
                  </w:r>
                </w:p>
              </w:tc>
              <w:tc>
                <w:tcPr>
                  <w:tcW w:w="202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治理措施</w:t>
                  </w:r>
                </w:p>
              </w:tc>
              <w:tc>
                <w:tcPr>
                  <w:tcW w:w="634"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投资</w:t>
                  </w:r>
                </w:p>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（万元）</w:t>
                  </w:r>
                </w:p>
              </w:tc>
              <w:tc>
                <w:tcPr>
                  <w:tcW w:w="70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用途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18" w:type="pct"/>
                  <w:vMerge w:val="restar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施工</w:t>
                  </w:r>
                  <w:r>
                    <w:rPr>
                      <w:rFonts w:hint="default" w:ascii="Times New Roman" w:hAnsi="Times New Roman" w:eastAsia="宋体" w:cs="Times New Roman"/>
                      <w:color w:val="auto"/>
                      <w:highlight w:val="none"/>
                    </w:rPr>
                    <w:t>期</w:t>
                  </w:r>
                </w:p>
              </w:tc>
              <w:tc>
                <w:tcPr>
                  <w:tcW w:w="1310" w:type="pct"/>
                  <w:gridSpan w:val="2"/>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废气</w:t>
                  </w:r>
                  <w:r>
                    <w:rPr>
                      <w:rFonts w:hint="eastAsia" w:eastAsia="宋体" w:cs="Times New Roman"/>
                      <w:color w:val="auto"/>
                      <w:highlight w:val="none"/>
                      <w:lang w:val="en-US" w:eastAsia="zh-CN"/>
                    </w:rPr>
                    <w:t>治理措施</w:t>
                  </w:r>
                </w:p>
              </w:tc>
              <w:tc>
                <w:tcPr>
                  <w:tcW w:w="202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场地设置围挡、场地硬化、苫盖、洒水措施</w:t>
                  </w:r>
                </w:p>
              </w:tc>
              <w:tc>
                <w:tcPr>
                  <w:tcW w:w="634"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5</w:t>
                  </w:r>
                </w:p>
              </w:tc>
              <w:tc>
                <w:tcPr>
                  <w:tcW w:w="70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eastAsia"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抑尘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18" w:type="pct"/>
                  <w:vMerge w:val="continue"/>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1310" w:type="pct"/>
                  <w:gridSpan w:val="2"/>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废水</w:t>
                  </w:r>
                  <w:r>
                    <w:rPr>
                      <w:rFonts w:hint="eastAsia" w:eastAsia="宋体" w:cs="Times New Roman"/>
                      <w:color w:val="auto"/>
                      <w:highlight w:val="none"/>
                      <w:lang w:val="en-US" w:eastAsia="zh-CN"/>
                    </w:rPr>
                    <w:t>治理措施</w:t>
                  </w:r>
                </w:p>
              </w:tc>
              <w:tc>
                <w:tcPr>
                  <w:tcW w:w="202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临时沉淀池</w:t>
                  </w:r>
                </w:p>
              </w:tc>
              <w:tc>
                <w:tcPr>
                  <w:tcW w:w="634"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3</w:t>
                  </w:r>
                </w:p>
              </w:tc>
              <w:tc>
                <w:tcPr>
                  <w:tcW w:w="70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收集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18" w:type="pct"/>
                  <w:vMerge w:val="continue"/>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1310" w:type="pct"/>
                  <w:gridSpan w:val="2"/>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固废</w:t>
                  </w:r>
                  <w:r>
                    <w:rPr>
                      <w:rFonts w:hint="eastAsia" w:eastAsia="宋体" w:cs="Times New Roman"/>
                      <w:color w:val="auto"/>
                      <w:highlight w:val="none"/>
                      <w:lang w:val="en-US" w:eastAsia="zh-CN"/>
                    </w:rPr>
                    <w:t>治理措施</w:t>
                  </w:r>
                </w:p>
              </w:tc>
              <w:tc>
                <w:tcPr>
                  <w:tcW w:w="202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生活垃圾桶</w:t>
                  </w:r>
                </w:p>
              </w:tc>
              <w:tc>
                <w:tcPr>
                  <w:tcW w:w="634"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70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收集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18" w:type="pct"/>
                  <w:vMerge w:val="restar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运营</w:t>
                  </w:r>
                  <w:r>
                    <w:rPr>
                      <w:rFonts w:hint="default" w:ascii="Times New Roman" w:hAnsi="Times New Roman" w:eastAsia="宋体" w:cs="Times New Roman"/>
                      <w:color w:val="auto"/>
                      <w:highlight w:val="none"/>
                    </w:rPr>
                    <w:t>期</w:t>
                  </w:r>
                </w:p>
              </w:tc>
              <w:tc>
                <w:tcPr>
                  <w:tcW w:w="533" w:type="pct"/>
                  <w:vMerge w:val="restar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废气</w:t>
                  </w:r>
                  <w:r>
                    <w:rPr>
                      <w:rFonts w:hint="eastAsia" w:eastAsia="宋体" w:cs="Times New Roman"/>
                      <w:color w:val="auto"/>
                      <w:highlight w:val="none"/>
                      <w:lang w:val="en-US" w:eastAsia="zh-CN"/>
                    </w:rPr>
                    <w:t>治理措施</w:t>
                  </w:r>
                </w:p>
              </w:tc>
              <w:tc>
                <w:tcPr>
                  <w:tcW w:w="776" w:type="pct"/>
                  <w:vMerge w:val="restar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物料堆放扬尘</w:t>
                  </w:r>
                </w:p>
              </w:tc>
              <w:tc>
                <w:tcPr>
                  <w:tcW w:w="202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成品车间封闭</w:t>
                  </w:r>
                </w:p>
              </w:tc>
              <w:tc>
                <w:tcPr>
                  <w:tcW w:w="634"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w:t>
                  </w:r>
                </w:p>
              </w:tc>
              <w:tc>
                <w:tcPr>
                  <w:tcW w:w="70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抑尘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18" w:type="pct"/>
                  <w:vMerge w:val="continue"/>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533" w:type="pct"/>
                  <w:vMerge w:val="continue"/>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776" w:type="pct"/>
                  <w:vMerge w:val="continue"/>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202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尾矿库洒水降尘</w:t>
                  </w:r>
                </w:p>
              </w:tc>
              <w:tc>
                <w:tcPr>
                  <w:tcW w:w="634"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w:t>
                  </w:r>
                </w:p>
              </w:tc>
              <w:tc>
                <w:tcPr>
                  <w:tcW w:w="70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抑尘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18" w:type="pct"/>
                  <w:vMerge w:val="continue"/>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533" w:type="pct"/>
                  <w:vMerge w:val="continue"/>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776"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食堂油烟</w:t>
                  </w:r>
                </w:p>
              </w:tc>
              <w:tc>
                <w:tcPr>
                  <w:tcW w:w="202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油烟净化器</w:t>
                  </w:r>
                </w:p>
              </w:tc>
              <w:tc>
                <w:tcPr>
                  <w:tcW w:w="634"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依托现有</w:t>
                  </w:r>
                </w:p>
              </w:tc>
              <w:tc>
                <w:tcPr>
                  <w:tcW w:w="70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18" w:type="pct"/>
                  <w:vMerge w:val="continue"/>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533" w:type="pct"/>
                  <w:vMerge w:val="restar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eastAsia"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废水</w:t>
                  </w:r>
                  <w:r>
                    <w:rPr>
                      <w:rFonts w:hint="eastAsia" w:eastAsia="宋体" w:cs="Times New Roman"/>
                      <w:color w:val="auto"/>
                      <w:highlight w:val="none"/>
                      <w:lang w:val="en-US" w:eastAsia="zh-CN"/>
                    </w:rPr>
                    <w:t>治理措施</w:t>
                  </w:r>
                </w:p>
              </w:tc>
              <w:tc>
                <w:tcPr>
                  <w:tcW w:w="776"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选矿废水</w:t>
                  </w:r>
                </w:p>
              </w:tc>
              <w:tc>
                <w:tcPr>
                  <w:tcW w:w="202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集水池、高位水池</w:t>
                  </w:r>
                </w:p>
              </w:tc>
              <w:tc>
                <w:tcPr>
                  <w:tcW w:w="634"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依托现有</w:t>
                  </w:r>
                </w:p>
              </w:tc>
              <w:tc>
                <w:tcPr>
                  <w:tcW w:w="70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18" w:type="pct"/>
                  <w:vMerge w:val="continue"/>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533" w:type="pct"/>
                  <w:vMerge w:val="continue"/>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776"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生活污水</w:t>
                  </w:r>
                </w:p>
              </w:tc>
              <w:tc>
                <w:tcPr>
                  <w:tcW w:w="202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一体化污水处理设施提标改造</w:t>
                  </w:r>
                  <w:r>
                    <w:rPr>
                      <w:rFonts w:hint="eastAsia" w:eastAsia="宋体" w:cs="Times New Roman"/>
                      <w:color w:val="auto"/>
                      <w:highlight w:val="none"/>
                      <w:lang w:val="en-US" w:eastAsia="zh-CN"/>
                    </w:rPr>
                    <w:t>（改良A²/O脱氮除磷一体化工艺）</w:t>
                  </w:r>
                </w:p>
              </w:tc>
              <w:tc>
                <w:tcPr>
                  <w:tcW w:w="634"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w:t>
                  </w:r>
                </w:p>
              </w:tc>
              <w:tc>
                <w:tcPr>
                  <w:tcW w:w="70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污水提标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18" w:type="pct"/>
                  <w:vMerge w:val="continue"/>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533" w:type="pct"/>
                  <w:vMerge w:val="restar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eastAsia"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固废</w:t>
                  </w:r>
                  <w:r>
                    <w:rPr>
                      <w:rFonts w:hint="eastAsia" w:eastAsia="宋体" w:cs="Times New Roman"/>
                      <w:color w:val="auto"/>
                      <w:highlight w:val="none"/>
                      <w:lang w:val="en-US" w:eastAsia="zh-CN"/>
                    </w:rPr>
                    <w:t>治理措施</w:t>
                  </w:r>
                </w:p>
              </w:tc>
              <w:tc>
                <w:tcPr>
                  <w:tcW w:w="776"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尾矿</w:t>
                  </w:r>
                </w:p>
              </w:tc>
              <w:tc>
                <w:tcPr>
                  <w:tcW w:w="202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输送至新建尾矿库</w:t>
                  </w:r>
                </w:p>
              </w:tc>
              <w:tc>
                <w:tcPr>
                  <w:tcW w:w="634"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依托现有</w:t>
                  </w:r>
                </w:p>
              </w:tc>
              <w:tc>
                <w:tcPr>
                  <w:tcW w:w="70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18" w:type="pct"/>
                  <w:vMerge w:val="continue"/>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533" w:type="pct"/>
                  <w:vMerge w:val="continue"/>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776"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废机油</w:t>
                  </w:r>
                </w:p>
              </w:tc>
              <w:tc>
                <w:tcPr>
                  <w:tcW w:w="2028" w:type="pct"/>
                  <w:vMerge w:val="restar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暂存于危废贮存点</w:t>
                  </w:r>
                </w:p>
              </w:tc>
              <w:tc>
                <w:tcPr>
                  <w:tcW w:w="634" w:type="pct"/>
                  <w:vMerge w:val="restar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依托现有</w:t>
                  </w:r>
                </w:p>
              </w:tc>
              <w:tc>
                <w:tcPr>
                  <w:tcW w:w="708" w:type="pct"/>
                  <w:vMerge w:val="restar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18" w:type="pct"/>
                  <w:vMerge w:val="continue"/>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533" w:type="pct"/>
                  <w:vMerge w:val="continue"/>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776"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粘</w:t>
                  </w:r>
                  <w:r>
                    <w:rPr>
                      <w:rFonts w:hint="default" w:ascii="Times New Roman" w:hAnsi="Times New Roman" w:eastAsia="宋体" w:cs="Times New Roman"/>
                      <w:color w:val="auto"/>
                      <w:highlight w:val="none"/>
                      <w:lang w:eastAsia="zh-CN"/>
                    </w:rPr>
                    <w:t>染药剂废包装</w:t>
                  </w:r>
                </w:p>
              </w:tc>
              <w:tc>
                <w:tcPr>
                  <w:tcW w:w="2028" w:type="pct"/>
                  <w:vMerge w:val="continue"/>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auto"/>
                      <w:highlight w:val="none"/>
                      <w:lang w:val="en-US" w:eastAsia="zh-CN"/>
                    </w:rPr>
                  </w:pPr>
                </w:p>
              </w:tc>
              <w:tc>
                <w:tcPr>
                  <w:tcW w:w="634" w:type="pct"/>
                  <w:vMerge w:val="continue"/>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c>
                <w:tcPr>
                  <w:tcW w:w="708" w:type="pct"/>
                  <w:vMerge w:val="continue"/>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18" w:type="pct"/>
                  <w:vMerge w:val="continue"/>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533" w:type="pct"/>
                  <w:vMerge w:val="continue"/>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776"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生活垃圾</w:t>
                  </w:r>
                </w:p>
              </w:tc>
              <w:tc>
                <w:tcPr>
                  <w:tcW w:w="202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生活垃圾桶</w:t>
                  </w:r>
                </w:p>
              </w:tc>
              <w:tc>
                <w:tcPr>
                  <w:tcW w:w="634"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70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收集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18" w:type="pct"/>
                  <w:vMerge w:val="continue"/>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533"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eastAsia"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噪声</w:t>
                  </w:r>
                  <w:r>
                    <w:rPr>
                      <w:rFonts w:hint="eastAsia" w:eastAsia="宋体" w:cs="Times New Roman"/>
                      <w:color w:val="auto"/>
                      <w:highlight w:val="none"/>
                      <w:lang w:val="en-US" w:eastAsia="zh-CN"/>
                    </w:rPr>
                    <w:t>治理措施</w:t>
                  </w:r>
                </w:p>
              </w:tc>
              <w:tc>
                <w:tcPr>
                  <w:tcW w:w="776"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设备噪声</w:t>
                  </w:r>
                </w:p>
              </w:tc>
              <w:tc>
                <w:tcPr>
                  <w:tcW w:w="202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采用建筑物隔声，基础减振等措施</w:t>
                  </w:r>
                </w:p>
              </w:tc>
              <w:tc>
                <w:tcPr>
                  <w:tcW w:w="634"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w:t>
                  </w:r>
                </w:p>
              </w:tc>
              <w:tc>
                <w:tcPr>
                  <w:tcW w:w="70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18" w:type="pct"/>
                  <w:vMerge w:val="continue"/>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rPr>
                  </w:pPr>
                </w:p>
              </w:tc>
              <w:tc>
                <w:tcPr>
                  <w:tcW w:w="1310" w:type="pct"/>
                  <w:gridSpan w:val="2"/>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生态</w:t>
                  </w:r>
                  <w:r>
                    <w:rPr>
                      <w:rFonts w:hint="eastAsia" w:eastAsia="宋体" w:cs="Times New Roman"/>
                      <w:color w:val="auto"/>
                      <w:highlight w:val="none"/>
                      <w:lang w:val="en-US" w:eastAsia="zh-CN"/>
                    </w:rPr>
                    <w:t>恢复工程</w:t>
                  </w:r>
                </w:p>
              </w:tc>
              <w:tc>
                <w:tcPr>
                  <w:tcW w:w="202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复垦、撒播草籽</w:t>
                  </w:r>
                </w:p>
              </w:tc>
              <w:tc>
                <w:tcPr>
                  <w:tcW w:w="634"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45</w:t>
                  </w:r>
                </w:p>
              </w:tc>
              <w:tc>
                <w:tcPr>
                  <w:tcW w:w="70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eastAsia="宋体" w:cs="Times New Roman"/>
                      <w:color w:val="auto"/>
                      <w:highlight w:val="none"/>
                      <w:lang w:val="en-US" w:eastAsia="zh-CN"/>
                    </w:rPr>
                    <w:t>生态修复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657" w:type="pct"/>
                  <w:gridSpan w:val="4"/>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环保投资合计（万元）</w:t>
                  </w:r>
                </w:p>
              </w:tc>
              <w:tc>
                <w:tcPr>
                  <w:tcW w:w="634"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70</w:t>
                  </w:r>
                </w:p>
              </w:tc>
              <w:tc>
                <w:tcPr>
                  <w:tcW w:w="70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657" w:type="pct"/>
                  <w:gridSpan w:val="4"/>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项目总投资（万元）</w:t>
                  </w:r>
                </w:p>
              </w:tc>
              <w:tc>
                <w:tcPr>
                  <w:tcW w:w="634"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1000</w:t>
                  </w:r>
                </w:p>
              </w:tc>
              <w:tc>
                <w:tcPr>
                  <w:tcW w:w="70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657" w:type="pct"/>
                  <w:gridSpan w:val="4"/>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环保投资占总投资比例（%）</w:t>
                  </w:r>
                </w:p>
              </w:tc>
              <w:tc>
                <w:tcPr>
                  <w:tcW w:w="634"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7%</w:t>
                  </w:r>
                </w:p>
              </w:tc>
              <w:tc>
                <w:tcPr>
                  <w:tcW w:w="708" w:type="pct"/>
                  <w:tcBorders>
                    <w:tl2br w:val="nil"/>
                    <w:tr2bl w:val="nil"/>
                  </w:tcBorders>
                  <w:shd w:val="clear" w:color="auto" w:fill="auto"/>
                  <w:tcMar>
                    <w:top w:w="0" w:type="dxa"/>
                    <w:left w:w="57" w:type="dxa"/>
                    <w:bottom w:w="0" w:type="dxa"/>
                    <w:right w:w="57" w:type="dxa"/>
                  </w:tcMar>
                  <w:vAlign w:val="center"/>
                </w:tcPr>
                <w:p>
                  <w:pPr>
                    <w:pStyle w:val="87"/>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color w:val="auto"/>
                <w:kern w:val="0"/>
                <w:sz w:val="24"/>
                <w:szCs w:val="24"/>
                <w:lang w:val="en-US" w:eastAsia="zh-CN" w:bidi="ar"/>
              </w:rPr>
            </w:pPr>
            <w:r>
              <w:rPr>
                <w:rFonts w:hint="default" w:ascii="Times New Roman" w:hAnsi="Times New Roman" w:cs="Times New Roman"/>
                <w:b/>
                <w:bCs/>
                <w:color w:val="auto"/>
                <w:kern w:val="0"/>
                <w:sz w:val="24"/>
                <w:szCs w:val="24"/>
                <w:lang w:val="en-US" w:eastAsia="zh-CN" w:bidi="ar"/>
              </w:rPr>
              <w:t xml:space="preserve">10 </w:t>
            </w:r>
            <w:r>
              <w:rPr>
                <w:rFonts w:hint="default" w:ascii="Times New Roman" w:hAnsi="Times New Roman" w:eastAsia="宋体" w:cs="Times New Roman"/>
                <w:b/>
                <w:bCs/>
                <w:color w:val="auto"/>
                <w:kern w:val="0"/>
                <w:sz w:val="24"/>
                <w:szCs w:val="24"/>
                <w:lang w:val="en-US" w:eastAsia="zh-CN" w:bidi="ar"/>
              </w:rPr>
              <w:t>改扩建前后污染物排放“三本账”</w:t>
            </w:r>
          </w:p>
          <w:p>
            <w:pPr>
              <w:pStyle w:val="78"/>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结合现有工程、本项目的污染物排放情况及污染防治措施的分析，选矿厂改扩建前后污染物排放情况如下表4-2</w:t>
            </w:r>
            <w:r>
              <w:rPr>
                <w:rFonts w:hint="eastAsia" w:eastAsia="宋体" w:cs="Times New Roman"/>
                <w:color w:val="auto"/>
                <w:highlight w:val="none"/>
                <w:lang w:val="en-US" w:eastAsia="zh-CN"/>
              </w:rPr>
              <w:t>3</w:t>
            </w:r>
            <w:r>
              <w:rPr>
                <w:rFonts w:hint="default" w:ascii="Times New Roman" w:hAnsi="Times New Roman" w:eastAsia="宋体" w:cs="Times New Roman"/>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表4-2</w:t>
            </w:r>
            <w:r>
              <w:rPr>
                <w:rFonts w:hint="eastAsia" w:cs="Times New Roman"/>
                <w:b/>
                <w:bCs w:val="0"/>
                <w:color w:val="auto"/>
                <w:sz w:val="21"/>
                <w:szCs w:val="21"/>
                <w:lang w:val="en-US" w:eastAsia="zh-CN"/>
              </w:rPr>
              <w:t>3</w:t>
            </w:r>
            <w:r>
              <w:rPr>
                <w:rFonts w:hint="default" w:ascii="Times New Roman" w:hAnsi="Times New Roman" w:eastAsia="宋体" w:cs="Times New Roman"/>
                <w:b/>
                <w:bCs w:val="0"/>
                <w:color w:val="auto"/>
                <w:sz w:val="21"/>
                <w:szCs w:val="21"/>
                <w:lang w:val="en-US" w:eastAsia="zh-CN"/>
              </w:rPr>
              <w:t xml:space="preserve"> 项目改扩建前后污染物排放“三本账”（单位：t/a）</w:t>
            </w:r>
          </w:p>
          <w:tbl>
            <w:tblPr>
              <w:tblStyle w:val="30"/>
              <w:tblW w:w="4995"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131"/>
              <w:gridCol w:w="1418"/>
              <w:gridCol w:w="1335"/>
              <w:gridCol w:w="1096"/>
              <w:gridCol w:w="1335"/>
              <w:gridCol w:w="133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99"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w:t>
                  </w:r>
                </w:p>
              </w:tc>
              <w:tc>
                <w:tcPr>
                  <w:tcW w:w="735"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污染物</w:t>
                  </w:r>
                </w:p>
              </w:tc>
              <w:tc>
                <w:tcPr>
                  <w:tcW w:w="906"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原有工程排放量</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本工程排放量</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“以新带老”削减量</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全厂排放量</w:t>
                  </w:r>
                </w:p>
              </w:tc>
              <w:tc>
                <w:tcPr>
                  <w:tcW w:w="715"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新增量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99" w:type="pct"/>
                  <w:vMerge w:val="restar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废气</w:t>
                  </w:r>
                </w:p>
              </w:tc>
              <w:tc>
                <w:tcPr>
                  <w:tcW w:w="735" w:type="pct"/>
                  <w:vAlign w:val="center"/>
                </w:tcPr>
                <w:p>
                  <w:pPr>
                    <w:pStyle w:val="81"/>
                    <w:keepNext w:val="0"/>
                    <w:keepLines w:val="0"/>
                    <w:pageBreakBefore w:val="0"/>
                    <w:widowControl w:val="0"/>
                    <w:kinsoku/>
                    <w:wordWrap/>
                    <w:overflowPunct/>
                    <w:topLinePunct w:val="0"/>
                    <w:autoSpaceDE/>
                    <w:autoSpaceDN/>
                    <w:bidi w:val="0"/>
                    <w:adjustRightInd/>
                    <w:snapToGrid/>
                    <w:spacing w:before="0" w:after="0" w:line="240" w:lineRule="atLeas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颗粒物</w:t>
                  </w:r>
                </w:p>
              </w:tc>
              <w:tc>
                <w:tcPr>
                  <w:tcW w:w="906"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1.332</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3.466</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4.798</w:t>
                  </w:r>
                </w:p>
              </w:tc>
              <w:tc>
                <w:tcPr>
                  <w:tcW w:w="1335" w:type="dxa"/>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3.466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99" w:type="pct"/>
                  <w:vMerge w:val="continue"/>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735" w:type="pct"/>
                  <w:vAlign w:val="center"/>
                </w:tcPr>
                <w:p>
                  <w:pPr>
                    <w:adjustRightInd w:val="0"/>
                    <w:snapToGrid w:val="0"/>
                    <w:spacing w:line="32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Cs w:val="21"/>
                      <w:lang w:val="en-US" w:eastAsia="zh-CN"/>
                    </w:rPr>
                    <w:t>锑及其化合物</w:t>
                  </w:r>
                </w:p>
              </w:tc>
              <w:tc>
                <w:tcPr>
                  <w:tcW w:w="906" w:type="pct"/>
                  <w:vAlign w:val="center"/>
                </w:tcPr>
                <w:p>
                  <w:pPr>
                    <w:adjustRightInd w:val="0"/>
                    <w:snapToGrid w:val="0"/>
                    <w:spacing w:line="32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Cs w:val="21"/>
                      <w:lang w:val="en-US" w:eastAsia="zh-CN"/>
                    </w:rPr>
                    <w:t>1.296×10</w:t>
                  </w:r>
                  <w:r>
                    <w:rPr>
                      <w:rFonts w:hint="default" w:ascii="Times New Roman" w:hAnsi="Times New Roman" w:eastAsia="宋体" w:cs="Times New Roman"/>
                      <w:color w:val="auto"/>
                      <w:kern w:val="0"/>
                      <w:szCs w:val="21"/>
                      <w:vertAlign w:val="superscript"/>
                      <w:lang w:val="en-US" w:eastAsia="zh-CN"/>
                    </w:rPr>
                    <w:t>-3</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highlight w:val="none"/>
                      <w:lang w:val="en-US" w:eastAsia="zh-CN"/>
                    </w:rPr>
                    <w:t>6</w:t>
                  </w:r>
                  <w:r>
                    <w:rPr>
                      <w:rFonts w:hint="default" w:ascii="Times New Roman" w:hAnsi="Times New Roman" w:eastAsia="宋体" w:cs="Times New Roman"/>
                      <w:color w:val="auto"/>
                      <w:highlight w:val="none"/>
                      <w:lang w:val="en-US" w:eastAsia="zh-CN"/>
                    </w:rPr>
                    <w:t>.8×10</w:t>
                  </w:r>
                  <w:r>
                    <w:rPr>
                      <w:rFonts w:hint="default" w:ascii="Times New Roman" w:hAnsi="Times New Roman" w:eastAsia="宋体" w:cs="Times New Roman"/>
                      <w:color w:val="auto"/>
                      <w:highlight w:val="none"/>
                      <w:vertAlign w:val="superscript"/>
                      <w:lang w:val="en-US" w:eastAsia="zh-CN"/>
                    </w:rPr>
                    <w:t>-4</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highlight w:val="none"/>
                      <w:lang w:val="en-US" w:eastAsia="zh-CN"/>
                    </w:rPr>
                    <w:t>1</w:t>
                  </w:r>
                  <w:r>
                    <w:rPr>
                      <w:rFonts w:hint="eastAsia" w:eastAsia="宋体" w:cs="Times New Roman"/>
                      <w:color w:val="auto"/>
                      <w:highlight w:val="none"/>
                      <w:lang w:val="en-US" w:eastAsia="zh-CN"/>
                    </w:rPr>
                    <w:t>.9</w:t>
                  </w:r>
                  <w:r>
                    <w:rPr>
                      <w:rFonts w:hint="default" w:ascii="Times New Roman" w:hAnsi="Times New Roman" w:eastAsia="宋体" w:cs="Times New Roman"/>
                      <w:color w:val="auto"/>
                      <w:highlight w:val="none"/>
                      <w:lang w:val="en-US" w:eastAsia="zh-CN"/>
                    </w:rPr>
                    <w:t>8×10</w:t>
                  </w:r>
                  <w:r>
                    <w:rPr>
                      <w:rFonts w:hint="default" w:ascii="Times New Roman" w:hAnsi="Times New Roman" w:eastAsia="宋体" w:cs="Times New Roman"/>
                      <w:color w:val="auto"/>
                      <w:highlight w:val="none"/>
                      <w:vertAlign w:val="superscript"/>
                      <w:lang w:val="en-US" w:eastAsia="zh-CN"/>
                    </w:rPr>
                    <w:t>-3</w:t>
                  </w:r>
                </w:p>
              </w:tc>
              <w:tc>
                <w:tcPr>
                  <w:tcW w:w="1335" w:type="dxa"/>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highlight w:val="none"/>
                      <w:lang w:val="en-US" w:eastAsia="zh-CN"/>
                    </w:rPr>
                    <w:t>6</w:t>
                  </w:r>
                  <w:r>
                    <w:rPr>
                      <w:rFonts w:hint="default" w:ascii="Times New Roman" w:hAnsi="Times New Roman" w:eastAsia="宋体" w:cs="Times New Roman"/>
                      <w:color w:val="auto"/>
                      <w:highlight w:val="none"/>
                      <w:lang w:val="en-US" w:eastAsia="zh-CN"/>
                    </w:rPr>
                    <w:t>.8×10</w:t>
                  </w:r>
                  <w:r>
                    <w:rPr>
                      <w:rFonts w:hint="default" w:ascii="Times New Roman" w:hAnsi="Times New Roman" w:eastAsia="宋体" w:cs="Times New Roman"/>
                      <w:color w:val="auto"/>
                      <w:highlight w:val="none"/>
                      <w:vertAlign w:val="superscript"/>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99" w:type="pct"/>
                  <w:vMerge w:val="continue"/>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735"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油烟</w:t>
                  </w:r>
                </w:p>
              </w:tc>
              <w:tc>
                <w:tcPr>
                  <w:tcW w:w="906"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0.004</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0.0008</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0.0048</w:t>
                  </w:r>
                </w:p>
              </w:tc>
              <w:tc>
                <w:tcPr>
                  <w:tcW w:w="715" w:type="pct"/>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99" w:type="pct"/>
                  <w:vMerge w:val="restar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生活污水</w:t>
                  </w:r>
                </w:p>
              </w:tc>
              <w:tc>
                <w:tcPr>
                  <w:tcW w:w="735"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废水量</w:t>
                  </w:r>
                </w:p>
              </w:tc>
              <w:tc>
                <w:tcPr>
                  <w:tcW w:w="906" w:type="pct"/>
                  <w:vAlign w:val="center"/>
                </w:tcPr>
                <w:p>
                  <w:pPr>
                    <w:keepNext w:val="0"/>
                    <w:keepLines w:val="0"/>
                    <w:pageBreakBefore w:val="0"/>
                    <w:widowControl w:val="0"/>
                    <w:kinsoku/>
                    <w:wordWrap/>
                    <w:overflowPunct/>
                    <w:topLinePunct w:val="0"/>
                    <w:autoSpaceDE/>
                    <w:autoSpaceDN/>
                    <w:bidi w:val="0"/>
                    <w:adjustRightInd/>
                    <w:snapToGrid/>
                    <w:spacing w:beforeLines="0" w:line="240" w:lineRule="atLeas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1729.5</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336</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2065.5</w:t>
                  </w:r>
                </w:p>
              </w:tc>
              <w:tc>
                <w:tcPr>
                  <w:tcW w:w="715" w:type="pct"/>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336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99" w:type="pct"/>
                  <w:vMerge w:val="continue"/>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735"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COD</w:t>
                  </w:r>
                </w:p>
              </w:tc>
              <w:tc>
                <w:tcPr>
                  <w:tcW w:w="906" w:type="pct"/>
                  <w:vAlign w:val="center"/>
                </w:tcPr>
                <w:p>
                  <w:pPr>
                    <w:keepNext w:val="0"/>
                    <w:keepLines w:val="0"/>
                    <w:pageBreakBefore w:val="0"/>
                    <w:widowControl w:val="0"/>
                    <w:kinsoku/>
                    <w:wordWrap/>
                    <w:overflowPunct/>
                    <w:topLinePunct w:val="0"/>
                    <w:autoSpaceDE/>
                    <w:autoSpaceDN/>
                    <w:bidi w:val="0"/>
                    <w:adjustRightInd/>
                    <w:snapToGrid/>
                    <w:spacing w:beforeLines="0" w:line="240" w:lineRule="atLeas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0.84</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w:t>
                  </w:r>
                  <w:r>
                    <w:rPr>
                      <w:rFonts w:hint="eastAsia" w:eastAsia="宋体" w:cs="Times New Roman"/>
                      <w:color w:val="auto"/>
                      <w:sz w:val="21"/>
                      <w:szCs w:val="21"/>
                      <w:highlight w:val="none"/>
                      <w:lang w:val="en-US" w:eastAsia="zh-CN"/>
                    </w:rPr>
                    <w:t>20</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0.736</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0.124</w:t>
                  </w:r>
                </w:p>
              </w:tc>
              <w:tc>
                <w:tcPr>
                  <w:tcW w:w="1200" w:type="dxa"/>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-0.716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99" w:type="pct"/>
                  <w:vMerge w:val="continue"/>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735"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氨氮</w:t>
                  </w:r>
                </w:p>
              </w:tc>
              <w:tc>
                <w:tcPr>
                  <w:tcW w:w="906" w:type="pct"/>
                  <w:vAlign w:val="center"/>
                </w:tcPr>
                <w:p>
                  <w:pPr>
                    <w:keepNext w:val="0"/>
                    <w:keepLines w:val="0"/>
                    <w:pageBreakBefore w:val="0"/>
                    <w:widowControl w:val="0"/>
                    <w:kinsoku/>
                    <w:wordWrap/>
                    <w:overflowPunct/>
                    <w:topLinePunct w:val="0"/>
                    <w:autoSpaceDE/>
                    <w:autoSpaceDN/>
                    <w:bidi w:val="0"/>
                    <w:adjustRightInd/>
                    <w:snapToGrid/>
                    <w:spacing w:beforeLines="0" w:line="240" w:lineRule="atLeas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0.082</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w:t>
                  </w:r>
                  <w:r>
                    <w:rPr>
                      <w:rFonts w:hint="eastAsia" w:eastAsia="宋体" w:cs="Times New Roman"/>
                      <w:color w:val="auto"/>
                      <w:sz w:val="21"/>
                      <w:szCs w:val="21"/>
                      <w:highlight w:val="none"/>
                      <w:lang w:val="en-US" w:eastAsia="zh-CN"/>
                    </w:rPr>
                    <w:t>5</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0.039</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0.048</w:t>
                  </w:r>
                </w:p>
              </w:tc>
              <w:tc>
                <w:tcPr>
                  <w:tcW w:w="1200" w:type="dxa"/>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99" w:type="pct"/>
                  <w:vMerge w:val="restar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生产废水</w:t>
                  </w:r>
                </w:p>
              </w:tc>
              <w:tc>
                <w:tcPr>
                  <w:tcW w:w="735"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废水量</w:t>
                  </w:r>
                </w:p>
              </w:tc>
              <w:tc>
                <w:tcPr>
                  <w:tcW w:w="906"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715" w:type="pct"/>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99" w:type="pct"/>
                  <w:vMerge w:val="continue"/>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735"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COD</w:t>
                  </w:r>
                </w:p>
              </w:tc>
              <w:tc>
                <w:tcPr>
                  <w:tcW w:w="906"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715" w:type="pct"/>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99" w:type="pct"/>
                  <w:vMerge w:val="continue"/>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735"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SS</w:t>
                  </w:r>
                </w:p>
              </w:tc>
              <w:tc>
                <w:tcPr>
                  <w:tcW w:w="906"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715" w:type="pct"/>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99" w:type="pct"/>
                  <w:vMerge w:val="restar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固废</w:t>
                  </w:r>
                </w:p>
              </w:tc>
              <w:tc>
                <w:tcPr>
                  <w:tcW w:w="735"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尾矿</w:t>
                  </w:r>
                </w:p>
              </w:tc>
              <w:tc>
                <w:tcPr>
                  <w:tcW w:w="906"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124681</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highlight w:val="none"/>
                      <w:lang w:val="en-US" w:eastAsia="zh-CN"/>
                    </w:rPr>
                    <w:t>486145</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10826</w:t>
                  </w:r>
                </w:p>
              </w:tc>
              <w:tc>
                <w:tcPr>
                  <w:tcW w:w="715" w:type="pct"/>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highlight w:val="none"/>
                      <w:lang w:val="en-US" w:eastAsia="zh-CN"/>
                    </w:rPr>
                    <w:t>486145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99" w:type="pct"/>
                  <w:vMerge w:val="continue"/>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735" w:type="pct"/>
                  <w:shd w:val="clear" w:color="auto" w:fill="auto"/>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废机油</w:t>
                  </w:r>
                </w:p>
              </w:tc>
              <w:tc>
                <w:tcPr>
                  <w:tcW w:w="906"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0.8</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0.5</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714" w:type="pct"/>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1.3</w:t>
                  </w:r>
                </w:p>
              </w:tc>
              <w:tc>
                <w:tcPr>
                  <w:tcW w:w="715" w:type="pct"/>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99" w:type="pct"/>
                  <w:vMerge w:val="continue"/>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735" w:type="pct"/>
                  <w:shd w:val="clear" w:color="auto" w:fill="auto"/>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粘染</w:t>
                  </w:r>
                  <w:r>
                    <w:rPr>
                      <w:rFonts w:hint="default" w:ascii="Times New Roman" w:hAnsi="Times New Roman" w:eastAsia="宋体" w:cs="Times New Roman"/>
                      <w:color w:val="auto"/>
                      <w:sz w:val="21"/>
                      <w:szCs w:val="21"/>
                      <w:highlight w:val="none"/>
                    </w:rPr>
                    <w:t>药剂的废包装</w:t>
                  </w:r>
                </w:p>
              </w:tc>
              <w:tc>
                <w:tcPr>
                  <w:tcW w:w="906"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0.4</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0.3</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714" w:type="pct"/>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0.7</w:t>
                  </w:r>
                </w:p>
              </w:tc>
              <w:tc>
                <w:tcPr>
                  <w:tcW w:w="715" w:type="pct"/>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99" w:type="pct"/>
                  <w:vMerge w:val="continue"/>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735" w:type="pct"/>
                  <w:shd w:val="clear" w:color="auto" w:fill="auto"/>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坝体土石方</w:t>
                  </w:r>
                </w:p>
              </w:tc>
              <w:tc>
                <w:tcPr>
                  <w:tcW w:w="906"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106969.26m³</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714" w:type="pct"/>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106969.26m³</w:t>
                  </w:r>
                </w:p>
              </w:tc>
              <w:tc>
                <w:tcPr>
                  <w:tcW w:w="715" w:type="pct"/>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106969.26m³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99" w:type="pct"/>
                  <w:vMerge w:val="continue"/>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735" w:type="pct"/>
                  <w:shd w:val="clear" w:color="auto" w:fill="auto"/>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rPr>
                    <w:t>生活垃圾</w:t>
                  </w:r>
                </w:p>
              </w:tc>
              <w:tc>
                <w:tcPr>
                  <w:tcW w:w="906"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21.3</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4.2</w:t>
                  </w: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714" w:type="pct"/>
                  <w:vAlign w:val="center"/>
                </w:tcPr>
                <w:p>
                  <w:pPr>
                    <w:pStyle w:val="87"/>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25.5</w:t>
                  </w:r>
                </w:p>
              </w:tc>
              <w:tc>
                <w:tcPr>
                  <w:tcW w:w="715" w:type="pct"/>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4.2</w:t>
                  </w:r>
                </w:p>
              </w:tc>
            </w:tr>
          </w:tbl>
          <w:p>
            <w:pPr>
              <w:adjustRightInd w:val="0"/>
              <w:snapToGrid w:val="0"/>
              <w:rPr>
                <w:rFonts w:hint="default" w:ascii="Times New Roman" w:hAnsi="Times New Roman" w:eastAsia="宋体" w:cs="Times New Roman"/>
                <w:bCs/>
                <w:color w:val="auto"/>
                <w:spacing w:val="-10"/>
                <w:sz w:val="21"/>
                <w:szCs w:val="21"/>
                <w:lang w:val="en-US" w:eastAsia="zh-CN"/>
              </w:rPr>
            </w:pPr>
          </w:p>
        </w:tc>
      </w:tr>
    </w:tbl>
    <w:p>
      <w:pPr>
        <w:adjustRightInd w:val="0"/>
        <w:snapToGrid w:val="0"/>
        <w:spacing w:line="360" w:lineRule="auto"/>
        <w:rPr>
          <w:rFonts w:hint="default" w:ascii="Times New Roman" w:hAnsi="Times New Roman" w:cs="Times New Roman"/>
          <w:b/>
          <w:color w:val="auto"/>
          <w:kern w:val="0"/>
          <w:sz w:val="21"/>
          <w:szCs w:val="21"/>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7"/>
        <w:jc w:val="center"/>
        <w:outlineLvl w:val="0"/>
        <w:rPr>
          <w:rFonts w:hint="default" w:ascii="Times New Roman" w:hAnsi="Times New Roman" w:eastAsia="黑体" w:cs="Times New Roman"/>
          <w:snapToGrid w:val="0"/>
          <w:color w:val="auto"/>
          <w:sz w:val="32"/>
          <w:szCs w:val="32"/>
        </w:rPr>
      </w:pPr>
      <w:r>
        <w:rPr>
          <w:rFonts w:hint="default" w:ascii="Times New Roman" w:hAnsi="Times New Roman" w:eastAsia="黑体" w:cs="Times New Roman"/>
          <w:snapToGrid w:val="0"/>
          <w:color w:val="auto"/>
          <w:sz w:val="32"/>
          <w:szCs w:val="32"/>
        </w:rPr>
        <w:t>五、</w:t>
      </w:r>
      <w:bookmarkStart w:id="17" w:name="_Hlk54167917"/>
      <w:r>
        <w:rPr>
          <w:rFonts w:hint="default" w:ascii="Times New Roman" w:hAnsi="Times New Roman" w:eastAsia="黑体" w:cs="Times New Roman"/>
          <w:snapToGrid w:val="0"/>
          <w:color w:val="auto"/>
          <w:sz w:val="32"/>
          <w:szCs w:val="32"/>
        </w:rPr>
        <w:t>环境保护措施监督检查清单</w:t>
      </w:r>
      <w:bookmarkEnd w:id="17"/>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79"/>
        <w:gridCol w:w="1493"/>
        <w:gridCol w:w="1221"/>
        <w:gridCol w:w="2977"/>
        <w:gridCol w:w="219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84" w:type="dxa"/>
            <w:tcBorders>
              <w:tl2br w:val="single" w:color="auto" w:sz="4" w:space="0"/>
            </w:tcBorders>
            <w:noWrap w:val="0"/>
            <w:vAlign w:val="top"/>
          </w:tcPr>
          <w:p>
            <w:pPr>
              <w:adjustRightInd w:val="0"/>
              <w:snapToGrid w:val="0"/>
              <w:ind w:firstLine="420" w:firstLineChars="20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内容</w:t>
            </w:r>
          </w:p>
          <w:p>
            <w:pPr>
              <w:adjustRightInd w:val="0"/>
              <w:snapToGrid w:val="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要素</w:t>
            </w:r>
          </w:p>
        </w:tc>
        <w:tc>
          <w:tcPr>
            <w:tcW w:w="1507" w:type="dxa"/>
            <w:noWrap w:val="0"/>
            <w:vAlign w:val="center"/>
          </w:tcPr>
          <w:p>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排放口(编号、名称)/污染源</w:t>
            </w:r>
          </w:p>
        </w:tc>
        <w:tc>
          <w:tcPr>
            <w:tcW w:w="1224" w:type="dxa"/>
            <w:noWrap w:val="0"/>
            <w:vAlign w:val="center"/>
          </w:tcPr>
          <w:p>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污染物项目</w:t>
            </w:r>
          </w:p>
        </w:tc>
        <w:tc>
          <w:tcPr>
            <w:tcW w:w="3015" w:type="dxa"/>
            <w:noWrap w:val="0"/>
            <w:vAlign w:val="center"/>
          </w:tcPr>
          <w:p>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环境保护措施</w:t>
            </w:r>
          </w:p>
        </w:tc>
        <w:tc>
          <w:tcPr>
            <w:tcW w:w="2130" w:type="dxa"/>
            <w:noWrap w:val="0"/>
            <w:vAlign w:val="center"/>
          </w:tcPr>
          <w:p>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执行标准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184" w:type="dxa"/>
            <w:vMerge w:val="restart"/>
            <w:noWrap w:val="0"/>
            <w:vAlign w:val="center"/>
          </w:tcPr>
          <w:p>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大气环境</w:t>
            </w:r>
          </w:p>
        </w:tc>
        <w:tc>
          <w:tcPr>
            <w:tcW w:w="1507" w:type="dxa"/>
            <w:vMerge w:val="restart"/>
            <w:noWrap w:val="0"/>
            <w:vAlign w:val="center"/>
          </w:tcPr>
          <w:p>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lang w:val="en-US" w:eastAsia="zh-CN"/>
              </w:rPr>
              <w:t>厂界</w:t>
            </w:r>
          </w:p>
        </w:tc>
        <w:tc>
          <w:tcPr>
            <w:tcW w:w="1224" w:type="dxa"/>
            <w:noWrap w:val="0"/>
            <w:vAlign w:val="center"/>
          </w:tcPr>
          <w:p>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颗粒物</w:t>
            </w:r>
          </w:p>
        </w:tc>
        <w:tc>
          <w:tcPr>
            <w:tcW w:w="3015" w:type="dxa"/>
            <w:vMerge w:val="restart"/>
            <w:noWrap w:val="0"/>
            <w:vAlign w:val="center"/>
          </w:tcPr>
          <w:p>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lang w:val="en-US" w:eastAsia="zh-CN"/>
              </w:rPr>
              <w:t>设置封闭式厂房堆存，定期清扫、尾矿库干滩洒水降尘</w:t>
            </w:r>
          </w:p>
        </w:tc>
        <w:tc>
          <w:tcPr>
            <w:tcW w:w="2130" w:type="dxa"/>
            <w:noWrap w:val="0"/>
            <w:vAlign w:val="center"/>
          </w:tcPr>
          <w:p>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《大气污染物综合排放标准》（GB16297-1996）表2中无组织排放监控浓度限值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184" w:type="dxa"/>
            <w:vMerge w:val="continue"/>
            <w:noWrap w:val="0"/>
            <w:vAlign w:val="center"/>
          </w:tcPr>
          <w:p>
            <w:pPr>
              <w:adjustRightInd w:val="0"/>
              <w:snapToGrid w:val="0"/>
              <w:jc w:val="center"/>
              <w:rPr>
                <w:rFonts w:hint="default" w:ascii="Times New Roman" w:hAnsi="Times New Roman" w:cs="Times New Roman"/>
                <w:color w:val="auto"/>
              </w:rPr>
            </w:pPr>
          </w:p>
        </w:tc>
        <w:tc>
          <w:tcPr>
            <w:tcW w:w="1507" w:type="dxa"/>
            <w:vMerge w:val="continue"/>
            <w:noWrap w:val="0"/>
            <w:vAlign w:val="center"/>
          </w:tcPr>
          <w:p>
            <w:pPr>
              <w:adjustRightInd w:val="0"/>
              <w:snapToGrid w:val="0"/>
              <w:jc w:val="center"/>
              <w:rPr>
                <w:rFonts w:hint="default" w:ascii="Times New Roman" w:hAnsi="Times New Roman" w:cs="Times New Roman"/>
                <w:color w:val="auto"/>
              </w:rPr>
            </w:pPr>
          </w:p>
        </w:tc>
        <w:tc>
          <w:tcPr>
            <w:tcW w:w="1224" w:type="dxa"/>
            <w:noWrap w:val="0"/>
            <w:vAlign w:val="center"/>
          </w:tcPr>
          <w:p>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color w:val="auto"/>
                <w:kern w:val="0"/>
                <w:szCs w:val="21"/>
                <w:lang w:val="en-US" w:eastAsia="zh-CN"/>
              </w:rPr>
              <w:t>锑及其化合物</w:t>
            </w:r>
          </w:p>
        </w:tc>
        <w:tc>
          <w:tcPr>
            <w:tcW w:w="3015" w:type="dxa"/>
            <w:vMerge w:val="continue"/>
            <w:noWrap w:val="0"/>
            <w:vAlign w:val="center"/>
          </w:tcPr>
          <w:p>
            <w:pPr>
              <w:adjustRightInd w:val="0"/>
              <w:snapToGrid w:val="0"/>
              <w:jc w:val="center"/>
              <w:rPr>
                <w:rFonts w:hint="default" w:ascii="Times New Roman" w:hAnsi="Times New Roman" w:cs="Times New Roman"/>
                <w:color w:val="auto"/>
                <w:sz w:val="21"/>
                <w:szCs w:val="21"/>
                <w:lang w:val="en-US" w:eastAsia="zh-CN"/>
              </w:rPr>
            </w:pPr>
          </w:p>
        </w:tc>
        <w:tc>
          <w:tcPr>
            <w:tcW w:w="2130" w:type="dxa"/>
            <w:noWrap w:val="0"/>
            <w:vAlign w:val="center"/>
          </w:tcPr>
          <w:p>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color w:val="auto"/>
                <w:highlight w:val="none"/>
                <w:lang w:val="en-US" w:eastAsia="zh-CN"/>
              </w:rPr>
              <w:t>《锡、锑、汞工业污染物排放标准》(GB30770－2014)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184" w:type="dxa"/>
            <w:vMerge w:val="continue"/>
            <w:noWrap w:val="0"/>
            <w:vAlign w:val="center"/>
          </w:tcPr>
          <w:p>
            <w:pPr>
              <w:adjustRightInd w:val="0"/>
              <w:snapToGrid w:val="0"/>
              <w:rPr>
                <w:rFonts w:hint="default" w:ascii="Times New Roman" w:hAnsi="Times New Roman" w:cs="Times New Roman"/>
                <w:color w:val="auto"/>
              </w:rPr>
            </w:pPr>
          </w:p>
        </w:tc>
        <w:tc>
          <w:tcPr>
            <w:tcW w:w="1507" w:type="dxa"/>
            <w:noWrap w:val="0"/>
            <w:vAlign w:val="center"/>
          </w:tcPr>
          <w:p>
            <w:pPr>
              <w:spacing w:line="240" w:lineRule="auto"/>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食堂</w:t>
            </w:r>
          </w:p>
        </w:tc>
        <w:tc>
          <w:tcPr>
            <w:tcW w:w="1224" w:type="dxa"/>
            <w:noWrap w:val="0"/>
            <w:vAlign w:val="center"/>
          </w:tcPr>
          <w:p>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食堂油烟</w:t>
            </w:r>
          </w:p>
        </w:tc>
        <w:tc>
          <w:tcPr>
            <w:tcW w:w="3015" w:type="dxa"/>
            <w:noWrap w:val="0"/>
            <w:vAlign w:val="center"/>
          </w:tcPr>
          <w:p>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油烟净化器</w:t>
            </w:r>
          </w:p>
        </w:tc>
        <w:tc>
          <w:tcPr>
            <w:tcW w:w="2130" w:type="dxa"/>
            <w:noWrap w:val="0"/>
            <w:vAlign w:val="center"/>
          </w:tcPr>
          <w:p>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《饮食业油烟排放标准》（GB18483-2001）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84" w:type="dxa"/>
            <w:vMerge w:val="restart"/>
            <w:noWrap w:val="0"/>
            <w:vAlign w:val="center"/>
          </w:tcPr>
          <w:p>
            <w:pPr>
              <w:adjustRightInd w:val="0"/>
              <w:snapToGrid w:val="0"/>
              <w:jc w:val="center"/>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eastAsia="zh-CN"/>
              </w:rPr>
              <w:t>地表水</w:t>
            </w:r>
          </w:p>
        </w:tc>
        <w:tc>
          <w:tcPr>
            <w:tcW w:w="1507" w:type="dxa"/>
            <w:noWrap w:val="0"/>
            <w:vAlign w:val="center"/>
          </w:tcPr>
          <w:p>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生活污水</w:t>
            </w:r>
          </w:p>
        </w:tc>
        <w:tc>
          <w:tcPr>
            <w:tcW w:w="1224" w:type="dxa"/>
            <w:noWrap w:val="0"/>
            <w:vAlign w:val="center"/>
          </w:tcPr>
          <w:p>
            <w:pPr>
              <w:adjustRightInd w:val="0"/>
              <w:snapToGrid w:val="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eastAsia="zh-CN"/>
              </w:rPr>
              <w:t>COD、BOD</w:t>
            </w:r>
            <w:r>
              <w:rPr>
                <w:rFonts w:hint="default" w:ascii="Times New Roman" w:hAnsi="Times New Roman" w:cs="Times New Roman"/>
                <w:color w:val="auto"/>
                <w:sz w:val="21"/>
                <w:szCs w:val="21"/>
                <w:vertAlign w:val="subscript"/>
                <w:lang w:val="en-US" w:eastAsia="zh-CN"/>
              </w:rPr>
              <w:t>5</w:t>
            </w:r>
            <w:r>
              <w:rPr>
                <w:rFonts w:hint="default" w:ascii="Times New Roman" w:hAnsi="Times New Roman" w:cs="Times New Roman"/>
                <w:color w:val="auto"/>
                <w:sz w:val="21"/>
                <w:szCs w:val="21"/>
                <w:lang w:val="en-US" w:eastAsia="zh-CN"/>
              </w:rPr>
              <w:t>、NH</w:t>
            </w:r>
            <w:r>
              <w:rPr>
                <w:rFonts w:hint="default" w:ascii="Times New Roman" w:hAnsi="Times New Roman" w:cs="Times New Roman"/>
                <w:color w:val="auto"/>
                <w:sz w:val="21"/>
                <w:szCs w:val="21"/>
                <w:vertAlign w:val="subscript"/>
                <w:lang w:val="en-US" w:eastAsia="zh-CN"/>
              </w:rPr>
              <w:t>3</w:t>
            </w:r>
            <w:r>
              <w:rPr>
                <w:rFonts w:hint="default" w:ascii="Times New Roman" w:hAnsi="Times New Roman" w:cs="Times New Roman"/>
                <w:color w:val="auto"/>
                <w:sz w:val="21"/>
                <w:szCs w:val="21"/>
                <w:lang w:val="en-US" w:eastAsia="zh-CN"/>
              </w:rPr>
              <w:t>-N、SS、动植物油</w:t>
            </w:r>
          </w:p>
        </w:tc>
        <w:tc>
          <w:tcPr>
            <w:tcW w:w="3015" w:type="dxa"/>
            <w:noWrap w:val="0"/>
            <w:vAlign w:val="center"/>
          </w:tcPr>
          <w:p>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highlight w:val="none"/>
                <w:lang w:val="en-US" w:eastAsia="zh-CN"/>
              </w:rPr>
              <w:t>一体化污水处理设施处理达标后，用于绿化灌溉、道路洒扫等</w:t>
            </w:r>
          </w:p>
        </w:tc>
        <w:tc>
          <w:tcPr>
            <w:tcW w:w="2130" w:type="dxa"/>
            <w:noWrap w:val="0"/>
            <w:vAlign w:val="center"/>
          </w:tcPr>
          <w:p>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《城市污水再生利用 城市杂用水水质》（GB/T 18920-2020）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84" w:type="dxa"/>
            <w:vMerge w:val="continue"/>
            <w:noWrap w:val="0"/>
            <w:vAlign w:val="center"/>
          </w:tcPr>
          <w:p>
            <w:pPr>
              <w:adjustRightInd w:val="0"/>
              <w:snapToGrid w:val="0"/>
              <w:jc w:val="center"/>
              <w:rPr>
                <w:rFonts w:hint="default" w:ascii="Times New Roman" w:hAnsi="Times New Roman" w:cs="Times New Roman"/>
                <w:color w:val="auto"/>
                <w:sz w:val="21"/>
                <w:szCs w:val="21"/>
                <w:lang w:eastAsia="zh-CN"/>
              </w:rPr>
            </w:pPr>
          </w:p>
        </w:tc>
        <w:tc>
          <w:tcPr>
            <w:tcW w:w="1507" w:type="dxa"/>
            <w:noWrap w:val="0"/>
            <w:vAlign w:val="center"/>
          </w:tcPr>
          <w:p>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选矿废水</w:t>
            </w:r>
          </w:p>
        </w:tc>
        <w:tc>
          <w:tcPr>
            <w:tcW w:w="1224" w:type="dxa"/>
            <w:noWrap w:val="0"/>
            <w:vAlign w:val="center"/>
          </w:tcPr>
          <w:p>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SS等</w:t>
            </w:r>
          </w:p>
        </w:tc>
        <w:tc>
          <w:tcPr>
            <w:tcW w:w="3015" w:type="dxa"/>
            <w:noWrap w:val="0"/>
            <w:vAlign w:val="center"/>
          </w:tcPr>
          <w:p>
            <w:pPr>
              <w:adjustRightInd w:val="0"/>
              <w:snapToGrid w:val="0"/>
              <w:jc w:val="center"/>
              <w:rPr>
                <w:rFonts w:hint="default" w:ascii="Times New Roman" w:hAnsi="Times New Roman" w:cs="Times New Roman"/>
                <w:color w:val="auto"/>
                <w:szCs w:val="21"/>
                <w:lang w:val="en-US" w:eastAsia="zh-CN"/>
              </w:rPr>
            </w:pPr>
            <w:r>
              <w:rPr>
                <w:rFonts w:hint="default" w:ascii="Times New Roman" w:hAnsi="Times New Roman" w:cs="Times New Roman"/>
                <w:color w:val="auto"/>
                <w:highlight w:val="none"/>
                <w:lang w:val="en-US" w:eastAsia="zh-CN"/>
              </w:rPr>
              <w:t>经沉淀后循环利用不外排。</w:t>
            </w:r>
          </w:p>
        </w:tc>
        <w:tc>
          <w:tcPr>
            <w:tcW w:w="2130" w:type="dxa"/>
            <w:noWrap w:val="0"/>
            <w:vAlign w:val="center"/>
          </w:tcPr>
          <w:p>
            <w:pPr>
              <w:adjustRightInd w:val="0"/>
              <w:snapToGrid w:val="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84" w:type="dxa"/>
            <w:noWrap w:val="0"/>
            <w:vAlign w:val="center"/>
          </w:tcPr>
          <w:p>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声环境</w:t>
            </w:r>
          </w:p>
        </w:tc>
        <w:tc>
          <w:tcPr>
            <w:tcW w:w="1507" w:type="dxa"/>
            <w:noWrap w:val="0"/>
            <w:vAlign w:val="center"/>
          </w:tcPr>
          <w:p>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生产设备</w:t>
            </w:r>
          </w:p>
        </w:tc>
        <w:tc>
          <w:tcPr>
            <w:tcW w:w="1224" w:type="dxa"/>
            <w:noWrap w:val="0"/>
            <w:vAlign w:val="center"/>
          </w:tcPr>
          <w:p>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等效连续A声级</w:t>
            </w:r>
          </w:p>
        </w:tc>
        <w:tc>
          <w:tcPr>
            <w:tcW w:w="3015" w:type="dxa"/>
            <w:noWrap w:val="0"/>
            <w:vAlign w:val="center"/>
          </w:tcPr>
          <w:p>
            <w:pPr>
              <w:adjustRightInd w:val="0"/>
              <w:snapToGrid w:val="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highlight w:val="none"/>
                <w:lang w:val="en-US" w:eastAsia="zh-CN"/>
              </w:rPr>
              <w:t>采用建筑物隔声，基础减振等措施</w:t>
            </w:r>
          </w:p>
        </w:tc>
        <w:tc>
          <w:tcPr>
            <w:tcW w:w="2130" w:type="dxa"/>
            <w:noWrap w:val="0"/>
            <w:vAlign w:val="center"/>
          </w:tcPr>
          <w:p>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《工业企业厂界环境噪声排放标准》</w:t>
            </w:r>
            <w:r>
              <w:rPr>
                <w:rFonts w:hint="default" w:ascii="Times New Roman" w:hAnsi="Times New Roman" w:eastAsia="宋体" w:cs="Times New Roman"/>
                <w:snapToGrid w:val="0"/>
                <w:color w:val="auto"/>
                <w:kern w:val="0"/>
                <w:sz w:val="24"/>
                <w:szCs w:val="24"/>
                <w:lang w:val="en-US" w:eastAsia="zh-CN"/>
              </w:rPr>
              <w:t>（GB12348-2008）</w:t>
            </w:r>
            <w:r>
              <w:rPr>
                <w:rFonts w:hint="default" w:ascii="Times New Roman" w:hAnsi="Times New Roman" w:cs="Times New Roman"/>
                <w:color w:val="auto"/>
                <w:sz w:val="21"/>
                <w:szCs w:val="21"/>
                <w:lang w:val="en-US" w:eastAsia="zh-CN"/>
              </w:rPr>
              <w:t>中3类标准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84" w:type="dxa"/>
            <w:noWrap w:val="0"/>
            <w:vAlign w:val="center"/>
          </w:tcPr>
          <w:p>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电磁辐射</w:t>
            </w:r>
          </w:p>
        </w:tc>
        <w:tc>
          <w:tcPr>
            <w:tcW w:w="1507" w:type="dxa"/>
            <w:noWrap w:val="0"/>
            <w:vAlign w:val="center"/>
          </w:tcPr>
          <w:p>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1224" w:type="dxa"/>
            <w:noWrap w:val="0"/>
            <w:vAlign w:val="center"/>
          </w:tcPr>
          <w:p>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3015" w:type="dxa"/>
            <w:noWrap w:val="0"/>
            <w:vAlign w:val="center"/>
          </w:tcPr>
          <w:p>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2130" w:type="dxa"/>
            <w:noWrap w:val="0"/>
            <w:vAlign w:val="center"/>
          </w:tcPr>
          <w:p>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184" w:type="dxa"/>
            <w:noWrap w:val="0"/>
            <w:vAlign w:val="center"/>
          </w:tcPr>
          <w:p>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固体废物</w:t>
            </w:r>
          </w:p>
        </w:tc>
        <w:tc>
          <w:tcPr>
            <w:tcW w:w="787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cs="Times New Roman"/>
                <w:snapToGrid w:val="0"/>
                <w:color w:val="auto"/>
                <w:kern w:val="0"/>
                <w:sz w:val="21"/>
                <w:szCs w:val="21"/>
                <w:lang w:val="en-US" w:eastAsia="zh-CN"/>
              </w:rPr>
            </w:pPr>
            <w:r>
              <w:rPr>
                <w:rFonts w:hint="default" w:ascii="Times New Roman" w:hAnsi="Times New Roman" w:cs="Times New Roman"/>
                <w:snapToGrid w:val="0"/>
                <w:color w:val="auto"/>
                <w:kern w:val="0"/>
                <w:sz w:val="21"/>
                <w:szCs w:val="21"/>
                <w:lang w:val="en-US" w:eastAsia="zh-CN"/>
              </w:rPr>
              <w:t>①尾矿经管道输送至下游新建尾矿库</w:t>
            </w:r>
            <w:r>
              <w:rPr>
                <w:rFonts w:hint="eastAsia" w:cs="Times New Roman"/>
                <w:snapToGrid w:val="0"/>
                <w:color w:val="auto"/>
                <w:kern w:val="0"/>
                <w:sz w:val="21"/>
                <w:szCs w:val="21"/>
                <w:lang w:val="en-US" w:eastAsia="zh-CN"/>
              </w:rPr>
              <w:t>，新建尾矿库验收完成后方可投产</w:t>
            </w:r>
            <w:r>
              <w:rPr>
                <w:rFonts w:hint="default" w:ascii="Times New Roman" w:hAnsi="Times New Roman" w:cs="Times New Roman"/>
                <w:snapToGrid w:val="0"/>
                <w:color w:val="auto"/>
                <w:kern w:val="0"/>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cs="Times New Roman"/>
                <w:snapToGrid w:val="0"/>
                <w:color w:val="auto"/>
                <w:kern w:val="0"/>
                <w:sz w:val="21"/>
                <w:szCs w:val="21"/>
                <w:lang w:val="en-US" w:eastAsia="zh-CN"/>
              </w:rPr>
            </w:pPr>
            <w:r>
              <w:rPr>
                <w:rFonts w:hint="default" w:ascii="Times New Roman" w:hAnsi="Times New Roman" w:cs="Times New Roman"/>
                <w:snapToGrid w:val="0"/>
                <w:color w:val="auto"/>
                <w:kern w:val="0"/>
                <w:sz w:val="21"/>
                <w:szCs w:val="21"/>
                <w:lang w:val="en-US" w:eastAsia="zh-CN"/>
              </w:rPr>
              <w:t>②废机油、</w:t>
            </w:r>
            <w:r>
              <w:rPr>
                <w:rFonts w:hint="default" w:ascii="Times New Roman" w:hAnsi="Times New Roman" w:cs="Times New Roman"/>
                <w:color w:val="auto"/>
                <w:sz w:val="21"/>
                <w:szCs w:val="24"/>
                <w:highlight w:val="none"/>
                <w:lang w:val="en-US" w:eastAsia="zh-CN"/>
              </w:rPr>
              <w:t>沾染药剂的</w:t>
            </w:r>
            <w:r>
              <w:rPr>
                <w:rFonts w:hint="default" w:ascii="Times New Roman" w:hAnsi="Times New Roman" w:cs="Times New Roman"/>
                <w:color w:val="auto"/>
                <w:sz w:val="21"/>
                <w:szCs w:val="24"/>
                <w:highlight w:val="none"/>
              </w:rPr>
              <w:t>废包装</w:t>
            </w:r>
            <w:r>
              <w:rPr>
                <w:rFonts w:hint="default" w:ascii="Times New Roman" w:hAnsi="Times New Roman" w:cs="Times New Roman"/>
                <w:snapToGrid w:val="0"/>
                <w:color w:val="auto"/>
                <w:kern w:val="0"/>
                <w:sz w:val="21"/>
                <w:szCs w:val="21"/>
                <w:lang w:val="en-US" w:eastAsia="zh-CN"/>
              </w:rPr>
              <w:t>属于危险废物，暂存于现有危废贮存点，由有资质单位拉运处置</w:t>
            </w:r>
            <w:r>
              <w:rPr>
                <w:rFonts w:hint="default" w:ascii="Times New Roman" w:hAnsi="Times New Roman" w:cs="Times New Roman"/>
                <w:color w:val="auto"/>
                <w:sz w:val="21"/>
                <w:szCs w:val="24"/>
                <w:highlight w:val="none"/>
              </w:rPr>
              <w:t>。</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cs="Times New Roman"/>
                <w:snapToGrid w:val="0"/>
                <w:color w:val="auto"/>
                <w:kern w:val="0"/>
                <w:sz w:val="21"/>
                <w:szCs w:val="21"/>
                <w:lang w:val="en-US" w:eastAsia="zh-CN"/>
              </w:rPr>
            </w:pPr>
            <w:r>
              <w:rPr>
                <w:rFonts w:hint="default" w:ascii="Times New Roman" w:hAnsi="Times New Roman" w:cs="Times New Roman"/>
                <w:snapToGrid w:val="0"/>
                <w:color w:val="auto"/>
                <w:kern w:val="0"/>
                <w:sz w:val="21"/>
                <w:szCs w:val="21"/>
                <w:lang w:val="en-US" w:eastAsia="zh-CN"/>
              </w:rPr>
              <w:t>③生活垃圾在厂内集中收集后，运往邻厂新疆路源矿业有限公司垃圾填埋场填埋处置。</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cs="Times New Roman"/>
                <w:snapToGrid w:val="0"/>
                <w:color w:val="auto"/>
                <w:kern w:val="0"/>
                <w:sz w:val="21"/>
                <w:szCs w:val="21"/>
                <w:lang w:val="en-US" w:eastAsia="zh-CN"/>
              </w:rPr>
            </w:pPr>
            <w:r>
              <w:rPr>
                <w:rFonts w:hint="default" w:ascii="Times New Roman" w:hAnsi="Times New Roman" w:cs="Times New Roman"/>
                <w:snapToGrid w:val="0"/>
                <w:color w:val="auto"/>
                <w:kern w:val="0"/>
                <w:sz w:val="21"/>
                <w:szCs w:val="21"/>
                <w:lang w:val="en-US" w:eastAsia="zh-CN"/>
              </w:rPr>
              <w:t>④拆除的砂质粉土用于库底回填平整，剩余的碎石料外运作为建材二次利用，其他建筑垃圾外运建筑垃圾处置场合规处置。</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snapToGrid w:val="0"/>
                <w:color w:val="auto"/>
                <w:kern w:val="0"/>
                <w:sz w:val="21"/>
                <w:szCs w:val="21"/>
                <w:lang w:val="en-US" w:eastAsia="zh-CN"/>
              </w:rPr>
              <w:t>一般固废执行</w:t>
            </w:r>
            <w:r>
              <w:rPr>
                <w:rFonts w:hint="default" w:ascii="Times New Roman" w:hAnsi="Times New Roman" w:cs="Times New Roman"/>
                <w:color w:val="auto"/>
                <w:sz w:val="21"/>
                <w:szCs w:val="21"/>
              </w:rPr>
              <w:t>《一般工业固体废物贮存</w:t>
            </w:r>
            <w:r>
              <w:rPr>
                <w:rFonts w:hint="default" w:ascii="Times New Roman" w:hAnsi="Times New Roman" w:eastAsia="宋体" w:cs="Times New Roman"/>
                <w:color w:val="auto"/>
                <w:sz w:val="21"/>
                <w:szCs w:val="21"/>
                <w:lang w:eastAsia="zh-CN"/>
              </w:rPr>
              <w:t>和填埋</w:t>
            </w:r>
            <w:r>
              <w:rPr>
                <w:rFonts w:hint="default" w:ascii="Times New Roman" w:hAnsi="Times New Roman" w:cs="Times New Roman"/>
                <w:color w:val="auto"/>
                <w:sz w:val="21"/>
                <w:szCs w:val="21"/>
              </w:rPr>
              <w:t>污染控制标准》(GB18599-20</w:t>
            </w:r>
            <w:r>
              <w:rPr>
                <w:rFonts w:hint="default" w:ascii="Times New Roman" w:hAnsi="Times New Roman" w:eastAsia="宋体" w:cs="Times New Roman"/>
                <w:color w:val="auto"/>
                <w:sz w:val="21"/>
                <w:szCs w:val="21"/>
                <w:lang w:val="en-US" w:eastAsia="zh-CN"/>
              </w:rPr>
              <w:t>20</w:t>
            </w:r>
            <w:r>
              <w:rPr>
                <w:rFonts w:hint="default" w:ascii="Times New Roman" w:hAnsi="Times New Roman" w:cs="Times New Roman"/>
                <w:color w:val="auto"/>
                <w:sz w:val="21"/>
                <w:szCs w:val="21"/>
              </w:rPr>
              <w:t>)</w:t>
            </w:r>
            <w:r>
              <w:rPr>
                <w:rFonts w:hint="default" w:ascii="Times New Roman" w:hAnsi="Times New Roman" w:cs="Times New Roman"/>
                <w:color w:val="auto"/>
                <w:sz w:val="21"/>
                <w:szCs w:val="21"/>
                <w:lang w:val="en-US" w:eastAsia="zh-CN"/>
              </w:rPr>
              <w:t>中相关要求。危险废物执行《危险废物贮存污染控制标准》（GB18597-2023）。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1184" w:type="dxa"/>
            <w:noWrap w:val="0"/>
            <w:vAlign w:val="center"/>
          </w:tcPr>
          <w:p>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土壤及地下水污染防治措施</w:t>
            </w:r>
          </w:p>
        </w:tc>
        <w:tc>
          <w:tcPr>
            <w:tcW w:w="787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1、源头控制：本项目严格按照国家相关规范要求，对工艺、管道、设备、污水储存采取相应的措施，以防止和降低污染物的跑、冒、滴、漏，将污染物泄漏的环境风险事故降低到最低程度。</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2、分区防控：严格按照防渗分区及防渗要求，结合厂区精选车间、浓密池、尾矿浆输送管道等布局，实行重点防渗区、一般防渗区的防渗原则</w:t>
            </w:r>
            <w:r>
              <w:rPr>
                <w:rFonts w:hint="default" w:ascii="Times New Roman" w:hAnsi="Times New Roman"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满足国家和地方标准、防渗技术规范要求。</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3、按照相关技术规范要求，自行或者委托第三方定期开展土壤监测，重点监测生产装置区附近的土壤，并按照规定公开相关信息。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84" w:type="dxa"/>
            <w:noWrap w:val="0"/>
            <w:vAlign w:val="center"/>
          </w:tcPr>
          <w:p>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生态保护措施</w:t>
            </w:r>
          </w:p>
        </w:tc>
        <w:tc>
          <w:tcPr>
            <w:tcW w:w="787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尾矿库完成尾砂回采工作后，进行土地复垦，基本恢复原始的地形地貌，覆土种草，恢复原始的生态环境。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8" w:hRule="atLeast"/>
          <w:jc w:val="center"/>
        </w:trPr>
        <w:tc>
          <w:tcPr>
            <w:tcW w:w="1184" w:type="dxa"/>
            <w:noWrap w:val="0"/>
            <w:vAlign w:val="center"/>
          </w:tcPr>
          <w:p>
            <w:pPr>
              <w:adjustRightInd w:val="0"/>
              <w:snapToGrid w:val="0"/>
              <w:spacing w:line="360" w:lineRule="auto"/>
              <w:jc w:val="center"/>
              <w:rPr>
                <w:rFonts w:hint="default" w:ascii="Times New Roman" w:hAnsi="Times New Roman" w:cs="Times New Roman"/>
                <w:color w:val="auto"/>
                <w:spacing w:val="-8"/>
                <w:sz w:val="21"/>
                <w:szCs w:val="21"/>
              </w:rPr>
            </w:pPr>
            <w:r>
              <w:rPr>
                <w:rFonts w:hint="default" w:ascii="Times New Roman" w:hAnsi="Times New Roman" w:cs="Times New Roman"/>
                <w:color w:val="auto"/>
                <w:spacing w:val="-8"/>
                <w:sz w:val="21"/>
                <w:szCs w:val="21"/>
              </w:rPr>
              <w:t>环境风险</w:t>
            </w:r>
          </w:p>
          <w:p>
            <w:pPr>
              <w:adjustRightInd w:val="0"/>
              <w:snapToGrid w:val="0"/>
              <w:spacing w:line="360" w:lineRule="auto"/>
              <w:jc w:val="center"/>
              <w:rPr>
                <w:rFonts w:hint="default" w:ascii="Times New Roman" w:hAnsi="Times New Roman" w:cs="Times New Roman"/>
                <w:color w:val="auto"/>
                <w:spacing w:val="-8"/>
                <w:sz w:val="21"/>
                <w:szCs w:val="21"/>
              </w:rPr>
            </w:pPr>
            <w:r>
              <w:rPr>
                <w:rFonts w:hint="default" w:ascii="Times New Roman" w:hAnsi="Times New Roman" w:cs="Times New Roman"/>
                <w:color w:val="auto"/>
                <w:spacing w:val="-8"/>
                <w:sz w:val="21"/>
                <w:szCs w:val="21"/>
              </w:rPr>
              <w:t>防范措施</w:t>
            </w:r>
          </w:p>
        </w:tc>
        <w:tc>
          <w:tcPr>
            <w:tcW w:w="787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（1）风险防范措施</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①根据《危险废物贮存污染控制标准》（GB18597-2023）》的相关要求规定，对危废贮存点采取防渗漏、防流失措施，定期检查危废贮存点储存废机油的容器或包装袋以及粘染药剂的废包装等，防止危险废物泄漏的事故发生。</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②药剂库采取防渗漏、防流失措施，设专人负责药剂的采购、储存，建立药剂台账，记录药剂，做到账物相符；定期检查药剂储存容器或包装袋，防止药剂泄漏的事故发生。</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③项目区内应配备一定的消防设施，如灭火器、消防沙等；同时配备一定数量的应急物资，如沙袋、吸油毡、防护物资等；定期检查消防设施，保证火灾发生时消防设施可以正常使用。加强物料堆放管理制度，物料堆放区域采用封闭库房，采取定时洒水降尘、进出车辆冲洗等措施降低粉尘浓度。</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④安排专职人员对尾矿库回采库区内以及回采库区外及周边排洪设施以及各个泄洪口进行检查，雨季期间应加强检查频率，确保各个排洪设施能够正常运行。委托有资质单位进行施工方案设计，并进行安全评价，报安监部门批复后，严格执行，以防止施工过程中发生安全事故，进而造成严重的环境影响。</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⑤严格按设计的尾砂回采顺序、防洪排水等技术参数作业，严禁超挖超采以及越界开采；做好回采库区雨水疏排以及回采区外围雨水截流，防止回采区以外山体雨水进入到回采区内；尾砂回采时不得破坏尾矿库内的排洪设施，若有破坏，必须立即停工修复，防止尾砂在排洪沟内淤积尾砂，导致排洪不畅。</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⑥尾砂回采后，应按规定进行土地复垦和日常管理、维护，并按有关要求进行生态或植被的恢复，确保场地的稳定。</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（2）应急管理措施</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①突发环境事件应急预案</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风险事故发生后，能否迅速做出应急反应，对于控制环境污染、减少人员伤亡及经济损失等都起到了关键性作用。根据《建设项目环境风险评价技术导则》（HJ169-2018）中的规定和要求，对于本项目可能造成环境风险的突发性事故须制定应急预案原则要求，且末县邦泰矿业投资有限公司已编制完成应急预案，并完成备案。本环评要求建设单位在项目审批后在建设项目投入生产或者使用前，对应急预案进行修订并及时向生态环境部门和有关部门或单位报告修订情况，并按照有关程序重新备案，同时按照要求补充应急物资，每年至少1次尾矿库专项应急演练。</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②环境风险应急体系</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本项目应急系统应与周边企业、且末县、巴州等区域环境风险应急系统对接联动，实现区域联防联控。项目厂区配备足够的消防及应急监测等应急设施和物资。配备应急队伍，能够立即响应，立即汇报，立即事故处置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4" w:type="dxa"/>
            <w:noWrap w:val="0"/>
            <w:vAlign w:val="center"/>
          </w:tcPr>
          <w:p>
            <w:pPr>
              <w:adjustRightInd w:val="0"/>
              <w:snapToGrid w:val="0"/>
              <w:jc w:val="center"/>
              <w:rPr>
                <w:rFonts w:hint="default" w:ascii="Times New Roman" w:hAnsi="Times New Roman" w:cs="Times New Roman"/>
                <w:color w:val="auto"/>
                <w:spacing w:val="-8"/>
                <w:sz w:val="21"/>
                <w:szCs w:val="21"/>
              </w:rPr>
            </w:pPr>
            <w:r>
              <w:rPr>
                <w:rFonts w:hint="default" w:ascii="Times New Roman" w:hAnsi="Times New Roman" w:cs="Times New Roman"/>
                <w:color w:val="auto"/>
                <w:spacing w:val="-8"/>
                <w:sz w:val="21"/>
                <w:szCs w:val="21"/>
              </w:rPr>
              <w:t>其他环境</w:t>
            </w:r>
          </w:p>
          <w:p>
            <w:pPr>
              <w:adjustRightInd w:val="0"/>
              <w:snapToGrid w:val="0"/>
              <w:jc w:val="center"/>
              <w:rPr>
                <w:rFonts w:hint="default" w:ascii="Times New Roman" w:hAnsi="Times New Roman" w:cs="Times New Roman"/>
                <w:color w:val="auto"/>
                <w:spacing w:val="-8"/>
                <w:sz w:val="21"/>
                <w:szCs w:val="21"/>
              </w:rPr>
            </w:pPr>
            <w:r>
              <w:rPr>
                <w:rFonts w:hint="default" w:ascii="Times New Roman" w:hAnsi="Times New Roman" w:cs="Times New Roman"/>
                <w:color w:val="auto"/>
                <w:spacing w:val="-8"/>
                <w:sz w:val="21"/>
                <w:szCs w:val="21"/>
              </w:rPr>
              <w:t>管理要求</w:t>
            </w:r>
          </w:p>
        </w:tc>
        <w:tc>
          <w:tcPr>
            <w:tcW w:w="787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（1）排污许可管理要求</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根据《固定污染源排污许可分类管理名录（2019版）》（部令第11号，2019年12月20日），本项目属于</w:t>
            </w:r>
            <w:r>
              <w:rPr>
                <w:rFonts w:hint="default" w:ascii="Times New Roman" w:hAnsi="Times New Roman" w:cs="Times New Roman"/>
                <w:color w:val="auto"/>
                <w:kern w:val="0"/>
                <w:sz w:val="21"/>
                <w:szCs w:val="21"/>
                <w:lang w:val="en-US" w:eastAsia="zh-CN" w:bidi="ar"/>
              </w:rPr>
              <w:t>“</w:t>
            </w:r>
            <w:r>
              <w:rPr>
                <w:rFonts w:hint="default" w:ascii="Times New Roman" w:hAnsi="Times New Roman" w:eastAsia="宋体" w:cs="Times New Roman"/>
                <w:color w:val="auto"/>
                <w:kern w:val="0"/>
                <w:sz w:val="21"/>
                <w:szCs w:val="21"/>
                <w:lang w:val="en-US" w:eastAsia="zh-CN" w:bidi="ar"/>
              </w:rPr>
              <w:t>十七、 生态保护和环境治理业103、一般工业固体废物（含污水处理污泥）、建筑施工废弃物处置及综合利用-其他</w:t>
            </w:r>
            <w:r>
              <w:rPr>
                <w:rFonts w:hint="default" w:ascii="Times New Roman" w:hAnsi="Times New Roman" w:cs="Times New Roman"/>
                <w:color w:val="auto"/>
                <w:kern w:val="0"/>
                <w:sz w:val="21"/>
                <w:szCs w:val="21"/>
                <w:lang w:val="en-US" w:eastAsia="zh-CN" w:bidi="ar"/>
              </w:rPr>
              <w:t>”</w:t>
            </w:r>
            <w:r>
              <w:rPr>
                <w:rFonts w:hint="default" w:ascii="Times New Roman" w:hAnsi="Times New Roman" w:eastAsia="宋体" w:cs="Times New Roman"/>
                <w:color w:val="auto"/>
                <w:kern w:val="0"/>
                <w:sz w:val="21"/>
                <w:szCs w:val="21"/>
                <w:lang w:val="en-US" w:eastAsia="zh-CN" w:bidi="ar"/>
              </w:rPr>
              <w:t>，本项目无需申请排污许可。</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（2）排污口规范化要求</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环境影响评价文件及其批复是建设项目排污许可证管理、环境监测等事中、事后管理的技术依据，结合《排污许可证管理暂行规定》的相关要求，本次评价要求项目从以下几个方面进行排污口规范化管理。</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项目应完成废水、噪声排放源、一般固废堆放场以及危险废物贮存间的规范化建设，其投资应纳入生产设备之中。同时各污染源排放口应设置专项图标执行《环境保护图形标志-排放口（源）》（GB15562.1- 1995），固废堆场执行《环境保护图形标志志—固体废物贮存（处置）场》（GB 15562.2- 1995）及修改单，设置见下表。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表5-1  环境保护图形标志设置图形表</w:t>
            </w:r>
          </w:p>
          <w:tbl>
            <w:tblPr>
              <w:tblStyle w:val="71"/>
              <w:tblW w:w="4999" w:type="pct"/>
              <w:tblInd w:w="-15" w:type="dxa"/>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1167"/>
              <w:gridCol w:w="2155"/>
              <w:gridCol w:w="2155"/>
              <w:gridCol w:w="2156"/>
            </w:tblGrid>
            <w:tr>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764" w:type="pct"/>
                  <w:noWrap w:val="0"/>
                  <w:vAlign w:val="center"/>
                </w:tcPr>
                <w:p>
                  <w:pPr>
                    <w:pStyle w:val="7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b/>
                      <w:bCs/>
                      <w:color w:val="auto"/>
                      <w:spacing w:val="2"/>
                      <w:sz w:val="21"/>
                      <w:szCs w:val="21"/>
                    </w:rPr>
                    <w:t>名称</w:t>
                  </w:r>
                </w:p>
              </w:tc>
              <w:tc>
                <w:tcPr>
                  <w:tcW w:w="1411" w:type="pct"/>
                  <w:noWrap w:val="0"/>
                  <w:vAlign w:val="center"/>
                </w:tcPr>
                <w:p>
                  <w:pPr>
                    <w:pStyle w:val="7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b/>
                      <w:bCs/>
                      <w:color w:val="auto"/>
                      <w:spacing w:val="4"/>
                      <w:sz w:val="21"/>
                      <w:szCs w:val="21"/>
                    </w:rPr>
                    <w:t>噪声排放源</w:t>
                  </w:r>
                </w:p>
              </w:tc>
              <w:tc>
                <w:tcPr>
                  <w:tcW w:w="1411" w:type="pct"/>
                  <w:noWrap w:val="0"/>
                  <w:vAlign w:val="center"/>
                </w:tcPr>
                <w:p>
                  <w:pPr>
                    <w:pStyle w:val="7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b/>
                      <w:bCs/>
                      <w:color w:val="auto"/>
                      <w:spacing w:val="6"/>
                      <w:sz w:val="21"/>
                      <w:szCs w:val="21"/>
                    </w:rPr>
                    <w:t>一般固体废物</w:t>
                  </w:r>
                </w:p>
              </w:tc>
              <w:tc>
                <w:tcPr>
                  <w:tcW w:w="1412" w:type="pct"/>
                  <w:noWrap w:val="0"/>
                  <w:vAlign w:val="center"/>
                </w:tcPr>
                <w:p>
                  <w:pPr>
                    <w:pStyle w:val="7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b/>
                      <w:bCs/>
                      <w:color w:val="auto"/>
                      <w:spacing w:val="6"/>
                      <w:sz w:val="21"/>
                      <w:szCs w:val="21"/>
                    </w:rPr>
                    <w:t>危险固体废物</w:t>
                  </w:r>
                </w:p>
              </w:tc>
            </w:tr>
            <w:tr>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1241" w:hRule="atLeast"/>
              </w:trPr>
              <w:tc>
                <w:tcPr>
                  <w:tcW w:w="764" w:type="pct"/>
                  <w:noWrap w:val="0"/>
                  <w:vAlign w:val="center"/>
                </w:tcPr>
                <w:p>
                  <w:pPr>
                    <w:pStyle w:val="7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7"/>
                      <w:sz w:val="21"/>
                      <w:szCs w:val="21"/>
                    </w:rPr>
                    <w:t>提示图形</w:t>
                  </w:r>
                  <w:r>
                    <w:rPr>
                      <w:rFonts w:hint="default" w:ascii="Times New Roman" w:hAnsi="Times New Roman" w:cs="Times New Roman"/>
                      <w:color w:val="auto"/>
                      <w:spacing w:val="3"/>
                      <w:sz w:val="21"/>
                      <w:szCs w:val="21"/>
                    </w:rPr>
                    <w:t>符号</w:t>
                  </w:r>
                </w:p>
              </w:tc>
              <w:tc>
                <w:tcPr>
                  <w:tcW w:w="141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position w:val="-22"/>
                      <w:sz w:val="21"/>
                      <w:szCs w:val="21"/>
                    </w:rPr>
                    <w:drawing>
                      <wp:inline distT="0" distB="0" distL="114300" distR="114300">
                        <wp:extent cx="720725" cy="701040"/>
                        <wp:effectExtent l="0" t="0" r="3175" b="3810"/>
                        <wp:docPr id="56" name="图片 14"/>
                        <wp:cNvGraphicFramePr/>
                        <a:graphic xmlns:a="http://schemas.openxmlformats.org/drawingml/2006/main">
                          <a:graphicData uri="http://schemas.openxmlformats.org/drawingml/2006/picture">
                            <pic:pic xmlns:pic="http://schemas.openxmlformats.org/drawingml/2006/picture">
                              <pic:nvPicPr>
                                <pic:cNvPr id="56" name="图片 14"/>
                                <pic:cNvPicPr/>
                              </pic:nvPicPr>
                              <pic:blipFill>
                                <a:blip r:embed="rId36"/>
                                <a:stretch>
                                  <a:fillRect/>
                                </a:stretch>
                              </pic:blipFill>
                              <pic:spPr>
                                <a:xfrm>
                                  <a:off x="0" y="0"/>
                                  <a:ext cx="720725" cy="701040"/>
                                </a:xfrm>
                                <a:prstGeom prst="rect">
                                  <a:avLst/>
                                </a:prstGeom>
                                <a:noFill/>
                                <a:ln>
                                  <a:noFill/>
                                </a:ln>
                              </pic:spPr>
                            </pic:pic>
                          </a:graphicData>
                        </a:graphic>
                      </wp:inline>
                    </w:drawing>
                  </w:r>
                </w:p>
              </w:tc>
              <w:tc>
                <w:tcPr>
                  <w:tcW w:w="141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position w:val="-21"/>
                      <w:sz w:val="21"/>
                      <w:szCs w:val="21"/>
                    </w:rPr>
                    <w:drawing>
                      <wp:inline distT="0" distB="0" distL="114300" distR="114300">
                        <wp:extent cx="667385" cy="676275"/>
                        <wp:effectExtent l="0" t="0" r="18415" b="9525"/>
                        <wp:docPr id="57" name="图片 15"/>
                        <wp:cNvGraphicFramePr/>
                        <a:graphic xmlns:a="http://schemas.openxmlformats.org/drawingml/2006/main">
                          <a:graphicData uri="http://schemas.openxmlformats.org/drawingml/2006/picture">
                            <pic:pic xmlns:pic="http://schemas.openxmlformats.org/drawingml/2006/picture">
                              <pic:nvPicPr>
                                <pic:cNvPr id="57" name="图片 15"/>
                                <pic:cNvPicPr/>
                              </pic:nvPicPr>
                              <pic:blipFill>
                                <a:blip r:embed="rId37"/>
                                <a:stretch>
                                  <a:fillRect/>
                                </a:stretch>
                              </pic:blipFill>
                              <pic:spPr>
                                <a:xfrm>
                                  <a:off x="0" y="0"/>
                                  <a:ext cx="667385" cy="676275"/>
                                </a:xfrm>
                                <a:prstGeom prst="rect">
                                  <a:avLst/>
                                </a:prstGeom>
                                <a:noFill/>
                                <a:ln>
                                  <a:noFill/>
                                </a:ln>
                              </pic:spPr>
                            </pic:pic>
                          </a:graphicData>
                        </a:graphic>
                      </wp:inline>
                    </w:drawing>
                  </w:r>
                </w:p>
              </w:tc>
              <w:tc>
                <w:tcPr>
                  <w:tcW w:w="141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position w:val="-23"/>
                      <w:sz w:val="21"/>
                      <w:szCs w:val="21"/>
                    </w:rPr>
                    <w:drawing>
                      <wp:inline distT="0" distB="0" distL="114300" distR="114300">
                        <wp:extent cx="833120" cy="743585"/>
                        <wp:effectExtent l="0" t="0" r="5080" b="18415"/>
                        <wp:docPr id="58" name="图片 16"/>
                        <wp:cNvGraphicFramePr/>
                        <a:graphic xmlns:a="http://schemas.openxmlformats.org/drawingml/2006/main">
                          <a:graphicData uri="http://schemas.openxmlformats.org/drawingml/2006/picture">
                            <pic:pic xmlns:pic="http://schemas.openxmlformats.org/drawingml/2006/picture">
                              <pic:nvPicPr>
                                <pic:cNvPr id="58" name="图片 16"/>
                                <pic:cNvPicPr/>
                              </pic:nvPicPr>
                              <pic:blipFill>
                                <a:blip r:embed="rId38"/>
                                <a:stretch>
                                  <a:fillRect/>
                                </a:stretch>
                              </pic:blipFill>
                              <pic:spPr>
                                <a:xfrm>
                                  <a:off x="0" y="0"/>
                                  <a:ext cx="833120" cy="743585"/>
                                </a:xfrm>
                                <a:prstGeom prst="rect">
                                  <a:avLst/>
                                </a:prstGeom>
                                <a:noFill/>
                                <a:ln>
                                  <a:noFill/>
                                </a:ln>
                              </pic:spPr>
                            </pic:pic>
                          </a:graphicData>
                        </a:graphic>
                      </wp:inline>
                    </w:drawing>
                  </w:r>
                </w:p>
              </w:tc>
            </w:tr>
            <w:tr>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956" w:hRule="atLeast"/>
              </w:trPr>
              <w:tc>
                <w:tcPr>
                  <w:tcW w:w="764" w:type="pct"/>
                  <w:noWrap w:val="0"/>
                  <w:vAlign w:val="center"/>
                </w:tcPr>
                <w:p>
                  <w:pPr>
                    <w:pStyle w:val="7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3"/>
                      <w:sz w:val="21"/>
                      <w:szCs w:val="21"/>
                    </w:rPr>
                    <w:t>功能</w:t>
                  </w:r>
                </w:p>
              </w:tc>
              <w:tc>
                <w:tcPr>
                  <w:tcW w:w="1411" w:type="pct"/>
                  <w:noWrap w:val="0"/>
                  <w:vAlign w:val="center"/>
                </w:tcPr>
                <w:p>
                  <w:pPr>
                    <w:pStyle w:val="7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8"/>
                      <w:sz w:val="21"/>
                      <w:szCs w:val="21"/>
                    </w:rPr>
                    <w:t>表示噪声向外环</w:t>
                  </w:r>
                  <w:r>
                    <w:rPr>
                      <w:rFonts w:hint="default" w:ascii="Times New Roman" w:hAnsi="Times New Roman" w:cs="Times New Roman"/>
                      <w:color w:val="auto"/>
                      <w:spacing w:val="6"/>
                      <w:sz w:val="21"/>
                      <w:szCs w:val="21"/>
                    </w:rPr>
                    <w:t>境排放</w:t>
                  </w:r>
                </w:p>
              </w:tc>
              <w:tc>
                <w:tcPr>
                  <w:tcW w:w="1411" w:type="pct"/>
                  <w:noWrap w:val="0"/>
                  <w:vAlign w:val="center"/>
                </w:tcPr>
                <w:p>
                  <w:pPr>
                    <w:pStyle w:val="7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8"/>
                      <w:sz w:val="21"/>
                      <w:szCs w:val="21"/>
                    </w:rPr>
                    <w:t>表示一般固体废</w:t>
                  </w:r>
                  <w:r>
                    <w:rPr>
                      <w:rFonts w:hint="default" w:ascii="Times New Roman" w:hAnsi="Times New Roman" w:cs="Times New Roman"/>
                      <w:color w:val="auto"/>
                      <w:sz w:val="21"/>
                      <w:szCs w:val="21"/>
                    </w:rPr>
                    <w:t>物</w:t>
                  </w:r>
                  <w:r>
                    <w:rPr>
                      <w:rFonts w:hint="default" w:ascii="Times New Roman" w:hAnsi="Times New Roman" w:cs="Times New Roman"/>
                      <w:color w:val="auto"/>
                      <w:spacing w:val="8"/>
                      <w:sz w:val="21"/>
                      <w:szCs w:val="21"/>
                    </w:rPr>
                    <w:t>贮存、处置场所</w:t>
                  </w:r>
                </w:p>
              </w:tc>
              <w:tc>
                <w:tcPr>
                  <w:tcW w:w="1412" w:type="pct"/>
                  <w:noWrap w:val="0"/>
                  <w:vAlign w:val="center"/>
                </w:tcPr>
                <w:p>
                  <w:pPr>
                    <w:pStyle w:val="7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8"/>
                      <w:sz w:val="21"/>
                      <w:szCs w:val="21"/>
                    </w:rPr>
                    <w:t>表示危险废物贮存、处置场</w:t>
                  </w:r>
                </w:p>
              </w:tc>
            </w:tr>
          </w:tbl>
          <w:p>
            <w:pPr>
              <w:adjustRightInd w:val="0"/>
              <w:snapToGrid w:val="0"/>
              <w:jc w:val="both"/>
              <w:rPr>
                <w:rFonts w:hint="default" w:ascii="Times New Roman" w:hAnsi="Times New Roman" w:eastAsia="宋体" w:cs="Times New Roman"/>
                <w:color w:val="auto"/>
                <w:sz w:val="21"/>
                <w:szCs w:val="21"/>
                <w:lang w:val="en-US" w:eastAsia="zh-CN"/>
              </w:rPr>
            </w:pPr>
          </w:p>
          <w:p>
            <w:pPr>
              <w:adjustRightInd w:val="0"/>
              <w:snapToGrid w:val="0"/>
              <w:jc w:val="both"/>
              <w:rPr>
                <w:rFonts w:hint="default" w:ascii="Times New Roman" w:hAnsi="Times New Roman" w:eastAsia="宋体" w:cs="Times New Roman"/>
                <w:color w:val="auto"/>
                <w:sz w:val="21"/>
                <w:szCs w:val="21"/>
                <w:lang w:val="en-US" w:eastAsia="zh-CN"/>
              </w:rPr>
            </w:pPr>
          </w:p>
          <w:p>
            <w:pPr>
              <w:adjustRightInd w:val="0"/>
              <w:snapToGrid w:val="0"/>
              <w:jc w:val="both"/>
              <w:rPr>
                <w:rFonts w:hint="default" w:ascii="Times New Roman" w:hAnsi="Times New Roman" w:eastAsia="宋体" w:cs="Times New Roman"/>
                <w:color w:val="auto"/>
                <w:sz w:val="21"/>
                <w:szCs w:val="21"/>
                <w:lang w:val="en-US" w:eastAsia="zh-CN"/>
              </w:rPr>
            </w:pPr>
          </w:p>
          <w:p>
            <w:pPr>
              <w:adjustRightInd w:val="0"/>
              <w:snapToGrid w:val="0"/>
              <w:jc w:val="both"/>
              <w:rPr>
                <w:rFonts w:hint="default" w:ascii="Times New Roman" w:hAnsi="Times New Roman" w:eastAsia="宋体" w:cs="Times New Roman"/>
                <w:color w:val="auto"/>
                <w:sz w:val="21"/>
                <w:szCs w:val="21"/>
                <w:lang w:val="en-US" w:eastAsia="zh-CN"/>
              </w:rPr>
            </w:pPr>
          </w:p>
          <w:p>
            <w:pPr>
              <w:adjustRightInd w:val="0"/>
              <w:snapToGrid w:val="0"/>
              <w:jc w:val="both"/>
              <w:rPr>
                <w:rFonts w:hint="default" w:ascii="Times New Roman" w:hAnsi="Times New Roman" w:eastAsia="宋体" w:cs="Times New Roman"/>
                <w:color w:val="auto"/>
                <w:sz w:val="21"/>
                <w:szCs w:val="21"/>
                <w:lang w:val="en-US" w:eastAsia="zh-CN"/>
              </w:rPr>
            </w:pPr>
          </w:p>
          <w:p>
            <w:pPr>
              <w:adjustRightInd w:val="0"/>
              <w:snapToGrid w:val="0"/>
              <w:jc w:val="both"/>
              <w:rPr>
                <w:rFonts w:hint="default" w:ascii="Times New Roman" w:hAnsi="Times New Roman" w:eastAsia="宋体" w:cs="Times New Roman"/>
                <w:color w:val="auto"/>
                <w:sz w:val="21"/>
                <w:szCs w:val="21"/>
                <w:lang w:val="en-US" w:eastAsia="zh-CN"/>
              </w:rPr>
            </w:pPr>
          </w:p>
          <w:p>
            <w:pPr>
              <w:adjustRightInd w:val="0"/>
              <w:snapToGrid w:val="0"/>
              <w:jc w:val="both"/>
              <w:rPr>
                <w:rFonts w:hint="default" w:ascii="Times New Roman" w:hAnsi="Times New Roman" w:eastAsia="宋体" w:cs="Times New Roman"/>
                <w:color w:val="auto"/>
                <w:sz w:val="21"/>
                <w:szCs w:val="21"/>
                <w:lang w:val="en-US" w:eastAsia="zh-CN"/>
              </w:rPr>
            </w:pPr>
          </w:p>
          <w:p>
            <w:pPr>
              <w:adjustRightInd w:val="0"/>
              <w:snapToGrid w:val="0"/>
              <w:jc w:val="both"/>
              <w:rPr>
                <w:rFonts w:hint="default" w:ascii="Times New Roman" w:hAnsi="Times New Roman" w:eastAsia="宋体" w:cs="Times New Roman"/>
                <w:color w:val="auto"/>
                <w:sz w:val="21"/>
                <w:szCs w:val="21"/>
                <w:lang w:val="en-US" w:eastAsia="zh-CN"/>
              </w:rPr>
            </w:pPr>
          </w:p>
          <w:p>
            <w:pPr>
              <w:adjustRightInd w:val="0"/>
              <w:snapToGrid w:val="0"/>
              <w:jc w:val="both"/>
              <w:rPr>
                <w:rFonts w:hint="default" w:ascii="Times New Roman" w:hAnsi="Times New Roman" w:eastAsia="宋体" w:cs="Times New Roman"/>
                <w:color w:val="auto"/>
                <w:sz w:val="21"/>
                <w:szCs w:val="21"/>
                <w:lang w:val="en-US" w:eastAsia="zh-CN"/>
              </w:rPr>
            </w:pPr>
          </w:p>
          <w:p>
            <w:pPr>
              <w:adjustRightInd w:val="0"/>
              <w:snapToGrid w:val="0"/>
              <w:jc w:val="both"/>
              <w:rPr>
                <w:rFonts w:hint="default" w:ascii="Times New Roman" w:hAnsi="Times New Roman" w:eastAsia="宋体" w:cs="Times New Roman"/>
                <w:color w:val="auto"/>
                <w:sz w:val="21"/>
                <w:szCs w:val="21"/>
                <w:lang w:val="en-US" w:eastAsia="zh-CN"/>
              </w:rPr>
            </w:pPr>
          </w:p>
          <w:p>
            <w:pPr>
              <w:adjustRightInd w:val="0"/>
              <w:snapToGrid w:val="0"/>
              <w:jc w:val="both"/>
              <w:rPr>
                <w:rFonts w:hint="default" w:ascii="Times New Roman" w:hAnsi="Times New Roman" w:eastAsia="宋体" w:cs="Times New Roman"/>
                <w:color w:val="auto"/>
                <w:sz w:val="21"/>
                <w:szCs w:val="21"/>
                <w:lang w:val="en-US" w:eastAsia="zh-CN"/>
              </w:rPr>
            </w:pPr>
          </w:p>
          <w:p>
            <w:pPr>
              <w:adjustRightInd w:val="0"/>
              <w:snapToGrid w:val="0"/>
              <w:jc w:val="both"/>
              <w:rPr>
                <w:rFonts w:hint="default" w:ascii="Times New Roman" w:hAnsi="Times New Roman" w:eastAsia="宋体" w:cs="Times New Roman"/>
                <w:color w:val="auto"/>
                <w:sz w:val="21"/>
                <w:szCs w:val="21"/>
                <w:lang w:val="en-US" w:eastAsia="zh-CN"/>
              </w:rPr>
            </w:pPr>
          </w:p>
        </w:tc>
      </w:tr>
    </w:tbl>
    <w:p>
      <w:pPr>
        <w:pStyle w:val="27"/>
        <w:jc w:val="center"/>
        <w:outlineLvl w:val="0"/>
        <w:rPr>
          <w:rFonts w:hint="default" w:ascii="Times New Roman" w:hAnsi="Times New Roman" w:eastAsia="黑体" w:cs="Times New Roman"/>
          <w:snapToGrid w:val="0"/>
          <w:color w:val="auto"/>
          <w:sz w:val="21"/>
          <w:szCs w:val="21"/>
        </w:rPr>
      </w:pPr>
      <w:r>
        <w:rPr>
          <w:rFonts w:hint="default" w:ascii="Times New Roman" w:hAnsi="Times New Roman" w:cs="Times New Roman"/>
          <w:snapToGrid w:val="0"/>
          <w:color w:val="auto"/>
          <w:sz w:val="21"/>
          <w:szCs w:val="21"/>
        </w:rPr>
        <w:br w:type="page"/>
      </w:r>
      <w:r>
        <w:rPr>
          <w:rFonts w:hint="default" w:ascii="Times New Roman" w:hAnsi="Times New Roman" w:eastAsia="黑体" w:cs="Times New Roman"/>
          <w:snapToGrid w:val="0"/>
          <w:color w:val="auto"/>
          <w:sz w:val="32"/>
          <w:szCs w:val="32"/>
        </w:rPr>
        <w:t>六、结论</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 w:val="24"/>
                <w:szCs w:val="32"/>
                <w:lang w:val="en-US" w:eastAsia="zh-CN"/>
              </w:rPr>
              <w:t>综上所述，本项目符合国家产业政策</w:t>
            </w:r>
            <w:r>
              <w:rPr>
                <w:rFonts w:hint="eastAsia" w:cs="Times New Roman"/>
                <w:color w:val="auto"/>
                <w:sz w:val="24"/>
                <w:szCs w:val="32"/>
                <w:lang w:val="en-US" w:eastAsia="zh-CN"/>
              </w:rPr>
              <w:t>，</w:t>
            </w:r>
            <w:r>
              <w:rPr>
                <w:rFonts w:hint="default" w:ascii="Times New Roman" w:hAnsi="Times New Roman" w:cs="Times New Roman"/>
                <w:color w:val="auto"/>
                <w:sz w:val="24"/>
                <w:szCs w:val="32"/>
                <w:lang w:val="en-US" w:eastAsia="zh-CN"/>
              </w:rPr>
              <w:t>新建尾矿库验收完成后方可投产</w:t>
            </w:r>
            <w:r>
              <w:rPr>
                <w:rFonts w:hint="eastAsia" w:cs="Times New Roman"/>
                <w:color w:val="auto"/>
                <w:sz w:val="24"/>
                <w:szCs w:val="32"/>
                <w:lang w:val="en-US" w:eastAsia="zh-CN"/>
              </w:rPr>
              <w:t>。</w:t>
            </w:r>
            <w:r>
              <w:rPr>
                <w:rFonts w:hint="default" w:ascii="Times New Roman" w:hAnsi="Times New Roman" w:cs="Times New Roman"/>
                <w:color w:val="auto"/>
                <w:sz w:val="24"/>
                <w:szCs w:val="32"/>
                <w:lang w:val="en-US" w:eastAsia="zh-CN"/>
              </w:rPr>
              <w:t>在严格贯彻执行国家环保法律、法规，认真落实评价提出的各项污染防治措施和环境管理措施后，各项污染物能够达标排放，对区域环境质量影响较小，从环境保护角度考虑，本项目的建设是可行的。</w:t>
            </w:r>
          </w:p>
        </w:tc>
      </w:tr>
    </w:tbl>
    <w:p>
      <w:pPr>
        <w:rPr>
          <w:rFonts w:hint="default" w:ascii="Times New Roman" w:hAnsi="Times New Roman" w:cs="Times New Roman"/>
          <w:color w:val="auto"/>
          <w:sz w:val="21"/>
          <w:szCs w:val="21"/>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7"/>
        <w:adjustRightInd w:val="0"/>
        <w:snapToGrid w:val="0"/>
        <w:spacing w:before="0" w:beforeAutospacing="0" w:after="0" w:afterAutospacing="0" w:line="648" w:lineRule="auto"/>
        <w:outlineLvl w:val="0"/>
        <w:rPr>
          <w:rFonts w:hint="default" w:ascii="Times New Roman" w:hAnsi="Times New Roman" w:eastAsia="宋体" w:cs="Times New Roman"/>
          <w:b/>
          <w:bCs/>
          <w:snapToGrid w:val="0"/>
          <w:color w:val="auto"/>
          <w:sz w:val="32"/>
          <w:szCs w:val="32"/>
        </w:rPr>
      </w:pPr>
      <w:r>
        <w:rPr>
          <w:rFonts w:hint="default" w:ascii="Times New Roman" w:hAnsi="Times New Roman" w:eastAsia="宋体" w:cs="Times New Roman"/>
          <w:b/>
          <w:bCs/>
          <w:snapToGrid w:val="0"/>
          <w:color w:val="auto"/>
          <w:sz w:val="32"/>
          <w:szCs w:val="32"/>
        </w:rPr>
        <w:t>附表</w:t>
      </w:r>
    </w:p>
    <w:p>
      <w:pPr>
        <w:pStyle w:val="27"/>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center"/>
        <w:textAlignment w:val="auto"/>
        <w:outlineLvl w:val="0"/>
        <w:rPr>
          <w:rFonts w:hint="default" w:ascii="Times New Roman" w:hAnsi="Times New Roman" w:eastAsia="宋体" w:cs="Times New Roman"/>
          <w:b/>
          <w:bCs/>
          <w:snapToGrid w:val="0"/>
          <w:color w:val="auto"/>
          <w:sz w:val="38"/>
          <w:szCs w:val="38"/>
        </w:rPr>
      </w:pPr>
      <w:r>
        <w:rPr>
          <w:rFonts w:hint="default" w:ascii="Times New Roman" w:hAnsi="Times New Roman" w:eastAsia="宋体" w:cs="Times New Roman"/>
          <w:b/>
          <w:bCs/>
          <w:snapToGrid w:val="0"/>
          <w:color w:val="auto"/>
          <w:sz w:val="38"/>
          <w:szCs w:val="38"/>
        </w:rPr>
        <w:t>建设项目污染物排放量汇总表</w:t>
      </w:r>
    </w:p>
    <w:tbl>
      <w:tblPr>
        <w:tblStyle w:val="29"/>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277"/>
        <w:gridCol w:w="1841"/>
        <w:gridCol w:w="1276"/>
        <w:gridCol w:w="1701"/>
        <w:gridCol w:w="1559"/>
        <w:gridCol w:w="1629"/>
        <w:gridCol w:w="1788"/>
        <w:gridCol w:w="112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88" w:type="dxa"/>
            <w:tcBorders>
              <w:tl2br w:val="single" w:color="auto" w:sz="4" w:space="0"/>
            </w:tcBorders>
            <w:noWrap w:val="0"/>
            <w:tcMar>
              <w:left w:w="28" w:type="dxa"/>
              <w:right w:w="28" w:type="dxa"/>
            </w:tcMar>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lang w:val="en-US" w:eastAsia="zh-CN"/>
              </w:rPr>
              <w:t xml:space="preserve">       </w:t>
            </w:r>
            <w:r>
              <w:rPr>
                <w:rFonts w:hint="default" w:ascii="Times New Roman" w:hAnsi="Times New Roman" w:eastAsia="宋体" w:cs="Times New Roman"/>
                <w:snapToGrid w:val="0"/>
                <w:color w:val="auto"/>
                <w:spacing w:val="-6"/>
                <w:kern w:val="21"/>
                <w:sz w:val="21"/>
                <w:szCs w:val="21"/>
              </w:rPr>
              <w:t>项目</w:t>
            </w:r>
          </w:p>
          <w:p>
            <w:pPr>
              <w:pStyle w:val="53"/>
              <w:keepNext w:val="0"/>
              <w:keepLines w:val="0"/>
              <w:pageBreakBefore w:val="0"/>
              <w:widowControl w:val="0"/>
              <w:kinsoku/>
              <w:overflowPunct/>
              <w:topLinePunct w:val="0"/>
              <w:bidi w:val="0"/>
              <w:spacing w:beforeLines="0" w:afterLines="0" w:line="240" w:lineRule="auto"/>
              <w:ind w:firstLine="0" w:firstLineChars="0"/>
              <w:jc w:val="left"/>
              <w:textAlignment w:val="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分类</w:t>
            </w:r>
          </w:p>
        </w:tc>
        <w:tc>
          <w:tcPr>
            <w:tcW w:w="1277" w:type="dxa"/>
            <w:noWrap w:val="0"/>
            <w:tcMar>
              <w:left w:w="28" w:type="dxa"/>
              <w:right w:w="28" w:type="dxa"/>
            </w:tcMar>
            <w:vAlign w:val="center"/>
          </w:tcPr>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污染物名称</w:t>
            </w:r>
          </w:p>
        </w:tc>
        <w:tc>
          <w:tcPr>
            <w:tcW w:w="1841" w:type="dxa"/>
            <w:noWrap w:val="0"/>
            <w:tcMar>
              <w:left w:w="28" w:type="dxa"/>
              <w:right w:w="28" w:type="dxa"/>
            </w:tcMar>
            <w:vAlign w:val="center"/>
          </w:tcPr>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现有工程</w:t>
            </w:r>
          </w:p>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排放量（固体废物产生量）</w:t>
            </w:r>
            <w:r>
              <w:rPr>
                <w:rFonts w:hint="default" w:ascii="Times New Roman" w:hAnsi="Times New Roman" w:eastAsia="宋体" w:cs="Times New Roman"/>
                <w:snapToGrid w:val="0"/>
                <w:color w:val="auto"/>
                <w:spacing w:val="-6"/>
                <w:kern w:val="21"/>
                <w:sz w:val="21"/>
                <w:szCs w:val="21"/>
              </w:rPr>
              <w:fldChar w:fldCharType="begin"/>
            </w:r>
            <w:r>
              <w:rPr>
                <w:rFonts w:hint="default" w:ascii="Times New Roman" w:hAnsi="Times New Roman" w:eastAsia="宋体" w:cs="Times New Roman"/>
                <w:snapToGrid w:val="0"/>
                <w:color w:val="auto"/>
                <w:spacing w:val="-6"/>
                <w:kern w:val="21"/>
                <w:sz w:val="21"/>
                <w:szCs w:val="21"/>
              </w:rPr>
              <w:instrText xml:space="preserve"> = 1 \* GB3 \* MERGEFORMAT </w:instrText>
            </w:r>
            <w:r>
              <w:rPr>
                <w:rFonts w:hint="default" w:ascii="Times New Roman" w:hAnsi="Times New Roman" w:eastAsia="宋体" w:cs="Times New Roman"/>
                <w:snapToGrid w:val="0"/>
                <w:color w:val="auto"/>
                <w:spacing w:val="-6"/>
                <w:kern w:val="21"/>
                <w:sz w:val="21"/>
                <w:szCs w:val="21"/>
              </w:rPr>
              <w:fldChar w:fldCharType="separate"/>
            </w:r>
            <w:r>
              <w:rPr>
                <w:rFonts w:hint="default" w:ascii="Times New Roman" w:hAnsi="Times New Roman" w:eastAsia="宋体" w:cs="Times New Roman"/>
                <w:color w:val="auto"/>
                <w:kern w:val="2"/>
                <w:sz w:val="21"/>
                <w:szCs w:val="21"/>
              </w:rPr>
              <w:t>①</w:t>
            </w:r>
            <w:r>
              <w:rPr>
                <w:rFonts w:hint="default" w:ascii="Times New Roman" w:hAnsi="Times New Roman" w:eastAsia="宋体" w:cs="Times New Roman"/>
                <w:snapToGrid w:val="0"/>
                <w:color w:val="auto"/>
                <w:spacing w:val="-6"/>
                <w:kern w:val="21"/>
                <w:sz w:val="21"/>
                <w:szCs w:val="21"/>
              </w:rPr>
              <w:fldChar w:fldCharType="end"/>
            </w:r>
          </w:p>
        </w:tc>
        <w:tc>
          <w:tcPr>
            <w:tcW w:w="1276" w:type="dxa"/>
            <w:noWrap w:val="0"/>
            <w:tcMar>
              <w:left w:w="28" w:type="dxa"/>
              <w:right w:w="28" w:type="dxa"/>
            </w:tcMar>
            <w:vAlign w:val="center"/>
          </w:tcPr>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现有工程</w:t>
            </w:r>
          </w:p>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许可排放量</w:t>
            </w:r>
          </w:p>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fldChar w:fldCharType="begin"/>
            </w:r>
            <w:r>
              <w:rPr>
                <w:rFonts w:hint="default" w:ascii="Times New Roman" w:hAnsi="Times New Roman" w:eastAsia="宋体" w:cs="Times New Roman"/>
                <w:snapToGrid w:val="0"/>
                <w:color w:val="auto"/>
                <w:spacing w:val="-6"/>
                <w:kern w:val="21"/>
                <w:sz w:val="21"/>
                <w:szCs w:val="21"/>
              </w:rPr>
              <w:instrText xml:space="preserve"> = 2 \* GB3 \* MERGEFORMAT </w:instrText>
            </w:r>
            <w:r>
              <w:rPr>
                <w:rFonts w:hint="default" w:ascii="Times New Roman" w:hAnsi="Times New Roman" w:eastAsia="宋体" w:cs="Times New Roman"/>
                <w:snapToGrid w:val="0"/>
                <w:color w:val="auto"/>
                <w:spacing w:val="-6"/>
                <w:kern w:val="21"/>
                <w:sz w:val="21"/>
                <w:szCs w:val="21"/>
              </w:rPr>
              <w:fldChar w:fldCharType="separate"/>
            </w:r>
            <w:r>
              <w:rPr>
                <w:rFonts w:hint="default" w:ascii="Times New Roman" w:hAnsi="Times New Roman" w:eastAsia="宋体" w:cs="Times New Roman"/>
                <w:snapToGrid w:val="0"/>
                <w:color w:val="auto"/>
                <w:spacing w:val="-6"/>
                <w:kern w:val="21"/>
                <w:sz w:val="21"/>
                <w:szCs w:val="21"/>
              </w:rPr>
              <w:t>②</w:t>
            </w:r>
            <w:r>
              <w:rPr>
                <w:rFonts w:hint="default" w:ascii="Times New Roman" w:hAnsi="Times New Roman" w:eastAsia="宋体" w:cs="Times New Roman"/>
                <w:snapToGrid w:val="0"/>
                <w:color w:val="auto"/>
                <w:spacing w:val="-6"/>
                <w:kern w:val="21"/>
                <w:sz w:val="21"/>
                <w:szCs w:val="21"/>
              </w:rPr>
              <w:fldChar w:fldCharType="end"/>
            </w:r>
          </w:p>
        </w:tc>
        <w:tc>
          <w:tcPr>
            <w:tcW w:w="1701" w:type="dxa"/>
            <w:noWrap w:val="0"/>
            <w:tcMar>
              <w:left w:w="28" w:type="dxa"/>
              <w:right w:w="28" w:type="dxa"/>
            </w:tcMar>
            <w:vAlign w:val="center"/>
          </w:tcPr>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在建工程</w:t>
            </w:r>
          </w:p>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排放量（固体废物产生量）</w:t>
            </w:r>
            <w:r>
              <w:rPr>
                <w:rFonts w:hint="default" w:ascii="Times New Roman" w:hAnsi="Times New Roman" w:eastAsia="宋体" w:cs="Times New Roman"/>
                <w:snapToGrid w:val="0"/>
                <w:color w:val="auto"/>
                <w:spacing w:val="-6"/>
                <w:kern w:val="21"/>
                <w:sz w:val="21"/>
                <w:szCs w:val="21"/>
              </w:rPr>
              <w:fldChar w:fldCharType="begin"/>
            </w:r>
            <w:r>
              <w:rPr>
                <w:rFonts w:hint="default" w:ascii="Times New Roman" w:hAnsi="Times New Roman" w:eastAsia="宋体" w:cs="Times New Roman"/>
                <w:snapToGrid w:val="0"/>
                <w:color w:val="auto"/>
                <w:spacing w:val="-6"/>
                <w:kern w:val="21"/>
                <w:sz w:val="21"/>
                <w:szCs w:val="21"/>
              </w:rPr>
              <w:instrText xml:space="preserve"> = 3 \* GB3 \* MERGEFORMAT </w:instrText>
            </w:r>
            <w:r>
              <w:rPr>
                <w:rFonts w:hint="default" w:ascii="Times New Roman" w:hAnsi="Times New Roman" w:eastAsia="宋体" w:cs="Times New Roman"/>
                <w:snapToGrid w:val="0"/>
                <w:color w:val="auto"/>
                <w:spacing w:val="-6"/>
                <w:kern w:val="21"/>
                <w:sz w:val="21"/>
                <w:szCs w:val="21"/>
              </w:rPr>
              <w:fldChar w:fldCharType="separate"/>
            </w:r>
            <w:r>
              <w:rPr>
                <w:rFonts w:hint="default" w:ascii="Times New Roman" w:hAnsi="Times New Roman" w:eastAsia="宋体" w:cs="Times New Roman"/>
                <w:color w:val="auto"/>
                <w:kern w:val="2"/>
                <w:sz w:val="21"/>
                <w:szCs w:val="21"/>
              </w:rPr>
              <w:t>③</w:t>
            </w:r>
            <w:r>
              <w:rPr>
                <w:rFonts w:hint="default" w:ascii="Times New Roman" w:hAnsi="Times New Roman" w:eastAsia="宋体" w:cs="Times New Roman"/>
                <w:snapToGrid w:val="0"/>
                <w:color w:val="auto"/>
                <w:spacing w:val="-6"/>
                <w:kern w:val="21"/>
                <w:sz w:val="21"/>
                <w:szCs w:val="21"/>
              </w:rPr>
              <w:fldChar w:fldCharType="end"/>
            </w:r>
          </w:p>
        </w:tc>
        <w:tc>
          <w:tcPr>
            <w:tcW w:w="1559" w:type="dxa"/>
            <w:noWrap w:val="0"/>
            <w:tcMar>
              <w:left w:w="28" w:type="dxa"/>
              <w:right w:w="28" w:type="dxa"/>
            </w:tcMar>
            <w:vAlign w:val="center"/>
          </w:tcPr>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本项目</w:t>
            </w:r>
          </w:p>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排放量（固体废物产生量）</w:t>
            </w:r>
            <w:r>
              <w:rPr>
                <w:rFonts w:hint="default" w:ascii="Times New Roman" w:hAnsi="Times New Roman" w:eastAsia="宋体" w:cs="Times New Roman"/>
                <w:snapToGrid w:val="0"/>
                <w:color w:val="auto"/>
                <w:spacing w:val="-6"/>
                <w:kern w:val="21"/>
                <w:sz w:val="21"/>
                <w:szCs w:val="21"/>
              </w:rPr>
              <w:fldChar w:fldCharType="begin"/>
            </w:r>
            <w:r>
              <w:rPr>
                <w:rFonts w:hint="default" w:ascii="Times New Roman" w:hAnsi="Times New Roman" w:eastAsia="宋体" w:cs="Times New Roman"/>
                <w:snapToGrid w:val="0"/>
                <w:color w:val="auto"/>
                <w:spacing w:val="-6"/>
                <w:kern w:val="21"/>
                <w:sz w:val="21"/>
                <w:szCs w:val="21"/>
              </w:rPr>
              <w:instrText xml:space="preserve"> = 4 \* GB3 \* MERGEFORMAT </w:instrText>
            </w:r>
            <w:r>
              <w:rPr>
                <w:rFonts w:hint="default" w:ascii="Times New Roman" w:hAnsi="Times New Roman" w:eastAsia="宋体" w:cs="Times New Roman"/>
                <w:snapToGrid w:val="0"/>
                <w:color w:val="auto"/>
                <w:spacing w:val="-6"/>
                <w:kern w:val="21"/>
                <w:sz w:val="21"/>
                <w:szCs w:val="21"/>
              </w:rPr>
              <w:fldChar w:fldCharType="separate"/>
            </w:r>
            <w:r>
              <w:rPr>
                <w:rFonts w:hint="default" w:ascii="Times New Roman" w:hAnsi="Times New Roman" w:eastAsia="宋体" w:cs="Times New Roman"/>
                <w:color w:val="auto"/>
                <w:kern w:val="2"/>
                <w:sz w:val="21"/>
                <w:szCs w:val="21"/>
              </w:rPr>
              <w:t>④</w:t>
            </w:r>
            <w:r>
              <w:rPr>
                <w:rFonts w:hint="default" w:ascii="Times New Roman" w:hAnsi="Times New Roman" w:eastAsia="宋体" w:cs="Times New Roman"/>
                <w:snapToGrid w:val="0"/>
                <w:color w:val="auto"/>
                <w:spacing w:val="-6"/>
                <w:kern w:val="21"/>
                <w:sz w:val="21"/>
                <w:szCs w:val="21"/>
              </w:rPr>
              <w:fldChar w:fldCharType="end"/>
            </w:r>
          </w:p>
        </w:tc>
        <w:tc>
          <w:tcPr>
            <w:tcW w:w="1629" w:type="dxa"/>
            <w:noWrap w:val="0"/>
            <w:tcMar>
              <w:left w:w="28" w:type="dxa"/>
              <w:right w:w="28" w:type="dxa"/>
            </w:tcMar>
            <w:vAlign w:val="center"/>
          </w:tcPr>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spacing w:val="-16"/>
                <w:kern w:val="21"/>
                <w:sz w:val="21"/>
                <w:szCs w:val="21"/>
              </w:rPr>
            </w:pPr>
            <w:r>
              <w:rPr>
                <w:rFonts w:hint="default" w:ascii="Times New Roman" w:hAnsi="Times New Roman" w:eastAsia="宋体" w:cs="Times New Roman"/>
                <w:snapToGrid w:val="0"/>
                <w:color w:val="auto"/>
                <w:spacing w:val="-16"/>
                <w:kern w:val="21"/>
                <w:sz w:val="21"/>
                <w:szCs w:val="21"/>
              </w:rPr>
              <w:t>以新带老削减量</w:t>
            </w:r>
          </w:p>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spacing w:val="-16"/>
                <w:kern w:val="21"/>
                <w:sz w:val="21"/>
                <w:szCs w:val="21"/>
              </w:rPr>
            </w:pPr>
            <w:r>
              <w:rPr>
                <w:rFonts w:hint="default" w:ascii="Times New Roman" w:hAnsi="Times New Roman" w:eastAsia="宋体" w:cs="Times New Roman"/>
                <w:snapToGrid w:val="0"/>
                <w:color w:val="auto"/>
                <w:spacing w:val="-16"/>
                <w:kern w:val="21"/>
                <w:sz w:val="21"/>
                <w:szCs w:val="21"/>
              </w:rPr>
              <w:t>（新建项目不填）</w:t>
            </w:r>
            <w:r>
              <w:rPr>
                <w:rFonts w:hint="default" w:ascii="Times New Roman" w:hAnsi="Times New Roman" w:eastAsia="宋体" w:cs="Times New Roman"/>
                <w:snapToGrid w:val="0"/>
                <w:color w:val="auto"/>
                <w:spacing w:val="-16"/>
                <w:kern w:val="21"/>
                <w:sz w:val="21"/>
                <w:szCs w:val="21"/>
              </w:rPr>
              <w:fldChar w:fldCharType="begin"/>
            </w:r>
            <w:r>
              <w:rPr>
                <w:rFonts w:hint="default" w:ascii="Times New Roman" w:hAnsi="Times New Roman" w:eastAsia="宋体" w:cs="Times New Roman"/>
                <w:snapToGrid w:val="0"/>
                <w:color w:val="auto"/>
                <w:spacing w:val="-16"/>
                <w:kern w:val="21"/>
                <w:sz w:val="21"/>
                <w:szCs w:val="21"/>
              </w:rPr>
              <w:instrText xml:space="preserve"> = 5 \* GB3 \* MERGEFORMAT </w:instrText>
            </w:r>
            <w:r>
              <w:rPr>
                <w:rFonts w:hint="default" w:ascii="Times New Roman" w:hAnsi="Times New Roman" w:eastAsia="宋体" w:cs="Times New Roman"/>
                <w:snapToGrid w:val="0"/>
                <w:color w:val="auto"/>
                <w:spacing w:val="-16"/>
                <w:kern w:val="21"/>
                <w:sz w:val="21"/>
                <w:szCs w:val="21"/>
              </w:rPr>
              <w:fldChar w:fldCharType="separate"/>
            </w:r>
            <w:r>
              <w:rPr>
                <w:rFonts w:hint="default" w:ascii="Times New Roman" w:hAnsi="Times New Roman" w:eastAsia="宋体" w:cs="Times New Roman"/>
                <w:color w:val="auto"/>
                <w:kern w:val="2"/>
                <w:sz w:val="21"/>
                <w:szCs w:val="21"/>
              </w:rPr>
              <w:t>⑤</w:t>
            </w:r>
            <w:r>
              <w:rPr>
                <w:rFonts w:hint="default" w:ascii="Times New Roman" w:hAnsi="Times New Roman" w:eastAsia="宋体" w:cs="Times New Roman"/>
                <w:snapToGrid w:val="0"/>
                <w:color w:val="auto"/>
                <w:spacing w:val="-16"/>
                <w:kern w:val="21"/>
                <w:sz w:val="21"/>
                <w:szCs w:val="21"/>
              </w:rPr>
              <w:fldChar w:fldCharType="end"/>
            </w:r>
          </w:p>
        </w:tc>
        <w:tc>
          <w:tcPr>
            <w:tcW w:w="1788" w:type="dxa"/>
            <w:noWrap w:val="0"/>
            <w:tcMar>
              <w:left w:w="28" w:type="dxa"/>
              <w:right w:w="28" w:type="dxa"/>
            </w:tcMar>
            <w:vAlign w:val="center"/>
          </w:tcPr>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spacing w:val="-16"/>
                <w:kern w:val="21"/>
                <w:sz w:val="21"/>
                <w:szCs w:val="21"/>
              </w:rPr>
            </w:pPr>
            <w:r>
              <w:rPr>
                <w:rFonts w:hint="default" w:ascii="Times New Roman" w:hAnsi="Times New Roman" w:eastAsia="宋体" w:cs="Times New Roman"/>
                <w:snapToGrid w:val="0"/>
                <w:color w:val="auto"/>
                <w:spacing w:val="-16"/>
                <w:kern w:val="21"/>
                <w:sz w:val="21"/>
                <w:szCs w:val="21"/>
              </w:rPr>
              <w:t>本项目建成后</w:t>
            </w:r>
          </w:p>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spacing w:val="-16"/>
                <w:kern w:val="21"/>
                <w:sz w:val="21"/>
                <w:szCs w:val="21"/>
              </w:rPr>
            </w:pPr>
            <w:r>
              <w:rPr>
                <w:rFonts w:hint="default" w:ascii="Times New Roman" w:hAnsi="Times New Roman" w:eastAsia="宋体" w:cs="Times New Roman"/>
                <w:snapToGrid w:val="0"/>
                <w:color w:val="auto"/>
                <w:spacing w:val="-16"/>
                <w:kern w:val="21"/>
                <w:sz w:val="21"/>
                <w:szCs w:val="21"/>
              </w:rPr>
              <w:t>全厂排放量（固体废物产生量）</w:t>
            </w:r>
            <w:r>
              <w:rPr>
                <w:rFonts w:hint="default" w:ascii="Times New Roman" w:hAnsi="Times New Roman" w:eastAsia="宋体" w:cs="Times New Roman"/>
                <w:snapToGrid w:val="0"/>
                <w:color w:val="auto"/>
                <w:spacing w:val="-16"/>
                <w:kern w:val="21"/>
                <w:sz w:val="21"/>
                <w:szCs w:val="21"/>
              </w:rPr>
              <w:fldChar w:fldCharType="begin"/>
            </w:r>
            <w:r>
              <w:rPr>
                <w:rFonts w:hint="default" w:ascii="Times New Roman" w:hAnsi="Times New Roman" w:eastAsia="宋体" w:cs="Times New Roman"/>
                <w:snapToGrid w:val="0"/>
                <w:color w:val="auto"/>
                <w:spacing w:val="-16"/>
                <w:kern w:val="21"/>
                <w:sz w:val="21"/>
                <w:szCs w:val="21"/>
              </w:rPr>
              <w:instrText xml:space="preserve"> = 6 \* GB3 \* MERGEFORMAT </w:instrText>
            </w:r>
            <w:r>
              <w:rPr>
                <w:rFonts w:hint="default" w:ascii="Times New Roman" w:hAnsi="Times New Roman" w:eastAsia="宋体" w:cs="Times New Roman"/>
                <w:snapToGrid w:val="0"/>
                <w:color w:val="auto"/>
                <w:spacing w:val="-16"/>
                <w:kern w:val="21"/>
                <w:sz w:val="21"/>
                <w:szCs w:val="21"/>
              </w:rPr>
              <w:fldChar w:fldCharType="separate"/>
            </w:r>
            <w:r>
              <w:rPr>
                <w:rFonts w:hint="default" w:ascii="Times New Roman" w:hAnsi="Times New Roman" w:eastAsia="宋体" w:cs="Times New Roman"/>
                <w:color w:val="auto"/>
                <w:kern w:val="2"/>
                <w:sz w:val="21"/>
                <w:szCs w:val="21"/>
              </w:rPr>
              <w:t>⑥</w:t>
            </w:r>
            <w:r>
              <w:rPr>
                <w:rFonts w:hint="default" w:ascii="Times New Roman" w:hAnsi="Times New Roman" w:eastAsia="宋体" w:cs="Times New Roman"/>
                <w:snapToGrid w:val="0"/>
                <w:color w:val="auto"/>
                <w:spacing w:val="-16"/>
                <w:kern w:val="21"/>
                <w:sz w:val="21"/>
                <w:szCs w:val="21"/>
              </w:rPr>
              <w:fldChar w:fldCharType="end"/>
            </w:r>
          </w:p>
        </w:tc>
        <w:tc>
          <w:tcPr>
            <w:tcW w:w="1129" w:type="dxa"/>
            <w:noWrap w:val="0"/>
            <w:tcMar>
              <w:left w:w="28" w:type="dxa"/>
              <w:right w:w="28" w:type="dxa"/>
            </w:tcMar>
            <w:vAlign w:val="center"/>
          </w:tcPr>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变化量</w:t>
            </w:r>
          </w:p>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fldChar w:fldCharType="begin"/>
            </w:r>
            <w:r>
              <w:rPr>
                <w:rFonts w:hint="default" w:ascii="Times New Roman" w:hAnsi="Times New Roman" w:eastAsia="宋体" w:cs="Times New Roman"/>
                <w:snapToGrid w:val="0"/>
                <w:color w:val="auto"/>
                <w:spacing w:val="-6"/>
                <w:kern w:val="21"/>
                <w:sz w:val="21"/>
                <w:szCs w:val="21"/>
              </w:rPr>
              <w:instrText xml:space="preserve"> = 7 \* GB3 \* MERGEFORMAT </w:instrText>
            </w:r>
            <w:r>
              <w:rPr>
                <w:rFonts w:hint="default" w:ascii="Times New Roman" w:hAnsi="Times New Roman" w:eastAsia="宋体" w:cs="Times New Roman"/>
                <w:snapToGrid w:val="0"/>
                <w:color w:val="auto"/>
                <w:spacing w:val="-6"/>
                <w:kern w:val="21"/>
                <w:sz w:val="21"/>
                <w:szCs w:val="21"/>
              </w:rPr>
              <w:fldChar w:fldCharType="separate"/>
            </w:r>
            <w:r>
              <w:rPr>
                <w:rFonts w:hint="default" w:ascii="Times New Roman" w:hAnsi="Times New Roman" w:eastAsia="宋体" w:cs="Times New Roman"/>
                <w:color w:val="auto"/>
                <w:kern w:val="2"/>
                <w:sz w:val="21"/>
                <w:szCs w:val="21"/>
              </w:rPr>
              <w:t>⑦</w:t>
            </w:r>
            <w:r>
              <w:rPr>
                <w:rFonts w:hint="default" w:ascii="Times New Roman" w:hAnsi="Times New Roman" w:eastAsia="宋体" w:cs="Times New Roman"/>
                <w:snapToGrid w:val="0"/>
                <w:color w:val="auto"/>
                <w:spacing w:val="-6"/>
                <w:kern w:val="21"/>
                <w:sz w:val="21"/>
                <w:szCs w:val="21"/>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1588" w:type="dxa"/>
            <w:vMerge w:val="restart"/>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废气</w:t>
            </w:r>
          </w:p>
        </w:tc>
        <w:tc>
          <w:tcPr>
            <w:tcW w:w="1277"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eastAsia="zh-CN"/>
              </w:rPr>
            </w:pPr>
            <w:r>
              <w:rPr>
                <w:rFonts w:hint="default" w:ascii="Times New Roman" w:hAnsi="Times New Roman" w:eastAsia="宋体" w:cs="Times New Roman"/>
                <w:color w:val="auto"/>
                <w:sz w:val="21"/>
                <w:szCs w:val="21"/>
                <w:lang w:val="en-US" w:eastAsia="zh-CN"/>
              </w:rPr>
              <w:t>颗粒物</w:t>
            </w:r>
          </w:p>
        </w:tc>
        <w:tc>
          <w:tcPr>
            <w:tcW w:w="1841"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color w:val="auto"/>
                <w:kern w:val="2"/>
                <w:sz w:val="21"/>
                <w:szCs w:val="21"/>
                <w:highlight w:val="none"/>
                <w:lang w:val="en-US" w:eastAsia="zh-CN" w:bidi="ar-SA"/>
              </w:rPr>
              <w:t>1.332</w:t>
            </w:r>
            <w:r>
              <w:rPr>
                <w:rFonts w:hint="default" w:ascii="Times New Roman" w:hAnsi="Times New Roman" w:eastAsia="宋体" w:cs="Times New Roman"/>
                <w:snapToGrid w:val="0"/>
                <w:color w:val="auto"/>
                <w:kern w:val="21"/>
                <w:sz w:val="21"/>
                <w:szCs w:val="21"/>
                <w:lang w:eastAsia="zh-CN"/>
              </w:rPr>
              <w:t>t/a</w:t>
            </w:r>
          </w:p>
        </w:tc>
        <w:tc>
          <w:tcPr>
            <w:tcW w:w="1276" w:type="dxa"/>
            <w:noWrap w:val="0"/>
            <w:vAlign w:val="top"/>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1"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eastAsia="zh-CN"/>
              </w:rPr>
              <w:t>0</w:t>
            </w:r>
          </w:p>
        </w:tc>
        <w:tc>
          <w:tcPr>
            <w:tcW w:w="1559"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eastAsia" w:cs="Times New Roman"/>
                <w:color w:val="auto"/>
                <w:sz w:val="21"/>
                <w:szCs w:val="21"/>
                <w:highlight w:val="none"/>
                <w:lang w:val="en-US" w:eastAsia="zh-CN"/>
              </w:rPr>
              <w:t>3.466</w:t>
            </w:r>
            <w:r>
              <w:rPr>
                <w:rFonts w:hint="default" w:ascii="Times New Roman" w:hAnsi="Times New Roman" w:eastAsia="宋体" w:cs="Times New Roman"/>
                <w:snapToGrid w:val="0"/>
                <w:color w:val="auto"/>
                <w:kern w:val="21"/>
                <w:sz w:val="21"/>
                <w:szCs w:val="21"/>
                <w:lang w:eastAsia="zh-CN"/>
              </w:rPr>
              <w:t>t/a</w:t>
            </w:r>
          </w:p>
        </w:tc>
        <w:tc>
          <w:tcPr>
            <w:tcW w:w="1629"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eastAsia="zh-CN"/>
              </w:rPr>
              <w:t>0</w:t>
            </w:r>
          </w:p>
        </w:tc>
        <w:tc>
          <w:tcPr>
            <w:tcW w:w="1788"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eastAsia" w:cs="Times New Roman"/>
                <w:color w:val="auto"/>
                <w:sz w:val="21"/>
                <w:szCs w:val="21"/>
                <w:highlight w:val="none"/>
                <w:lang w:val="en-US" w:eastAsia="zh-CN"/>
              </w:rPr>
              <w:t>4.798</w:t>
            </w:r>
            <w:r>
              <w:rPr>
                <w:rFonts w:hint="default" w:ascii="Times New Roman" w:hAnsi="Times New Roman" w:eastAsia="宋体" w:cs="Times New Roman"/>
                <w:snapToGrid w:val="0"/>
                <w:color w:val="auto"/>
                <w:kern w:val="21"/>
                <w:sz w:val="21"/>
                <w:szCs w:val="21"/>
                <w:lang w:eastAsia="zh-CN"/>
              </w:rPr>
              <w:t>t/a</w:t>
            </w:r>
          </w:p>
        </w:tc>
        <w:tc>
          <w:tcPr>
            <w:tcW w:w="1129"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eastAsia" w:cs="Times New Roman"/>
                <w:color w:val="auto"/>
                <w:sz w:val="21"/>
                <w:szCs w:val="21"/>
                <w:highlight w:val="none"/>
                <w:lang w:val="en-US" w:eastAsia="zh-CN"/>
              </w:rPr>
              <w:t>3.466</w:t>
            </w:r>
            <w:r>
              <w:rPr>
                <w:rFonts w:hint="default" w:ascii="Times New Roman" w:hAnsi="Times New Roman" w:eastAsia="宋体" w:cs="Times New Roman"/>
                <w:snapToGrid w:val="0"/>
                <w:color w:val="auto"/>
                <w:kern w:val="21"/>
                <w:sz w:val="21"/>
                <w:szCs w:val="21"/>
                <w:lang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1588" w:type="dxa"/>
            <w:vMerge w:val="continue"/>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kern w:val="21"/>
                <w:sz w:val="21"/>
                <w:szCs w:val="21"/>
              </w:rPr>
            </w:pPr>
          </w:p>
        </w:tc>
        <w:tc>
          <w:tcPr>
            <w:tcW w:w="1277" w:type="dxa"/>
            <w:noWrap w:val="0"/>
            <w:vAlign w:val="center"/>
          </w:tcPr>
          <w:p>
            <w:pPr>
              <w:adjustRightInd w:val="0"/>
              <w:snapToGrid w:val="0"/>
              <w:spacing w:line="320" w:lineRule="exac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Cs w:val="21"/>
                <w:lang w:val="en-US" w:eastAsia="zh-CN"/>
              </w:rPr>
              <w:t>锑及其化合物</w:t>
            </w:r>
          </w:p>
        </w:tc>
        <w:tc>
          <w:tcPr>
            <w:tcW w:w="1841" w:type="dxa"/>
            <w:noWrap w:val="0"/>
            <w:vAlign w:val="center"/>
          </w:tcPr>
          <w:p>
            <w:pPr>
              <w:adjustRightInd w:val="0"/>
              <w:snapToGrid w:val="0"/>
              <w:spacing w:line="320" w:lineRule="exact"/>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kern w:val="0"/>
                <w:szCs w:val="21"/>
                <w:lang w:val="en-US" w:eastAsia="zh-CN"/>
              </w:rPr>
              <w:t>1.296×10</w:t>
            </w:r>
            <w:r>
              <w:rPr>
                <w:rFonts w:hint="default" w:ascii="Times New Roman" w:hAnsi="Times New Roman" w:eastAsia="宋体" w:cs="Times New Roman"/>
                <w:color w:val="auto"/>
                <w:kern w:val="0"/>
                <w:szCs w:val="21"/>
                <w:vertAlign w:val="superscript"/>
                <w:lang w:val="en-US" w:eastAsia="zh-CN"/>
              </w:rPr>
              <w:t>-3</w:t>
            </w:r>
            <w:r>
              <w:rPr>
                <w:rFonts w:hint="default" w:ascii="Times New Roman" w:hAnsi="Times New Roman" w:eastAsia="宋体" w:cs="Times New Roman"/>
                <w:snapToGrid w:val="0"/>
                <w:color w:val="auto"/>
                <w:kern w:val="21"/>
                <w:sz w:val="21"/>
                <w:szCs w:val="21"/>
                <w:lang w:eastAsia="zh-CN"/>
              </w:rPr>
              <w:t>t/a</w:t>
            </w:r>
          </w:p>
        </w:tc>
        <w:tc>
          <w:tcPr>
            <w:tcW w:w="1276" w:type="dxa"/>
            <w:noWrap w:val="0"/>
            <w:vAlign w:val="top"/>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p>
        </w:tc>
        <w:tc>
          <w:tcPr>
            <w:tcW w:w="1701"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eastAsia="zh-CN"/>
              </w:rPr>
            </w:pPr>
          </w:p>
        </w:tc>
        <w:tc>
          <w:tcPr>
            <w:tcW w:w="1559"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vertAlign w:val="baseline"/>
                <w:lang w:val="en-US" w:eastAsia="zh-CN"/>
              </w:rPr>
            </w:pPr>
            <w:r>
              <w:rPr>
                <w:rFonts w:hint="eastAsia" w:eastAsia="宋体" w:cs="Times New Roman"/>
                <w:color w:val="auto"/>
                <w:highlight w:val="none"/>
                <w:lang w:val="en-US" w:eastAsia="zh-CN"/>
              </w:rPr>
              <w:t>6</w:t>
            </w:r>
            <w:r>
              <w:rPr>
                <w:rFonts w:hint="default" w:ascii="Times New Roman" w:hAnsi="Times New Roman" w:eastAsia="宋体" w:cs="Times New Roman"/>
                <w:color w:val="auto"/>
                <w:highlight w:val="none"/>
                <w:lang w:val="en-US" w:eastAsia="zh-CN"/>
              </w:rPr>
              <w:t>.8×10</w:t>
            </w:r>
            <w:r>
              <w:rPr>
                <w:rFonts w:hint="default" w:ascii="Times New Roman" w:hAnsi="Times New Roman" w:eastAsia="宋体" w:cs="Times New Roman"/>
                <w:color w:val="auto"/>
                <w:highlight w:val="none"/>
                <w:vertAlign w:val="superscript"/>
                <w:lang w:val="en-US" w:eastAsia="zh-CN"/>
              </w:rPr>
              <w:t>-4</w:t>
            </w:r>
            <w:r>
              <w:rPr>
                <w:rFonts w:hint="default" w:ascii="Times New Roman" w:hAnsi="Times New Roman" w:eastAsia="宋体" w:cs="Times New Roman"/>
                <w:snapToGrid w:val="0"/>
                <w:color w:val="auto"/>
                <w:kern w:val="21"/>
                <w:sz w:val="21"/>
                <w:szCs w:val="21"/>
                <w:lang w:eastAsia="zh-CN"/>
              </w:rPr>
              <w:t>t/a</w:t>
            </w:r>
          </w:p>
        </w:tc>
        <w:tc>
          <w:tcPr>
            <w:tcW w:w="1629"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0</w:t>
            </w:r>
          </w:p>
        </w:tc>
        <w:tc>
          <w:tcPr>
            <w:tcW w:w="1788"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highlight w:val="none"/>
                <w:lang w:val="en-US" w:eastAsia="zh-CN"/>
              </w:rPr>
              <w:t>1.</w:t>
            </w:r>
            <w:r>
              <w:rPr>
                <w:rFonts w:hint="eastAsia" w:eastAsia="宋体" w:cs="Times New Roman"/>
                <w:color w:val="auto"/>
                <w:highlight w:val="none"/>
                <w:lang w:val="en-US" w:eastAsia="zh-CN"/>
              </w:rPr>
              <w:t>98</w:t>
            </w:r>
            <w:r>
              <w:rPr>
                <w:rFonts w:hint="default" w:ascii="Times New Roman" w:hAnsi="Times New Roman" w:eastAsia="宋体" w:cs="Times New Roman"/>
                <w:color w:val="auto"/>
                <w:highlight w:val="none"/>
                <w:lang w:val="en-US" w:eastAsia="zh-CN"/>
              </w:rPr>
              <w:t>×10</w:t>
            </w:r>
            <w:r>
              <w:rPr>
                <w:rFonts w:hint="default" w:ascii="Times New Roman" w:hAnsi="Times New Roman" w:eastAsia="宋体" w:cs="Times New Roman"/>
                <w:color w:val="auto"/>
                <w:highlight w:val="none"/>
                <w:vertAlign w:val="superscript"/>
                <w:lang w:val="en-US" w:eastAsia="zh-CN"/>
              </w:rPr>
              <w:t>-3</w:t>
            </w:r>
            <w:r>
              <w:rPr>
                <w:rFonts w:hint="default" w:ascii="Times New Roman" w:hAnsi="Times New Roman" w:eastAsia="宋体" w:cs="Times New Roman"/>
                <w:snapToGrid w:val="0"/>
                <w:color w:val="auto"/>
                <w:kern w:val="21"/>
                <w:sz w:val="21"/>
                <w:szCs w:val="21"/>
                <w:lang w:eastAsia="zh-CN"/>
              </w:rPr>
              <w:t>t/a</w:t>
            </w:r>
          </w:p>
        </w:tc>
        <w:tc>
          <w:tcPr>
            <w:tcW w:w="1129"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eastAsia="宋体" w:cs="Times New Roman"/>
                <w:color w:val="auto"/>
                <w:highlight w:val="none"/>
                <w:lang w:val="en-US" w:eastAsia="zh-CN"/>
              </w:rPr>
              <w:t>6</w:t>
            </w:r>
            <w:r>
              <w:rPr>
                <w:rFonts w:hint="default" w:ascii="Times New Roman" w:hAnsi="Times New Roman" w:eastAsia="宋体" w:cs="Times New Roman"/>
                <w:color w:val="auto"/>
                <w:highlight w:val="none"/>
                <w:lang w:val="en-US" w:eastAsia="zh-CN"/>
              </w:rPr>
              <w:t>.8×10</w:t>
            </w:r>
            <w:r>
              <w:rPr>
                <w:rFonts w:hint="default" w:ascii="Times New Roman" w:hAnsi="Times New Roman" w:eastAsia="宋体" w:cs="Times New Roman"/>
                <w:color w:val="auto"/>
                <w:highlight w:val="none"/>
                <w:vertAlign w:val="superscript"/>
                <w:lang w:val="en-US" w:eastAsia="zh-CN"/>
              </w:rPr>
              <w:t>-4</w:t>
            </w:r>
            <w:r>
              <w:rPr>
                <w:rFonts w:hint="default" w:ascii="Times New Roman" w:hAnsi="Times New Roman" w:eastAsia="宋体" w:cs="Times New Roman"/>
                <w:snapToGrid w:val="0"/>
                <w:color w:val="auto"/>
                <w:kern w:val="21"/>
                <w:sz w:val="21"/>
                <w:szCs w:val="21"/>
                <w:lang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1588" w:type="dxa"/>
            <w:vMerge w:val="continue"/>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kern w:val="21"/>
                <w:sz w:val="21"/>
                <w:szCs w:val="21"/>
              </w:rPr>
            </w:pPr>
          </w:p>
        </w:tc>
        <w:tc>
          <w:tcPr>
            <w:tcW w:w="1277"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油烟</w:t>
            </w:r>
          </w:p>
        </w:tc>
        <w:tc>
          <w:tcPr>
            <w:tcW w:w="1841"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eastAsia="zh-CN"/>
              </w:rPr>
            </w:pPr>
            <w:r>
              <w:rPr>
                <w:rFonts w:hint="default" w:ascii="Times New Roman" w:hAnsi="Times New Roman" w:cs="Times New Roman"/>
                <w:color w:val="auto"/>
                <w:sz w:val="21"/>
                <w:szCs w:val="21"/>
                <w:highlight w:val="none"/>
                <w:lang w:val="en-US" w:eastAsia="zh-CN"/>
              </w:rPr>
              <w:t>0.004</w:t>
            </w:r>
            <w:r>
              <w:rPr>
                <w:rFonts w:hint="default" w:ascii="Times New Roman" w:hAnsi="Times New Roman" w:eastAsia="宋体" w:cs="Times New Roman"/>
                <w:snapToGrid w:val="0"/>
                <w:color w:val="auto"/>
                <w:kern w:val="21"/>
                <w:sz w:val="21"/>
                <w:szCs w:val="21"/>
                <w:lang w:eastAsia="zh-CN"/>
              </w:rPr>
              <w:t>t/a</w:t>
            </w:r>
          </w:p>
        </w:tc>
        <w:tc>
          <w:tcPr>
            <w:tcW w:w="1276" w:type="dxa"/>
            <w:noWrap w:val="0"/>
            <w:vAlign w:val="top"/>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1"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0</w:t>
            </w:r>
          </w:p>
        </w:tc>
        <w:tc>
          <w:tcPr>
            <w:tcW w:w="1559"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cs="Times New Roman"/>
                <w:color w:val="auto"/>
                <w:sz w:val="21"/>
                <w:szCs w:val="21"/>
                <w:highlight w:val="none"/>
                <w:lang w:val="en-US" w:eastAsia="zh-CN"/>
              </w:rPr>
              <w:t>0.0008</w:t>
            </w:r>
            <w:r>
              <w:rPr>
                <w:rFonts w:hint="default" w:ascii="Times New Roman" w:hAnsi="Times New Roman" w:eastAsia="宋体" w:cs="Times New Roman"/>
                <w:snapToGrid w:val="0"/>
                <w:color w:val="auto"/>
                <w:kern w:val="21"/>
                <w:sz w:val="21"/>
                <w:szCs w:val="21"/>
                <w:lang w:eastAsia="zh-CN"/>
              </w:rPr>
              <w:t>t/a</w:t>
            </w:r>
          </w:p>
        </w:tc>
        <w:tc>
          <w:tcPr>
            <w:tcW w:w="1629"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0</w:t>
            </w:r>
          </w:p>
        </w:tc>
        <w:tc>
          <w:tcPr>
            <w:tcW w:w="1788"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cs="Times New Roman"/>
                <w:color w:val="auto"/>
                <w:sz w:val="21"/>
                <w:szCs w:val="21"/>
                <w:highlight w:val="none"/>
                <w:lang w:val="en-US" w:eastAsia="zh-CN"/>
              </w:rPr>
              <w:t>0.0048</w:t>
            </w:r>
            <w:r>
              <w:rPr>
                <w:rFonts w:hint="default" w:ascii="Times New Roman" w:hAnsi="Times New Roman" w:eastAsia="宋体" w:cs="Times New Roman"/>
                <w:snapToGrid w:val="0"/>
                <w:color w:val="auto"/>
                <w:kern w:val="21"/>
                <w:sz w:val="21"/>
                <w:szCs w:val="21"/>
                <w:lang w:eastAsia="zh-CN"/>
              </w:rPr>
              <w:t>t/a</w:t>
            </w:r>
          </w:p>
        </w:tc>
        <w:tc>
          <w:tcPr>
            <w:tcW w:w="1129"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cs="Times New Roman"/>
                <w:color w:val="auto"/>
                <w:sz w:val="21"/>
                <w:szCs w:val="21"/>
                <w:highlight w:val="none"/>
                <w:lang w:val="en-US" w:eastAsia="zh-CN"/>
              </w:rPr>
              <w:t>0.0008</w:t>
            </w:r>
            <w:r>
              <w:rPr>
                <w:rFonts w:hint="default" w:ascii="Times New Roman" w:hAnsi="Times New Roman" w:eastAsia="宋体" w:cs="Times New Roman"/>
                <w:snapToGrid w:val="0"/>
                <w:color w:val="auto"/>
                <w:kern w:val="21"/>
                <w:sz w:val="21"/>
                <w:szCs w:val="21"/>
                <w:lang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废水</w:t>
            </w:r>
          </w:p>
        </w:tc>
        <w:tc>
          <w:tcPr>
            <w:tcW w:w="1277"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eastAsia="zh-CN"/>
              </w:rPr>
            </w:pPr>
            <w:r>
              <w:rPr>
                <w:rFonts w:hint="default" w:ascii="Times New Roman" w:hAnsi="Times New Roman" w:eastAsia="宋体" w:cs="Times New Roman"/>
                <w:snapToGrid w:val="0"/>
                <w:color w:val="auto"/>
                <w:kern w:val="21"/>
                <w:sz w:val="21"/>
                <w:szCs w:val="21"/>
                <w:lang w:eastAsia="zh-CN"/>
              </w:rPr>
              <w:t>总排放量</w:t>
            </w:r>
          </w:p>
        </w:tc>
        <w:tc>
          <w:tcPr>
            <w:tcW w:w="1841" w:type="dxa"/>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atLeast"/>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1729.5</w:t>
            </w:r>
            <w:r>
              <w:rPr>
                <w:rFonts w:hint="default" w:ascii="Times New Roman" w:hAnsi="Times New Roman" w:eastAsia="宋体" w:cs="Times New Roman"/>
                <w:snapToGrid w:val="0"/>
                <w:color w:val="auto"/>
                <w:kern w:val="21"/>
                <w:sz w:val="21"/>
                <w:szCs w:val="21"/>
                <w:lang w:eastAsia="zh-CN"/>
              </w:rPr>
              <w:t>t/a</w:t>
            </w:r>
          </w:p>
        </w:tc>
        <w:tc>
          <w:tcPr>
            <w:tcW w:w="1276"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1"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eastAsia="zh-CN"/>
              </w:rPr>
              <w:t>0</w:t>
            </w:r>
          </w:p>
        </w:tc>
        <w:tc>
          <w:tcPr>
            <w:tcW w:w="1559"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eastAsia" w:cs="Times New Roman"/>
                <w:color w:val="auto"/>
                <w:sz w:val="21"/>
                <w:szCs w:val="21"/>
                <w:highlight w:val="none"/>
                <w:lang w:val="en-US" w:eastAsia="zh-CN"/>
              </w:rPr>
              <w:t>336</w:t>
            </w:r>
            <w:r>
              <w:rPr>
                <w:rFonts w:hint="default" w:ascii="Times New Roman" w:hAnsi="Times New Roman" w:eastAsia="宋体" w:cs="Times New Roman"/>
                <w:snapToGrid w:val="0"/>
                <w:color w:val="auto"/>
                <w:kern w:val="21"/>
                <w:sz w:val="21"/>
                <w:szCs w:val="21"/>
                <w:lang w:eastAsia="zh-CN"/>
              </w:rPr>
              <w:t>t/a</w:t>
            </w:r>
          </w:p>
        </w:tc>
        <w:tc>
          <w:tcPr>
            <w:tcW w:w="1629"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eastAsia="zh-CN"/>
              </w:rPr>
              <w:t>0</w:t>
            </w:r>
          </w:p>
        </w:tc>
        <w:tc>
          <w:tcPr>
            <w:tcW w:w="1788"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eastAsia" w:eastAsia="宋体" w:cs="Times New Roman"/>
                <w:color w:val="auto"/>
                <w:sz w:val="21"/>
                <w:szCs w:val="21"/>
                <w:highlight w:val="none"/>
                <w:lang w:val="en-US" w:eastAsia="zh-CN"/>
              </w:rPr>
              <w:t>2065.5</w:t>
            </w:r>
            <w:r>
              <w:rPr>
                <w:rFonts w:hint="default" w:ascii="Times New Roman" w:hAnsi="Times New Roman" w:eastAsia="宋体" w:cs="Times New Roman"/>
                <w:snapToGrid w:val="0"/>
                <w:color w:val="auto"/>
                <w:kern w:val="21"/>
                <w:sz w:val="21"/>
                <w:szCs w:val="21"/>
                <w:lang w:eastAsia="zh-CN"/>
              </w:rPr>
              <w:t>t/a</w:t>
            </w:r>
          </w:p>
        </w:tc>
        <w:tc>
          <w:tcPr>
            <w:tcW w:w="1129"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eastAsia="zh-CN"/>
              </w:rPr>
            </w:pPr>
            <w:r>
              <w:rPr>
                <w:rFonts w:hint="eastAsia" w:cs="Times New Roman"/>
                <w:color w:val="auto"/>
                <w:sz w:val="21"/>
                <w:szCs w:val="21"/>
                <w:highlight w:val="none"/>
                <w:lang w:val="en-US" w:eastAsia="zh-CN"/>
              </w:rPr>
              <w:t>336</w:t>
            </w:r>
            <w:r>
              <w:rPr>
                <w:rFonts w:hint="default" w:ascii="Times New Roman" w:hAnsi="Times New Roman" w:eastAsia="宋体" w:cs="Times New Roman"/>
                <w:snapToGrid w:val="0"/>
                <w:color w:val="auto"/>
                <w:kern w:val="21"/>
                <w:sz w:val="21"/>
                <w:szCs w:val="21"/>
                <w:lang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588" w:type="dxa"/>
            <w:vMerge w:val="continue"/>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kern w:val="21"/>
                <w:sz w:val="21"/>
                <w:szCs w:val="21"/>
              </w:rPr>
            </w:pPr>
          </w:p>
        </w:tc>
        <w:tc>
          <w:tcPr>
            <w:tcW w:w="1277"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eastAsia="zh-CN"/>
              </w:rPr>
            </w:pPr>
            <w:r>
              <w:rPr>
                <w:rFonts w:hint="default" w:ascii="Times New Roman" w:hAnsi="Times New Roman" w:eastAsia="宋体" w:cs="Times New Roman"/>
                <w:snapToGrid w:val="0"/>
                <w:color w:val="auto"/>
                <w:kern w:val="21"/>
                <w:sz w:val="21"/>
                <w:szCs w:val="21"/>
                <w:lang w:eastAsia="zh-CN"/>
              </w:rPr>
              <w:t>COD</w:t>
            </w:r>
          </w:p>
        </w:tc>
        <w:tc>
          <w:tcPr>
            <w:tcW w:w="1841" w:type="dxa"/>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atLeast"/>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0.84</w:t>
            </w:r>
            <w:r>
              <w:rPr>
                <w:rFonts w:hint="default" w:ascii="Times New Roman" w:hAnsi="Times New Roman" w:eastAsia="宋体" w:cs="Times New Roman"/>
                <w:snapToGrid w:val="0"/>
                <w:color w:val="auto"/>
                <w:kern w:val="21"/>
                <w:sz w:val="21"/>
                <w:szCs w:val="21"/>
                <w:lang w:eastAsia="zh-CN"/>
              </w:rPr>
              <w:t>t/a</w:t>
            </w:r>
          </w:p>
        </w:tc>
        <w:tc>
          <w:tcPr>
            <w:tcW w:w="1276"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1"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eastAsia="zh-CN"/>
              </w:rPr>
              <w:t>0</w:t>
            </w:r>
          </w:p>
        </w:tc>
        <w:tc>
          <w:tcPr>
            <w:tcW w:w="1559"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eastAsia" w:cs="Times New Roman"/>
                <w:color w:val="auto"/>
                <w:sz w:val="21"/>
                <w:szCs w:val="21"/>
                <w:highlight w:val="none"/>
                <w:lang w:val="en-US" w:eastAsia="zh-CN"/>
              </w:rPr>
              <w:t>0.020</w:t>
            </w:r>
            <w:r>
              <w:rPr>
                <w:rFonts w:hint="default" w:ascii="Times New Roman" w:hAnsi="Times New Roman" w:eastAsia="宋体" w:cs="Times New Roman"/>
                <w:snapToGrid w:val="0"/>
                <w:color w:val="auto"/>
                <w:kern w:val="21"/>
                <w:sz w:val="21"/>
                <w:szCs w:val="21"/>
                <w:lang w:eastAsia="zh-CN"/>
              </w:rPr>
              <w:t>t/a</w:t>
            </w:r>
          </w:p>
        </w:tc>
        <w:tc>
          <w:tcPr>
            <w:tcW w:w="1629"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color w:val="auto"/>
                <w:sz w:val="21"/>
                <w:szCs w:val="21"/>
                <w:highlight w:val="none"/>
                <w:lang w:val="en-US" w:eastAsia="zh-CN"/>
              </w:rPr>
              <w:t>0.736</w:t>
            </w:r>
            <w:r>
              <w:rPr>
                <w:rFonts w:hint="default" w:ascii="Times New Roman" w:hAnsi="Times New Roman" w:eastAsia="宋体" w:cs="Times New Roman"/>
                <w:snapToGrid w:val="0"/>
                <w:color w:val="auto"/>
                <w:kern w:val="21"/>
                <w:sz w:val="21"/>
                <w:szCs w:val="21"/>
                <w:lang w:eastAsia="zh-CN"/>
              </w:rPr>
              <w:t>t/a</w:t>
            </w:r>
          </w:p>
        </w:tc>
        <w:tc>
          <w:tcPr>
            <w:tcW w:w="1788"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color w:val="auto"/>
                <w:sz w:val="21"/>
                <w:szCs w:val="21"/>
                <w:highlight w:val="none"/>
                <w:lang w:val="en-US" w:eastAsia="zh-CN"/>
              </w:rPr>
              <w:t>0.1</w:t>
            </w:r>
            <w:r>
              <w:rPr>
                <w:rFonts w:hint="eastAsia" w:eastAsia="宋体" w:cs="Times New Roman"/>
                <w:color w:val="auto"/>
                <w:sz w:val="21"/>
                <w:szCs w:val="21"/>
                <w:highlight w:val="none"/>
                <w:lang w:val="en-US" w:eastAsia="zh-CN"/>
              </w:rPr>
              <w:t>24</w:t>
            </w:r>
            <w:r>
              <w:rPr>
                <w:rFonts w:hint="default" w:ascii="Times New Roman" w:hAnsi="Times New Roman" w:eastAsia="宋体" w:cs="Times New Roman"/>
                <w:snapToGrid w:val="0"/>
                <w:color w:val="auto"/>
                <w:kern w:val="21"/>
                <w:sz w:val="21"/>
                <w:szCs w:val="21"/>
                <w:lang w:eastAsia="zh-CN"/>
              </w:rPr>
              <w:t>t/a</w:t>
            </w:r>
          </w:p>
        </w:tc>
        <w:tc>
          <w:tcPr>
            <w:tcW w:w="1129"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eastAsia="zh-CN"/>
              </w:rPr>
            </w:pPr>
            <w:r>
              <w:rPr>
                <w:rFonts w:hint="default" w:ascii="Times New Roman" w:hAnsi="Times New Roman" w:cs="Times New Roman"/>
                <w:color w:val="auto"/>
                <w:sz w:val="21"/>
                <w:szCs w:val="21"/>
                <w:highlight w:val="none"/>
                <w:lang w:val="en-US" w:eastAsia="zh-CN"/>
              </w:rPr>
              <w:t>-0.7</w:t>
            </w:r>
            <w:r>
              <w:rPr>
                <w:rFonts w:hint="eastAsia" w:cs="Times New Roman"/>
                <w:color w:val="auto"/>
                <w:sz w:val="21"/>
                <w:szCs w:val="21"/>
                <w:highlight w:val="none"/>
                <w:lang w:val="en-US" w:eastAsia="zh-CN"/>
              </w:rPr>
              <w:t>16</w:t>
            </w:r>
            <w:r>
              <w:rPr>
                <w:rFonts w:hint="default" w:ascii="Times New Roman" w:hAnsi="Times New Roman" w:eastAsia="宋体" w:cs="Times New Roman"/>
                <w:snapToGrid w:val="0"/>
                <w:color w:val="auto"/>
                <w:kern w:val="21"/>
                <w:sz w:val="21"/>
                <w:szCs w:val="21"/>
                <w:lang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kern w:val="21"/>
                <w:sz w:val="21"/>
                <w:szCs w:val="21"/>
              </w:rPr>
            </w:pPr>
          </w:p>
        </w:tc>
        <w:tc>
          <w:tcPr>
            <w:tcW w:w="1277"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eastAsia="zh-CN"/>
              </w:rPr>
            </w:pPr>
            <w:r>
              <w:rPr>
                <w:rFonts w:hint="default" w:ascii="Times New Roman" w:hAnsi="Times New Roman" w:eastAsia="宋体" w:cs="Times New Roman"/>
                <w:snapToGrid w:val="0"/>
                <w:color w:val="auto"/>
                <w:kern w:val="21"/>
                <w:sz w:val="21"/>
                <w:szCs w:val="21"/>
                <w:lang w:eastAsia="zh-CN"/>
              </w:rPr>
              <w:t>NH</w:t>
            </w:r>
            <w:r>
              <w:rPr>
                <w:rFonts w:hint="default" w:ascii="Times New Roman" w:hAnsi="Times New Roman" w:eastAsia="宋体" w:cs="Times New Roman"/>
                <w:snapToGrid w:val="0"/>
                <w:color w:val="auto"/>
                <w:kern w:val="21"/>
                <w:sz w:val="21"/>
                <w:szCs w:val="21"/>
                <w:vertAlign w:val="subscript"/>
                <w:lang w:eastAsia="zh-CN"/>
              </w:rPr>
              <w:t>3</w:t>
            </w:r>
            <w:r>
              <w:rPr>
                <w:rFonts w:hint="default" w:ascii="Times New Roman" w:hAnsi="Times New Roman" w:eastAsia="宋体" w:cs="Times New Roman"/>
                <w:snapToGrid w:val="0"/>
                <w:color w:val="auto"/>
                <w:kern w:val="21"/>
                <w:sz w:val="21"/>
                <w:szCs w:val="21"/>
                <w:lang w:eastAsia="zh-CN"/>
              </w:rPr>
              <w:t>-N</w:t>
            </w:r>
          </w:p>
        </w:tc>
        <w:tc>
          <w:tcPr>
            <w:tcW w:w="1841" w:type="dxa"/>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atLeast"/>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0.082</w:t>
            </w:r>
            <w:r>
              <w:rPr>
                <w:rFonts w:hint="default" w:ascii="Times New Roman" w:hAnsi="Times New Roman" w:eastAsia="宋体" w:cs="Times New Roman"/>
                <w:snapToGrid w:val="0"/>
                <w:color w:val="auto"/>
                <w:kern w:val="21"/>
                <w:sz w:val="21"/>
                <w:szCs w:val="21"/>
                <w:lang w:eastAsia="zh-CN"/>
              </w:rPr>
              <w:t>t/a</w:t>
            </w:r>
          </w:p>
        </w:tc>
        <w:tc>
          <w:tcPr>
            <w:tcW w:w="1276"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1"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eastAsia="zh-CN"/>
              </w:rPr>
              <w:t>0</w:t>
            </w:r>
          </w:p>
        </w:tc>
        <w:tc>
          <w:tcPr>
            <w:tcW w:w="1559"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cs="Times New Roman"/>
                <w:color w:val="auto"/>
                <w:sz w:val="21"/>
                <w:szCs w:val="21"/>
                <w:highlight w:val="none"/>
                <w:lang w:val="en-US" w:eastAsia="zh-CN"/>
              </w:rPr>
              <w:t>0.00</w:t>
            </w:r>
            <w:r>
              <w:rPr>
                <w:rFonts w:hint="eastAsia" w:cs="Times New Roman"/>
                <w:color w:val="auto"/>
                <w:sz w:val="21"/>
                <w:szCs w:val="21"/>
                <w:highlight w:val="none"/>
                <w:lang w:val="en-US" w:eastAsia="zh-CN"/>
              </w:rPr>
              <w:t>5</w:t>
            </w:r>
            <w:r>
              <w:rPr>
                <w:rFonts w:hint="default" w:ascii="Times New Roman" w:hAnsi="Times New Roman" w:eastAsia="宋体" w:cs="Times New Roman"/>
                <w:snapToGrid w:val="0"/>
                <w:color w:val="auto"/>
                <w:kern w:val="21"/>
                <w:sz w:val="21"/>
                <w:szCs w:val="21"/>
                <w:lang w:eastAsia="zh-CN"/>
              </w:rPr>
              <w:t>t/a</w:t>
            </w:r>
          </w:p>
        </w:tc>
        <w:tc>
          <w:tcPr>
            <w:tcW w:w="1629"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color w:val="auto"/>
                <w:sz w:val="21"/>
                <w:szCs w:val="21"/>
                <w:highlight w:val="none"/>
                <w:lang w:val="en-US" w:eastAsia="zh-CN"/>
              </w:rPr>
              <w:t>0.039</w:t>
            </w:r>
            <w:r>
              <w:rPr>
                <w:rFonts w:hint="default" w:ascii="Times New Roman" w:hAnsi="Times New Roman" w:eastAsia="宋体" w:cs="Times New Roman"/>
                <w:snapToGrid w:val="0"/>
                <w:color w:val="auto"/>
                <w:kern w:val="21"/>
                <w:sz w:val="21"/>
                <w:szCs w:val="21"/>
                <w:lang w:eastAsia="zh-CN"/>
              </w:rPr>
              <w:t>t/a</w:t>
            </w:r>
          </w:p>
        </w:tc>
        <w:tc>
          <w:tcPr>
            <w:tcW w:w="1788"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color w:val="auto"/>
                <w:sz w:val="21"/>
                <w:szCs w:val="21"/>
                <w:highlight w:val="none"/>
                <w:lang w:val="en-US" w:eastAsia="zh-CN"/>
              </w:rPr>
              <w:t>0.04</w:t>
            </w:r>
            <w:r>
              <w:rPr>
                <w:rFonts w:hint="eastAsia" w:eastAsia="宋体" w:cs="Times New Roman"/>
                <w:color w:val="auto"/>
                <w:sz w:val="21"/>
                <w:szCs w:val="21"/>
                <w:highlight w:val="none"/>
                <w:lang w:val="en-US" w:eastAsia="zh-CN"/>
              </w:rPr>
              <w:t>8</w:t>
            </w:r>
            <w:r>
              <w:rPr>
                <w:rFonts w:hint="default" w:ascii="Times New Roman" w:hAnsi="Times New Roman" w:eastAsia="宋体" w:cs="Times New Roman"/>
                <w:snapToGrid w:val="0"/>
                <w:color w:val="auto"/>
                <w:kern w:val="21"/>
                <w:sz w:val="21"/>
                <w:szCs w:val="21"/>
                <w:lang w:eastAsia="zh-CN"/>
              </w:rPr>
              <w:t>t/a</w:t>
            </w:r>
          </w:p>
        </w:tc>
        <w:tc>
          <w:tcPr>
            <w:tcW w:w="1129"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cs="Times New Roman"/>
                <w:color w:val="auto"/>
                <w:sz w:val="21"/>
                <w:szCs w:val="21"/>
                <w:highlight w:val="none"/>
                <w:lang w:val="en-US" w:eastAsia="zh-CN"/>
              </w:rPr>
              <w:t>-0.03</w:t>
            </w:r>
            <w:r>
              <w:rPr>
                <w:rFonts w:hint="eastAsia" w:cs="Times New Roman"/>
                <w:color w:val="auto"/>
                <w:sz w:val="21"/>
                <w:szCs w:val="21"/>
                <w:highlight w:val="none"/>
                <w:lang w:val="en-US" w:eastAsia="zh-CN"/>
              </w:rPr>
              <w:t>4</w:t>
            </w:r>
            <w:r>
              <w:rPr>
                <w:rFonts w:hint="default" w:ascii="Times New Roman" w:hAnsi="Times New Roman" w:eastAsia="宋体" w:cs="Times New Roman"/>
                <w:snapToGrid w:val="0"/>
                <w:color w:val="auto"/>
                <w:kern w:val="21"/>
                <w:sz w:val="21"/>
                <w:szCs w:val="21"/>
                <w:lang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1588" w:type="dxa"/>
            <w:vMerge w:val="restart"/>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kern w:val="21"/>
                <w:sz w:val="21"/>
                <w:szCs w:val="21"/>
                <w:lang w:eastAsia="zh-CN"/>
              </w:rPr>
            </w:pPr>
            <w:r>
              <w:rPr>
                <w:rFonts w:hint="default" w:ascii="Times New Roman" w:hAnsi="Times New Roman" w:eastAsia="宋体" w:cs="Times New Roman"/>
                <w:snapToGrid w:val="0"/>
                <w:color w:val="auto"/>
                <w:kern w:val="21"/>
                <w:sz w:val="21"/>
                <w:szCs w:val="21"/>
                <w:lang w:eastAsia="zh-CN"/>
              </w:rPr>
              <w:t>固废</w:t>
            </w:r>
          </w:p>
        </w:tc>
        <w:tc>
          <w:tcPr>
            <w:tcW w:w="1277"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尾矿</w:t>
            </w:r>
          </w:p>
        </w:tc>
        <w:tc>
          <w:tcPr>
            <w:tcW w:w="1841"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color w:val="auto"/>
                <w:sz w:val="21"/>
                <w:szCs w:val="21"/>
                <w:highlight w:val="none"/>
                <w:lang w:val="en-US" w:eastAsia="zh-CN"/>
              </w:rPr>
              <w:t>124681</w:t>
            </w:r>
            <w:r>
              <w:rPr>
                <w:rFonts w:hint="default" w:ascii="Times New Roman" w:hAnsi="Times New Roman" w:eastAsia="宋体" w:cs="Times New Roman"/>
                <w:snapToGrid w:val="0"/>
                <w:color w:val="auto"/>
                <w:kern w:val="21"/>
                <w:sz w:val="21"/>
                <w:szCs w:val="21"/>
                <w:lang w:eastAsia="zh-CN"/>
              </w:rPr>
              <w:t>t/a</w:t>
            </w:r>
          </w:p>
        </w:tc>
        <w:tc>
          <w:tcPr>
            <w:tcW w:w="1276"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1"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eastAsia="zh-CN"/>
              </w:rPr>
              <w:t>0</w:t>
            </w:r>
          </w:p>
        </w:tc>
        <w:tc>
          <w:tcPr>
            <w:tcW w:w="1559"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eastAsia" w:cs="Times New Roman"/>
                <w:color w:val="auto"/>
                <w:sz w:val="21"/>
                <w:szCs w:val="21"/>
                <w:highlight w:val="none"/>
                <w:lang w:val="en-US" w:eastAsia="zh-CN"/>
              </w:rPr>
              <w:t>486145</w:t>
            </w:r>
            <w:r>
              <w:rPr>
                <w:rFonts w:hint="default" w:ascii="Times New Roman" w:hAnsi="Times New Roman" w:eastAsia="宋体" w:cs="Times New Roman"/>
                <w:snapToGrid w:val="0"/>
                <w:color w:val="auto"/>
                <w:kern w:val="21"/>
                <w:sz w:val="21"/>
                <w:szCs w:val="21"/>
                <w:lang w:eastAsia="zh-CN"/>
              </w:rPr>
              <w:t>t/a</w:t>
            </w:r>
          </w:p>
        </w:tc>
        <w:tc>
          <w:tcPr>
            <w:tcW w:w="1629"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eastAsia="zh-CN"/>
              </w:rPr>
              <w:t>0</w:t>
            </w:r>
          </w:p>
        </w:tc>
        <w:tc>
          <w:tcPr>
            <w:tcW w:w="1788"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eastAsia="zh-CN"/>
              </w:rPr>
            </w:pPr>
            <w:r>
              <w:rPr>
                <w:rFonts w:hint="eastAsia" w:eastAsia="宋体" w:cs="Times New Roman"/>
                <w:color w:val="auto"/>
                <w:sz w:val="21"/>
                <w:szCs w:val="21"/>
                <w:highlight w:val="none"/>
                <w:lang w:val="en-US" w:eastAsia="zh-CN"/>
              </w:rPr>
              <w:t>610826</w:t>
            </w:r>
            <w:r>
              <w:rPr>
                <w:rFonts w:hint="default" w:ascii="Times New Roman" w:hAnsi="Times New Roman" w:eastAsia="宋体" w:cs="Times New Roman"/>
                <w:snapToGrid w:val="0"/>
                <w:color w:val="auto"/>
                <w:kern w:val="21"/>
                <w:sz w:val="21"/>
                <w:szCs w:val="21"/>
                <w:lang w:eastAsia="zh-CN"/>
              </w:rPr>
              <w:t>t/a</w:t>
            </w:r>
          </w:p>
        </w:tc>
        <w:tc>
          <w:tcPr>
            <w:tcW w:w="1129"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eastAsia="zh-CN"/>
              </w:rPr>
            </w:pPr>
            <w:r>
              <w:rPr>
                <w:rFonts w:hint="eastAsia" w:cs="Times New Roman"/>
                <w:color w:val="auto"/>
                <w:sz w:val="21"/>
                <w:szCs w:val="21"/>
                <w:highlight w:val="none"/>
                <w:lang w:val="en-US" w:eastAsia="zh-CN"/>
              </w:rPr>
              <w:t>486145</w:t>
            </w:r>
            <w:r>
              <w:rPr>
                <w:rFonts w:hint="default" w:ascii="Times New Roman" w:hAnsi="Times New Roman" w:eastAsia="宋体" w:cs="Times New Roman"/>
                <w:snapToGrid w:val="0"/>
                <w:color w:val="auto"/>
                <w:kern w:val="21"/>
                <w:sz w:val="21"/>
                <w:szCs w:val="21"/>
                <w:lang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1588" w:type="dxa"/>
            <w:vMerge w:val="continue"/>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kern w:val="21"/>
                <w:sz w:val="21"/>
                <w:szCs w:val="21"/>
                <w:lang w:eastAsia="zh-CN"/>
              </w:rPr>
            </w:pPr>
          </w:p>
        </w:tc>
        <w:tc>
          <w:tcPr>
            <w:tcW w:w="1277"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eastAsia="zh-CN"/>
              </w:rPr>
            </w:pPr>
            <w:r>
              <w:rPr>
                <w:rFonts w:hint="default" w:ascii="Times New Roman" w:hAnsi="Times New Roman" w:eastAsia="宋体" w:cs="Times New Roman"/>
                <w:snapToGrid w:val="0"/>
                <w:color w:val="auto"/>
                <w:kern w:val="21"/>
                <w:sz w:val="21"/>
                <w:szCs w:val="21"/>
                <w:lang w:eastAsia="zh-CN"/>
              </w:rPr>
              <w:t>废机油</w:t>
            </w:r>
          </w:p>
        </w:tc>
        <w:tc>
          <w:tcPr>
            <w:tcW w:w="1841"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color w:val="auto"/>
                <w:sz w:val="21"/>
                <w:szCs w:val="21"/>
                <w:highlight w:val="none"/>
                <w:lang w:val="en-US" w:eastAsia="zh-CN"/>
              </w:rPr>
              <w:t>0.8</w:t>
            </w:r>
            <w:r>
              <w:rPr>
                <w:rFonts w:hint="default" w:ascii="Times New Roman" w:hAnsi="Times New Roman" w:eastAsia="宋体" w:cs="Times New Roman"/>
                <w:snapToGrid w:val="0"/>
                <w:color w:val="auto"/>
                <w:kern w:val="21"/>
                <w:sz w:val="21"/>
                <w:szCs w:val="21"/>
                <w:lang w:eastAsia="zh-CN"/>
              </w:rPr>
              <w:t>t/a</w:t>
            </w:r>
          </w:p>
        </w:tc>
        <w:tc>
          <w:tcPr>
            <w:tcW w:w="1276"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1"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eastAsia="zh-CN"/>
              </w:rPr>
              <w:t>0</w:t>
            </w:r>
          </w:p>
        </w:tc>
        <w:tc>
          <w:tcPr>
            <w:tcW w:w="1559"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eastAsia="zh-CN"/>
              </w:rPr>
            </w:pPr>
            <w:r>
              <w:rPr>
                <w:rFonts w:hint="default" w:ascii="Times New Roman" w:hAnsi="Times New Roman" w:cs="Times New Roman"/>
                <w:color w:val="auto"/>
                <w:sz w:val="21"/>
                <w:szCs w:val="21"/>
                <w:highlight w:val="none"/>
                <w:lang w:val="en-US" w:eastAsia="zh-CN"/>
              </w:rPr>
              <w:t>0.5</w:t>
            </w:r>
            <w:r>
              <w:rPr>
                <w:rFonts w:hint="default" w:ascii="Times New Roman" w:hAnsi="Times New Roman" w:eastAsia="宋体" w:cs="Times New Roman"/>
                <w:snapToGrid w:val="0"/>
                <w:color w:val="auto"/>
                <w:kern w:val="21"/>
                <w:sz w:val="21"/>
                <w:szCs w:val="21"/>
                <w:lang w:eastAsia="zh-CN"/>
              </w:rPr>
              <w:t>t/a</w:t>
            </w:r>
          </w:p>
        </w:tc>
        <w:tc>
          <w:tcPr>
            <w:tcW w:w="1629"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eastAsia="zh-CN"/>
              </w:rPr>
              <w:t>0</w:t>
            </w:r>
          </w:p>
        </w:tc>
        <w:tc>
          <w:tcPr>
            <w:tcW w:w="1788"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eastAsia="zh-CN"/>
              </w:rPr>
            </w:pPr>
            <w:r>
              <w:rPr>
                <w:rFonts w:hint="default" w:ascii="Times New Roman" w:hAnsi="Times New Roman" w:eastAsia="宋体" w:cs="Times New Roman"/>
                <w:color w:val="auto"/>
                <w:sz w:val="21"/>
                <w:szCs w:val="21"/>
                <w:highlight w:val="none"/>
                <w:lang w:val="en-US" w:eastAsia="zh-CN"/>
              </w:rPr>
              <w:t>1.3</w:t>
            </w:r>
            <w:r>
              <w:rPr>
                <w:rFonts w:hint="default" w:ascii="Times New Roman" w:hAnsi="Times New Roman" w:eastAsia="宋体" w:cs="Times New Roman"/>
                <w:snapToGrid w:val="0"/>
                <w:color w:val="auto"/>
                <w:kern w:val="21"/>
                <w:sz w:val="21"/>
                <w:szCs w:val="21"/>
                <w:lang w:eastAsia="zh-CN"/>
              </w:rPr>
              <w:t>t/a</w:t>
            </w:r>
          </w:p>
        </w:tc>
        <w:tc>
          <w:tcPr>
            <w:tcW w:w="1129"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eastAsia="zh-CN"/>
              </w:rPr>
            </w:pPr>
            <w:r>
              <w:rPr>
                <w:rFonts w:hint="default" w:ascii="Times New Roman" w:hAnsi="Times New Roman" w:cs="Times New Roman"/>
                <w:color w:val="auto"/>
                <w:sz w:val="21"/>
                <w:szCs w:val="21"/>
                <w:highlight w:val="none"/>
                <w:lang w:val="en-US" w:eastAsia="zh-CN"/>
              </w:rPr>
              <w:t>0.5</w:t>
            </w:r>
            <w:r>
              <w:rPr>
                <w:rFonts w:hint="default" w:ascii="Times New Roman" w:hAnsi="Times New Roman" w:eastAsia="宋体" w:cs="Times New Roman"/>
                <w:snapToGrid w:val="0"/>
                <w:color w:val="auto"/>
                <w:kern w:val="21"/>
                <w:sz w:val="21"/>
                <w:szCs w:val="21"/>
                <w:lang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588" w:type="dxa"/>
            <w:vMerge w:val="continue"/>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kern w:val="21"/>
                <w:sz w:val="21"/>
                <w:szCs w:val="21"/>
                <w:lang w:eastAsia="zh-CN"/>
              </w:rPr>
            </w:pPr>
          </w:p>
        </w:tc>
        <w:tc>
          <w:tcPr>
            <w:tcW w:w="1277"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eastAsia="zh-CN"/>
              </w:rPr>
            </w:pPr>
            <w:r>
              <w:rPr>
                <w:rFonts w:hint="default" w:ascii="Times New Roman" w:hAnsi="Times New Roman" w:eastAsia="宋体" w:cs="Times New Roman"/>
                <w:snapToGrid w:val="0"/>
                <w:color w:val="auto"/>
                <w:kern w:val="21"/>
                <w:sz w:val="21"/>
                <w:szCs w:val="21"/>
                <w:lang w:val="en-US" w:eastAsia="zh-CN"/>
              </w:rPr>
              <w:t>沾染药剂的</w:t>
            </w:r>
            <w:r>
              <w:rPr>
                <w:rFonts w:hint="default" w:ascii="Times New Roman" w:hAnsi="Times New Roman" w:eastAsia="宋体" w:cs="Times New Roman"/>
                <w:snapToGrid w:val="0"/>
                <w:color w:val="auto"/>
                <w:kern w:val="21"/>
                <w:sz w:val="21"/>
                <w:szCs w:val="21"/>
                <w:lang w:eastAsia="zh-CN"/>
              </w:rPr>
              <w:t>废包装</w:t>
            </w:r>
          </w:p>
        </w:tc>
        <w:tc>
          <w:tcPr>
            <w:tcW w:w="1841"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color w:val="auto"/>
                <w:sz w:val="21"/>
                <w:szCs w:val="21"/>
                <w:highlight w:val="none"/>
                <w:lang w:val="en-US" w:eastAsia="zh-CN"/>
              </w:rPr>
              <w:t>0.4</w:t>
            </w:r>
            <w:r>
              <w:rPr>
                <w:rFonts w:hint="default" w:ascii="Times New Roman" w:hAnsi="Times New Roman" w:eastAsia="宋体" w:cs="Times New Roman"/>
                <w:snapToGrid w:val="0"/>
                <w:color w:val="auto"/>
                <w:kern w:val="21"/>
                <w:sz w:val="21"/>
                <w:szCs w:val="21"/>
                <w:lang w:eastAsia="zh-CN"/>
              </w:rPr>
              <w:t>t/a</w:t>
            </w:r>
          </w:p>
        </w:tc>
        <w:tc>
          <w:tcPr>
            <w:tcW w:w="1276"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1"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eastAsia="zh-CN"/>
              </w:rPr>
              <w:t>0</w:t>
            </w:r>
          </w:p>
        </w:tc>
        <w:tc>
          <w:tcPr>
            <w:tcW w:w="1559"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cs="Times New Roman"/>
                <w:color w:val="auto"/>
                <w:sz w:val="21"/>
                <w:szCs w:val="21"/>
                <w:highlight w:val="none"/>
                <w:lang w:val="en-US" w:eastAsia="zh-CN"/>
              </w:rPr>
              <w:t>0.3</w:t>
            </w:r>
            <w:r>
              <w:rPr>
                <w:rFonts w:hint="default" w:ascii="Times New Roman" w:hAnsi="Times New Roman" w:eastAsia="宋体" w:cs="Times New Roman"/>
                <w:snapToGrid w:val="0"/>
                <w:color w:val="auto"/>
                <w:kern w:val="21"/>
                <w:sz w:val="21"/>
                <w:szCs w:val="21"/>
                <w:lang w:eastAsia="zh-CN"/>
              </w:rPr>
              <w:t>t/a</w:t>
            </w:r>
          </w:p>
        </w:tc>
        <w:tc>
          <w:tcPr>
            <w:tcW w:w="1629"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eastAsia="zh-CN"/>
              </w:rPr>
              <w:t>0</w:t>
            </w:r>
          </w:p>
        </w:tc>
        <w:tc>
          <w:tcPr>
            <w:tcW w:w="1788"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eastAsia="zh-CN"/>
              </w:rPr>
            </w:pPr>
            <w:r>
              <w:rPr>
                <w:rFonts w:hint="default" w:ascii="Times New Roman" w:hAnsi="Times New Roman" w:eastAsia="宋体" w:cs="Times New Roman"/>
                <w:color w:val="auto"/>
                <w:sz w:val="21"/>
                <w:szCs w:val="21"/>
                <w:highlight w:val="none"/>
                <w:lang w:val="en-US" w:eastAsia="zh-CN"/>
              </w:rPr>
              <w:t>0.7</w:t>
            </w:r>
            <w:r>
              <w:rPr>
                <w:rFonts w:hint="default" w:ascii="Times New Roman" w:hAnsi="Times New Roman" w:eastAsia="宋体" w:cs="Times New Roman"/>
                <w:snapToGrid w:val="0"/>
                <w:color w:val="auto"/>
                <w:kern w:val="21"/>
                <w:sz w:val="21"/>
                <w:szCs w:val="21"/>
                <w:lang w:eastAsia="zh-CN"/>
              </w:rPr>
              <w:t>t/a</w:t>
            </w:r>
          </w:p>
        </w:tc>
        <w:tc>
          <w:tcPr>
            <w:tcW w:w="1129"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eastAsia="zh-CN"/>
              </w:rPr>
            </w:pPr>
            <w:r>
              <w:rPr>
                <w:rFonts w:hint="default" w:ascii="Times New Roman" w:hAnsi="Times New Roman" w:cs="Times New Roman"/>
                <w:color w:val="auto"/>
                <w:sz w:val="21"/>
                <w:szCs w:val="21"/>
                <w:highlight w:val="none"/>
                <w:lang w:val="en-US" w:eastAsia="zh-CN"/>
              </w:rPr>
              <w:t>0.3</w:t>
            </w:r>
            <w:r>
              <w:rPr>
                <w:rFonts w:hint="default" w:ascii="Times New Roman" w:hAnsi="Times New Roman" w:eastAsia="宋体" w:cs="Times New Roman"/>
                <w:snapToGrid w:val="0"/>
                <w:color w:val="auto"/>
                <w:kern w:val="21"/>
                <w:sz w:val="21"/>
                <w:szCs w:val="21"/>
                <w:lang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588" w:type="dxa"/>
            <w:vMerge w:val="continue"/>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textAlignment w:val="auto"/>
              <w:rPr>
                <w:rFonts w:hint="default" w:ascii="Times New Roman" w:hAnsi="Times New Roman" w:eastAsia="宋体" w:cs="Times New Roman"/>
                <w:snapToGrid w:val="0"/>
                <w:color w:val="auto"/>
                <w:kern w:val="21"/>
                <w:sz w:val="21"/>
                <w:szCs w:val="21"/>
                <w:lang w:eastAsia="zh-CN"/>
              </w:rPr>
            </w:pPr>
          </w:p>
        </w:tc>
        <w:tc>
          <w:tcPr>
            <w:tcW w:w="1277"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color w:val="auto"/>
                <w:sz w:val="21"/>
                <w:szCs w:val="21"/>
                <w:highlight w:val="none"/>
                <w:lang w:val="en-US" w:eastAsia="zh-CN"/>
              </w:rPr>
              <w:t>坝体土石方</w:t>
            </w:r>
          </w:p>
        </w:tc>
        <w:tc>
          <w:tcPr>
            <w:tcW w:w="1841"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1276"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1"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0</w:t>
            </w:r>
          </w:p>
        </w:tc>
        <w:tc>
          <w:tcPr>
            <w:tcW w:w="1559"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106969.26m³</w:t>
            </w:r>
          </w:p>
        </w:tc>
        <w:tc>
          <w:tcPr>
            <w:tcW w:w="1629"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0</w:t>
            </w:r>
          </w:p>
        </w:tc>
        <w:tc>
          <w:tcPr>
            <w:tcW w:w="1788"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106969.26m³</w:t>
            </w:r>
          </w:p>
        </w:tc>
        <w:tc>
          <w:tcPr>
            <w:tcW w:w="1129"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106969.26m³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1588" w:type="dxa"/>
            <w:vMerge w:val="continue"/>
            <w:noWrap w:val="0"/>
            <w:vAlign w:val="center"/>
          </w:tcPr>
          <w:p>
            <w:pPr>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1277"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eastAsia="zh-CN"/>
              </w:rPr>
            </w:pPr>
            <w:r>
              <w:rPr>
                <w:rFonts w:hint="default" w:ascii="Times New Roman" w:hAnsi="Times New Roman" w:eastAsia="宋体" w:cs="Times New Roman"/>
                <w:snapToGrid w:val="0"/>
                <w:color w:val="auto"/>
                <w:kern w:val="21"/>
                <w:sz w:val="21"/>
                <w:szCs w:val="21"/>
                <w:lang w:val="en-US" w:eastAsia="zh-CN"/>
              </w:rPr>
              <w:t>生活垃圾</w:t>
            </w:r>
          </w:p>
        </w:tc>
        <w:tc>
          <w:tcPr>
            <w:tcW w:w="1841"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color w:val="auto"/>
                <w:sz w:val="21"/>
                <w:szCs w:val="21"/>
                <w:highlight w:val="none"/>
                <w:lang w:val="en-US" w:eastAsia="zh-CN"/>
              </w:rPr>
              <w:t>21.3</w:t>
            </w:r>
            <w:r>
              <w:rPr>
                <w:rFonts w:hint="default" w:ascii="Times New Roman" w:hAnsi="Times New Roman" w:eastAsia="宋体" w:cs="Times New Roman"/>
                <w:snapToGrid w:val="0"/>
                <w:color w:val="auto"/>
                <w:kern w:val="21"/>
                <w:sz w:val="21"/>
                <w:szCs w:val="21"/>
                <w:lang w:eastAsia="zh-CN"/>
              </w:rPr>
              <w:t>t/a</w:t>
            </w:r>
          </w:p>
        </w:tc>
        <w:tc>
          <w:tcPr>
            <w:tcW w:w="1276"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1"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eastAsia="zh-CN"/>
              </w:rPr>
              <w:t>0</w:t>
            </w:r>
          </w:p>
        </w:tc>
        <w:tc>
          <w:tcPr>
            <w:tcW w:w="1559"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eastAsia" w:cs="Times New Roman"/>
                <w:color w:val="auto"/>
                <w:sz w:val="21"/>
                <w:szCs w:val="21"/>
                <w:highlight w:val="none"/>
                <w:lang w:val="en-US" w:eastAsia="zh-CN"/>
              </w:rPr>
              <w:t>4.2</w:t>
            </w:r>
            <w:r>
              <w:rPr>
                <w:rFonts w:hint="default" w:ascii="Times New Roman" w:hAnsi="Times New Roman" w:eastAsia="宋体" w:cs="Times New Roman"/>
                <w:snapToGrid w:val="0"/>
                <w:color w:val="auto"/>
                <w:kern w:val="21"/>
                <w:sz w:val="21"/>
                <w:szCs w:val="21"/>
                <w:lang w:eastAsia="zh-CN"/>
              </w:rPr>
              <w:t>t/a</w:t>
            </w:r>
          </w:p>
        </w:tc>
        <w:tc>
          <w:tcPr>
            <w:tcW w:w="1629" w:type="dxa"/>
            <w:noWrap w:val="0"/>
            <w:vAlign w:val="center"/>
          </w:tcPr>
          <w:p>
            <w:pPr>
              <w:pStyle w:val="53"/>
              <w:keepNext w:val="0"/>
              <w:keepLines w:val="0"/>
              <w:pageBreakBefore w:val="0"/>
              <w:widowControl w:val="0"/>
              <w:kinsoku/>
              <w:overflowPunct/>
              <w:topLinePunct w:val="0"/>
              <w:bidi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lang w:eastAsia="zh-CN"/>
              </w:rPr>
            </w:pPr>
            <w:r>
              <w:rPr>
                <w:rFonts w:hint="default" w:ascii="Times New Roman" w:hAnsi="Times New Roman" w:eastAsia="宋体" w:cs="Times New Roman"/>
                <w:snapToGrid w:val="0"/>
                <w:color w:val="auto"/>
                <w:kern w:val="21"/>
                <w:sz w:val="21"/>
                <w:szCs w:val="21"/>
                <w:lang w:eastAsia="zh-CN"/>
              </w:rPr>
              <w:t>0</w:t>
            </w:r>
          </w:p>
        </w:tc>
        <w:tc>
          <w:tcPr>
            <w:tcW w:w="1788"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eastAsia" w:eastAsia="宋体" w:cs="Times New Roman"/>
                <w:color w:val="auto"/>
                <w:sz w:val="21"/>
                <w:szCs w:val="21"/>
                <w:highlight w:val="none"/>
                <w:lang w:val="en-US" w:eastAsia="zh-CN"/>
              </w:rPr>
              <w:t>25.5</w:t>
            </w:r>
            <w:r>
              <w:rPr>
                <w:rFonts w:hint="default" w:ascii="Times New Roman" w:hAnsi="Times New Roman" w:eastAsia="宋体" w:cs="Times New Roman"/>
                <w:snapToGrid w:val="0"/>
                <w:color w:val="auto"/>
                <w:kern w:val="21"/>
                <w:sz w:val="21"/>
                <w:szCs w:val="21"/>
                <w:lang w:eastAsia="zh-CN"/>
              </w:rPr>
              <w:t>t/a</w:t>
            </w:r>
          </w:p>
        </w:tc>
        <w:tc>
          <w:tcPr>
            <w:tcW w:w="1129" w:type="dxa"/>
            <w:noWrap w:val="0"/>
            <w:vAlign w:val="center"/>
          </w:tcPr>
          <w:p>
            <w:pPr>
              <w:pStyle w:val="87"/>
              <w:keepNext w:val="0"/>
              <w:keepLines w:val="0"/>
              <w:widowControl w:val="0"/>
              <w:suppressLineNumbers w:val="0"/>
              <w:bidi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lang w:val="en-US" w:eastAsia="zh-CN"/>
              </w:rPr>
            </w:pPr>
            <w:r>
              <w:rPr>
                <w:rFonts w:hint="eastAsia" w:cs="Times New Roman"/>
                <w:color w:val="auto"/>
                <w:sz w:val="21"/>
                <w:szCs w:val="21"/>
                <w:highlight w:val="none"/>
                <w:lang w:val="en-US" w:eastAsia="zh-CN"/>
              </w:rPr>
              <w:t>4.2</w:t>
            </w:r>
            <w:r>
              <w:rPr>
                <w:rFonts w:hint="default" w:ascii="Times New Roman" w:hAnsi="Times New Roman" w:eastAsia="宋体" w:cs="Times New Roman"/>
                <w:snapToGrid w:val="0"/>
                <w:color w:val="auto"/>
                <w:kern w:val="21"/>
                <w:sz w:val="21"/>
                <w:szCs w:val="21"/>
                <w:lang w:eastAsia="zh-CN"/>
              </w:rPr>
              <w:t>t/a</w:t>
            </w:r>
          </w:p>
        </w:tc>
      </w:tr>
    </w:tbl>
    <w:p>
      <w:pPr>
        <w:pStyle w:val="53"/>
        <w:spacing w:before="192" w:beforeLines="80" w:after="24"/>
        <w:jc w:val="left"/>
        <w:rPr>
          <w:rFonts w:hint="default" w:ascii="Times New Roman" w:hAnsi="Times New Roman" w:cs="Times New Roman"/>
          <w:snapToGrid w:val="0"/>
          <w:color w:val="auto"/>
          <w:spacing w:val="-6"/>
          <w:kern w:val="21"/>
          <w:sz w:val="21"/>
          <w:szCs w:val="21"/>
        </w:rPr>
      </w:pPr>
      <w:r>
        <w:rPr>
          <w:rFonts w:hint="default" w:ascii="Times New Roman" w:hAnsi="Times New Roman" w:cs="Times New Roman"/>
          <w:snapToGrid w:val="0"/>
          <w:color w:val="auto"/>
          <w:kern w:val="21"/>
          <w:sz w:val="21"/>
          <w:szCs w:val="21"/>
        </w:rPr>
        <w:t>注：</w:t>
      </w:r>
      <w:r>
        <w:rPr>
          <w:rFonts w:hint="default" w:ascii="Times New Roman" w:hAnsi="Times New Roman" w:cs="Times New Roman"/>
          <w:snapToGrid w:val="0"/>
          <w:color w:val="auto"/>
          <w:spacing w:val="-16"/>
          <w:kern w:val="21"/>
          <w:sz w:val="21"/>
          <w:szCs w:val="21"/>
        </w:rPr>
        <w:fldChar w:fldCharType="begin"/>
      </w:r>
      <w:r>
        <w:rPr>
          <w:rFonts w:hint="default" w:ascii="Times New Roman" w:hAnsi="Times New Roman" w:cs="Times New Roman"/>
          <w:snapToGrid w:val="0"/>
          <w:color w:val="auto"/>
          <w:spacing w:val="-16"/>
          <w:kern w:val="21"/>
          <w:sz w:val="21"/>
          <w:szCs w:val="21"/>
        </w:rPr>
        <w:instrText xml:space="preserve"> = 6 \* GB3 \* MERGEFORMAT </w:instrText>
      </w:r>
      <w:r>
        <w:rPr>
          <w:rFonts w:hint="default" w:ascii="Times New Roman" w:hAnsi="Times New Roman" w:cs="Times New Roman"/>
          <w:snapToGrid w:val="0"/>
          <w:color w:val="auto"/>
          <w:spacing w:val="-16"/>
          <w:kern w:val="21"/>
          <w:sz w:val="21"/>
          <w:szCs w:val="21"/>
        </w:rPr>
        <w:fldChar w:fldCharType="separate"/>
      </w:r>
      <w:r>
        <w:rPr>
          <w:rFonts w:hint="default" w:ascii="Times New Roman" w:hAnsi="Times New Roman" w:cs="Times New Roman"/>
          <w:color w:val="auto"/>
          <w:sz w:val="21"/>
          <w:szCs w:val="21"/>
        </w:rPr>
        <w:t>⑥</w:t>
      </w:r>
      <w:r>
        <w:rPr>
          <w:rFonts w:hint="default" w:ascii="Times New Roman" w:hAnsi="Times New Roman" w:cs="Times New Roman"/>
          <w:snapToGrid w:val="0"/>
          <w:color w:val="auto"/>
          <w:spacing w:val="-16"/>
          <w:kern w:val="21"/>
          <w:sz w:val="21"/>
          <w:szCs w:val="21"/>
        </w:rPr>
        <w:fldChar w:fldCharType="end"/>
      </w:r>
      <w:r>
        <w:rPr>
          <w:rFonts w:hint="default" w:ascii="Times New Roman" w:hAnsi="Times New Roman" w:cs="Times New Roman"/>
          <w:snapToGrid w:val="0"/>
          <w:color w:val="auto"/>
          <w:spacing w:val="-16"/>
          <w:kern w:val="21"/>
          <w:sz w:val="21"/>
          <w:szCs w:val="21"/>
        </w:rPr>
        <w:t>=</w:t>
      </w:r>
      <w:r>
        <w:rPr>
          <w:rFonts w:hint="default" w:ascii="Times New Roman" w:hAnsi="Times New Roman" w:cs="Times New Roman"/>
          <w:snapToGrid w:val="0"/>
          <w:color w:val="auto"/>
          <w:spacing w:val="-6"/>
          <w:kern w:val="21"/>
          <w:sz w:val="21"/>
          <w:szCs w:val="21"/>
        </w:rPr>
        <w:fldChar w:fldCharType="begin"/>
      </w:r>
      <w:r>
        <w:rPr>
          <w:rFonts w:hint="default" w:ascii="Times New Roman" w:hAnsi="Times New Roman" w:cs="Times New Roman"/>
          <w:snapToGrid w:val="0"/>
          <w:color w:val="auto"/>
          <w:spacing w:val="-6"/>
          <w:kern w:val="21"/>
          <w:sz w:val="21"/>
          <w:szCs w:val="21"/>
        </w:rPr>
        <w:instrText xml:space="preserve"> = 1 \* GB3 \* MERGEFORMAT </w:instrText>
      </w:r>
      <w:r>
        <w:rPr>
          <w:rFonts w:hint="default" w:ascii="Times New Roman" w:hAnsi="Times New Roman" w:cs="Times New Roman"/>
          <w:snapToGrid w:val="0"/>
          <w:color w:val="auto"/>
          <w:spacing w:val="-6"/>
          <w:kern w:val="21"/>
          <w:sz w:val="21"/>
          <w:szCs w:val="21"/>
        </w:rPr>
        <w:fldChar w:fldCharType="separate"/>
      </w:r>
      <w:r>
        <w:rPr>
          <w:rFonts w:hint="default" w:ascii="Times New Roman" w:hAnsi="Times New Roman" w:cs="Times New Roman"/>
          <w:color w:val="auto"/>
          <w:sz w:val="21"/>
          <w:szCs w:val="21"/>
        </w:rPr>
        <w:t>①</w:t>
      </w:r>
      <w:r>
        <w:rPr>
          <w:rFonts w:hint="default" w:ascii="Times New Roman" w:hAnsi="Times New Roman" w:cs="Times New Roman"/>
          <w:snapToGrid w:val="0"/>
          <w:color w:val="auto"/>
          <w:spacing w:val="-6"/>
          <w:kern w:val="21"/>
          <w:sz w:val="21"/>
          <w:szCs w:val="21"/>
        </w:rPr>
        <w:fldChar w:fldCharType="end"/>
      </w:r>
      <w:r>
        <w:rPr>
          <w:rFonts w:hint="default" w:ascii="Times New Roman" w:hAnsi="Times New Roman" w:cs="Times New Roman"/>
          <w:snapToGrid w:val="0"/>
          <w:color w:val="auto"/>
          <w:spacing w:val="-6"/>
          <w:kern w:val="21"/>
          <w:sz w:val="21"/>
          <w:szCs w:val="21"/>
        </w:rPr>
        <w:t>+</w:t>
      </w:r>
      <w:r>
        <w:rPr>
          <w:rFonts w:hint="default" w:ascii="Times New Roman" w:hAnsi="Times New Roman" w:cs="Times New Roman"/>
          <w:snapToGrid w:val="0"/>
          <w:color w:val="auto"/>
          <w:spacing w:val="-6"/>
          <w:kern w:val="21"/>
          <w:sz w:val="21"/>
          <w:szCs w:val="21"/>
        </w:rPr>
        <w:fldChar w:fldCharType="begin"/>
      </w:r>
      <w:r>
        <w:rPr>
          <w:rFonts w:hint="default" w:ascii="Times New Roman" w:hAnsi="Times New Roman" w:cs="Times New Roman"/>
          <w:snapToGrid w:val="0"/>
          <w:color w:val="auto"/>
          <w:spacing w:val="-6"/>
          <w:kern w:val="21"/>
          <w:sz w:val="21"/>
          <w:szCs w:val="21"/>
        </w:rPr>
        <w:instrText xml:space="preserve"> = 3 \* GB3 \* MERGEFORMAT </w:instrText>
      </w:r>
      <w:r>
        <w:rPr>
          <w:rFonts w:hint="default" w:ascii="Times New Roman" w:hAnsi="Times New Roman" w:cs="Times New Roman"/>
          <w:snapToGrid w:val="0"/>
          <w:color w:val="auto"/>
          <w:spacing w:val="-6"/>
          <w:kern w:val="21"/>
          <w:sz w:val="21"/>
          <w:szCs w:val="21"/>
        </w:rPr>
        <w:fldChar w:fldCharType="separate"/>
      </w:r>
      <w:r>
        <w:rPr>
          <w:rFonts w:hint="default" w:ascii="Times New Roman" w:hAnsi="Times New Roman" w:cs="Times New Roman"/>
          <w:color w:val="auto"/>
          <w:sz w:val="21"/>
          <w:szCs w:val="21"/>
        </w:rPr>
        <w:t>③</w:t>
      </w:r>
      <w:r>
        <w:rPr>
          <w:rFonts w:hint="default" w:ascii="Times New Roman" w:hAnsi="Times New Roman" w:cs="Times New Roman"/>
          <w:snapToGrid w:val="0"/>
          <w:color w:val="auto"/>
          <w:spacing w:val="-6"/>
          <w:kern w:val="21"/>
          <w:sz w:val="21"/>
          <w:szCs w:val="21"/>
        </w:rPr>
        <w:fldChar w:fldCharType="end"/>
      </w:r>
      <w:r>
        <w:rPr>
          <w:rFonts w:hint="default" w:ascii="Times New Roman" w:hAnsi="Times New Roman" w:cs="Times New Roman"/>
          <w:snapToGrid w:val="0"/>
          <w:color w:val="auto"/>
          <w:spacing w:val="-6"/>
          <w:kern w:val="21"/>
          <w:sz w:val="21"/>
          <w:szCs w:val="21"/>
        </w:rPr>
        <w:t>+</w:t>
      </w:r>
      <w:r>
        <w:rPr>
          <w:rFonts w:hint="default" w:ascii="Times New Roman" w:hAnsi="Times New Roman" w:cs="Times New Roman"/>
          <w:snapToGrid w:val="0"/>
          <w:color w:val="auto"/>
          <w:spacing w:val="-6"/>
          <w:kern w:val="21"/>
          <w:sz w:val="21"/>
          <w:szCs w:val="21"/>
        </w:rPr>
        <w:fldChar w:fldCharType="begin"/>
      </w:r>
      <w:r>
        <w:rPr>
          <w:rFonts w:hint="default" w:ascii="Times New Roman" w:hAnsi="Times New Roman" w:cs="Times New Roman"/>
          <w:snapToGrid w:val="0"/>
          <w:color w:val="auto"/>
          <w:spacing w:val="-6"/>
          <w:kern w:val="21"/>
          <w:sz w:val="21"/>
          <w:szCs w:val="21"/>
        </w:rPr>
        <w:instrText xml:space="preserve"> = 4 \* GB3 \* MERGEFORMAT </w:instrText>
      </w:r>
      <w:r>
        <w:rPr>
          <w:rFonts w:hint="default" w:ascii="Times New Roman" w:hAnsi="Times New Roman" w:cs="Times New Roman"/>
          <w:snapToGrid w:val="0"/>
          <w:color w:val="auto"/>
          <w:spacing w:val="-6"/>
          <w:kern w:val="21"/>
          <w:sz w:val="21"/>
          <w:szCs w:val="21"/>
        </w:rPr>
        <w:fldChar w:fldCharType="separate"/>
      </w:r>
      <w:r>
        <w:rPr>
          <w:rFonts w:hint="default" w:ascii="Times New Roman" w:hAnsi="Times New Roman" w:cs="Times New Roman"/>
          <w:color w:val="auto"/>
          <w:sz w:val="21"/>
          <w:szCs w:val="21"/>
        </w:rPr>
        <w:t>④</w:t>
      </w:r>
      <w:r>
        <w:rPr>
          <w:rFonts w:hint="default" w:ascii="Times New Roman" w:hAnsi="Times New Roman" w:cs="Times New Roman"/>
          <w:snapToGrid w:val="0"/>
          <w:color w:val="auto"/>
          <w:spacing w:val="-6"/>
          <w:kern w:val="21"/>
          <w:sz w:val="21"/>
          <w:szCs w:val="21"/>
        </w:rPr>
        <w:fldChar w:fldCharType="end"/>
      </w:r>
      <w:r>
        <w:rPr>
          <w:rFonts w:hint="default" w:ascii="Times New Roman" w:hAnsi="Times New Roman" w:cs="Times New Roman"/>
          <w:snapToGrid w:val="0"/>
          <w:color w:val="auto"/>
          <w:spacing w:val="-6"/>
          <w:kern w:val="21"/>
          <w:sz w:val="21"/>
          <w:szCs w:val="21"/>
        </w:rPr>
        <w:t>-</w:t>
      </w:r>
      <w:r>
        <w:rPr>
          <w:rFonts w:hint="default" w:ascii="Times New Roman" w:hAnsi="Times New Roman" w:cs="Times New Roman"/>
          <w:snapToGrid w:val="0"/>
          <w:color w:val="auto"/>
          <w:spacing w:val="-16"/>
          <w:kern w:val="21"/>
          <w:sz w:val="21"/>
          <w:szCs w:val="21"/>
        </w:rPr>
        <w:fldChar w:fldCharType="begin"/>
      </w:r>
      <w:r>
        <w:rPr>
          <w:rFonts w:hint="default" w:ascii="Times New Roman" w:hAnsi="Times New Roman" w:cs="Times New Roman"/>
          <w:snapToGrid w:val="0"/>
          <w:color w:val="auto"/>
          <w:spacing w:val="-16"/>
          <w:kern w:val="21"/>
          <w:sz w:val="21"/>
          <w:szCs w:val="21"/>
        </w:rPr>
        <w:instrText xml:space="preserve"> = 5 \* GB3 \* MERGEFORMAT </w:instrText>
      </w:r>
      <w:r>
        <w:rPr>
          <w:rFonts w:hint="default" w:ascii="Times New Roman" w:hAnsi="Times New Roman" w:cs="Times New Roman"/>
          <w:snapToGrid w:val="0"/>
          <w:color w:val="auto"/>
          <w:spacing w:val="-16"/>
          <w:kern w:val="21"/>
          <w:sz w:val="21"/>
          <w:szCs w:val="21"/>
        </w:rPr>
        <w:fldChar w:fldCharType="separate"/>
      </w:r>
      <w:r>
        <w:rPr>
          <w:rFonts w:hint="default" w:ascii="Times New Roman" w:hAnsi="Times New Roman" w:cs="Times New Roman"/>
          <w:color w:val="auto"/>
          <w:sz w:val="21"/>
          <w:szCs w:val="21"/>
        </w:rPr>
        <w:t>⑤</w:t>
      </w:r>
      <w:r>
        <w:rPr>
          <w:rFonts w:hint="default" w:ascii="Times New Roman" w:hAnsi="Times New Roman" w:cs="Times New Roman"/>
          <w:snapToGrid w:val="0"/>
          <w:color w:val="auto"/>
          <w:spacing w:val="-16"/>
          <w:kern w:val="21"/>
          <w:sz w:val="21"/>
          <w:szCs w:val="21"/>
        </w:rPr>
        <w:fldChar w:fldCharType="end"/>
      </w:r>
      <w:r>
        <w:rPr>
          <w:rFonts w:hint="default" w:ascii="Times New Roman" w:hAnsi="Times New Roman" w:cs="Times New Roman"/>
          <w:snapToGrid w:val="0"/>
          <w:color w:val="auto"/>
          <w:spacing w:val="-16"/>
          <w:kern w:val="21"/>
          <w:sz w:val="21"/>
          <w:szCs w:val="21"/>
        </w:rPr>
        <w:t>；</w:t>
      </w:r>
      <w:r>
        <w:rPr>
          <w:rFonts w:hint="default" w:ascii="Times New Roman" w:hAnsi="Times New Roman" w:cs="Times New Roman"/>
          <w:snapToGrid w:val="0"/>
          <w:color w:val="auto"/>
          <w:spacing w:val="-6"/>
          <w:kern w:val="21"/>
          <w:sz w:val="21"/>
          <w:szCs w:val="21"/>
        </w:rPr>
        <w:fldChar w:fldCharType="begin"/>
      </w:r>
      <w:r>
        <w:rPr>
          <w:rFonts w:hint="default" w:ascii="Times New Roman" w:hAnsi="Times New Roman" w:cs="Times New Roman"/>
          <w:snapToGrid w:val="0"/>
          <w:color w:val="auto"/>
          <w:spacing w:val="-6"/>
          <w:kern w:val="21"/>
          <w:sz w:val="21"/>
          <w:szCs w:val="21"/>
        </w:rPr>
        <w:instrText xml:space="preserve"> = 7 \* GB3 \* MERGEFORMAT </w:instrText>
      </w:r>
      <w:r>
        <w:rPr>
          <w:rFonts w:hint="default" w:ascii="Times New Roman" w:hAnsi="Times New Roman" w:cs="Times New Roman"/>
          <w:snapToGrid w:val="0"/>
          <w:color w:val="auto"/>
          <w:spacing w:val="-6"/>
          <w:kern w:val="21"/>
          <w:sz w:val="21"/>
          <w:szCs w:val="21"/>
        </w:rPr>
        <w:fldChar w:fldCharType="separate"/>
      </w:r>
      <w:r>
        <w:rPr>
          <w:rFonts w:hint="default" w:ascii="Times New Roman" w:hAnsi="Times New Roman" w:cs="Times New Roman"/>
          <w:color w:val="auto"/>
          <w:sz w:val="21"/>
          <w:szCs w:val="21"/>
        </w:rPr>
        <w:t>⑦</w:t>
      </w:r>
      <w:r>
        <w:rPr>
          <w:rFonts w:hint="default" w:ascii="Times New Roman" w:hAnsi="Times New Roman" w:cs="Times New Roman"/>
          <w:snapToGrid w:val="0"/>
          <w:color w:val="auto"/>
          <w:spacing w:val="-6"/>
          <w:kern w:val="21"/>
          <w:sz w:val="21"/>
          <w:szCs w:val="21"/>
        </w:rPr>
        <w:fldChar w:fldCharType="end"/>
      </w:r>
      <w:r>
        <w:rPr>
          <w:rFonts w:hint="default" w:ascii="Times New Roman" w:hAnsi="Times New Roman" w:cs="Times New Roman"/>
          <w:snapToGrid w:val="0"/>
          <w:color w:val="auto"/>
          <w:spacing w:val="-6"/>
          <w:kern w:val="21"/>
          <w:sz w:val="21"/>
          <w:szCs w:val="21"/>
        </w:rPr>
        <w:t>=</w:t>
      </w:r>
      <w:r>
        <w:rPr>
          <w:rFonts w:hint="default" w:ascii="Times New Roman" w:hAnsi="Times New Roman" w:cs="Times New Roman"/>
          <w:snapToGrid w:val="0"/>
          <w:color w:val="auto"/>
          <w:spacing w:val="-16"/>
          <w:kern w:val="21"/>
          <w:sz w:val="21"/>
          <w:szCs w:val="21"/>
        </w:rPr>
        <w:fldChar w:fldCharType="begin"/>
      </w:r>
      <w:r>
        <w:rPr>
          <w:rFonts w:hint="default" w:ascii="Times New Roman" w:hAnsi="Times New Roman" w:cs="Times New Roman"/>
          <w:snapToGrid w:val="0"/>
          <w:color w:val="auto"/>
          <w:spacing w:val="-16"/>
          <w:kern w:val="21"/>
          <w:sz w:val="21"/>
          <w:szCs w:val="21"/>
        </w:rPr>
        <w:instrText xml:space="preserve"> = 6 \* GB3 \* MERGEFORMAT </w:instrText>
      </w:r>
      <w:r>
        <w:rPr>
          <w:rFonts w:hint="default" w:ascii="Times New Roman" w:hAnsi="Times New Roman" w:cs="Times New Roman"/>
          <w:snapToGrid w:val="0"/>
          <w:color w:val="auto"/>
          <w:spacing w:val="-16"/>
          <w:kern w:val="21"/>
          <w:sz w:val="21"/>
          <w:szCs w:val="21"/>
        </w:rPr>
        <w:fldChar w:fldCharType="separate"/>
      </w:r>
      <w:r>
        <w:rPr>
          <w:rFonts w:hint="default" w:ascii="Times New Roman" w:hAnsi="Times New Roman" w:cs="Times New Roman"/>
          <w:color w:val="auto"/>
          <w:sz w:val="21"/>
          <w:szCs w:val="21"/>
        </w:rPr>
        <w:t>⑥</w:t>
      </w:r>
      <w:r>
        <w:rPr>
          <w:rFonts w:hint="default" w:ascii="Times New Roman" w:hAnsi="Times New Roman" w:cs="Times New Roman"/>
          <w:snapToGrid w:val="0"/>
          <w:color w:val="auto"/>
          <w:spacing w:val="-16"/>
          <w:kern w:val="21"/>
          <w:sz w:val="21"/>
          <w:szCs w:val="21"/>
        </w:rPr>
        <w:fldChar w:fldCharType="end"/>
      </w:r>
      <w:r>
        <w:rPr>
          <w:rFonts w:hint="default" w:ascii="Times New Roman" w:hAnsi="Times New Roman" w:cs="Times New Roman"/>
          <w:snapToGrid w:val="0"/>
          <w:color w:val="auto"/>
          <w:spacing w:val="-16"/>
          <w:kern w:val="21"/>
          <w:sz w:val="21"/>
          <w:szCs w:val="21"/>
        </w:rPr>
        <w:t>-</w:t>
      </w:r>
      <w:r>
        <w:rPr>
          <w:rFonts w:hint="default" w:ascii="Times New Roman" w:hAnsi="Times New Roman" w:cs="Times New Roman"/>
          <w:snapToGrid w:val="0"/>
          <w:color w:val="auto"/>
          <w:spacing w:val="-6"/>
          <w:kern w:val="21"/>
          <w:sz w:val="21"/>
          <w:szCs w:val="21"/>
        </w:rPr>
        <w:fldChar w:fldCharType="begin"/>
      </w:r>
      <w:r>
        <w:rPr>
          <w:rFonts w:hint="default" w:ascii="Times New Roman" w:hAnsi="Times New Roman" w:cs="Times New Roman"/>
          <w:snapToGrid w:val="0"/>
          <w:color w:val="auto"/>
          <w:spacing w:val="-6"/>
          <w:kern w:val="21"/>
          <w:sz w:val="21"/>
          <w:szCs w:val="21"/>
        </w:rPr>
        <w:instrText xml:space="preserve"> = 1 \* GB3 \* MERGEFORMAT </w:instrText>
      </w:r>
      <w:r>
        <w:rPr>
          <w:rFonts w:hint="default" w:ascii="Times New Roman" w:hAnsi="Times New Roman" w:cs="Times New Roman"/>
          <w:snapToGrid w:val="0"/>
          <w:color w:val="auto"/>
          <w:spacing w:val="-6"/>
          <w:kern w:val="21"/>
          <w:sz w:val="21"/>
          <w:szCs w:val="21"/>
        </w:rPr>
        <w:fldChar w:fldCharType="separate"/>
      </w:r>
      <w:r>
        <w:rPr>
          <w:rFonts w:hint="default" w:ascii="Times New Roman" w:hAnsi="Times New Roman" w:cs="Times New Roman"/>
          <w:color w:val="auto"/>
          <w:sz w:val="21"/>
          <w:szCs w:val="21"/>
        </w:rPr>
        <w:t>①</w:t>
      </w:r>
      <w:r>
        <w:rPr>
          <w:rFonts w:hint="default" w:ascii="Times New Roman" w:hAnsi="Times New Roman" w:cs="Times New Roman"/>
          <w:snapToGrid w:val="0"/>
          <w:color w:val="auto"/>
          <w:spacing w:val="-6"/>
          <w:kern w:val="21"/>
          <w:sz w:val="21"/>
          <w:szCs w:val="21"/>
        </w:rPr>
        <w:fldChar w:fldCharType="end"/>
      </w:r>
    </w:p>
    <w:p>
      <w:pPr>
        <w:rPr>
          <w:rFonts w:hint="default" w:ascii="Times New Roman" w:hAnsi="Times New Roman" w:eastAsia="黑体" w:cs="Times New Roman"/>
          <w:color w:val="auto"/>
          <w:sz w:val="21"/>
          <w:szCs w:val="21"/>
        </w:rPr>
      </w:pPr>
    </w:p>
    <w:sectPr>
      <w:footerReference r:id="rId5"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Gulim">
    <w:panose1 w:val="020B0600000101010101"/>
    <w:charset w:val="81"/>
    <w:family w:val="auto"/>
    <w:pitch w:val="default"/>
    <w:sig w:usb0="B00002AF" w:usb1="69D77CFB" w:usb2="00000030" w:usb3="00000000" w:csb0="4008009F" w:csb1="DFD7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86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198136"/>
    <w:multiLevelType w:val="multilevel"/>
    <w:tmpl w:val="92198136"/>
    <w:lvl w:ilvl="0" w:tentative="0">
      <w:start w:val="1"/>
      <w:numFmt w:val="decimal"/>
      <w:pStyle w:val="92"/>
      <w:suff w:val="space"/>
      <w:lvlText w:val="%1"/>
      <w:lvlJc w:val="left"/>
      <w:pPr>
        <w:tabs>
          <w:tab w:val="left" w:pos="0"/>
        </w:tabs>
        <w:ind w:left="210" w:hanging="210"/>
      </w:pPr>
      <w:rPr>
        <w:rFonts w:hint="default" w:ascii="Times New Roman" w:hAnsi="Times New Roman" w:eastAsia="宋体" w:cs="Times New Roman"/>
        <w:b/>
        <w:bCs/>
        <w:sz w:val="32"/>
        <w:szCs w:val="32"/>
      </w:rPr>
    </w:lvl>
    <w:lvl w:ilvl="1" w:tentative="0">
      <w:start w:val="1"/>
      <w:numFmt w:val="decimal"/>
      <w:pStyle w:val="91"/>
      <w:suff w:val="space"/>
      <w:lvlText w:val="%1.%2"/>
      <w:lvlJc w:val="left"/>
      <w:pPr>
        <w:tabs>
          <w:tab w:val="left" w:pos="850"/>
        </w:tabs>
        <w:ind w:left="210" w:hanging="210"/>
      </w:pPr>
      <w:rPr>
        <w:rFonts w:hint="default" w:ascii="Times New Roman" w:hAnsi="Times New Roman" w:eastAsia="宋体" w:cs="Times New Roman"/>
        <w:b/>
        <w:bCs/>
        <w:sz w:val="30"/>
        <w:szCs w:val="30"/>
      </w:rPr>
    </w:lvl>
    <w:lvl w:ilvl="2" w:tentative="0">
      <w:start w:val="1"/>
      <w:numFmt w:val="decimal"/>
      <w:pStyle w:val="90"/>
      <w:suff w:val="space"/>
      <w:lvlText w:val="%1.%2.%3"/>
      <w:lvlJc w:val="left"/>
      <w:pPr>
        <w:tabs>
          <w:tab w:val="left" w:pos="850"/>
        </w:tabs>
        <w:ind w:left="210" w:hanging="210"/>
      </w:pPr>
      <w:rPr>
        <w:rFonts w:hint="default" w:ascii="Times New Roman" w:hAnsi="Times New Roman" w:eastAsia="宋体" w:cs="Times New Roman"/>
        <w:b/>
        <w:bCs/>
        <w:sz w:val="28"/>
        <w:szCs w:val="28"/>
      </w:rPr>
    </w:lvl>
    <w:lvl w:ilvl="3" w:tentative="0">
      <w:start w:val="1"/>
      <w:numFmt w:val="decimal"/>
      <w:pStyle w:val="89"/>
      <w:suff w:val="space"/>
      <w:lvlText w:val="%1.%2.%3.%4"/>
      <w:lvlJc w:val="left"/>
      <w:pPr>
        <w:tabs>
          <w:tab w:val="left" w:pos="850"/>
        </w:tabs>
        <w:ind w:left="210" w:hanging="210"/>
      </w:pPr>
      <w:rPr>
        <w:rFonts w:hint="default" w:ascii="Times New Roman" w:hAnsi="Times New Roman" w:eastAsia="宋体" w:cs="Times New Roman"/>
        <w:b/>
        <w:bCs/>
        <w:sz w:val="24"/>
        <w:szCs w:val="24"/>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3B545437"/>
    <w:multiLevelType w:val="singleLevel"/>
    <w:tmpl w:val="3B545437"/>
    <w:lvl w:ilvl="0" w:tentative="0">
      <w:start w:val="1"/>
      <w:numFmt w:val="bullet"/>
      <w:pStyle w:val="13"/>
      <w:lvlText w:val=""/>
      <w:lvlJc w:val="left"/>
      <w:pPr>
        <w:tabs>
          <w:tab w:val="left" w:pos="2040"/>
        </w:tabs>
        <w:ind w:left="204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iMjcwYzAxNDJjZDg0MzJkMWVlNzE5MjQ5NGRiODIifQ=="/>
  </w:docVars>
  <w:rsids>
    <w:rsidRoot w:val="00172A27"/>
    <w:rsid w:val="000009A8"/>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1760F"/>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6923"/>
    <w:rsid w:val="002B7B00"/>
    <w:rsid w:val="002B7C44"/>
    <w:rsid w:val="002C2B17"/>
    <w:rsid w:val="002D3DD0"/>
    <w:rsid w:val="002E1F3A"/>
    <w:rsid w:val="002E298A"/>
    <w:rsid w:val="00301978"/>
    <w:rsid w:val="0030332C"/>
    <w:rsid w:val="003051C2"/>
    <w:rsid w:val="00312296"/>
    <w:rsid w:val="00314F0E"/>
    <w:rsid w:val="00321025"/>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4686A"/>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41E35"/>
    <w:rsid w:val="006748B8"/>
    <w:rsid w:val="006775C3"/>
    <w:rsid w:val="006836D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0D05"/>
    <w:rsid w:val="00702588"/>
    <w:rsid w:val="00706C5D"/>
    <w:rsid w:val="00732922"/>
    <w:rsid w:val="0075162E"/>
    <w:rsid w:val="00754034"/>
    <w:rsid w:val="00756556"/>
    <w:rsid w:val="007618C4"/>
    <w:rsid w:val="00767980"/>
    <w:rsid w:val="00770B19"/>
    <w:rsid w:val="00772563"/>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2030C"/>
    <w:rsid w:val="008306BD"/>
    <w:rsid w:val="00831A80"/>
    <w:rsid w:val="00833743"/>
    <w:rsid w:val="008340A4"/>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2A0E"/>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073E"/>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C69DB"/>
    <w:rsid w:val="00AD055E"/>
    <w:rsid w:val="00AD47A7"/>
    <w:rsid w:val="00AF0CBF"/>
    <w:rsid w:val="00AF257F"/>
    <w:rsid w:val="00AF33CF"/>
    <w:rsid w:val="00AF4D50"/>
    <w:rsid w:val="00AF6179"/>
    <w:rsid w:val="00B07EA6"/>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274DA"/>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1578D"/>
    <w:rsid w:val="00F22985"/>
    <w:rsid w:val="00F3383E"/>
    <w:rsid w:val="00F465A7"/>
    <w:rsid w:val="00F50B7C"/>
    <w:rsid w:val="00F550E6"/>
    <w:rsid w:val="00F74345"/>
    <w:rsid w:val="00F80A0A"/>
    <w:rsid w:val="00F82B19"/>
    <w:rsid w:val="00F9212D"/>
    <w:rsid w:val="00F965DA"/>
    <w:rsid w:val="00FA0E82"/>
    <w:rsid w:val="00FA406A"/>
    <w:rsid w:val="00FB503A"/>
    <w:rsid w:val="00FB516C"/>
    <w:rsid w:val="00FD0236"/>
    <w:rsid w:val="00FD18F4"/>
    <w:rsid w:val="00FD54DB"/>
    <w:rsid w:val="00FD619F"/>
    <w:rsid w:val="01085094"/>
    <w:rsid w:val="01290F7E"/>
    <w:rsid w:val="012A385F"/>
    <w:rsid w:val="012D03D6"/>
    <w:rsid w:val="01455B46"/>
    <w:rsid w:val="01457570"/>
    <w:rsid w:val="01493192"/>
    <w:rsid w:val="015D1E09"/>
    <w:rsid w:val="019200E6"/>
    <w:rsid w:val="01B32352"/>
    <w:rsid w:val="01E2069A"/>
    <w:rsid w:val="01E3592B"/>
    <w:rsid w:val="01F121F4"/>
    <w:rsid w:val="020B07BA"/>
    <w:rsid w:val="02145195"/>
    <w:rsid w:val="022278B2"/>
    <w:rsid w:val="02380E83"/>
    <w:rsid w:val="023B25B1"/>
    <w:rsid w:val="023F3511"/>
    <w:rsid w:val="02697903"/>
    <w:rsid w:val="02963DFC"/>
    <w:rsid w:val="02977EFE"/>
    <w:rsid w:val="02BE08A6"/>
    <w:rsid w:val="02E84657"/>
    <w:rsid w:val="02E912A5"/>
    <w:rsid w:val="02F0175E"/>
    <w:rsid w:val="02F96569"/>
    <w:rsid w:val="02FC45A7"/>
    <w:rsid w:val="03115032"/>
    <w:rsid w:val="0315062C"/>
    <w:rsid w:val="031E62CB"/>
    <w:rsid w:val="034A3347"/>
    <w:rsid w:val="03885E3A"/>
    <w:rsid w:val="038A3960"/>
    <w:rsid w:val="03955C77"/>
    <w:rsid w:val="03A26EFC"/>
    <w:rsid w:val="03AF33C7"/>
    <w:rsid w:val="03B15391"/>
    <w:rsid w:val="03BE6A0F"/>
    <w:rsid w:val="03C54999"/>
    <w:rsid w:val="03D42E2E"/>
    <w:rsid w:val="03EA7B21"/>
    <w:rsid w:val="040717E8"/>
    <w:rsid w:val="04102B88"/>
    <w:rsid w:val="04125FE6"/>
    <w:rsid w:val="04173A42"/>
    <w:rsid w:val="041B280B"/>
    <w:rsid w:val="04274A9E"/>
    <w:rsid w:val="046C750A"/>
    <w:rsid w:val="048C4EFE"/>
    <w:rsid w:val="049031F8"/>
    <w:rsid w:val="04A676E0"/>
    <w:rsid w:val="04AD4507"/>
    <w:rsid w:val="04BD2899"/>
    <w:rsid w:val="04BD69AA"/>
    <w:rsid w:val="04BF588C"/>
    <w:rsid w:val="04CD4817"/>
    <w:rsid w:val="04F27A0F"/>
    <w:rsid w:val="05025778"/>
    <w:rsid w:val="050411C7"/>
    <w:rsid w:val="050B10EE"/>
    <w:rsid w:val="051077E5"/>
    <w:rsid w:val="051A6F66"/>
    <w:rsid w:val="054A19C3"/>
    <w:rsid w:val="054F6C10"/>
    <w:rsid w:val="05542478"/>
    <w:rsid w:val="055F2BCB"/>
    <w:rsid w:val="05AC67A2"/>
    <w:rsid w:val="05B60A3D"/>
    <w:rsid w:val="05B86E9A"/>
    <w:rsid w:val="05D13AC9"/>
    <w:rsid w:val="05D4709F"/>
    <w:rsid w:val="05E732EC"/>
    <w:rsid w:val="05EA4B8A"/>
    <w:rsid w:val="05F06CF0"/>
    <w:rsid w:val="05F83EAE"/>
    <w:rsid w:val="06023373"/>
    <w:rsid w:val="0607573C"/>
    <w:rsid w:val="0608597A"/>
    <w:rsid w:val="061153CA"/>
    <w:rsid w:val="061834A6"/>
    <w:rsid w:val="06233BF8"/>
    <w:rsid w:val="062E0F1B"/>
    <w:rsid w:val="06335E66"/>
    <w:rsid w:val="063E7D85"/>
    <w:rsid w:val="065A7C6C"/>
    <w:rsid w:val="065B15E4"/>
    <w:rsid w:val="069A65B0"/>
    <w:rsid w:val="06CB0518"/>
    <w:rsid w:val="06FA704F"/>
    <w:rsid w:val="06FC6923"/>
    <w:rsid w:val="07060A8D"/>
    <w:rsid w:val="0713087F"/>
    <w:rsid w:val="07267C17"/>
    <w:rsid w:val="07293586"/>
    <w:rsid w:val="07295285"/>
    <w:rsid w:val="07304ED7"/>
    <w:rsid w:val="074C7875"/>
    <w:rsid w:val="07547015"/>
    <w:rsid w:val="07636392"/>
    <w:rsid w:val="07770C56"/>
    <w:rsid w:val="077D20A0"/>
    <w:rsid w:val="079E79DA"/>
    <w:rsid w:val="07BF4CF0"/>
    <w:rsid w:val="07DA45E6"/>
    <w:rsid w:val="07E845A4"/>
    <w:rsid w:val="07F7358F"/>
    <w:rsid w:val="07FC6443"/>
    <w:rsid w:val="080737D2"/>
    <w:rsid w:val="08126A08"/>
    <w:rsid w:val="081E0B1B"/>
    <w:rsid w:val="08371C2A"/>
    <w:rsid w:val="0858402D"/>
    <w:rsid w:val="085D1644"/>
    <w:rsid w:val="088317F0"/>
    <w:rsid w:val="08F35790"/>
    <w:rsid w:val="08FA60FF"/>
    <w:rsid w:val="091A60F3"/>
    <w:rsid w:val="092217DD"/>
    <w:rsid w:val="0932487E"/>
    <w:rsid w:val="093977C1"/>
    <w:rsid w:val="093A7294"/>
    <w:rsid w:val="093F60F2"/>
    <w:rsid w:val="09596913"/>
    <w:rsid w:val="095E1B17"/>
    <w:rsid w:val="0978425B"/>
    <w:rsid w:val="097B3910"/>
    <w:rsid w:val="09B41737"/>
    <w:rsid w:val="09C154C5"/>
    <w:rsid w:val="09E41746"/>
    <w:rsid w:val="09ED2377"/>
    <w:rsid w:val="0A1A47F6"/>
    <w:rsid w:val="0A1C7939"/>
    <w:rsid w:val="0A263993"/>
    <w:rsid w:val="0A27585C"/>
    <w:rsid w:val="0A2D3AC2"/>
    <w:rsid w:val="0A410715"/>
    <w:rsid w:val="0A663810"/>
    <w:rsid w:val="0A864C35"/>
    <w:rsid w:val="0A943317"/>
    <w:rsid w:val="0A9B6453"/>
    <w:rsid w:val="0AA755DF"/>
    <w:rsid w:val="0AAC2E21"/>
    <w:rsid w:val="0AB67731"/>
    <w:rsid w:val="0AC41148"/>
    <w:rsid w:val="0ADF27E4"/>
    <w:rsid w:val="0B016878"/>
    <w:rsid w:val="0B120D44"/>
    <w:rsid w:val="0B125F70"/>
    <w:rsid w:val="0B201E88"/>
    <w:rsid w:val="0B3B3792"/>
    <w:rsid w:val="0B66613E"/>
    <w:rsid w:val="0B686E61"/>
    <w:rsid w:val="0B7373D0"/>
    <w:rsid w:val="0B8A683F"/>
    <w:rsid w:val="0B8F1383"/>
    <w:rsid w:val="0B925AA8"/>
    <w:rsid w:val="0B99356F"/>
    <w:rsid w:val="0B9A4E17"/>
    <w:rsid w:val="0BA23811"/>
    <w:rsid w:val="0BA5061C"/>
    <w:rsid w:val="0BD27BF6"/>
    <w:rsid w:val="0BD641F6"/>
    <w:rsid w:val="0BD73A5B"/>
    <w:rsid w:val="0C084B3C"/>
    <w:rsid w:val="0C0901F9"/>
    <w:rsid w:val="0C0E61BC"/>
    <w:rsid w:val="0C1E10EA"/>
    <w:rsid w:val="0C2574AE"/>
    <w:rsid w:val="0C2A27EF"/>
    <w:rsid w:val="0C2B1FE5"/>
    <w:rsid w:val="0C3B3C7D"/>
    <w:rsid w:val="0C460641"/>
    <w:rsid w:val="0C49678F"/>
    <w:rsid w:val="0C4D3038"/>
    <w:rsid w:val="0C726F73"/>
    <w:rsid w:val="0C7A1EF8"/>
    <w:rsid w:val="0C7B29E0"/>
    <w:rsid w:val="0C887F0D"/>
    <w:rsid w:val="0C9B4289"/>
    <w:rsid w:val="0CA535B9"/>
    <w:rsid w:val="0CAB2EAE"/>
    <w:rsid w:val="0CB56708"/>
    <w:rsid w:val="0CB9368E"/>
    <w:rsid w:val="0CCB23AD"/>
    <w:rsid w:val="0CF32576"/>
    <w:rsid w:val="0D1349C7"/>
    <w:rsid w:val="0D274138"/>
    <w:rsid w:val="0D310717"/>
    <w:rsid w:val="0D352B8F"/>
    <w:rsid w:val="0D4D6DF2"/>
    <w:rsid w:val="0D511A05"/>
    <w:rsid w:val="0D5D04F6"/>
    <w:rsid w:val="0D621C7D"/>
    <w:rsid w:val="0D630347"/>
    <w:rsid w:val="0DB55A7E"/>
    <w:rsid w:val="0DBF4B4E"/>
    <w:rsid w:val="0DBF5BFD"/>
    <w:rsid w:val="0DE31514"/>
    <w:rsid w:val="0DE93979"/>
    <w:rsid w:val="0DFA16E3"/>
    <w:rsid w:val="0E405CB2"/>
    <w:rsid w:val="0E6D6359"/>
    <w:rsid w:val="0E73034D"/>
    <w:rsid w:val="0E89644F"/>
    <w:rsid w:val="0E8B5269"/>
    <w:rsid w:val="0E8E7A0E"/>
    <w:rsid w:val="0E981650"/>
    <w:rsid w:val="0EA0672E"/>
    <w:rsid w:val="0EA75431"/>
    <w:rsid w:val="0EA941E5"/>
    <w:rsid w:val="0EAA3109"/>
    <w:rsid w:val="0ECA37AB"/>
    <w:rsid w:val="0ED12518"/>
    <w:rsid w:val="0EF55147"/>
    <w:rsid w:val="0EF94ECE"/>
    <w:rsid w:val="0F0E3604"/>
    <w:rsid w:val="0F10766C"/>
    <w:rsid w:val="0F13775A"/>
    <w:rsid w:val="0F263E3F"/>
    <w:rsid w:val="0F264E85"/>
    <w:rsid w:val="0F2D6EF8"/>
    <w:rsid w:val="0F363B03"/>
    <w:rsid w:val="0F5F45FE"/>
    <w:rsid w:val="0F601D5D"/>
    <w:rsid w:val="0F785870"/>
    <w:rsid w:val="0F7E5CE7"/>
    <w:rsid w:val="0F9A112B"/>
    <w:rsid w:val="0FC63F72"/>
    <w:rsid w:val="0FCF2455"/>
    <w:rsid w:val="0FD2348A"/>
    <w:rsid w:val="102823ED"/>
    <w:rsid w:val="102A6199"/>
    <w:rsid w:val="10416737"/>
    <w:rsid w:val="106043C7"/>
    <w:rsid w:val="106D2F64"/>
    <w:rsid w:val="1077375B"/>
    <w:rsid w:val="10B63710"/>
    <w:rsid w:val="10BE10ED"/>
    <w:rsid w:val="10C767F9"/>
    <w:rsid w:val="10D42E86"/>
    <w:rsid w:val="10F10820"/>
    <w:rsid w:val="10F60887"/>
    <w:rsid w:val="110A60E1"/>
    <w:rsid w:val="111C2F7A"/>
    <w:rsid w:val="114B059E"/>
    <w:rsid w:val="11665CA1"/>
    <w:rsid w:val="11696644"/>
    <w:rsid w:val="117F6ACF"/>
    <w:rsid w:val="11910DE2"/>
    <w:rsid w:val="11A443CF"/>
    <w:rsid w:val="11AC66BB"/>
    <w:rsid w:val="11B75829"/>
    <w:rsid w:val="11BD0118"/>
    <w:rsid w:val="11C24C0D"/>
    <w:rsid w:val="11EC57E6"/>
    <w:rsid w:val="11ED1C8A"/>
    <w:rsid w:val="11EE03DD"/>
    <w:rsid w:val="123C49C0"/>
    <w:rsid w:val="127265CD"/>
    <w:rsid w:val="12747CB6"/>
    <w:rsid w:val="12777458"/>
    <w:rsid w:val="127D2737"/>
    <w:rsid w:val="12A460C1"/>
    <w:rsid w:val="12AC4134"/>
    <w:rsid w:val="12B13119"/>
    <w:rsid w:val="12BA7A0D"/>
    <w:rsid w:val="12D06EB6"/>
    <w:rsid w:val="131B354D"/>
    <w:rsid w:val="13445705"/>
    <w:rsid w:val="13545D39"/>
    <w:rsid w:val="13545E9A"/>
    <w:rsid w:val="1367781A"/>
    <w:rsid w:val="136A7F12"/>
    <w:rsid w:val="13951726"/>
    <w:rsid w:val="13A75E69"/>
    <w:rsid w:val="13C80A29"/>
    <w:rsid w:val="13F56BD4"/>
    <w:rsid w:val="13FF585F"/>
    <w:rsid w:val="13FF7A53"/>
    <w:rsid w:val="14323702"/>
    <w:rsid w:val="14396509"/>
    <w:rsid w:val="144704FD"/>
    <w:rsid w:val="14547BB2"/>
    <w:rsid w:val="14776E55"/>
    <w:rsid w:val="14910EBF"/>
    <w:rsid w:val="14A30D26"/>
    <w:rsid w:val="14A84F32"/>
    <w:rsid w:val="14DD2C3C"/>
    <w:rsid w:val="14EA2BC0"/>
    <w:rsid w:val="14EC25CE"/>
    <w:rsid w:val="14FC3F92"/>
    <w:rsid w:val="1525419D"/>
    <w:rsid w:val="1534197E"/>
    <w:rsid w:val="15546E06"/>
    <w:rsid w:val="1578612A"/>
    <w:rsid w:val="15791705"/>
    <w:rsid w:val="15AB5343"/>
    <w:rsid w:val="15BF0601"/>
    <w:rsid w:val="15EC05E5"/>
    <w:rsid w:val="16087E1D"/>
    <w:rsid w:val="160939A2"/>
    <w:rsid w:val="160D07D9"/>
    <w:rsid w:val="161A5345"/>
    <w:rsid w:val="16315EBE"/>
    <w:rsid w:val="163559AE"/>
    <w:rsid w:val="163A2FC4"/>
    <w:rsid w:val="163C0ABE"/>
    <w:rsid w:val="16492B7A"/>
    <w:rsid w:val="164A7250"/>
    <w:rsid w:val="165D472F"/>
    <w:rsid w:val="165F0B79"/>
    <w:rsid w:val="166B5873"/>
    <w:rsid w:val="1686445B"/>
    <w:rsid w:val="16BA2357"/>
    <w:rsid w:val="16C36A0A"/>
    <w:rsid w:val="16EE7392"/>
    <w:rsid w:val="170D692B"/>
    <w:rsid w:val="175F7E7F"/>
    <w:rsid w:val="17701D14"/>
    <w:rsid w:val="17735226"/>
    <w:rsid w:val="17C83E9E"/>
    <w:rsid w:val="17D17958"/>
    <w:rsid w:val="17FD074D"/>
    <w:rsid w:val="18162573"/>
    <w:rsid w:val="181E3D65"/>
    <w:rsid w:val="182255F2"/>
    <w:rsid w:val="18512847"/>
    <w:rsid w:val="185C07CF"/>
    <w:rsid w:val="18697B91"/>
    <w:rsid w:val="189F624C"/>
    <w:rsid w:val="18F27B86"/>
    <w:rsid w:val="18F7519C"/>
    <w:rsid w:val="18FB56C8"/>
    <w:rsid w:val="19256822"/>
    <w:rsid w:val="193466B9"/>
    <w:rsid w:val="19436634"/>
    <w:rsid w:val="194F6D87"/>
    <w:rsid w:val="19553A24"/>
    <w:rsid w:val="1969312D"/>
    <w:rsid w:val="196B347E"/>
    <w:rsid w:val="196B7938"/>
    <w:rsid w:val="197734BB"/>
    <w:rsid w:val="19782D5D"/>
    <w:rsid w:val="19EC1B6A"/>
    <w:rsid w:val="19F059A0"/>
    <w:rsid w:val="19F1123F"/>
    <w:rsid w:val="1A1C66C0"/>
    <w:rsid w:val="1A1F1006"/>
    <w:rsid w:val="1A2D427F"/>
    <w:rsid w:val="1A3F6DFB"/>
    <w:rsid w:val="1A42393B"/>
    <w:rsid w:val="1A605EA9"/>
    <w:rsid w:val="1A682858"/>
    <w:rsid w:val="1A736AA5"/>
    <w:rsid w:val="1A971B74"/>
    <w:rsid w:val="1AA475A6"/>
    <w:rsid w:val="1AA63C2E"/>
    <w:rsid w:val="1AAB623F"/>
    <w:rsid w:val="1AAD45DE"/>
    <w:rsid w:val="1AC049E0"/>
    <w:rsid w:val="1ACD08AB"/>
    <w:rsid w:val="1AD3299E"/>
    <w:rsid w:val="1AD75285"/>
    <w:rsid w:val="1AFC4CEC"/>
    <w:rsid w:val="1B046F80"/>
    <w:rsid w:val="1B2A18D8"/>
    <w:rsid w:val="1B3267B5"/>
    <w:rsid w:val="1B40161D"/>
    <w:rsid w:val="1B441859"/>
    <w:rsid w:val="1B4A3CA9"/>
    <w:rsid w:val="1B560B40"/>
    <w:rsid w:val="1B563146"/>
    <w:rsid w:val="1B593EEC"/>
    <w:rsid w:val="1B5D07D0"/>
    <w:rsid w:val="1B5D7D38"/>
    <w:rsid w:val="1B617245"/>
    <w:rsid w:val="1B6606B1"/>
    <w:rsid w:val="1B67778B"/>
    <w:rsid w:val="1BA809D0"/>
    <w:rsid w:val="1BAC0A86"/>
    <w:rsid w:val="1BB3401E"/>
    <w:rsid w:val="1BD1083A"/>
    <w:rsid w:val="1BD42176"/>
    <w:rsid w:val="1BE32F56"/>
    <w:rsid w:val="1C0D1768"/>
    <w:rsid w:val="1C0D58D1"/>
    <w:rsid w:val="1C164F76"/>
    <w:rsid w:val="1C4918AC"/>
    <w:rsid w:val="1C5E7925"/>
    <w:rsid w:val="1C6C5627"/>
    <w:rsid w:val="1C997BE2"/>
    <w:rsid w:val="1C9D1276"/>
    <w:rsid w:val="1CB70954"/>
    <w:rsid w:val="1CC87D89"/>
    <w:rsid w:val="1CCC0028"/>
    <w:rsid w:val="1CD221A8"/>
    <w:rsid w:val="1CEB326A"/>
    <w:rsid w:val="1CFB5B82"/>
    <w:rsid w:val="1CFD070F"/>
    <w:rsid w:val="1CFE57D3"/>
    <w:rsid w:val="1D055956"/>
    <w:rsid w:val="1D1D719C"/>
    <w:rsid w:val="1D3927C4"/>
    <w:rsid w:val="1D3F3C05"/>
    <w:rsid w:val="1D402F5D"/>
    <w:rsid w:val="1D4758C1"/>
    <w:rsid w:val="1D547061"/>
    <w:rsid w:val="1D5F6196"/>
    <w:rsid w:val="1D6132A5"/>
    <w:rsid w:val="1D76522A"/>
    <w:rsid w:val="1D7C2114"/>
    <w:rsid w:val="1D81494F"/>
    <w:rsid w:val="1D8D4406"/>
    <w:rsid w:val="1D8E56D5"/>
    <w:rsid w:val="1D8E6204"/>
    <w:rsid w:val="1D901397"/>
    <w:rsid w:val="1DC715BD"/>
    <w:rsid w:val="1DD0420E"/>
    <w:rsid w:val="1DD72486"/>
    <w:rsid w:val="1E2A1B70"/>
    <w:rsid w:val="1E5E60D2"/>
    <w:rsid w:val="1E7A43DA"/>
    <w:rsid w:val="1E7D441F"/>
    <w:rsid w:val="1E8079E2"/>
    <w:rsid w:val="1EA111BC"/>
    <w:rsid w:val="1EA23940"/>
    <w:rsid w:val="1EA9584D"/>
    <w:rsid w:val="1EB263AA"/>
    <w:rsid w:val="1EBA7B16"/>
    <w:rsid w:val="1EBD6DEC"/>
    <w:rsid w:val="1EE51224"/>
    <w:rsid w:val="1EE61F3B"/>
    <w:rsid w:val="1F02489B"/>
    <w:rsid w:val="1F1E70BE"/>
    <w:rsid w:val="1F2C36C6"/>
    <w:rsid w:val="1F356A1F"/>
    <w:rsid w:val="1F38645C"/>
    <w:rsid w:val="1F53456B"/>
    <w:rsid w:val="1F62533A"/>
    <w:rsid w:val="1F647304"/>
    <w:rsid w:val="1F6A02A5"/>
    <w:rsid w:val="1F86727A"/>
    <w:rsid w:val="1F8F4381"/>
    <w:rsid w:val="1F996FAD"/>
    <w:rsid w:val="1FB02EE2"/>
    <w:rsid w:val="1FB262C1"/>
    <w:rsid w:val="1FDC333E"/>
    <w:rsid w:val="1FE7539E"/>
    <w:rsid w:val="1FF259B6"/>
    <w:rsid w:val="1FFD146F"/>
    <w:rsid w:val="205B0707"/>
    <w:rsid w:val="205B4E9F"/>
    <w:rsid w:val="20671BE0"/>
    <w:rsid w:val="206935B6"/>
    <w:rsid w:val="2079293B"/>
    <w:rsid w:val="20847F84"/>
    <w:rsid w:val="20963CB8"/>
    <w:rsid w:val="20A420AE"/>
    <w:rsid w:val="20A81A1B"/>
    <w:rsid w:val="20B07FB6"/>
    <w:rsid w:val="20B40699"/>
    <w:rsid w:val="20B646FB"/>
    <w:rsid w:val="20EA1B48"/>
    <w:rsid w:val="21236F4C"/>
    <w:rsid w:val="21274A8D"/>
    <w:rsid w:val="212B73B5"/>
    <w:rsid w:val="21322B1D"/>
    <w:rsid w:val="213B74B1"/>
    <w:rsid w:val="21560BEA"/>
    <w:rsid w:val="215A2310"/>
    <w:rsid w:val="21794CB6"/>
    <w:rsid w:val="217A696B"/>
    <w:rsid w:val="218872DA"/>
    <w:rsid w:val="218A4FF1"/>
    <w:rsid w:val="21997739"/>
    <w:rsid w:val="219B7492"/>
    <w:rsid w:val="21D53F48"/>
    <w:rsid w:val="21D824F9"/>
    <w:rsid w:val="21DC1ED6"/>
    <w:rsid w:val="21DE318A"/>
    <w:rsid w:val="21DE514B"/>
    <w:rsid w:val="21EF5B80"/>
    <w:rsid w:val="22010E3A"/>
    <w:rsid w:val="2208041A"/>
    <w:rsid w:val="2221772E"/>
    <w:rsid w:val="223025EC"/>
    <w:rsid w:val="224F1BA5"/>
    <w:rsid w:val="22576990"/>
    <w:rsid w:val="227131BB"/>
    <w:rsid w:val="22730967"/>
    <w:rsid w:val="22B61C24"/>
    <w:rsid w:val="22B97967"/>
    <w:rsid w:val="22CC78E6"/>
    <w:rsid w:val="22F47480"/>
    <w:rsid w:val="22FF583D"/>
    <w:rsid w:val="23112EC4"/>
    <w:rsid w:val="23134C41"/>
    <w:rsid w:val="23631C02"/>
    <w:rsid w:val="23692FA5"/>
    <w:rsid w:val="23696055"/>
    <w:rsid w:val="237D6F77"/>
    <w:rsid w:val="237E6A9D"/>
    <w:rsid w:val="238C0CE3"/>
    <w:rsid w:val="238E494F"/>
    <w:rsid w:val="23932FDA"/>
    <w:rsid w:val="23983979"/>
    <w:rsid w:val="23B54431"/>
    <w:rsid w:val="23B936C3"/>
    <w:rsid w:val="23BF2D5B"/>
    <w:rsid w:val="23BF6014"/>
    <w:rsid w:val="23C2284B"/>
    <w:rsid w:val="23CB538A"/>
    <w:rsid w:val="23DB13BE"/>
    <w:rsid w:val="23DD49D3"/>
    <w:rsid w:val="23DE1C48"/>
    <w:rsid w:val="23F8626D"/>
    <w:rsid w:val="23FF75FB"/>
    <w:rsid w:val="240210CD"/>
    <w:rsid w:val="241C372E"/>
    <w:rsid w:val="241E3F25"/>
    <w:rsid w:val="241F6C3B"/>
    <w:rsid w:val="248157F6"/>
    <w:rsid w:val="24AC520A"/>
    <w:rsid w:val="24AE7ED9"/>
    <w:rsid w:val="24BF09F7"/>
    <w:rsid w:val="24C731DB"/>
    <w:rsid w:val="24DF651E"/>
    <w:rsid w:val="24EC5DD1"/>
    <w:rsid w:val="24F24AB2"/>
    <w:rsid w:val="24FF0834"/>
    <w:rsid w:val="250E15C2"/>
    <w:rsid w:val="25253091"/>
    <w:rsid w:val="252D53FE"/>
    <w:rsid w:val="253357AE"/>
    <w:rsid w:val="25387269"/>
    <w:rsid w:val="255049DB"/>
    <w:rsid w:val="25535E50"/>
    <w:rsid w:val="255D1519"/>
    <w:rsid w:val="256B13EC"/>
    <w:rsid w:val="25747751"/>
    <w:rsid w:val="258C1362"/>
    <w:rsid w:val="25950217"/>
    <w:rsid w:val="25A47E3F"/>
    <w:rsid w:val="25D074A1"/>
    <w:rsid w:val="25D311BB"/>
    <w:rsid w:val="25DA5CDB"/>
    <w:rsid w:val="25EC2D81"/>
    <w:rsid w:val="25F040E6"/>
    <w:rsid w:val="26025181"/>
    <w:rsid w:val="26052B5E"/>
    <w:rsid w:val="261A2851"/>
    <w:rsid w:val="263A2B6C"/>
    <w:rsid w:val="265A4FBD"/>
    <w:rsid w:val="265D1C24"/>
    <w:rsid w:val="26924B82"/>
    <w:rsid w:val="269500DB"/>
    <w:rsid w:val="26971D6D"/>
    <w:rsid w:val="26977FBF"/>
    <w:rsid w:val="26C22644"/>
    <w:rsid w:val="26D002BE"/>
    <w:rsid w:val="27025419"/>
    <w:rsid w:val="272A498F"/>
    <w:rsid w:val="272A6282"/>
    <w:rsid w:val="273B6B9C"/>
    <w:rsid w:val="273D46C2"/>
    <w:rsid w:val="275456C4"/>
    <w:rsid w:val="277057A2"/>
    <w:rsid w:val="27B52586"/>
    <w:rsid w:val="27BF15BC"/>
    <w:rsid w:val="27BF3329"/>
    <w:rsid w:val="27ED032B"/>
    <w:rsid w:val="27EF4CA9"/>
    <w:rsid w:val="2801645C"/>
    <w:rsid w:val="280A4A42"/>
    <w:rsid w:val="281F026C"/>
    <w:rsid w:val="28284AC9"/>
    <w:rsid w:val="28285372"/>
    <w:rsid w:val="282F34A2"/>
    <w:rsid w:val="284D7A11"/>
    <w:rsid w:val="287F332E"/>
    <w:rsid w:val="28956780"/>
    <w:rsid w:val="28B53294"/>
    <w:rsid w:val="28B5472C"/>
    <w:rsid w:val="28E6559F"/>
    <w:rsid w:val="28F653EC"/>
    <w:rsid w:val="28FB09AD"/>
    <w:rsid w:val="29206EB8"/>
    <w:rsid w:val="292518B2"/>
    <w:rsid w:val="294C5091"/>
    <w:rsid w:val="29595666"/>
    <w:rsid w:val="295D5395"/>
    <w:rsid w:val="2962484B"/>
    <w:rsid w:val="297D349C"/>
    <w:rsid w:val="2983667A"/>
    <w:rsid w:val="29874881"/>
    <w:rsid w:val="29954C89"/>
    <w:rsid w:val="29A547A1"/>
    <w:rsid w:val="29BD5F8E"/>
    <w:rsid w:val="29D55086"/>
    <w:rsid w:val="29E325E0"/>
    <w:rsid w:val="29E43358"/>
    <w:rsid w:val="29FC6372"/>
    <w:rsid w:val="2A0D60EA"/>
    <w:rsid w:val="2A266C8F"/>
    <w:rsid w:val="2A452503"/>
    <w:rsid w:val="2A5B1F24"/>
    <w:rsid w:val="2A747DF5"/>
    <w:rsid w:val="2A7D1370"/>
    <w:rsid w:val="2A9C23CA"/>
    <w:rsid w:val="2AAD6003"/>
    <w:rsid w:val="2ABC1518"/>
    <w:rsid w:val="2AC277C0"/>
    <w:rsid w:val="2ACE0B52"/>
    <w:rsid w:val="2AE35581"/>
    <w:rsid w:val="2AE61515"/>
    <w:rsid w:val="2AF434C5"/>
    <w:rsid w:val="2AF436AD"/>
    <w:rsid w:val="2B22159D"/>
    <w:rsid w:val="2B22652B"/>
    <w:rsid w:val="2B261911"/>
    <w:rsid w:val="2B527E51"/>
    <w:rsid w:val="2B5841C1"/>
    <w:rsid w:val="2B606BD1"/>
    <w:rsid w:val="2B6C3BC4"/>
    <w:rsid w:val="2B6C7C6C"/>
    <w:rsid w:val="2B8970D9"/>
    <w:rsid w:val="2B9D027C"/>
    <w:rsid w:val="2BA936A8"/>
    <w:rsid w:val="2BBE31B1"/>
    <w:rsid w:val="2BC5112A"/>
    <w:rsid w:val="2BDE3F9A"/>
    <w:rsid w:val="2BFF288E"/>
    <w:rsid w:val="2C275941"/>
    <w:rsid w:val="2C315A5A"/>
    <w:rsid w:val="2C365B84"/>
    <w:rsid w:val="2C3D26A8"/>
    <w:rsid w:val="2C4B1C25"/>
    <w:rsid w:val="2C4C7931"/>
    <w:rsid w:val="2C804246"/>
    <w:rsid w:val="2C8069CD"/>
    <w:rsid w:val="2C8F2624"/>
    <w:rsid w:val="2CBA1E20"/>
    <w:rsid w:val="2CC338BC"/>
    <w:rsid w:val="2CCD64E8"/>
    <w:rsid w:val="2CD40494"/>
    <w:rsid w:val="2CD47877"/>
    <w:rsid w:val="2CFD499C"/>
    <w:rsid w:val="2D1F6B63"/>
    <w:rsid w:val="2D2500D2"/>
    <w:rsid w:val="2D314CC9"/>
    <w:rsid w:val="2D4A5D8B"/>
    <w:rsid w:val="2D515427"/>
    <w:rsid w:val="2D6B2B6D"/>
    <w:rsid w:val="2D746964"/>
    <w:rsid w:val="2D777BB3"/>
    <w:rsid w:val="2D7B18F9"/>
    <w:rsid w:val="2D7C4579"/>
    <w:rsid w:val="2D8D7FB9"/>
    <w:rsid w:val="2D9E56F5"/>
    <w:rsid w:val="2D9F4385"/>
    <w:rsid w:val="2DB25117"/>
    <w:rsid w:val="2DB86983"/>
    <w:rsid w:val="2DBD363D"/>
    <w:rsid w:val="2DBD7ACC"/>
    <w:rsid w:val="2DCF003E"/>
    <w:rsid w:val="2DD57AFC"/>
    <w:rsid w:val="2DD65871"/>
    <w:rsid w:val="2DEF3750"/>
    <w:rsid w:val="2DF06932"/>
    <w:rsid w:val="2E051115"/>
    <w:rsid w:val="2E0979F4"/>
    <w:rsid w:val="2E4A6572"/>
    <w:rsid w:val="2E4C168F"/>
    <w:rsid w:val="2E615CDF"/>
    <w:rsid w:val="2E667F96"/>
    <w:rsid w:val="2E6F617B"/>
    <w:rsid w:val="2E750BE6"/>
    <w:rsid w:val="2E7D5CEC"/>
    <w:rsid w:val="2E8226AB"/>
    <w:rsid w:val="2E84707B"/>
    <w:rsid w:val="2E98096C"/>
    <w:rsid w:val="2EB87F3E"/>
    <w:rsid w:val="2EBB116D"/>
    <w:rsid w:val="2ED51684"/>
    <w:rsid w:val="2EE76415"/>
    <w:rsid w:val="2EF93F05"/>
    <w:rsid w:val="2EFF0A6A"/>
    <w:rsid w:val="2F0E064B"/>
    <w:rsid w:val="2F1A353B"/>
    <w:rsid w:val="2F1F1BFA"/>
    <w:rsid w:val="2F210D6D"/>
    <w:rsid w:val="2F324D29"/>
    <w:rsid w:val="2F631386"/>
    <w:rsid w:val="2F77098D"/>
    <w:rsid w:val="2F985A58"/>
    <w:rsid w:val="2FAB4C96"/>
    <w:rsid w:val="2FD065E6"/>
    <w:rsid w:val="2FD44F1A"/>
    <w:rsid w:val="2FD75220"/>
    <w:rsid w:val="2FD96870"/>
    <w:rsid w:val="2FDB716E"/>
    <w:rsid w:val="2FEB29E3"/>
    <w:rsid w:val="2FFE7852"/>
    <w:rsid w:val="30090EEA"/>
    <w:rsid w:val="30142680"/>
    <w:rsid w:val="30197C97"/>
    <w:rsid w:val="3029612C"/>
    <w:rsid w:val="302C1778"/>
    <w:rsid w:val="303774D1"/>
    <w:rsid w:val="304A3BD5"/>
    <w:rsid w:val="30580BC9"/>
    <w:rsid w:val="305A6639"/>
    <w:rsid w:val="305E56A9"/>
    <w:rsid w:val="306105AC"/>
    <w:rsid w:val="30696528"/>
    <w:rsid w:val="30711881"/>
    <w:rsid w:val="307A0735"/>
    <w:rsid w:val="30891A88"/>
    <w:rsid w:val="309612E7"/>
    <w:rsid w:val="30C30E9F"/>
    <w:rsid w:val="30CC4192"/>
    <w:rsid w:val="30CE0A81"/>
    <w:rsid w:val="30DA5678"/>
    <w:rsid w:val="30F25975"/>
    <w:rsid w:val="311E2ED7"/>
    <w:rsid w:val="312C5FC6"/>
    <w:rsid w:val="314E0824"/>
    <w:rsid w:val="3151278B"/>
    <w:rsid w:val="315619EE"/>
    <w:rsid w:val="315947EF"/>
    <w:rsid w:val="315C449C"/>
    <w:rsid w:val="316008E6"/>
    <w:rsid w:val="31603DCF"/>
    <w:rsid w:val="31706BF7"/>
    <w:rsid w:val="317E2E79"/>
    <w:rsid w:val="31850CF4"/>
    <w:rsid w:val="3189003C"/>
    <w:rsid w:val="318E375F"/>
    <w:rsid w:val="3194415F"/>
    <w:rsid w:val="319E0453"/>
    <w:rsid w:val="31B70D9C"/>
    <w:rsid w:val="31B82709"/>
    <w:rsid w:val="31C87054"/>
    <w:rsid w:val="31D05482"/>
    <w:rsid w:val="31E06B62"/>
    <w:rsid w:val="31EA18EB"/>
    <w:rsid w:val="31FE7144"/>
    <w:rsid w:val="31FF34DF"/>
    <w:rsid w:val="320C0D78"/>
    <w:rsid w:val="321D734F"/>
    <w:rsid w:val="323479B1"/>
    <w:rsid w:val="32373502"/>
    <w:rsid w:val="32375C53"/>
    <w:rsid w:val="32400B34"/>
    <w:rsid w:val="32432BB4"/>
    <w:rsid w:val="324E1E79"/>
    <w:rsid w:val="32994CD4"/>
    <w:rsid w:val="329E6876"/>
    <w:rsid w:val="32B36180"/>
    <w:rsid w:val="32C12DE0"/>
    <w:rsid w:val="32C20171"/>
    <w:rsid w:val="32CF3F13"/>
    <w:rsid w:val="32E91BA2"/>
    <w:rsid w:val="32EC50D1"/>
    <w:rsid w:val="32F77C13"/>
    <w:rsid w:val="32FC18D5"/>
    <w:rsid w:val="333015F2"/>
    <w:rsid w:val="33370B5F"/>
    <w:rsid w:val="334B6320"/>
    <w:rsid w:val="335A484E"/>
    <w:rsid w:val="335B187F"/>
    <w:rsid w:val="335F00B6"/>
    <w:rsid w:val="336A6987"/>
    <w:rsid w:val="33835D2D"/>
    <w:rsid w:val="33942D29"/>
    <w:rsid w:val="33B3155C"/>
    <w:rsid w:val="33BA52ED"/>
    <w:rsid w:val="33D934D4"/>
    <w:rsid w:val="33EA5BD2"/>
    <w:rsid w:val="33FD100B"/>
    <w:rsid w:val="33FE2F6A"/>
    <w:rsid w:val="33FF778B"/>
    <w:rsid w:val="3406761E"/>
    <w:rsid w:val="340D5764"/>
    <w:rsid w:val="340E07E5"/>
    <w:rsid w:val="341B2C79"/>
    <w:rsid w:val="34235BF7"/>
    <w:rsid w:val="344C23E9"/>
    <w:rsid w:val="34530D59"/>
    <w:rsid w:val="347E0E0C"/>
    <w:rsid w:val="3489318E"/>
    <w:rsid w:val="34BF51E0"/>
    <w:rsid w:val="34D0381F"/>
    <w:rsid w:val="34D67F04"/>
    <w:rsid w:val="34D80C4C"/>
    <w:rsid w:val="34EF0750"/>
    <w:rsid w:val="34F74921"/>
    <w:rsid w:val="34F860CC"/>
    <w:rsid w:val="351B1DBB"/>
    <w:rsid w:val="352E7C3C"/>
    <w:rsid w:val="3546508A"/>
    <w:rsid w:val="358C5FA8"/>
    <w:rsid w:val="359027A9"/>
    <w:rsid w:val="35957977"/>
    <w:rsid w:val="35B30A10"/>
    <w:rsid w:val="35BB78D2"/>
    <w:rsid w:val="35BF55D4"/>
    <w:rsid w:val="35C15DF1"/>
    <w:rsid w:val="35C459EF"/>
    <w:rsid w:val="35CC726A"/>
    <w:rsid w:val="35E825E5"/>
    <w:rsid w:val="35F734D4"/>
    <w:rsid w:val="36074A7F"/>
    <w:rsid w:val="3619279E"/>
    <w:rsid w:val="36213401"/>
    <w:rsid w:val="36252EF1"/>
    <w:rsid w:val="36376434"/>
    <w:rsid w:val="365D6B2F"/>
    <w:rsid w:val="36690744"/>
    <w:rsid w:val="366A57D0"/>
    <w:rsid w:val="368B70E5"/>
    <w:rsid w:val="36923549"/>
    <w:rsid w:val="369D12D4"/>
    <w:rsid w:val="36A54032"/>
    <w:rsid w:val="36B30D5E"/>
    <w:rsid w:val="36B75FBF"/>
    <w:rsid w:val="36BD0C45"/>
    <w:rsid w:val="36C56441"/>
    <w:rsid w:val="36F11025"/>
    <w:rsid w:val="36F54FB9"/>
    <w:rsid w:val="370415F7"/>
    <w:rsid w:val="37135440"/>
    <w:rsid w:val="371D3CDA"/>
    <w:rsid w:val="375475F2"/>
    <w:rsid w:val="375C0B95"/>
    <w:rsid w:val="37897D41"/>
    <w:rsid w:val="37906415"/>
    <w:rsid w:val="37C93D50"/>
    <w:rsid w:val="37E00298"/>
    <w:rsid w:val="37E778A4"/>
    <w:rsid w:val="37E90459"/>
    <w:rsid w:val="37EA2644"/>
    <w:rsid w:val="37F30DCD"/>
    <w:rsid w:val="384671CA"/>
    <w:rsid w:val="384A6059"/>
    <w:rsid w:val="387A65A4"/>
    <w:rsid w:val="38821F74"/>
    <w:rsid w:val="38843A0B"/>
    <w:rsid w:val="38B302F9"/>
    <w:rsid w:val="38C033A5"/>
    <w:rsid w:val="38D34E86"/>
    <w:rsid w:val="38E76B84"/>
    <w:rsid w:val="38F12CD3"/>
    <w:rsid w:val="38F94775"/>
    <w:rsid w:val="38FD0155"/>
    <w:rsid w:val="39055B6F"/>
    <w:rsid w:val="391C2992"/>
    <w:rsid w:val="392971ED"/>
    <w:rsid w:val="39325651"/>
    <w:rsid w:val="39440387"/>
    <w:rsid w:val="395D7573"/>
    <w:rsid w:val="396B624B"/>
    <w:rsid w:val="398900EE"/>
    <w:rsid w:val="39B051C8"/>
    <w:rsid w:val="39B32F0A"/>
    <w:rsid w:val="39C649EB"/>
    <w:rsid w:val="39CC21A9"/>
    <w:rsid w:val="39D72754"/>
    <w:rsid w:val="39DF40AA"/>
    <w:rsid w:val="39E41315"/>
    <w:rsid w:val="39FD1880"/>
    <w:rsid w:val="3A15327D"/>
    <w:rsid w:val="3A361B71"/>
    <w:rsid w:val="3A3758E9"/>
    <w:rsid w:val="3A3B7187"/>
    <w:rsid w:val="3A4B0FCB"/>
    <w:rsid w:val="3A5908CE"/>
    <w:rsid w:val="3A59760D"/>
    <w:rsid w:val="3A7D77A0"/>
    <w:rsid w:val="3A872856"/>
    <w:rsid w:val="3A900B55"/>
    <w:rsid w:val="3A995C5C"/>
    <w:rsid w:val="3A9E3272"/>
    <w:rsid w:val="3AAD4CC5"/>
    <w:rsid w:val="3AB900AC"/>
    <w:rsid w:val="3ACD736D"/>
    <w:rsid w:val="3ACD746E"/>
    <w:rsid w:val="3AD153F6"/>
    <w:rsid w:val="3AD82C28"/>
    <w:rsid w:val="3AF67ED2"/>
    <w:rsid w:val="3AF72565"/>
    <w:rsid w:val="3B0123EF"/>
    <w:rsid w:val="3B141786"/>
    <w:rsid w:val="3B20637D"/>
    <w:rsid w:val="3B3763D1"/>
    <w:rsid w:val="3B725296"/>
    <w:rsid w:val="3B7346FF"/>
    <w:rsid w:val="3B7E6D8E"/>
    <w:rsid w:val="3B851802"/>
    <w:rsid w:val="3B862684"/>
    <w:rsid w:val="3BA24D3F"/>
    <w:rsid w:val="3BEE316C"/>
    <w:rsid w:val="3C101F4E"/>
    <w:rsid w:val="3C1852A6"/>
    <w:rsid w:val="3C205657"/>
    <w:rsid w:val="3C2F6E1E"/>
    <w:rsid w:val="3C4F64BA"/>
    <w:rsid w:val="3C521D02"/>
    <w:rsid w:val="3C547960"/>
    <w:rsid w:val="3C676CE1"/>
    <w:rsid w:val="3C8446EA"/>
    <w:rsid w:val="3C8745AC"/>
    <w:rsid w:val="3CB01D78"/>
    <w:rsid w:val="3CB32F80"/>
    <w:rsid w:val="3CBC1E65"/>
    <w:rsid w:val="3CC11F67"/>
    <w:rsid w:val="3CDA245A"/>
    <w:rsid w:val="3D0E2D68"/>
    <w:rsid w:val="3D1E06B7"/>
    <w:rsid w:val="3D1E0998"/>
    <w:rsid w:val="3D474095"/>
    <w:rsid w:val="3D571338"/>
    <w:rsid w:val="3D5843DC"/>
    <w:rsid w:val="3D721A0E"/>
    <w:rsid w:val="3D9B618F"/>
    <w:rsid w:val="3DA05553"/>
    <w:rsid w:val="3DA63ED1"/>
    <w:rsid w:val="3DB44C31"/>
    <w:rsid w:val="3DC63B91"/>
    <w:rsid w:val="3DD95EBC"/>
    <w:rsid w:val="3DF47D82"/>
    <w:rsid w:val="3E04281A"/>
    <w:rsid w:val="3E575439"/>
    <w:rsid w:val="3E586C42"/>
    <w:rsid w:val="3E672F1A"/>
    <w:rsid w:val="3E6B12BF"/>
    <w:rsid w:val="3E7201E0"/>
    <w:rsid w:val="3E86299B"/>
    <w:rsid w:val="3EA132AC"/>
    <w:rsid w:val="3EA217F6"/>
    <w:rsid w:val="3EB218F1"/>
    <w:rsid w:val="3EB24FFE"/>
    <w:rsid w:val="3EBA2951"/>
    <w:rsid w:val="3EBF7AF0"/>
    <w:rsid w:val="3ECC1538"/>
    <w:rsid w:val="3ECC71EF"/>
    <w:rsid w:val="3ED676BF"/>
    <w:rsid w:val="3EDA0523"/>
    <w:rsid w:val="3EDE4585"/>
    <w:rsid w:val="3EE65ED1"/>
    <w:rsid w:val="3EF43DA9"/>
    <w:rsid w:val="3EFE0783"/>
    <w:rsid w:val="3F23643C"/>
    <w:rsid w:val="3F367F1D"/>
    <w:rsid w:val="3F84512C"/>
    <w:rsid w:val="3F961673"/>
    <w:rsid w:val="3F9C4EDD"/>
    <w:rsid w:val="3FB629A3"/>
    <w:rsid w:val="3FCB4831"/>
    <w:rsid w:val="3FCE7EA5"/>
    <w:rsid w:val="3FDE06A8"/>
    <w:rsid w:val="3FE43E1D"/>
    <w:rsid w:val="400B3158"/>
    <w:rsid w:val="401A339B"/>
    <w:rsid w:val="4024421A"/>
    <w:rsid w:val="40436D96"/>
    <w:rsid w:val="404623E2"/>
    <w:rsid w:val="404F6D9A"/>
    <w:rsid w:val="406309D4"/>
    <w:rsid w:val="406632A8"/>
    <w:rsid w:val="406665E0"/>
    <w:rsid w:val="406B3BF6"/>
    <w:rsid w:val="407242BD"/>
    <w:rsid w:val="407A6407"/>
    <w:rsid w:val="40803487"/>
    <w:rsid w:val="4080438F"/>
    <w:rsid w:val="40BB2DD0"/>
    <w:rsid w:val="40F14DAA"/>
    <w:rsid w:val="40F2256A"/>
    <w:rsid w:val="40F563F2"/>
    <w:rsid w:val="40F938F8"/>
    <w:rsid w:val="40FC1256"/>
    <w:rsid w:val="410302D3"/>
    <w:rsid w:val="410C362B"/>
    <w:rsid w:val="412344D1"/>
    <w:rsid w:val="412A3AB2"/>
    <w:rsid w:val="413D35B8"/>
    <w:rsid w:val="4142704D"/>
    <w:rsid w:val="41466412"/>
    <w:rsid w:val="41645D73"/>
    <w:rsid w:val="416D10FE"/>
    <w:rsid w:val="418D5DEE"/>
    <w:rsid w:val="418E4ED7"/>
    <w:rsid w:val="41DA7286"/>
    <w:rsid w:val="41E22690"/>
    <w:rsid w:val="41EE1F07"/>
    <w:rsid w:val="4200449D"/>
    <w:rsid w:val="42042555"/>
    <w:rsid w:val="420625A2"/>
    <w:rsid w:val="42114C71"/>
    <w:rsid w:val="42193761"/>
    <w:rsid w:val="421A58D4"/>
    <w:rsid w:val="421F738E"/>
    <w:rsid w:val="422626BB"/>
    <w:rsid w:val="423A3BCC"/>
    <w:rsid w:val="424D21FD"/>
    <w:rsid w:val="424E57D2"/>
    <w:rsid w:val="425B7C9B"/>
    <w:rsid w:val="4291797E"/>
    <w:rsid w:val="429D02B3"/>
    <w:rsid w:val="42AA2F0B"/>
    <w:rsid w:val="42B26C49"/>
    <w:rsid w:val="42B52A5A"/>
    <w:rsid w:val="43075564"/>
    <w:rsid w:val="43092462"/>
    <w:rsid w:val="4315253F"/>
    <w:rsid w:val="431C1B20"/>
    <w:rsid w:val="431C742A"/>
    <w:rsid w:val="4327770D"/>
    <w:rsid w:val="43324E9F"/>
    <w:rsid w:val="433A6FE6"/>
    <w:rsid w:val="433D1819"/>
    <w:rsid w:val="433F3E66"/>
    <w:rsid w:val="43480868"/>
    <w:rsid w:val="4350713C"/>
    <w:rsid w:val="43664B49"/>
    <w:rsid w:val="436653E0"/>
    <w:rsid w:val="438F40A0"/>
    <w:rsid w:val="43B77C03"/>
    <w:rsid w:val="43BE0278"/>
    <w:rsid w:val="43C4431A"/>
    <w:rsid w:val="43FD6DCC"/>
    <w:rsid w:val="442C70C0"/>
    <w:rsid w:val="44531571"/>
    <w:rsid w:val="446041CD"/>
    <w:rsid w:val="446A45CF"/>
    <w:rsid w:val="44901E7E"/>
    <w:rsid w:val="44965F17"/>
    <w:rsid w:val="449B0C14"/>
    <w:rsid w:val="44AB4702"/>
    <w:rsid w:val="44B30262"/>
    <w:rsid w:val="44B951CC"/>
    <w:rsid w:val="44BA514C"/>
    <w:rsid w:val="44CD14E0"/>
    <w:rsid w:val="44E4666D"/>
    <w:rsid w:val="44EC55D9"/>
    <w:rsid w:val="44F20B0B"/>
    <w:rsid w:val="450B1E4C"/>
    <w:rsid w:val="450F1E50"/>
    <w:rsid w:val="45131232"/>
    <w:rsid w:val="451A304B"/>
    <w:rsid w:val="452E5F4C"/>
    <w:rsid w:val="453708B1"/>
    <w:rsid w:val="45592BB7"/>
    <w:rsid w:val="45612018"/>
    <w:rsid w:val="4568543D"/>
    <w:rsid w:val="458946E9"/>
    <w:rsid w:val="45974D0A"/>
    <w:rsid w:val="45A47C0E"/>
    <w:rsid w:val="45A63C1A"/>
    <w:rsid w:val="45B93656"/>
    <w:rsid w:val="45C1250B"/>
    <w:rsid w:val="45CC3389"/>
    <w:rsid w:val="460D74FE"/>
    <w:rsid w:val="461F2682"/>
    <w:rsid w:val="46386668"/>
    <w:rsid w:val="46437A72"/>
    <w:rsid w:val="46577FD6"/>
    <w:rsid w:val="467F664E"/>
    <w:rsid w:val="46B221AD"/>
    <w:rsid w:val="46C6427C"/>
    <w:rsid w:val="46C82C65"/>
    <w:rsid w:val="46D0096D"/>
    <w:rsid w:val="46D955A7"/>
    <w:rsid w:val="46E666CD"/>
    <w:rsid w:val="47112091"/>
    <w:rsid w:val="47133957"/>
    <w:rsid w:val="47174AD8"/>
    <w:rsid w:val="47283F37"/>
    <w:rsid w:val="47393D8E"/>
    <w:rsid w:val="47454EAC"/>
    <w:rsid w:val="474D43C2"/>
    <w:rsid w:val="477535AD"/>
    <w:rsid w:val="47976507"/>
    <w:rsid w:val="479A2A21"/>
    <w:rsid w:val="47A07E0C"/>
    <w:rsid w:val="47AA2D8C"/>
    <w:rsid w:val="47B13074"/>
    <w:rsid w:val="47B92145"/>
    <w:rsid w:val="47C57487"/>
    <w:rsid w:val="47D14C87"/>
    <w:rsid w:val="47D95F95"/>
    <w:rsid w:val="47F44E19"/>
    <w:rsid w:val="4808425A"/>
    <w:rsid w:val="48142DC6"/>
    <w:rsid w:val="481A4291"/>
    <w:rsid w:val="482E032B"/>
    <w:rsid w:val="4870272E"/>
    <w:rsid w:val="48AC56FF"/>
    <w:rsid w:val="48DC3EB6"/>
    <w:rsid w:val="4904108C"/>
    <w:rsid w:val="4921579A"/>
    <w:rsid w:val="4922739A"/>
    <w:rsid w:val="492306DA"/>
    <w:rsid w:val="49356994"/>
    <w:rsid w:val="494920D5"/>
    <w:rsid w:val="494C5660"/>
    <w:rsid w:val="494F7763"/>
    <w:rsid w:val="495042D1"/>
    <w:rsid w:val="496F6480"/>
    <w:rsid w:val="49B224A0"/>
    <w:rsid w:val="49BD025F"/>
    <w:rsid w:val="49CA4084"/>
    <w:rsid w:val="49CD76D0"/>
    <w:rsid w:val="49DC7715"/>
    <w:rsid w:val="4A023139"/>
    <w:rsid w:val="4A110C66"/>
    <w:rsid w:val="4A3E237C"/>
    <w:rsid w:val="4A575FCC"/>
    <w:rsid w:val="4A644C5B"/>
    <w:rsid w:val="4A7B576F"/>
    <w:rsid w:val="4A8D54F5"/>
    <w:rsid w:val="4A982A2D"/>
    <w:rsid w:val="4AA64BF4"/>
    <w:rsid w:val="4AB64608"/>
    <w:rsid w:val="4ABB3E97"/>
    <w:rsid w:val="4ADD0C10"/>
    <w:rsid w:val="4AE97F59"/>
    <w:rsid w:val="4AEE78FE"/>
    <w:rsid w:val="4AF561A9"/>
    <w:rsid w:val="4AF869CF"/>
    <w:rsid w:val="4B0B04B0"/>
    <w:rsid w:val="4B2441E5"/>
    <w:rsid w:val="4B506C15"/>
    <w:rsid w:val="4B580BBA"/>
    <w:rsid w:val="4B5A4F93"/>
    <w:rsid w:val="4B78366B"/>
    <w:rsid w:val="4B8464B4"/>
    <w:rsid w:val="4B897627"/>
    <w:rsid w:val="4B8E4B97"/>
    <w:rsid w:val="4B977F95"/>
    <w:rsid w:val="4BDB4926"/>
    <w:rsid w:val="4BE156B5"/>
    <w:rsid w:val="4BED22AB"/>
    <w:rsid w:val="4BF165EF"/>
    <w:rsid w:val="4BFA0524"/>
    <w:rsid w:val="4C0D6B63"/>
    <w:rsid w:val="4C1E2465"/>
    <w:rsid w:val="4C4579F1"/>
    <w:rsid w:val="4C4A0649"/>
    <w:rsid w:val="4C545E87"/>
    <w:rsid w:val="4C59349D"/>
    <w:rsid w:val="4C7E5ECA"/>
    <w:rsid w:val="4C876AA5"/>
    <w:rsid w:val="4C8F4B5D"/>
    <w:rsid w:val="4C9B5863"/>
    <w:rsid w:val="4D0E00FB"/>
    <w:rsid w:val="4D176606"/>
    <w:rsid w:val="4D181C1C"/>
    <w:rsid w:val="4D5D6FBD"/>
    <w:rsid w:val="4D626381"/>
    <w:rsid w:val="4D866514"/>
    <w:rsid w:val="4D882EA7"/>
    <w:rsid w:val="4D9E7167"/>
    <w:rsid w:val="4DAB41CC"/>
    <w:rsid w:val="4DAE70CA"/>
    <w:rsid w:val="4DBA440F"/>
    <w:rsid w:val="4DBE2B79"/>
    <w:rsid w:val="4DC41D14"/>
    <w:rsid w:val="4DD252B5"/>
    <w:rsid w:val="4DD6758D"/>
    <w:rsid w:val="4DDC3059"/>
    <w:rsid w:val="4DEC4FB0"/>
    <w:rsid w:val="4DEE5F1E"/>
    <w:rsid w:val="4E027734"/>
    <w:rsid w:val="4E075D8A"/>
    <w:rsid w:val="4E25793E"/>
    <w:rsid w:val="4E326AC0"/>
    <w:rsid w:val="4E3441C2"/>
    <w:rsid w:val="4E49065D"/>
    <w:rsid w:val="4E5F1DB8"/>
    <w:rsid w:val="4E757CEC"/>
    <w:rsid w:val="4E7B30A1"/>
    <w:rsid w:val="4E7E15DF"/>
    <w:rsid w:val="4E8856E8"/>
    <w:rsid w:val="4E94306D"/>
    <w:rsid w:val="4EB00EA7"/>
    <w:rsid w:val="4EBD2E1B"/>
    <w:rsid w:val="4EC00FAD"/>
    <w:rsid w:val="4EC217CD"/>
    <w:rsid w:val="4ED27537"/>
    <w:rsid w:val="4EFD45B3"/>
    <w:rsid w:val="4F28486A"/>
    <w:rsid w:val="4F727C37"/>
    <w:rsid w:val="4F8C5937"/>
    <w:rsid w:val="4F9843DC"/>
    <w:rsid w:val="4FAB400F"/>
    <w:rsid w:val="4FAC7464"/>
    <w:rsid w:val="4FC21359"/>
    <w:rsid w:val="4FC62A8C"/>
    <w:rsid w:val="4FC926E8"/>
    <w:rsid w:val="4FE20F0D"/>
    <w:rsid w:val="4FE51552"/>
    <w:rsid w:val="4FE70901"/>
    <w:rsid w:val="500E2CA8"/>
    <w:rsid w:val="50125E3D"/>
    <w:rsid w:val="5019178D"/>
    <w:rsid w:val="501E4576"/>
    <w:rsid w:val="50217E7C"/>
    <w:rsid w:val="503649FB"/>
    <w:rsid w:val="50445185"/>
    <w:rsid w:val="50504C4B"/>
    <w:rsid w:val="50722D7F"/>
    <w:rsid w:val="50760AC1"/>
    <w:rsid w:val="5078769E"/>
    <w:rsid w:val="509C58BA"/>
    <w:rsid w:val="509C6E7C"/>
    <w:rsid w:val="50D41B48"/>
    <w:rsid w:val="50E91C68"/>
    <w:rsid w:val="50EB2841"/>
    <w:rsid w:val="51257DF2"/>
    <w:rsid w:val="512E1702"/>
    <w:rsid w:val="51410818"/>
    <w:rsid w:val="514526E1"/>
    <w:rsid w:val="514F1402"/>
    <w:rsid w:val="51533C6F"/>
    <w:rsid w:val="5162104E"/>
    <w:rsid w:val="516721B8"/>
    <w:rsid w:val="517174DB"/>
    <w:rsid w:val="518A59DE"/>
    <w:rsid w:val="519531C9"/>
    <w:rsid w:val="519B5C70"/>
    <w:rsid w:val="51BB0604"/>
    <w:rsid w:val="51F643D5"/>
    <w:rsid w:val="522A54B6"/>
    <w:rsid w:val="52332655"/>
    <w:rsid w:val="52445A58"/>
    <w:rsid w:val="52575B0C"/>
    <w:rsid w:val="52670547"/>
    <w:rsid w:val="526B2619"/>
    <w:rsid w:val="52701540"/>
    <w:rsid w:val="52724614"/>
    <w:rsid w:val="527E6865"/>
    <w:rsid w:val="52873BAB"/>
    <w:rsid w:val="529B36D0"/>
    <w:rsid w:val="529E7541"/>
    <w:rsid w:val="52A33A2B"/>
    <w:rsid w:val="52BD2A42"/>
    <w:rsid w:val="52BE394C"/>
    <w:rsid w:val="52CF7F60"/>
    <w:rsid w:val="52E35C68"/>
    <w:rsid w:val="52EC6E19"/>
    <w:rsid w:val="5322283B"/>
    <w:rsid w:val="5354041D"/>
    <w:rsid w:val="5358625C"/>
    <w:rsid w:val="5362532D"/>
    <w:rsid w:val="53681D59"/>
    <w:rsid w:val="53862665"/>
    <w:rsid w:val="538D191F"/>
    <w:rsid w:val="53A039CC"/>
    <w:rsid w:val="53A1505A"/>
    <w:rsid w:val="53A70F92"/>
    <w:rsid w:val="53B861CD"/>
    <w:rsid w:val="53BB4A3D"/>
    <w:rsid w:val="53BC5C65"/>
    <w:rsid w:val="53D31D87"/>
    <w:rsid w:val="53DF421F"/>
    <w:rsid w:val="53FA7313"/>
    <w:rsid w:val="53FC5AB5"/>
    <w:rsid w:val="540402B3"/>
    <w:rsid w:val="54063E08"/>
    <w:rsid w:val="543437E8"/>
    <w:rsid w:val="543D36A4"/>
    <w:rsid w:val="543E6FC4"/>
    <w:rsid w:val="54493695"/>
    <w:rsid w:val="544A1174"/>
    <w:rsid w:val="544B7034"/>
    <w:rsid w:val="545F2887"/>
    <w:rsid w:val="54613836"/>
    <w:rsid w:val="54694B59"/>
    <w:rsid w:val="548B08B3"/>
    <w:rsid w:val="548E2B25"/>
    <w:rsid w:val="549F7EBB"/>
    <w:rsid w:val="54A019B1"/>
    <w:rsid w:val="54B41BB8"/>
    <w:rsid w:val="54D538DD"/>
    <w:rsid w:val="54E23E74"/>
    <w:rsid w:val="54EA55DA"/>
    <w:rsid w:val="54F70755"/>
    <w:rsid w:val="54F73313"/>
    <w:rsid w:val="54F80955"/>
    <w:rsid w:val="550348EE"/>
    <w:rsid w:val="55441383"/>
    <w:rsid w:val="554A4318"/>
    <w:rsid w:val="55500CB5"/>
    <w:rsid w:val="555170A7"/>
    <w:rsid w:val="55522925"/>
    <w:rsid w:val="55550220"/>
    <w:rsid w:val="55611912"/>
    <w:rsid w:val="55674E7D"/>
    <w:rsid w:val="5569034C"/>
    <w:rsid w:val="55853555"/>
    <w:rsid w:val="5587536D"/>
    <w:rsid w:val="55945D82"/>
    <w:rsid w:val="559B174B"/>
    <w:rsid w:val="55A978C7"/>
    <w:rsid w:val="55B00902"/>
    <w:rsid w:val="55B177EA"/>
    <w:rsid w:val="55CE0CF4"/>
    <w:rsid w:val="55D426D1"/>
    <w:rsid w:val="55D911AB"/>
    <w:rsid w:val="55DC2AD0"/>
    <w:rsid w:val="55DE251A"/>
    <w:rsid w:val="55F66200"/>
    <w:rsid w:val="55F82024"/>
    <w:rsid w:val="56101070"/>
    <w:rsid w:val="5617775D"/>
    <w:rsid w:val="563A06C4"/>
    <w:rsid w:val="563E2BBB"/>
    <w:rsid w:val="56494582"/>
    <w:rsid w:val="564E1B99"/>
    <w:rsid w:val="566D4664"/>
    <w:rsid w:val="569A4B00"/>
    <w:rsid w:val="56B22A9C"/>
    <w:rsid w:val="56B71078"/>
    <w:rsid w:val="56B75832"/>
    <w:rsid w:val="56B83C14"/>
    <w:rsid w:val="56DE116E"/>
    <w:rsid w:val="56E61DD1"/>
    <w:rsid w:val="57204B59"/>
    <w:rsid w:val="57382A4B"/>
    <w:rsid w:val="574839A1"/>
    <w:rsid w:val="576660C7"/>
    <w:rsid w:val="57676182"/>
    <w:rsid w:val="578F34F7"/>
    <w:rsid w:val="579637F7"/>
    <w:rsid w:val="57AE1F7D"/>
    <w:rsid w:val="57B72A76"/>
    <w:rsid w:val="57BC56BC"/>
    <w:rsid w:val="57BE68AA"/>
    <w:rsid w:val="57C3426C"/>
    <w:rsid w:val="57CE1F93"/>
    <w:rsid w:val="57DE1A64"/>
    <w:rsid w:val="57E2285C"/>
    <w:rsid w:val="57E52089"/>
    <w:rsid w:val="57E71E77"/>
    <w:rsid w:val="57EB28DB"/>
    <w:rsid w:val="57F4051E"/>
    <w:rsid w:val="57FE5E72"/>
    <w:rsid w:val="58003366"/>
    <w:rsid w:val="58173D50"/>
    <w:rsid w:val="583721E6"/>
    <w:rsid w:val="586921CD"/>
    <w:rsid w:val="588743D1"/>
    <w:rsid w:val="5887701A"/>
    <w:rsid w:val="58912D10"/>
    <w:rsid w:val="58A12453"/>
    <w:rsid w:val="58AA0900"/>
    <w:rsid w:val="58CA339E"/>
    <w:rsid w:val="58D53380"/>
    <w:rsid w:val="58E762A5"/>
    <w:rsid w:val="58F509F1"/>
    <w:rsid w:val="58FF201C"/>
    <w:rsid w:val="5903310E"/>
    <w:rsid w:val="59364921"/>
    <w:rsid w:val="593F2A40"/>
    <w:rsid w:val="594F1EAF"/>
    <w:rsid w:val="595B4CF8"/>
    <w:rsid w:val="596272F3"/>
    <w:rsid w:val="59701FE4"/>
    <w:rsid w:val="59784010"/>
    <w:rsid w:val="5982225E"/>
    <w:rsid w:val="59872800"/>
    <w:rsid w:val="598A2EE8"/>
    <w:rsid w:val="59C0439F"/>
    <w:rsid w:val="59F42A57"/>
    <w:rsid w:val="59FD662A"/>
    <w:rsid w:val="5A0F007D"/>
    <w:rsid w:val="5A1F4E71"/>
    <w:rsid w:val="5A493AAE"/>
    <w:rsid w:val="5A494D86"/>
    <w:rsid w:val="5A4C5575"/>
    <w:rsid w:val="5A5A2EE2"/>
    <w:rsid w:val="5A8042EB"/>
    <w:rsid w:val="5A916F05"/>
    <w:rsid w:val="5A981634"/>
    <w:rsid w:val="5ABE2233"/>
    <w:rsid w:val="5AD76600"/>
    <w:rsid w:val="5AF84BAA"/>
    <w:rsid w:val="5AFD4D59"/>
    <w:rsid w:val="5B1E3BE0"/>
    <w:rsid w:val="5B1E585A"/>
    <w:rsid w:val="5B1F1D7F"/>
    <w:rsid w:val="5B2E3D47"/>
    <w:rsid w:val="5B416F42"/>
    <w:rsid w:val="5B542990"/>
    <w:rsid w:val="5B5545CC"/>
    <w:rsid w:val="5B612747"/>
    <w:rsid w:val="5B7E082A"/>
    <w:rsid w:val="5B8A6636"/>
    <w:rsid w:val="5BCA50E8"/>
    <w:rsid w:val="5BCB266D"/>
    <w:rsid w:val="5BDC2E1B"/>
    <w:rsid w:val="5BDF5D95"/>
    <w:rsid w:val="5BEE77DC"/>
    <w:rsid w:val="5BF22730"/>
    <w:rsid w:val="5BF41D48"/>
    <w:rsid w:val="5BFE7528"/>
    <w:rsid w:val="5C052876"/>
    <w:rsid w:val="5C0E0ACF"/>
    <w:rsid w:val="5C1B57BB"/>
    <w:rsid w:val="5C4122CF"/>
    <w:rsid w:val="5C6102E5"/>
    <w:rsid w:val="5C7E3F72"/>
    <w:rsid w:val="5CC2449C"/>
    <w:rsid w:val="5CE108B7"/>
    <w:rsid w:val="5D1F603D"/>
    <w:rsid w:val="5D2B2C34"/>
    <w:rsid w:val="5D3F19B8"/>
    <w:rsid w:val="5D4635C9"/>
    <w:rsid w:val="5D516EFA"/>
    <w:rsid w:val="5D5201C0"/>
    <w:rsid w:val="5D530C2F"/>
    <w:rsid w:val="5D635E4A"/>
    <w:rsid w:val="5D716DC3"/>
    <w:rsid w:val="5D7740B7"/>
    <w:rsid w:val="5D8B525A"/>
    <w:rsid w:val="5D945F05"/>
    <w:rsid w:val="5DA16A52"/>
    <w:rsid w:val="5DA402F0"/>
    <w:rsid w:val="5DD1709F"/>
    <w:rsid w:val="5DE1493C"/>
    <w:rsid w:val="5DFE49D7"/>
    <w:rsid w:val="5E0A2849"/>
    <w:rsid w:val="5E0D3CE6"/>
    <w:rsid w:val="5E0F1C0D"/>
    <w:rsid w:val="5E135BA1"/>
    <w:rsid w:val="5E2467F1"/>
    <w:rsid w:val="5E280F21"/>
    <w:rsid w:val="5E895323"/>
    <w:rsid w:val="5E8A3E20"/>
    <w:rsid w:val="5E9842F9"/>
    <w:rsid w:val="5EA5431B"/>
    <w:rsid w:val="5EDD03FE"/>
    <w:rsid w:val="5F1A2B43"/>
    <w:rsid w:val="5F210058"/>
    <w:rsid w:val="5F3F4205"/>
    <w:rsid w:val="5F4127F4"/>
    <w:rsid w:val="5F4F6A9F"/>
    <w:rsid w:val="5F5C6C51"/>
    <w:rsid w:val="5F6A1055"/>
    <w:rsid w:val="5F88611B"/>
    <w:rsid w:val="5FA8206C"/>
    <w:rsid w:val="5FAE5456"/>
    <w:rsid w:val="5FB837BB"/>
    <w:rsid w:val="5FBD6EEE"/>
    <w:rsid w:val="5FC802A4"/>
    <w:rsid w:val="5FD72DD7"/>
    <w:rsid w:val="5FE27385"/>
    <w:rsid w:val="5FFC4413"/>
    <w:rsid w:val="60673681"/>
    <w:rsid w:val="606901A3"/>
    <w:rsid w:val="609552CC"/>
    <w:rsid w:val="60980E01"/>
    <w:rsid w:val="60A05C73"/>
    <w:rsid w:val="60A56548"/>
    <w:rsid w:val="60A73618"/>
    <w:rsid w:val="60CC028A"/>
    <w:rsid w:val="60CC405A"/>
    <w:rsid w:val="60D0137C"/>
    <w:rsid w:val="60D158A0"/>
    <w:rsid w:val="60E01F29"/>
    <w:rsid w:val="60E03D35"/>
    <w:rsid w:val="60F23F26"/>
    <w:rsid w:val="61403A51"/>
    <w:rsid w:val="61534507"/>
    <w:rsid w:val="61730705"/>
    <w:rsid w:val="618E3791"/>
    <w:rsid w:val="618E553F"/>
    <w:rsid w:val="61983D29"/>
    <w:rsid w:val="619A2136"/>
    <w:rsid w:val="619C5EAE"/>
    <w:rsid w:val="61B00381"/>
    <w:rsid w:val="61DC62AA"/>
    <w:rsid w:val="61E138C1"/>
    <w:rsid w:val="61E215D8"/>
    <w:rsid w:val="6214616A"/>
    <w:rsid w:val="621611C8"/>
    <w:rsid w:val="621B3775"/>
    <w:rsid w:val="62364782"/>
    <w:rsid w:val="627C09A9"/>
    <w:rsid w:val="62866790"/>
    <w:rsid w:val="628F156F"/>
    <w:rsid w:val="62943029"/>
    <w:rsid w:val="629D7EAD"/>
    <w:rsid w:val="62AC4C86"/>
    <w:rsid w:val="62BD6112"/>
    <w:rsid w:val="62DC0831"/>
    <w:rsid w:val="6347009B"/>
    <w:rsid w:val="6366071E"/>
    <w:rsid w:val="637146A8"/>
    <w:rsid w:val="639242AB"/>
    <w:rsid w:val="6394356A"/>
    <w:rsid w:val="63A728E8"/>
    <w:rsid w:val="63BC6393"/>
    <w:rsid w:val="63C61B2C"/>
    <w:rsid w:val="63C856F4"/>
    <w:rsid w:val="63D40BE9"/>
    <w:rsid w:val="63D74F7B"/>
    <w:rsid w:val="63DD752D"/>
    <w:rsid w:val="63E27DD9"/>
    <w:rsid w:val="63EB0A27"/>
    <w:rsid w:val="63F0603D"/>
    <w:rsid w:val="64102431"/>
    <w:rsid w:val="641320A4"/>
    <w:rsid w:val="6416278C"/>
    <w:rsid w:val="643A45C6"/>
    <w:rsid w:val="64423A8C"/>
    <w:rsid w:val="644365A7"/>
    <w:rsid w:val="644975D7"/>
    <w:rsid w:val="6455489E"/>
    <w:rsid w:val="645C60CA"/>
    <w:rsid w:val="645D5931"/>
    <w:rsid w:val="64696C1E"/>
    <w:rsid w:val="64A5243A"/>
    <w:rsid w:val="64AD2180"/>
    <w:rsid w:val="64AF414A"/>
    <w:rsid w:val="64C01EB3"/>
    <w:rsid w:val="64F531DE"/>
    <w:rsid w:val="6509385A"/>
    <w:rsid w:val="65373578"/>
    <w:rsid w:val="654A1413"/>
    <w:rsid w:val="656E190F"/>
    <w:rsid w:val="65783739"/>
    <w:rsid w:val="65A649BC"/>
    <w:rsid w:val="65B74AEF"/>
    <w:rsid w:val="65CB6D62"/>
    <w:rsid w:val="65D04378"/>
    <w:rsid w:val="65DF0A5F"/>
    <w:rsid w:val="65E1498C"/>
    <w:rsid w:val="65E21E79"/>
    <w:rsid w:val="65F26120"/>
    <w:rsid w:val="662969E7"/>
    <w:rsid w:val="663C37BC"/>
    <w:rsid w:val="6641325E"/>
    <w:rsid w:val="66587CA1"/>
    <w:rsid w:val="66754F1F"/>
    <w:rsid w:val="66763171"/>
    <w:rsid w:val="66807B4C"/>
    <w:rsid w:val="6681398A"/>
    <w:rsid w:val="66961D78"/>
    <w:rsid w:val="669E13B0"/>
    <w:rsid w:val="66BC2B4E"/>
    <w:rsid w:val="66BE3BF5"/>
    <w:rsid w:val="66C51A03"/>
    <w:rsid w:val="66DA3B5B"/>
    <w:rsid w:val="66E8767D"/>
    <w:rsid w:val="67041471"/>
    <w:rsid w:val="67067BAB"/>
    <w:rsid w:val="67140F1B"/>
    <w:rsid w:val="671F124A"/>
    <w:rsid w:val="67221710"/>
    <w:rsid w:val="67273E6A"/>
    <w:rsid w:val="672B2A1C"/>
    <w:rsid w:val="673E3710"/>
    <w:rsid w:val="6740552D"/>
    <w:rsid w:val="674C5C80"/>
    <w:rsid w:val="675A65EF"/>
    <w:rsid w:val="676C6322"/>
    <w:rsid w:val="676D3B1D"/>
    <w:rsid w:val="677A33C6"/>
    <w:rsid w:val="67975302"/>
    <w:rsid w:val="67D77CC3"/>
    <w:rsid w:val="67DA328C"/>
    <w:rsid w:val="67E83F61"/>
    <w:rsid w:val="67F26828"/>
    <w:rsid w:val="681F6961"/>
    <w:rsid w:val="682C6F1B"/>
    <w:rsid w:val="68610A2F"/>
    <w:rsid w:val="686B0388"/>
    <w:rsid w:val="68725BBA"/>
    <w:rsid w:val="68805514"/>
    <w:rsid w:val="688936F5"/>
    <w:rsid w:val="68977083"/>
    <w:rsid w:val="68A047E8"/>
    <w:rsid w:val="68AC2CF6"/>
    <w:rsid w:val="68B60614"/>
    <w:rsid w:val="68B910F3"/>
    <w:rsid w:val="68CD1069"/>
    <w:rsid w:val="68CF0917"/>
    <w:rsid w:val="68D47785"/>
    <w:rsid w:val="68DE05C5"/>
    <w:rsid w:val="68ED0B5B"/>
    <w:rsid w:val="68ED20A8"/>
    <w:rsid w:val="68F77E6E"/>
    <w:rsid w:val="69012A9A"/>
    <w:rsid w:val="690D7691"/>
    <w:rsid w:val="69316E2F"/>
    <w:rsid w:val="694E2071"/>
    <w:rsid w:val="695102A8"/>
    <w:rsid w:val="69766163"/>
    <w:rsid w:val="69796AD5"/>
    <w:rsid w:val="697A3B33"/>
    <w:rsid w:val="698971FF"/>
    <w:rsid w:val="699851AD"/>
    <w:rsid w:val="69A73642"/>
    <w:rsid w:val="69A91168"/>
    <w:rsid w:val="69B1465C"/>
    <w:rsid w:val="69BF0B0E"/>
    <w:rsid w:val="69C2222A"/>
    <w:rsid w:val="69C311CF"/>
    <w:rsid w:val="69CB4CBB"/>
    <w:rsid w:val="69CF4947"/>
    <w:rsid w:val="69D2107D"/>
    <w:rsid w:val="69D44760"/>
    <w:rsid w:val="6A001A24"/>
    <w:rsid w:val="6A0A11F5"/>
    <w:rsid w:val="6A1B3C56"/>
    <w:rsid w:val="6A1D7EB6"/>
    <w:rsid w:val="6A3273AF"/>
    <w:rsid w:val="6A464C09"/>
    <w:rsid w:val="6A4946F9"/>
    <w:rsid w:val="6A520EC7"/>
    <w:rsid w:val="6A7B5929"/>
    <w:rsid w:val="6A7C1BB2"/>
    <w:rsid w:val="6AA8007B"/>
    <w:rsid w:val="6AA87672"/>
    <w:rsid w:val="6AB326C0"/>
    <w:rsid w:val="6AC67AF8"/>
    <w:rsid w:val="6AD93BB1"/>
    <w:rsid w:val="6AE604CD"/>
    <w:rsid w:val="6AF87E20"/>
    <w:rsid w:val="6AFB3C45"/>
    <w:rsid w:val="6B00125C"/>
    <w:rsid w:val="6B322639"/>
    <w:rsid w:val="6B3557E5"/>
    <w:rsid w:val="6B5C59EC"/>
    <w:rsid w:val="6B632E64"/>
    <w:rsid w:val="6B633598"/>
    <w:rsid w:val="6B7536D3"/>
    <w:rsid w:val="6B767770"/>
    <w:rsid w:val="6B782329"/>
    <w:rsid w:val="6B845D00"/>
    <w:rsid w:val="6BA67A31"/>
    <w:rsid w:val="6BAE6F0A"/>
    <w:rsid w:val="6BB02C64"/>
    <w:rsid w:val="6BC63DA7"/>
    <w:rsid w:val="6BD44496"/>
    <w:rsid w:val="6BD47580"/>
    <w:rsid w:val="6BEC0F58"/>
    <w:rsid w:val="6C106A0D"/>
    <w:rsid w:val="6C1A71D0"/>
    <w:rsid w:val="6C630E67"/>
    <w:rsid w:val="6C636C38"/>
    <w:rsid w:val="6C7F5DC1"/>
    <w:rsid w:val="6C810973"/>
    <w:rsid w:val="6C9C1458"/>
    <w:rsid w:val="6CC22541"/>
    <w:rsid w:val="6CCE7137"/>
    <w:rsid w:val="6CED5B4D"/>
    <w:rsid w:val="6CFF6857"/>
    <w:rsid w:val="6D16450C"/>
    <w:rsid w:val="6D301BA0"/>
    <w:rsid w:val="6D3916AD"/>
    <w:rsid w:val="6D3B47CD"/>
    <w:rsid w:val="6D4C7640"/>
    <w:rsid w:val="6D667370"/>
    <w:rsid w:val="6D673814"/>
    <w:rsid w:val="6D763A57"/>
    <w:rsid w:val="6D853C9A"/>
    <w:rsid w:val="6D8617C0"/>
    <w:rsid w:val="6DA102F8"/>
    <w:rsid w:val="6DB34098"/>
    <w:rsid w:val="6DB545B6"/>
    <w:rsid w:val="6DC71676"/>
    <w:rsid w:val="6DD15131"/>
    <w:rsid w:val="6DD8201C"/>
    <w:rsid w:val="6DE02FB4"/>
    <w:rsid w:val="6DE2733E"/>
    <w:rsid w:val="6DE52880"/>
    <w:rsid w:val="6E076DA5"/>
    <w:rsid w:val="6E0A2C0F"/>
    <w:rsid w:val="6E1C062B"/>
    <w:rsid w:val="6E4A720A"/>
    <w:rsid w:val="6E514CED"/>
    <w:rsid w:val="6E5F719B"/>
    <w:rsid w:val="6E8635F9"/>
    <w:rsid w:val="6EB563D5"/>
    <w:rsid w:val="6EBE1057"/>
    <w:rsid w:val="6ED92677"/>
    <w:rsid w:val="6EF34C6F"/>
    <w:rsid w:val="6EFE3D04"/>
    <w:rsid w:val="6F0872DB"/>
    <w:rsid w:val="6F225983"/>
    <w:rsid w:val="6F26452C"/>
    <w:rsid w:val="6F486F1A"/>
    <w:rsid w:val="6F56054D"/>
    <w:rsid w:val="6F716C0E"/>
    <w:rsid w:val="6F771D08"/>
    <w:rsid w:val="6F7B5355"/>
    <w:rsid w:val="6FD94718"/>
    <w:rsid w:val="6FE70C3C"/>
    <w:rsid w:val="6FF9271D"/>
    <w:rsid w:val="6FFC5590"/>
    <w:rsid w:val="7012558D"/>
    <w:rsid w:val="70333E81"/>
    <w:rsid w:val="703616DA"/>
    <w:rsid w:val="703942B6"/>
    <w:rsid w:val="70514307"/>
    <w:rsid w:val="706D1DD0"/>
    <w:rsid w:val="70856B87"/>
    <w:rsid w:val="70933351"/>
    <w:rsid w:val="70971E05"/>
    <w:rsid w:val="70C2798C"/>
    <w:rsid w:val="70CC5FB8"/>
    <w:rsid w:val="70D527EE"/>
    <w:rsid w:val="710E3FA6"/>
    <w:rsid w:val="711A6CE2"/>
    <w:rsid w:val="713067DB"/>
    <w:rsid w:val="715208DE"/>
    <w:rsid w:val="715B5300"/>
    <w:rsid w:val="71830D71"/>
    <w:rsid w:val="71B7682A"/>
    <w:rsid w:val="71BA7C8A"/>
    <w:rsid w:val="71BD3667"/>
    <w:rsid w:val="71CD2228"/>
    <w:rsid w:val="71D27F8A"/>
    <w:rsid w:val="71E2790D"/>
    <w:rsid w:val="71E573FD"/>
    <w:rsid w:val="720930EC"/>
    <w:rsid w:val="72473BE1"/>
    <w:rsid w:val="72483363"/>
    <w:rsid w:val="72541E8D"/>
    <w:rsid w:val="72553024"/>
    <w:rsid w:val="725620A9"/>
    <w:rsid w:val="72710C91"/>
    <w:rsid w:val="72AD2758"/>
    <w:rsid w:val="72C94629"/>
    <w:rsid w:val="72CC5EC7"/>
    <w:rsid w:val="72CE08E3"/>
    <w:rsid w:val="72D95B70"/>
    <w:rsid w:val="72DB562A"/>
    <w:rsid w:val="72E01994"/>
    <w:rsid w:val="72E15E16"/>
    <w:rsid w:val="72E2489B"/>
    <w:rsid w:val="72F97C30"/>
    <w:rsid w:val="73122968"/>
    <w:rsid w:val="731F5D5E"/>
    <w:rsid w:val="73505E3C"/>
    <w:rsid w:val="738F207E"/>
    <w:rsid w:val="73A466E6"/>
    <w:rsid w:val="73BE7F06"/>
    <w:rsid w:val="73C51AD5"/>
    <w:rsid w:val="73D03335"/>
    <w:rsid w:val="73D43285"/>
    <w:rsid w:val="73EF4563"/>
    <w:rsid w:val="73F0360B"/>
    <w:rsid w:val="74136828"/>
    <w:rsid w:val="741C4C2C"/>
    <w:rsid w:val="741E793C"/>
    <w:rsid w:val="742117E4"/>
    <w:rsid w:val="74306F6E"/>
    <w:rsid w:val="745E3944"/>
    <w:rsid w:val="74791767"/>
    <w:rsid w:val="74971035"/>
    <w:rsid w:val="74983CAD"/>
    <w:rsid w:val="74A25132"/>
    <w:rsid w:val="74A72748"/>
    <w:rsid w:val="74BF3F35"/>
    <w:rsid w:val="75061B64"/>
    <w:rsid w:val="7506455D"/>
    <w:rsid w:val="75285E03"/>
    <w:rsid w:val="7536627B"/>
    <w:rsid w:val="753B6E4C"/>
    <w:rsid w:val="7546474E"/>
    <w:rsid w:val="7548217D"/>
    <w:rsid w:val="7549597B"/>
    <w:rsid w:val="754C2D3C"/>
    <w:rsid w:val="754F3FD4"/>
    <w:rsid w:val="75520687"/>
    <w:rsid w:val="75536897"/>
    <w:rsid w:val="756845CD"/>
    <w:rsid w:val="756F3B06"/>
    <w:rsid w:val="758E56B6"/>
    <w:rsid w:val="75955F2A"/>
    <w:rsid w:val="75A7546E"/>
    <w:rsid w:val="75B34A2E"/>
    <w:rsid w:val="75C86E1A"/>
    <w:rsid w:val="75CB690A"/>
    <w:rsid w:val="75D92DD5"/>
    <w:rsid w:val="75E652F5"/>
    <w:rsid w:val="75F962E8"/>
    <w:rsid w:val="762B1157"/>
    <w:rsid w:val="7635099D"/>
    <w:rsid w:val="765046EE"/>
    <w:rsid w:val="765D3A06"/>
    <w:rsid w:val="76676633"/>
    <w:rsid w:val="766803FF"/>
    <w:rsid w:val="766B71A2"/>
    <w:rsid w:val="7691545E"/>
    <w:rsid w:val="769413F2"/>
    <w:rsid w:val="76A60F98"/>
    <w:rsid w:val="76B06878"/>
    <w:rsid w:val="76B352F7"/>
    <w:rsid w:val="76B43895"/>
    <w:rsid w:val="76C9109B"/>
    <w:rsid w:val="76D664F0"/>
    <w:rsid w:val="77000835"/>
    <w:rsid w:val="7701609E"/>
    <w:rsid w:val="772A6151"/>
    <w:rsid w:val="775A48B5"/>
    <w:rsid w:val="775B5A9C"/>
    <w:rsid w:val="77762421"/>
    <w:rsid w:val="778D5384"/>
    <w:rsid w:val="77B56B1F"/>
    <w:rsid w:val="77BE35D1"/>
    <w:rsid w:val="77CD4BBB"/>
    <w:rsid w:val="77E373DA"/>
    <w:rsid w:val="77EB6DF0"/>
    <w:rsid w:val="78053E52"/>
    <w:rsid w:val="780F09F4"/>
    <w:rsid w:val="781A7175"/>
    <w:rsid w:val="78251700"/>
    <w:rsid w:val="78485FF0"/>
    <w:rsid w:val="784A4B6B"/>
    <w:rsid w:val="788A6D99"/>
    <w:rsid w:val="788C50AE"/>
    <w:rsid w:val="78904CD1"/>
    <w:rsid w:val="78A829F8"/>
    <w:rsid w:val="78A90480"/>
    <w:rsid w:val="78B10039"/>
    <w:rsid w:val="78B70862"/>
    <w:rsid w:val="78BF0412"/>
    <w:rsid w:val="78CA10FB"/>
    <w:rsid w:val="78CC7761"/>
    <w:rsid w:val="78CE38F0"/>
    <w:rsid w:val="78E2565E"/>
    <w:rsid w:val="79202063"/>
    <w:rsid w:val="79295E21"/>
    <w:rsid w:val="794B58BC"/>
    <w:rsid w:val="794E780F"/>
    <w:rsid w:val="79707B9A"/>
    <w:rsid w:val="79845066"/>
    <w:rsid w:val="79883E95"/>
    <w:rsid w:val="79935EFC"/>
    <w:rsid w:val="799B383F"/>
    <w:rsid w:val="79B37E08"/>
    <w:rsid w:val="79D35D8D"/>
    <w:rsid w:val="7A0963F8"/>
    <w:rsid w:val="7A173ECC"/>
    <w:rsid w:val="7A320D06"/>
    <w:rsid w:val="7A364017"/>
    <w:rsid w:val="7A46690C"/>
    <w:rsid w:val="7A4B1A43"/>
    <w:rsid w:val="7A8265E1"/>
    <w:rsid w:val="7A835A05"/>
    <w:rsid w:val="7A88301C"/>
    <w:rsid w:val="7A8F7F06"/>
    <w:rsid w:val="7AC52CAA"/>
    <w:rsid w:val="7ACE5D55"/>
    <w:rsid w:val="7AD149C3"/>
    <w:rsid w:val="7B3B62E0"/>
    <w:rsid w:val="7B481280"/>
    <w:rsid w:val="7B4B1F46"/>
    <w:rsid w:val="7B615D46"/>
    <w:rsid w:val="7B686D42"/>
    <w:rsid w:val="7B6979A3"/>
    <w:rsid w:val="7B7E607C"/>
    <w:rsid w:val="7B841746"/>
    <w:rsid w:val="7B8D4F4F"/>
    <w:rsid w:val="7BB3231A"/>
    <w:rsid w:val="7BC831D9"/>
    <w:rsid w:val="7BD32074"/>
    <w:rsid w:val="7BD53D9E"/>
    <w:rsid w:val="7BD5403F"/>
    <w:rsid w:val="7BDF310F"/>
    <w:rsid w:val="7BE129E3"/>
    <w:rsid w:val="7BF30969"/>
    <w:rsid w:val="7C324FED"/>
    <w:rsid w:val="7C431F62"/>
    <w:rsid w:val="7C4768BC"/>
    <w:rsid w:val="7C647170"/>
    <w:rsid w:val="7C6C5AC7"/>
    <w:rsid w:val="7C6F4493"/>
    <w:rsid w:val="7C907F65"/>
    <w:rsid w:val="7C9712F4"/>
    <w:rsid w:val="7CC21804"/>
    <w:rsid w:val="7CC6544B"/>
    <w:rsid w:val="7D0239FF"/>
    <w:rsid w:val="7D1534F5"/>
    <w:rsid w:val="7D16490F"/>
    <w:rsid w:val="7D474AC8"/>
    <w:rsid w:val="7D5E40CD"/>
    <w:rsid w:val="7D5E5ACF"/>
    <w:rsid w:val="7D6B098A"/>
    <w:rsid w:val="7D871368"/>
    <w:rsid w:val="7D9121E7"/>
    <w:rsid w:val="7D917194"/>
    <w:rsid w:val="7DB042B8"/>
    <w:rsid w:val="7DB87774"/>
    <w:rsid w:val="7DB92128"/>
    <w:rsid w:val="7DBE44EE"/>
    <w:rsid w:val="7DCC6B30"/>
    <w:rsid w:val="7DCD56F2"/>
    <w:rsid w:val="7DFB52CF"/>
    <w:rsid w:val="7E026C41"/>
    <w:rsid w:val="7E0E7200"/>
    <w:rsid w:val="7E213DA4"/>
    <w:rsid w:val="7E4E00D8"/>
    <w:rsid w:val="7E4E2D56"/>
    <w:rsid w:val="7E5A1732"/>
    <w:rsid w:val="7E7F64E4"/>
    <w:rsid w:val="7E827ED4"/>
    <w:rsid w:val="7E991353"/>
    <w:rsid w:val="7EA2323A"/>
    <w:rsid w:val="7EA71A11"/>
    <w:rsid w:val="7EB10D93"/>
    <w:rsid w:val="7EB9730D"/>
    <w:rsid w:val="7ED72788"/>
    <w:rsid w:val="7EEE33D2"/>
    <w:rsid w:val="7F001CE7"/>
    <w:rsid w:val="7F0B61B9"/>
    <w:rsid w:val="7F361708"/>
    <w:rsid w:val="7F484B27"/>
    <w:rsid w:val="7F4C3F21"/>
    <w:rsid w:val="7F4E65E2"/>
    <w:rsid w:val="7F7C0E9B"/>
    <w:rsid w:val="7F806F96"/>
    <w:rsid w:val="7F996B95"/>
    <w:rsid w:val="7FAA7590"/>
    <w:rsid w:val="7FBA3C77"/>
    <w:rsid w:val="7FBB354B"/>
    <w:rsid w:val="7FBD3767"/>
    <w:rsid w:val="7FD3632B"/>
    <w:rsid w:val="7FE47E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iPriority="99"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qFormat="1" w:unhideWhenUsed="0" w:uiPriority="99" w:semiHidden="0" w:name="index 7" w:locked="1"/>
    <w:lsdException w:unhideWhenUsed="0" w:uiPriority="0" w:semiHidden="0" w:name="index 8" w:locked="1"/>
    <w:lsdException w:unhideWhenUsed="0" w:uiPriority="0" w:semiHidden="0" w:name="index 9" w:locked="1"/>
    <w:lsdException w:qFormat="1"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qFormat="1"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qFormat="1" w:uiPriority="99"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qFormat="1" w:unhideWhenUsed="0" w:uiPriority="99"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qFormat="1" w:uiPriority="99" w:semiHidden="0" w:name="Body Text 2" w:locked="1"/>
    <w:lsdException w:unhideWhenUsed="0" w:uiPriority="0" w:semiHidden="0" w:name="Body Text 3" w:locked="1"/>
    <w:lsdException w:qFormat="1" w:unhideWhenUsed="0" w:uiPriority="0" w:semiHidden="0" w:name="Body Text Indent 2" w:locked="1"/>
    <w:lsdException w:unhideWhenUsed="0" w:uiPriority="0" w:semiHidden="0" w:name="Body Text Indent 3" w:locked="1"/>
    <w:lsdException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5">
    <w:name w:val="heading 2"/>
    <w:basedOn w:val="1"/>
    <w:next w:val="1"/>
    <w:qFormat/>
    <w:locked/>
    <w:uiPriority w:val="0"/>
    <w:pPr>
      <w:keepNext/>
      <w:ind w:firstLine="2249" w:firstLineChars="800"/>
      <w:outlineLvl w:val="1"/>
    </w:pPr>
    <w:rPr>
      <w:rFonts w:ascii="黑体" w:hAnsi="宋体" w:eastAsia="黑体"/>
      <w:b/>
      <w:bCs/>
      <w:sz w:val="28"/>
      <w:szCs w:val="28"/>
    </w:rPr>
  </w:style>
  <w:style w:type="paragraph" w:styleId="6">
    <w:name w:val="heading 3"/>
    <w:basedOn w:val="1"/>
    <w:next w:val="1"/>
    <w:qFormat/>
    <w:locked/>
    <w:uiPriority w:val="0"/>
    <w:pPr>
      <w:keepNext/>
      <w:keepLines/>
      <w:spacing w:line="540" w:lineRule="exact"/>
      <w:ind w:firstLine="480" w:firstLineChars="200"/>
      <w:jc w:val="left"/>
      <w:outlineLvl w:val="2"/>
    </w:pPr>
    <w:rPr>
      <w:rFonts w:ascii="仿宋_GB2312" w:eastAsia="仿宋_GB2312"/>
      <w:b/>
      <w:sz w:val="24"/>
    </w:rPr>
  </w:style>
  <w:style w:type="paragraph" w:styleId="7">
    <w:name w:val="heading 4"/>
    <w:basedOn w:val="6"/>
    <w:next w:val="1"/>
    <w:qFormat/>
    <w:locked/>
    <w:uiPriority w:val="0"/>
    <w:pPr>
      <w:keepNext/>
      <w:keepLines/>
      <w:spacing w:before="280" w:beforeLines="0" w:beforeAutospacing="0" w:after="290" w:afterLines="0" w:afterAutospacing="0" w:line="372" w:lineRule="auto"/>
      <w:outlineLvl w:val="3"/>
    </w:pPr>
    <w:rPr>
      <w:rFonts w:ascii="Arial" w:hAnsi="Arial" w:eastAsia="黑体"/>
      <w:sz w:val="28"/>
    </w:rPr>
  </w:style>
  <w:style w:type="character" w:default="1" w:styleId="31">
    <w:name w:val="Default Paragraph Font"/>
    <w:semiHidden/>
    <w:qFormat/>
    <w:uiPriority w:val="0"/>
  </w:style>
  <w:style w:type="table" w:default="1" w:styleId="2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locked/>
    <w:uiPriority w:val="0"/>
    <w:pPr>
      <w:ind w:firstLine="420"/>
    </w:pPr>
    <w:rPr>
      <w:rFonts w:hAnsi="宋体" w:cs="宋体"/>
      <w:kern w:val="2"/>
      <w:sz w:val="21"/>
      <w:szCs w:val="24"/>
    </w:rPr>
  </w:style>
  <w:style w:type="paragraph" w:styleId="3">
    <w:name w:val="Body Text Indent"/>
    <w:basedOn w:val="1"/>
    <w:link w:val="41"/>
    <w:qFormat/>
    <w:uiPriority w:val="0"/>
    <w:pPr>
      <w:spacing w:after="120"/>
      <w:ind w:left="420" w:leftChars="200"/>
    </w:pPr>
    <w:rPr>
      <w:kern w:val="0"/>
      <w:sz w:val="24"/>
      <w:szCs w:val="20"/>
    </w:rPr>
  </w:style>
  <w:style w:type="paragraph" w:styleId="8">
    <w:name w:val="Normal Indent"/>
    <w:basedOn w:val="1"/>
    <w:qFormat/>
    <w:locked/>
    <w:uiPriority w:val="0"/>
    <w:pPr>
      <w:spacing w:line="600" w:lineRule="exact"/>
      <w:ind w:firstLine="420"/>
    </w:pPr>
    <w:rPr>
      <w:rFonts w:ascii="宋体"/>
      <w:sz w:val="32"/>
    </w:rPr>
  </w:style>
  <w:style w:type="paragraph" w:styleId="9">
    <w:name w:val="annotation text"/>
    <w:basedOn w:val="1"/>
    <w:link w:val="39"/>
    <w:semiHidden/>
    <w:qFormat/>
    <w:uiPriority w:val="0"/>
    <w:pPr>
      <w:jc w:val="left"/>
    </w:pPr>
    <w:rPr>
      <w:kern w:val="0"/>
      <w:sz w:val="24"/>
      <w:szCs w:val="20"/>
    </w:rPr>
  </w:style>
  <w:style w:type="paragraph" w:styleId="10">
    <w:name w:val="Body Text"/>
    <w:basedOn w:val="1"/>
    <w:next w:val="11"/>
    <w:link w:val="40"/>
    <w:qFormat/>
    <w:uiPriority w:val="0"/>
    <w:pPr>
      <w:widowControl/>
      <w:snapToGrid w:val="0"/>
      <w:spacing w:before="60" w:after="160" w:line="259" w:lineRule="auto"/>
      <w:ind w:right="113"/>
    </w:pPr>
    <w:rPr>
      <w:kern w:val="0"/>
      <w:sz w:val="18"/>
      <w:szCs w:val="20"/>
    </w:rPr>
  </w:style>
  <w:style w:type="paragraph" w:styleId="11">
    <w:name w:val="Body Text 2"/>
    <w:basedOn w:val="1"/>
    <w:unhideWhenUsed/>
    <w:qFormat/>
    <w:locked/>
    <w:uiPriority w:val="99"/>
    <w:pPr>
      <w:spacing w:after="120" w:line="480" w:lineRule="auto"/>
    </w:pPr>
  </w:style>
  <w:style w:type="paragraph" w:styleId="12">
    <w:name w:val="Plain Text"/>
    <w:basedOn w:val="1"/>
    <w:qFormat/>
    <w:locked/>
    <w:uiPriority w:val="0"/>
    <w:rPr>
      <w:rFonts w:ascii="宋体" w:hAnsi="Courier New" w:eastAsia="仿宋_GB2312"/>
      <w:sz w:val="28"/>
    </w:rPr>
  </w:style>
  <w:style w:type="paragraph" w:styleId="13">
    <w:name w:val="List Bullet 5"/>
    <w:basedOn w:val="1"/>
    <w:qFormat/>
    <w:locked/>
    <w:uiPriority w:val="0"/>
    <w:pPr>
      <w:numPr>
        <w:ilvl w:val="0"/>
        <w:numId w:val="1"/>
      </w:numPr>
    </w:pPr>
  </w:style>
  <w:style w:type="paragraph" w:styleId="14">
    <w:name w:val="Date"/>
    <w:basedOn w:val="1"/>
    <w:next w:val="1"/>
    <w:link w:val="42"/>
    <w:qFormat/>
    <w:uiPriority w:val="0"/>
    <w:pPr>
      <w:ind w:left="100" w:leftChars="2500"/>
    </w:pPr>
    <w:rPr>
      <w:kern w:val="0"/>
      <w:sz w:val="24"/>
      <w:szCs w:val="20"/>
    </w:rPr>
  </w:style>
  <w:style w:type="paragraph" w:styleId="15">
    <w:name w:val="Body Text Indent 2"/>
    <w:basedOn w:val="1"/>
    <w:next w:val="1"/>
    <w:qFormat/>
    <w:locked/>
    <w:uiPriority w:val="0"/>
    <w:pPr>
      <w:tabs>
        <w:tab w:val="left" w:pos="7380"/>
      </w:tabs>
      <w:snapToGrid w:val="0"/>
      <w:ind w:firstLine="499"/>
    </w:pPr>
    <w:rPr>
      <w:color w:val="000000"/>
      <w:kern w:val="21"/>
      <w:szCs w:val="20"/>
      <w:lang w:val="de-DE"/>
    </w:rPr>
  </w:style>
  <w:style w:type="paragraph" w:styleId="16">
    <w:name w:val="Balloon Text"/>
    <w:basedOn w:val="1"/>
    <w:link w:val="43"/>
    <w:semiHidden/>
    <w:qFormat/>
    <w:uiPriority w:val="0"/>
    <w:rPr>
      <w:kern w:val="0"/>
      <w:sz w:val="18"/>
      <w:szCs w:val="20"/>
    </w:rPr>
  </w:style>
  <w:style w:type="paragraph" w:styleId="17">
    <w:name w:val="footer"/>
    <w:basedOn w:val="1"/>
    <w:link w:val="44"/>
    <w:qFormat/>
    <w:uiPriority w:val="99"/>
    <w:pPr>
      <w:tabs>
        <w:tab w:val="center" w:pos="4153"/>
        <w:tab w:val="right" w:pos="8306"/>
      </w:tabs>
      <w:snapToGrid w:val="0"/>
      <w:jc w:val="left"/>
    </w:pPr>
    <w:rPr>
      <w:kern w:val="0"/>
      <w:sz w:val="18"/>
      <w:szCs w:val="20"/>
    </w:rPr>
  </w:style>
  <w:style w:type="paragraph" w:styleId="18">
    <w:name w:val="header"/>
    <w:basedOn w:val="1"/>
    <w:link w:val="45"/>
    <w:qFormat/>
    <w:uiPriority w:val="0"/>
    <w:pPr>
      <w:pBdr>
        <w:bottom w:val="single" w:color="auto" w:sz="6" w:space="1"/>
      </w:pBdr>
      <w:tabs>
        <w:tab w:val="center" w:pos="4153"/>
        <w:tab w:val="right" w:pos="8306"/>
      </w:tabs>
      <w:snapToGrid w:val="0"/>
      <w:jc w:val="center"/>
    </w:pPr>
    <w:rPr>
      <w:kern w:val="0"/>
      <w:sz w:val="18"/>
      <w:szCs w:val="20"/>
    </w:rPr>
  </w:style>
  <w:style w:type="paragraph" w:styleId="19">
    <w:name w:val="toc 1"/>
    <w:basedOn w:val="1"/>
    <w:next w:val="1"/>
    <w:qFormat/>
    <w:locked/>
    <w:uiPriority w:val="0"/>
    <w:pPr>
      <w:spacing w:line="360" w:lineRule="auto"/>
      <w:ind w:firstLine="0" w:firstLineChars="0"/>
      <w:jc w:val="left"/>
    </w:pPr>
    <w:rPr>
      <w:rFonts w:ascii="Times New Roman" w:hAnsi="Times New Roman" w:eastAsia="宋体" w:cs="Times New Roman"/>
      <w:b/>
      <w:bCs/>
      <w:caps/>
      <w:sz w:val="28"/>
    </w:rPr>
  </w:style>
  <w:style w:type="paragraph" w:styleId="20">
    <w:name w:val="index heading"/>
    <w:basedOn w:val="1"/>
    <w:next w:val="21"/>
    <w:semiHidden/>
    <w:unhideWhenUsed/>
    <w:qFormat/>
    <w:locked/>
    <w:uiPriority w:val="99"/>
    <w:rPr>
      <w:rFonts w:asciiTheme="majorHAnsi" w:hAnsiTheme="majorHAnsi" w:eastAsiaTheme="majorEastAsia" w:cstheme="majorBidi"/>
      <w:b/>
      <w:bCs/>
    </w:rPr>
  </w:style>
  <w:style w:type="paragraph" w:styleId="21">
    <w:name w:val="index 1"/>
    <w:basedOn w:val="1"/>
    <w:next w:val="1"/>
    <w:semiHidden/>
    <w:unhideWhenUsed/>
    <w:qFormat/>
    <w:locked/>
    <w:uiPriority w:val="99"/>
  </w:style>
  <w:style w:type="paragraph" w:styleId="22">
    <w:name w:val="List"/>
    <w:basedOn w:val="1"/>
    <w:next w:val="1"/>
    <w:unhideWhenUsed/>
    <w:qFormat/>
    <w:locked/>
    <w:uiPriority w:val="0"/>
    <w:pPr>
      <w:widowControl w:val="0"/>
      <w:wordWrap w:val="0"/>
      <w:autoSpaceDE w:val="0"/>
      <w:autoSpaceDN w:val="0"/>
      <w:adjustRightInd w:val="0"/>
      <w:spacing w:line="360" w:lineRule="auto"/>
      <w:ind w:left="-2" w:leftChars="-1" w:right="-108" w:rightChars="-45" w:firstLine="420" w:firstLineChars="200"/>
      <w:jc w:val="left"/>
    </w:pPr>
    <w:rPr>
      <w:rFonts w:ascii="黑体" w:hAnsi="Times New Roman" w:eastAsia="黑体" w:cs="Times New Roman"/>
      <w:kern w:val="0"/>
      <w:sz w:val="20"/>
      <w:szCs w:val="20"/>
      <w:lang w:val="zh-CN" w:eastAsia="zh-CN" w:bidi="zh-CN"/>
    </w:rPr>
  </w:style>
  <w:style w:type="paragraph" w:styleId="23">
    <w:name w:val="index 7"/>
    <w:basedOn w:val="1"/>
    <w:next w:val="1"/>
    <w:qFormat/>
    <w:locked/>
    <w:uiPriority w:val="99"/>
    <w:pPr>
      <w:ind w:left="1200" w:leftChars="1200"/>
    </w:pPr>
  </w:style>
  <w:style w:type="paragraph" w:styleId="24">
    <w:name w:val="toc 2"/>
    <w:basedOn w:val="1"/>
    <w:next w:val="1"/>
    <w:qFormat/>
    <w:locked/>
    <w:uiPriority w:val="0"/>
    <w:pPr>
      <w:ind w:left="420" w:leftChars="200"/>
    </w:pPr>
  </w:style>
  <w:style w:type="paragraph" w:styleId="25">
    <w:name w:val="toc 9"/>
    <w:next w:val="1"/>
    <w:qFormat/>
    <w:locked/>
    <w:uiPriority w:val="0"/>
    <w:pPr>
      <w:wordWrap w:val="0"/>
      <w:ind w:left="2975"/>
      <w:jc w:val="both"/>
    </w:pPr>
    <w:rPr>
      <w:rFonts w:ascii="Times New Roman" w:hAnsi="Times New Roman" w:eastAsia="宋体" w:cs="Times New Roman"/>
      <w:sz w:val="21"/>
      <w:szCs w:val="22"/>
      <w:lang w:val="en-US" w:eastAsia="zh-CN" w:bidi="ar-SA"/>
    </w:rPr>
  </w:style>
  <w:style w:type="paragraph" w:styleId="26">
    <w:name w:val="List 4"/>
    <w:basedOn w:val="1"/>
    <w:qFormat/>
    <w:locked/>
    <w:uiPriority w:val="99"/>
    <w:pPr>
      <w:ind w:left="100" w:leftChars="600" w:hanging="200" w:hangingChars="200"/>
      <w:contextualSpacing/>
    </w:pPr>
  </w:style>
  <w:style w:type="paragraph" w:styleId="27">
    <w:name w:val="Normal (Web)"/>
    <w:basedOn w:val="1"/>
    <w:next w:val="23"/>
    <w:link w:val="46"/>
    <w:qFormat/>
    <w:uiPriority w:val="0"/>
    <w:pPr>
      <w:widowControl/>
      <w:spacing w:before="100" w:beforeAutospacing="1" w:after="100" w:afterAutospacing="1"/>
      <w:jc w:val="left"/>
    </w:pPr>
    <w:rPr>
      <w:rFonts w:ascii="宋体" w:hAnsi="宋体"/>
      <w:kern w:val="0"/>
      <w:sz w:val="24"/>
      <w:szCs w:val="20"/>
    </w:rPr>
  </w:style>
  <w:style w:type="paragraph" w:styleId="28">
    <w:name w:val="annotation subject"/>
    <w:basedOn w:val="9"/>
    <w:next w:val="9"/>
    <w:link w:val="47"/>
    <w:semiHidden/>
    <w:qFormat/>
    <w:uiPriority w:val="0"/>
    <w:rPr>
      <w:b/>
      <w:sz w:val="24"/>
      <w:szCs w:val="20"/>
    </w:rPr>
  </w:style>
  <w:style w:type="table" w:styleId="30">
    <w:name w:val="Table Grid"/>
    <w:basedOn w:val="29"/>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qFormat/>
    <w:locked/>
    <w:uiPriority w:val="0"/>
    <w:rPr>
      <w:b/>
      <w:bCs/>
    </w:rPr>
  </w:style>
  <w:style w:type="character" w:styleId="33">
    <w:name w:val="page number"/>
    <w:basedOn w:val="31"/>
    <w:qFormat/>
    <w:locked/>
    <w:uiPriority w:val="0"/>
  </w:style>
  <w:style w:type="character" w:styleId="34">
    <w:name w:val="Hyperlink"/>
    <w:basedOn w:val="31"/>
    <w:qFormat/>
    <w:locked/>
    <w:uiPriority w:val="0"/>
    <w:rPr>
      <w:color w:val="0000FF"/>
      <w:u w:val="single"/>
    </w:rPr>
  </w:style>
  <w:style w:type="character" w:styleId="35">
    <w:name w:val="annotation reference"/>
    <w:semiHidden/>
    <w:qFormat/>
    <w:uiPriority w:val="0"/>
    <w:rPr>
      <w:sz w:val="21"/>
    </w:rPr>
  </w:style>
  <w:style w:type="paragraph" w:customStyle="1" w:styleId="36">
    <w:name w:val="Default"/>
    <w:basedOn w:val="37"/>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7">
    <w:name w:val="A-表格文字"/>
    <w:basedOn w:val="1"/>
    <w:next w:val="1"/>
    <w:qFormat/>
    <w:uiPriority w:val="0"/>
    <w:pPr>
      <w:autoSpaceDE w:val="0"/>
      <w:autoSpaceDN w:val="0"/>
      <w:adjustRightInd w:val="0"/>
      <w:jc w:val="center"/>
      <w:textAlignment w:val="center"/>
    </w:pPr>
    <w:rPr>
      <w:rFonts w:ascii="Times New Roman" w:hAnsi="Times New Roman"/>
      <w:kern w:val="0"/>
      <w:szCs w:val="21"/>
    </w:rPr>
  </w:style>
  <w:style w:type="paragraph" w:customStyle="1" w:styleId="38">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character" w:customStyle="1" w:styleId="39">
    <w:name w:val="批注文字 Char"/>
    <w:link w:val="9"/>
    <w:qFormat/>
    <w:locked/>
    <w:uiPriority w:val="0"/>
    <w:rPr>
      <w:rFonts w:ascii="Times New Roman" w:hAnsi="Times New Roman" w:eastAsia="宋体"/>
      <w:sz w:val="24"/>
    </w:rPr>
  </w:style>
  <w:style w:type="character" w:customStyle="1" w:styleId="40">
    <w:name w:val="正文文本 Char"/>
    <w:link w:val="10"/>
    <w:qFormat/>
    <w:locked/>
    <w:uiPriority w:val="0"/>
    <w:rPr>
      <w:sz w:val="18"/>
    </w:rPr>
  </w:style>
  <w:style w:type="character" w:customStyle="1" w:styleId="41">
    <w:name w:val="正文文本缩进 Char"/>
    <w:link w:val="3"/>
    <w:semiHidden/>
    <w:qFormat/>
    <w:locked/>
    <w:uiPriority w:val="0"/>
    <w:rPr>
      <w:rFonts w:ascii="Times New Roman" w:hAnsi="Times New Roman" w:eastAsia="宋体"/>
      <w:sz w:val="24"/>
    </w:rPr>
  </w:style>
  <w:style w:type="character" w:customStyle="1" w:styleId="42">
    <w:name w:val="日期 Char"/>
    <w:link w:val="14"/>
    <w:qFormat/>
    <w:locked/>
    <w:uiPriority w:val="0"/>
    <w:rPr>
      <w:rFonts w:ascii="Times New Roman" w:hAnsi="Times New Roman" w:eastAsia="宋体"/>
      <w:sz w:val="24"/>
    </w:rPr>
  </w:style>
  <w:style w:type="character" w:customStyle="1" w:styleId="43">
    <w:name w:val="批注框文本 Char"/>
    <w:link w:val="16"/>
    <w:semiHidden/>
    <w:qFormat/>
    <w:locked/>
    <w:uiPriority w:val="0"/>
    <w:rPr>
      <w:rFonts w:ascii="Times New Roman" w:hAnsi="Times New Roman" w:eastAsia="宋体"/>
      <w:sz w:val="18"/>
    </w:rPr>
  </w:style>
  <w:style w:type="character" w:customStyle="1" w:styleId="44">
    <w:name w:val="页脚 Char"/>
    <w:link w:val="17"/>
    <w:qFormat/>
    <w:locked/>
    <w:uiPriority w:val="99"/>
    <w:rPr>
      <w:sz w:val="18"/>
    </w:rPr>
  </w:style>
  <w:style w:type="character" w:customStyle="1" w:styleId="45">
    <w:name w:val="页眉 Char"/>
    <w:link w:val="18"/>
    <w:qFormat/>
    <w:locked/>
    <w:uiPriority w:val="0"/>
    <w:rPr>
      <w:sz w:val="18"/>
    </w:rPr>
  </w:style>
  <w:style w:type="character" w:customStyle="1" w:styleId="46">
    <w:name w:val="普通(网站) Char"/>
    <w:link w:val="27"/>
    <w:qFormat/>
    <w:locked/>
    <w:uiPriority w:val="0"/>
    <w:rPr>
      <w:rFonts w:ascii="宋体" w:hAnsi="宋体" w:eastAsia="宋体"/>
      <w:sz w:val="24"/>
    </w:rPr>
  </w:style>
  <w:style w:type="character" w:customStyle="1" w:styleId="47">
    <w:name w:val="批注主题 Char"/>
    <w:link w:val="28"/>
    <w:semiHidden/>
    <w:qFormat/>
    <w:locked/>
    <w:uiPriority w:val="0"/>
    <w:rPr>
      <w:rFonts w:ascii="Times New Roman" w:hAnsi="Times New Roman" w:eastAsia="宋体"/>
      <w:b/>
      <w:kern w:val="2"/>
      <w:sz w:val="24"/>
    </w:rPr>
  </w:style>
  <w:style w:type="paragraph" w:customStyle="1" w:styleId="48">
    <w:name w:val="表格内"/>
    <w:basedOn w:val="1"/>
    <w:qFormat/>
    <w:uiPriority w:val="0"/>
    <w:pPr>
      <w:widowControl/>
      <w:adjustRightInd w:val="0"/>
      <w:snapToGrid w:val="0"/>
      <w:spacing w:after="200" w:line="360" w:lineRule="exact"/>
      <w:jc w:val="center"/>
    </w:pPr>
    <w:rPr>
      <w:rFonts w:eastAsia="微软雅黑"/>
      <w:snapToGrid w:val="0"/>
      <w:kern w:val="0"/>
      <w:sz w:val="22"/>
      <w:szCs w:val="21"/>
    </w:rPr>
  </w:style>
  <w:style w:type="character" w:customStyle="1" w:styleId="49">
    <w:name w:val="批注文字 字符1"/>
    <w:semiHidden/>
    <w:qFormat/>
    <w:uiPriority w:val="0"/>
    <w:rPr>
      <w:rFonts w:ascii="Times New Roman" w:hAnsi="Times New Roman" w:eastAsia="宋体"/>
      <w:sz w:val="24"/>
    </w:rPr>
  </w:style>
  <w:style w:type="character" w:customStyle="1" w:styleId="50">
    <w:name w:val="日期 字符"/>
    <w:semiHidden/>
    <w:qFormat/>
    <w:uiPriority w:val="0"/>
    <w:rPr>
      <w:rFonts w:ascii="Times New Roman" w:hAnsi="Times New Roman" w:eastAsia="宋体"/>
      <w:sz w:val="24"/>
    </w:rPr>
  </w:style>
  <w:style w:type="character" w:customStyle="1" w:styleId="51">
    <w:name w:val="页脚 字符"/>
    <w:basedOn w:val="31"/>
    <w:qFormat/>
    <w:uiPriority w:val="99"/>
  </w:style>
  <w:style w:type="character" w:customStyle="1" w:styleId="52">
    <w:name w:val="表格 Char"/>
    <w:link w:val="53"/>
    <w:qFormat/>
    <w:locked/>
    <w:uiPriority w:val="0"/>
    <w:rPr>
      <w:rFonts w:ascii="宋体"/>
      <w:sz w:val="21"/>
    </w:rPr>
  </w:style>
  <w:style w:type="paragraph" w:customStyle="1" w:styleId="53">
    <w:name w:val="表格"/>
    <w:basedOn w:val="22"/>
    <w:link w:val="52"/>
    <w:qFormat/>
    <w:uiPriority w:val="0"/>
    <w:pPr>
      <w:adjustRightInd w:val="0"/>
      <w:snapToGrid w:val="0"/>
      <w:spacing w:beforeLines="10" w:afterLines="10" w:line="259" w:lineRule="auto"/>
      <w:jc w:val="center"/>
    </w:pPr>
    <w:rPr>
      <w:rFonts w:ascii="宋体"/>
      <w:kern w:val="0"/>
      <w:szCs w:val="20"/>
    </w:rPr>
  </w:style>
  <w:style w:type="character" w:customStyle="1" w:styleId="54">
    <w:name w:val="正文文本 字符1"/>
    <w:semiHidden/>
    <w:qFormat/>
    <w:uiPriority w:val="0"/>
    <w:rPr>
      <w:rFonts w:ascii="Times New Roman" w:hAnsi="Times New Roman" w:eastAsia="宋体"/>
      <w:sz w:val="24"/>
    </w:rPr>
  </w:style>
  <w:style w:type="paragraph" w:customStyle="1" w:styleId="55">
    <w:name w:val="BodyText1I2"/>
    <w:basedOn w:val="56"/>
    <w:semiHidden/>
    <w:qFormat/>
    <w:uiPriority w:val="0"/>
    <w:pPr>
      <w:spacing w:line="560" w:lineRule="exact"/>
      <w:ind w:left="0" w:leftChars="0" w:firstLine="420" w:firstLineChars="200"/>
    </w:pPr>
    <w:rPr>
      <w:rFonts w:eastAsia="仿宋_GB2312"/>
      <w:sz w:val="32"/>
    </w:rPr>
  </w:style>
  <w:style w:type="paragraph" w:customStyle="1" w:styleId="56">
    <w:name w:val="BodyTextIndent"/>
    <w:basedOn w:val="1"/>
    <w:semiHidden/>
    <w:qFormat/>
    <w:uiPriority w:val="0"/>
    <w:pPr>
      <w:ind w:left="420" w:leftChars="200"/>
      <w:textAlignment w:val="baseline"/>
    </w:pPr>
  </w:style>
  <w:style w:type="paragraph" w:customStyle="1" w:styleId="57">
    <w:name w:val="正文A"/>
    <w:basedOn w:val="1"/>
    <w:qFormat/>
    <w:uiPriority w:val="0"/>
    <w:pPr>
      <w:widowControl w:val="0"/>
      <w:spacing w:line="500" w:lineRule="exact"/>
      <w:ind w:firstLine="480" w:firstLineChars="200"/>
      <w:jc w:val="both"/>
    </w:pPr>
    <w:rPr>
      <w:rFonts w:ascii="华文仿宋" w:hAnsi="华文仿宋" w:eastAsia="华文仿宋" w:cs="华文仿宋"/>
      <w:kern w:val="2"/>
    </w:rPr>
  </w:style>
  <w:style w:type="paragraph" w:customStyle="1" w:styleId="58">
    <w:name w:val="表头"/>
    <w:basedOn w:val="53"/>
    <w:next w:val="1"/>
    <w:qFormat/>
    <w:uiPriority w:val="0"/>
    <w:pPr>
      <w:adjustRightInd w:val="0"/>
      <w:snapToGrid w:val="0"/>
      <w:spacing w:line="360" w:lineRule="auto"/>
      <w:ind w:firstLine="480" w:firstLineChars="200"/>
      <w:jc w:val="center"/>
    </w:pPr>
    <w:rPr>
      <w:rFonts w:ascii="黑体" w:eastAsia="黑体"/>
      <w:sz w:val="24"/>
      <w:szCs w:val="21"/>
    </w:rPr>
  </w:style>
  <w:style w:type="paragraph" w:customStyle="1" w:styleId="59">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
    <w:name w:val="表头A"/>
    <w:basedOn w:val="58"/>
    <w:qFormat/>
    <w:uiPriority w:val="0"/>
    <w:pPr>
      <w:widowControl w:val="0"/>
      <w:spacing w:line="400" w:lineRule="exact"/>
    </w:pPr>
    <w:rPr>
      <w:rFonts w:ascii="华文仿宋" w:hAnsi="华文仿宋" w:eastAsia="华文仿宋" w:cs="Times New Roman"/>
      <w:kern w:val="2"/>
    </w:rPr>
  </w:style>
  <w:style w:type="paragraph" w:customStyle="1" w:styleId="61">
    <w:name w:val="纯文本1"/>
    <w:basedOn w:val="1"/>
    <w:qFormat/>
    <w:uiPriority w:val="0"/>
    <w:rPr>
      <w:rFonts w:ascii="宋体" w:hAnsi="Courier New"/>
    </w:rPr>
  </w:style>
  <w:style w:type="paragraph" w:customStyle="1" w:styleId="62">
    <w:name w:val="样式35"/>
    <w:basedOn w:val="1"/>
    <w:next w:val="1"/>
    <w:qFormat/>
    <w:uiPriority w:val="0"/>
    <w:pPr>
      <w:spacing w:line="312" w:lineRule="auto"/>
      <w:ind w:firstLine="567"/>
    </w:pPr>
    <w:rPr>
      <w:rFonts w:ascii="宋体"/>
      <w:sz w:val="28"/>
    </w:rPr>
  </w:style>
  <w:style w:type="paragraph" w:customStyle="1" w:styleId="63">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64">
    <w:name w:val="正文邵"/>
    <w:basedOn w:val="1"/>
    <w:qFormat/>
    <w:uiPriority w:val="0"/>
    <w:pPr>
      <w:keepNext w:val="0"/>
      <w:keepLines w:val="0"/>
      <w:widowControl w:val="0"/>
      <w:suppressLineNumbers w:val="0"/>
      <w:spacing w:before="0" w:beforeAutospacing="0" w:after="0" w:afterAutospacing="0" w:line="360" w:lineRule="auto"/>
      <w:ind w:left="0" w:right="0" w:firstLine="200" w:firstLineChars="200"/>
      <w:jc w:val="both"/>
    </w:pPr>
    <w:rPr>
      <w:rFonts w:hint="default" w:ascii="Times New Roman" w:hAnsi="Times New Roman" w:cs="Times New Roman"/>
      <w:kern w:val="2"/>
      <w:sz w:val="24"/>
      <w:szCs w:val="24"/>
      <w:lang w:val="en-US" w:eastAsia="zh-CN" w:bidi="ar"/>
    </w:rPr>
  </w:style>
  <w:style w:type="paragraph" w:customStyle="1" w:styleId="65">
    <w:name w:val="p0"/>
    <w:basedOn w:val="1"/>
    <w:qFormat/>
    <w:uiPriority w:val="0"/>
    <w:rPr>
      <w:kern w:val="0"/>
      <w:szCs w:val="21"/>
    </w:rPr>
  </w:style>
  <w:style w:type="paragraph" w:customStyle="1" w:styleId="66">
    <w:name w:val="Table Paragraph"/>
    <w:basedOn w:val="1"/>
    <w:qFormat/>
    <w:uiPriority w:val="0"/>
    <w:pPr>
      <w:jc w:val="left"/>
    </w:pPr>
    <w:rPr>
      <w:kern w:val="0"/>
      <w:sz w:val="22"/>
      <w:lang w:eastAsia="en-US"/>
    </w:rPr>
  </w:style>
  <w:style w:type="paragraph" w:customStyle="1" w:styleId="67">
    <w:name w:val="xl24"/>
    <w:basedOn w:val="1"/>
    <w:qFormat/>
    <w:uiPriority w:val="0"/>
    <w:pPr>
      <w:widowControl/>
      <w:spacing w:before="100" w:after="100"/>
      <w:jc w:val="center"/>
      <w:textAlignment w:val="center"/>
    </w:pPr>
    <w:rPr>
      <w:rFonts w:hAnsi="宋体"/>
      <w:kern w:val="0"/>
      <w:sz w:val="28"/>
    </w:rPr>
  </w:style>
  <w:style w:type="paragraph" w:customStyle="1" w:styleId="68">
    <w:name w:val="5-正文"/>
    <w:basedOn w:val="1"/>
    <w:qFormat/>
    <w:uiPriority w:val="0"/>
    <w:pPr>
      <w:snapToGrid w:val="0"/>
      <w:spacing w:line="480" w:lineRule="exact"/>
      <w:ind w:firstLine="480" w:firstLineChars="200"/>
    </w:pPr>
    <w:rPr>
      <w:sz w:val="24"/>
      <w:szCs w:val="20"/>
    </w:rPr>
  </w:style>
  <w:style w:type="paragraph" w:customStyle="1" w:styleId="69">
    <w:name w:val="表格(新)"/>
    <w:basedOn w:val="1"/>
    <w:qFormat/>
    <w:uiPriority w:val="0"/>
    <w:pPr>
      <w:snapToGrid w:val="0"/>
      <w:spacing w:before="4" w:beforeLines="2" w:after="4" w:afterLines="2" w:line="240" w:lineRule="atLeast"/>
      <w:jc w:val="center"/>
    </w:pPr>
    <w:rPr>
      <w:rFonts w:ascii="Calibri" w:hAnsi="宋体"/>
      <w:kern w:val="24"/>
      <w:szCs w:val="21"/>
    </w:rPr>
  </w:style>
  <w:style w:type="paragraph" w:customStyle="1" w:styleId="70">
    <w:name w:val="Table Text"/>
    <w:basedOn w:val="1"/>
    <w:semiHidden/>
    <w:qFormat/>
    <w:uiPriority w:val="0"/>
    <w:rPr>
      <w:rFonts w:ascii="宋体" w:hAnsi="宋体" w:eastAsia="宋体" w:cs="宋体"/>
      <w:sz w:val="24"/>
      <w:szCs w:val="24"/>
      <w:lang w:val="en-US" w:eastAsia="en-US" w:bidi="ar-SA"/>
    </w:rPr>
  </w:style>
  <w:style w:type="table" w:customStyle="1" w:styleId="71">
    <w:name w:val="Table Normal"/>
    <w:unhideWhenUsed/>
    <w:qFormat/>
    <w:uiPriority w:val="0"/>
    <w:tblPr>
      <w:tblCellMar>
        <w:top w:w="0" w:type="dxa"/>
        <w:left w:w="0" w:type="dxa"/>
        <w:bottom w:w="0" w:type="dxa"/>
        <w:right w:w="0" w:type="dxa"/>
      </w:tblCellMar>
    </w:tblPr>
  </w:style>
  <w:style w:type="character" w:customStyle="1" w:styleId="72">
    <w:name w:val="font21"/>
    <w:basedOn w:val="31"/>
    <w:qFormat/>
    <w:uiPriority w:val="0"/>
    <w:rPr>
      <w:rFonts w:hint="default" w:ascii="Times New Roman" w:hAnsi="Times New Roman" w:cs="Times New Roman"/>
      <w:b/>
      <w:bCs/>
      <w:color w:val="000000"/>
      <w:sz w:val="20"/>
      <w:szCs w:val="20"/>
      <w:u w:val="none"/>
    </w:rPr>
  </w:style>
  <w:style w:type="character" w:customStyle="1" w:styleId="73">
    <w:name w:val="font11"/>
    <w:basedOn w:val="31"/>
    <w:qFormat/>
    <w:uiPriority w:val="0"/>
    <w:rPr>
      <w:rFonts w:hint="eastAsia" w:ascii="宋体" w:hAnsi="宋体" w:eastAsia="宋体" w:cs="宋体"/>
      <w:b/>
      <w:bCs/>
      <w:color w:val="000000"/>
      <w:sz w:val="20"/>
      <w:szCs w:val="20"/>
      <w:u w:val="none"/>
    </w:rPr>
  </w:style>
  <w:style w:type="character" w:customStyle="1" w:styleId="74">
    <w:name w:val="font41"/>
    <w:basedOn w:val="31"/>
    <w:qFormat/>
    <w:uiPriority w:val="0"/>
    <w:rPr>
      <w:rFonts w:hint="eastAsia" w:ascii="宋体" w:hAnsi="宋体" w:eastAsia="宋体" w:cs="宋体"/>
      <w:color w:val="000000"/>
      <w:sz w:val="20"/>
      <w:szCs w:val="20"/>
      <w:u w:val="none"/>
    </w:rPr>
  </w:style>
  <w:style w:type="character" w:customStyle="1" w:styleId="75">
    <w:name w:val="font31"/>
    <w:basedOn w:val="31"/>
    <w:qFormat/>
    <w:uiPriority w:val="0"/>
    <w:rPr>
      <w:rFonts w:hint="default" w:ascii="Times New Roman" w:hAnsi="Times New Roman" w:cs="Times New Roman"/>
      <w:color w:val="000000"/>
      <w:sz w:val="20"/>
      <w:szCs w:val="20"/>
      <w:u w:val="none"/>
    </w:rPr>
  </w:style>
  <w:style w:type="paragraph" w:customStyle="1" w:styleId="76">
    <w:name w:val="B正文"/>
    <w:basedOn w:val="1"/>
    <w:qFormat/>
    <w:uiPriority w:val="0"/>
    <w:pPr>
      <w:widowControl/>
      <w:ind w:firstLine="200"/>
    </w:pPr>
    <w:rPr>
      <w:rFonts w:cs="宋体"/>
    </w:rPr>
  </w:style>
  <w:style w:type="paragraph" w:customStyle="1" w:styleId="77">
    <w:name w:val="B表内字"/>
    <w:basedOn w:val="1"/>
    <w:qFormat/>
    <w:uiPriority w:val="0"/>
    <w:pPr>
      <w:widowControl/>
      <w:spacing w:line="240" w:lineRule="auto"/>
      <w:ind w:firstLine="0" w:firstLineChars="0"/>
      <w:jc w:val="center"/>
    </w:pPr>
    <w:rPr>
      <w:rFonts w:cs="宋体"/>
      <w:sz w:val="21"/>
    </w:rPr>
  </w:style>
  <w:style w:type="paragraph" w:customStyle="1" w:styleId="78">
    <w:name w:val="@正文缩进"/>
    <w:basedOn w:val="1"/>
    <w:qFormat/>
    <w:uiPriority w:val="0"/>
    <w:pPr>
      <w:widowControl/>
      <w:snapToGrid w:val="0"/>
      <w:spacing w:line="480" w:lineRule="exact"/>
      <w:ind w:firstLine="641" w:firstLineChars="200"/>
    </w:pPr>
    <w:rPr>
      <w:rFonts w:ascii="Times New Roman" w:hAnsi="Times New Roman" w:eastAsia="华文中宋"/>
      <w:sz w:val="24"/>
    </w:rPr>
  </w:style>
  <w:style w:type="paragraph" w:customStyle="1" w:styleId="79">
    <w:name w:val="表文"/>
    <w:basedOn w:val="80"/>
    <w:unhideWhenUsed/>
    <w:qFormat/>
    <w:uiPriority w:val="0"/>
    <w:pPr>
      <w:spacing w:beforeLines="0" w:afterLines="0" w:line="360" w:lineRule="exact"/>
      <w:ind w:firstLine="0" w:firstLineChars="0"/>
      <w:jc w:val="center"/>
    </w:pPr>
    <w:rPr>
      <w:rFonts w:hint="default"/>
      <w:sz w:val="21"/>
    </w:rPr>
  </w:style>
  <w:style w:type="paragraph" w:customStyle="1" w:styleId="80">
    <w:name w:val="正文d"/>
    <w:basedOn w:val="1"/>
    <w:qFormat/>
    <w:uiPriority w:val="0"/>
    <w:pPr>
      <w:autoSpaceDE w:val="0"/>
      <w:autoSpaceDN w:val="0"/>
      <w:adjustRightInd w:val="0"/>
      <w:snapToGrid w:val="0"/>
      <w:spacing w:line="360" w:lineRule="auto"/>
      <w:ind w:firstLine="200" w:firstLineChars="200"/>
    </w:pPr>
    <w:rPr>
      <w:rFonts w:cs="宋体"/>
      <w:kern w:val="0"/>
      <w:szCs w:val="21"/>
    </w:rPr>
  </w:style>
  <w:style w:type="paragraph" w:customStyle="1" w:styleId="81">
    <w:name w:val="表格内容"/>
    <w:basedOn w:val="1"/>
    <w:qFormat/>
    <w:uiPriority w:val="0"/>
    <w:pPr>
      <w:jc w:val="center"/>
    </w:pPr>
    <w:rPr>
      <w:szCs w:val="21"/>
    </w:rPr>
  </w:style>
  <w:style w:type="paragraph" w:customStyle="1" w:styleId="82">
    <w:name w:val="1111表格样式"/>
    <w:basedOn w:val="1"/>
    <w:qFormat/>
    <w:uiPriority w:val="0"/>
    <w:pPr>
      <w:overflowPunct w:val="0"/>
      <w:spacing w:line="240" w:lineRule="auto"/>
      <w:ind w:firstLine="0" w:firstLineChars="0"/>
      <w:jc w:val="center"/>
    </w:pPr>
    <w:rPr>
      <w:rFonts w:ascii="Times New Roman" w:hAnsi="Times New Roman" w:eastAsia="宋体" w:cs="Times New Roman"/>
      <w:sz w:val="21"/>
      <w:szCs w:val="21"/>
      <w:lang w:val="zh-CN" w:bidi="zh-CN"/>
    </w:rPr>
  </w:style>
  <w:style w:type="paragraph" w:customStyle="1" w:styleId="83">
    <w:name w:val="首行缩进"/>
    <w:qFormat/>
    <w:uiPriority w:val="0"/>
    <w:pPr>
      <w:widowControl w:val="0"/>
      <w:ind w:firstLine="480" w:firstLineChars="200"/>
      <w:jc w:val="both"/>
    </w:pPr>
    <w:rPr>
      <w:rFonts w:ascii="Times New Roman" w:hAnsi="Times New Roman" w:eastAsia="宋体" w:cs="Times New Roman"/>
      <w:kern w:val="2"/>
      <w:sz w:val="21"/>
      <w:lang w:val="zh-CN" w:eastAsia="zh-CN" w:bidi="ar-SA"/>
    </w:rPr>
  </w:style>
  <w:style w:type="paragraph" w:customStyle="1" w:styleId="84">
    <w:name w:val="00002表格内容——雅安大兴"/>
    <w:basedOn w:val="1"/>
    <w:qFormat/>
    <w:uiPriority w:val="0"/>
    <w:pPr>
      <w:adjustRightInd w:val="0"/>
      <w:snapToGrid w:val="0"/>
      <w:jc w:val="center"/>
    </w:pPr>
    <w:rPr>
      <w:rFonts w:ascii="Times New Roman" w:hAnsi="Times New Roman" w:eastAsia="宋体"/>
    </w:rPr>
  </w:style>
  <w:style w:type="paragraph" w:customStyle="1" w:styleId="85">
    <w:name w:val="@表头"/>
    <w:basedOn w:val="86"/>
    <w:qFormat/>
    <w:uiPriority w:val="0"/>
    <w:pPr>
      <w:snapToGrid w:val="0"/>
      <w:spacing w:before="10" w:beforeLines="10" w:beforeAutospacing="0" w:after="10" w:afterLines="10" w:afterAutospacing="0" w:line="440" w:lineRule="exact"/>
      <w:ind w:firstLine="0" w:firstLineChars="0"/>
      <w:jc w:val="center"/>
      <w:outlineLvl w:val="4"/>
    </w:pPr>
    <w:rPr>
      <w:rFonts w:ascii="Times New Roman" w:hAnsi="Times New Roman" w:eastAsia="华文中宋" w:cs="Times New Roman"/>
      <w:b/>
      <w:bCs/>
      <w:sz w:val="22"/>
      <w:szCs w:val="22"/>
    </w:rPr>
  </w:style>
  <w:style w:type="paragraph" w:customStyle="1" w:styleId="86">
    <w:name w:val="正文1"/>
    <w:basedOn w:val="1"/>
    <w:qFormat/>
    <w:uiPriority w:val="0"/>
    <w:pPr>
      <w:spacing w:before="25" w:beforeLines="25" w:after="25" w:afterLines="25" w:line="360" w:lineRule="auto"/>
      <w:ind w:firstLine="200" w:firstLineChars="200"/>
    </w:pPr>
    <w:rPr>
      <w:sz w:val="24"/>
      <w:szCs w:val="24"/>
    </w:rPr>
  </w:style>
  <w:style w:type="paragraph" w:customStyle="1" w:styleId="87">
    <w:name w:val="@表格内容"/>
    <w:qFormat/>
    <w:uiPriority w:val="0"/>
    <w:pPr>
      <w:snapToGrid w:val="0"/>
      <w:jc w:val="center"/>
    </w:pPr>
    <w:rPr>
      <w:rFonts w:ascii="Times New Roman" w:hAnsi="Times New Roman" w:eastAsia="华文中宋" w:cstheme="minorBidi"/>
      <w:sz w:val="21"/>
      <w:szCs w:val="21"/>
      <w:lang w:val="en-US" w:eastAsia="zh-CN" w:bidi="ar-SA"/>
    </w:rPr>
  </w:style>
  <w:style w:type="character" w:customStyle="1" w:styleId="88">
    <w:name w:val="font51"/>
    <w:basedOn w:val="31"/>
    <w:qFormat/>
    <w:uiPriority w:val="0"/>
    <w:rPr>
      <w:rFonts w:hint="eastAsia" w:ascii="宋体" w:hAnsi="宋体" w:eastAsia="宋体" w:cs="宋体"/>
      <w:color w:val="000000"/>
      <w:sz w:val="20"/>
      <w:szCs w:val="20"/>
      <w:u w:val="none"/>
    </w:rPr>
  </w:style>
  <w:style w:type="paragraph" w:customStyle="1" w:styleId="89">
    <w:name w:val="@标题4"/>
    <w:basedOn w:val="90"/>
    <w:next w:val="78"/>
    <w:qFormat/>
    <w:uiPriority w:val="0"/>
    <w:pPr>
      <w:numPr>
        <w:ilvl w:val="3"/>
      </w:numPr>
      <w:tabs>
        <w:tab w:val="left" w:pos="0"/>
        <w:tab w:val="left" w:pos="567"/>
        <w:tab w:val="left" w:pos="709"/>
      </w:tabs>
      <w:spacing w:line="480" w:lineRule="exact"/>
      <w:ind w:left="0" w:firstLine="0"/>
      <w:outlineLvl w:val="3"/>
    </w:pPr>
    <w:rPr>
      <w:sz w:val="24"/>
      <w:szCs w:val="24"/>
    </w:rPr>
  </w:style>
  <w:style w:type="paragraph" w:customStyle="1" w:styleId="90">
    <w:name w:val="@标题3"/>
    <w:basedOn w:val="91"/>
    <w:next w:val="78"/>
    <w:qFormat/>
    <w:uiPriority w:val="0"/>
    <w:pPr>
      <w:numPr>
        <w:ilvl w:val="2"/>
      </w:numPr>
      <w:tabs>
        <w:tab w:val="left" w:pos="0"/>
        <w:tab w:val="left" w:pos="567"/>
        <w:tab w:val="left" w:pos="709"/>
      </w:tabs>
      <w:spacing w:line="520" w:lineRule="exact"/>
      <w:outlineLvl w:val="2"/>
    </w:pPr>
    <w:rPr>
      <w:sz w:val="28"/>
      <w:szCs w:val="28"/>
    </w:rPr>
  </w:style>
  <w:style w:type="paragraph" w:customStyle="1" w:styleId="91">
    <w:name w:val="@标题2"/>
    <w:basedOn w:val="92"/>
    <w:next w:val="78"/>
    <w:qFormat/>
    <w:uiPriority w:val="0"/>
    <w:pPr>
      <w:pageBreakBefore w:val="0"/>
      <w:numPr>
        <w:ilvl w:val="1"/>
      </w:numPr>
      <w:tabs>
        <w:tab w:val="left" w:pos="0"/>
        <w:tab w:val="left" w:pos="567"/>
      </w:tabs>
      <w:spacing w:line="560" w:lineRule="exact"/>
      <w:outlineLvl w:val="1"/>
    </w:pPr>
    <w:rPr>
      <w:rFonts w:hint="eastAsia"/>
      <w:sz w:val="30"/>
      <w:szCs w:val="30"/>
    </w:rPr>
  </w:style>
  <w:style w:type="paragraph" w:customStyle="1" w:styleId="92">
    <w:name w:val="@标题1"/>
    <w:next w:val="78"/>
    <w:qFormat/>
    <w:uiPriority w:val="0"/>
    <w:pPr>
      <w:pageBreakBefore/>
      <w:numPr>
        <w:ilvl w:val="0"/>
        <w:numId w:val="2"/>
      </w:numPr>
      <w:spacing w:line="600" w:lineRule="exact"/>
      <w:outlineLvl w:val="0"/>
    </w:pPr>
    <w:rPr>
      <w:rFonts w:ascii="Times New Roman" w:hAnsi="Times New Roman" w:eastAsia="华文中宋" w:cstheme="minorBidi"/>
      <w:b/>
      <w:bCs/>
      <w:sz w:val="32"/>
      <w:szCs w:val="32"/>
      <w:lang w:val="en-US" w:eastAsia="zh-CN" w:bidi="ar-SA"/>
    </w:rPr>
  </w:style>
  <w:style w:type="paragraph" w:customStyle="1" w:styleId="93">
    <w:name w:val="【表格】"/>
    <w:next w:val="1"/>
    <w:qFormat/>
    <w:uiPriority w:val="0"/>
    <w:pPr>
      <w:adjustRightInd w:val="0"/>
      <w:snapToGrid w:val="0"/>
      <w:jc w:val="center"/>
    </w:pPr>
    <w:rPr>
      <w:rFonts w:ascii="Times New Roman" w:hAnsi="Times New Roman" w:eastAsia="宋体" w:cs="Times New Roman"/>
      <w:sz w:val="21"/>
      <w:lang w:val="en-US" w:eastAsia="zh-CN" w:bidi="ar-SA"/>
    </w:rPr>
  </w:style>
  <w:style w:type="paragraph" w:customStyle="1" w:styleId="94">
    <w:name w:val="！正文"/>
    <w:basedOn w:val="1"/>
    <w:qFormat/>
    <w:uiPriority w:val="0"/>
    <w:pPr>
      <w:spacing w:line="500" w:lineRule="exact"/>
      <w:ind w:firstLine="200" w:firstLineChars="200"/>
    </w:pPr>
    <w:rPr>
      <w:rFonts w:eastAsia="华文中宋"/>
      <w:color w:val="1F497D"/>
      <w:kern w:val="0"/>
      <w:sz w:val="24"/>
    </w:rPr>
  </w:style>
  <w:style w:type="character" w:customStyle="1" w:styleId="95">
    <w:name w:val="font61"/>
    <w:basedOn w:val="31"/>
    <w:qFormat/>
    <w:uiPriority w:val="0"/>
    <w:rPr>
      <w:rFonts w:hint="default" w:ascii="Times New Roman" w:hAnsi="Times New Roman" w:cs="Times New Roman"/>
      <w:color w:val="000000"/>
      <w:sz w:val="21"/>
      <w:szCs w:val="21"/>
      <w:u w:val="none"/>
    </w:rPr>
  </w:style>
  <w:style w:type="paragraph" w:customStyle="1" w:styleId="96">
    <w:name w:val="表格首行"/>
    <w:basedOn w:val="1"/>
    <w:qFormat/>
    <w:uiPriority w:val="0"/>
    <w:pPr>
      <w:snapToGrid w:val="0"/>
      <w:jc w:val="center"/>
    </w:pPr>
    <w:rPr>
      <w:b/>
    </w:rPr>
  </w:style>
  <w:style w:type="paragraph" w:customStyle="1" w:styleId="97">
    <w:name w:val="表内lcc"/>
    <w:basedOn w:val="1"/>
    <w:qFormat/>
    <w:uiPriority w:val="0"/>
    <w:pPr>
      <w:jc w:val="center"/>
    </w:pPr>
    <w:rPr>
      <w:iCs/>
      <w:color w:val="000000"/>
      <w:szCs w:val="21"/>
    </w:rPr>
  </w:style>
  <w:style w:type="paragraph" w:customStyle="1" w:styleId="98">
    <w:name w:val="【正文】"/>
    <w:qFormat/>
    <w:uiPriority w:val="0"/>
    <w:pPr>
      <w:widowControl w:val="0"/>
      <w:topLinePunct/>
      <w:adjustRightInd w:val="0"/>
      <w:snapToGrid w:val="0"/>
      <w:spacing w:line="500" w:lineRule="exact"/>
      <w:ind w:firstLine="480" w:firstLineChars="200"/>
      <w:jc w:val="both"/>
    </w:pPr>
    <w:rPr>
      <w:rFonts w:ascii="Times New Roman" w:hAnsi="Times New Roman" w:eastAsia="宋体" w:cs="宋体"/>
      <w:kern w:val="21"/>
      <w:sz w:val="24"/>
      <w:szCs w:val="24"/>
    </w:rPr>
  </w:style>
  <w:style w:type="paragraph" w:customStyle="1" w:styleId="99">
    <w:name w:val="03表格正文"/>
    <w:basedOn w:val="1"/>
    <w:qFormat/>
    <w:uiPriority w:val="0"/>
    <w:pPr>
      <w:adjustRightInd w:val="0"/>
      <w:snapToGrid w:val="0"/>
      <w:jc w:val="center"/>
    </w:pPr>
    <w:rPr>
      <w:rFonts w:eastAsiaTheme="minorEastAsia"/>
      <w:szCs w:val="21"/>
    </w:rPr>
  </w:style>
  <w:style w:type="paragraph" w:customStyle="1" w:styleId="100">
    <w:name w:val="3表格正文"/>
    <w:basedOn w:val="1"/>
    <w:qFormat/>
    <w:uiPriority w:val="0"/>
    <w:pPr>
      <w:jc w:val="center"/>
    </w:pPr>
    <w:rPr>
      <w:rFonts w:eastAsiaTheme="minorEastAsia"/>
      <w:bCs/>
      <w:szCs w:val="21"/>
    </w:rPr>
  </w:style>
  <w:style w:type="paragraph" w:customStyle="1" w:styleId="101">
    <w:name w:val="xl27"/>
    <w:basedOn w:val="1"/>
    <w:next w:val="1"/>
    <w:qFormat/>
    <w:uiPriority w:val="0"/>
    <w:pPr>
      <w:widowControl/>
      <w:pBdr>
        <w:bottom w:val="single" w:color="auto" w:sz="12" w:space="0"/>
      </w:pBdr>
      <w:adjustRightInd w:val="0"/>
      <w:spacing w:before="100" w:after="100"/>
      <w:jc w:val="center"/>
      <w:textAlignment w:val="baseline"/>
    </w:pPr>
    <w:rPr>
      <w:rFonts w:hAnsi="宋体"/>
      <w:kern w:val="0"/>
      <w:szCs w:val="20"/>
    </w:rPr>
  </w:style>
  <w:style w:type="paragraph" w:customStyle="1" w:styleId="102">
    <w:name w:val="我"/>
    <w:basedOn w:val="1"/>
    <w:qFormat/>
    <w:uiPriority w:val="0"/>
    <w:pPr>
      <w:spacing w:line="360" w:lineRule="auto"/>
      <w:ind w:firstLine="640" w:firstLineChars="200"/>
    </w:pPr>
    <w:rPr>
      <w:sz w:val="24"/>
    </w:rPr>
  </w:style>
  <w:style w:type="paragraph" w:customStyle="1" w:styleId="103">
    <w:name w:val="表格标题"/>
    <w:basedOn w:val="78"/>
    <w:next w:val="78"/>
    <w:qFormat/>
    <w:uiPriority w:val="0"/>
    <w:pPr>
      <w:spacing w:before="50" w:beforeLines="50"/>
      <w:ind w:firstLine="0" w:firstLineChars="0"/>
      <w:jc w:val="center"/>
    </w:pPr>
    <w:rPr>
      <w:rFonts w:eastAsia="黑体"/>
    </w:rPr>
  </w:style>
  <w:style w:type="paragraph" w:customStyle="1" w:styleId="104">
    <w:name w:val="表头，alt+D"/>
    <w:basedOn w:val="1"/>
    <w:qFormat/>
    <w:uiPriority w:val="0"/>
    <w:pPr>
      <w:spacing w:before="60" w:after="60" w:line="240" w:lineRule="atLeast"/>
      <w:ind w:left="-113" w:right="-113"/>
      <w:jc w:val="center"/>
      <w:textAlignment w:val="center"/>
    </w:pPr>
    <w:rPr>
      <w:rFonts w:ascii="宋体" w:hAnsi="Times New Roman"/>
      <w:color w:val="808000"/>
      <w:sz w:val="24"/>
      <w:szCs w:val="20"/>
    </w:rPr>
  </w:style>
  <w:style w:type="paragraph" w:customStyle="1" w:styleId="105">
    <w:name w:val="表体"/>
    <w:qFormat/>
    <w:uiPriority w:val="0"/>
    <w:pPr>
      <w:spacing w:before="40" w:after="40"/>
      <w:jc w:val="center"/>
    </w:pPr>
    <w:rPr>
      <w:rFonts w:ascii="宋体" w:hAnsi="Times New Roman" w:eastAsia="宋体" w:cs="Times New Roman"/>
      <w:color w:val="000080"/>
      <w:kern w:val="2"/>
      <w:sz w:val="24"/>
      <w:szCs w:val="24"/>
      <w:lang w:val="en-US" w:eastAsia="zh-CN" w:bidi="ar-SA"/>
    </w:rPr>
  </w:style>
  <w:style w:type="paragraph" w:customStyle="1" w:styleId="106">
    <w:name w:val="Char"/>
    <w:basedOn w:val="1"/>
    <w:qFormat/>
    <w:uiPriority w:val="0"/>
    <w:rPr>
      <w:rFonts w:ascii="宋体" w:hAnsi="宋体" w:cs="Courier New"/>
      <w:sz w:val="32"/>
      <w:szCs w:val="32"/>
    </w:rPr>
  </w:style>
  <w:style w:type="paragraph" w:customStyle="1" w:styleId="107">
    <w:name w:val="List Paragraph"/>
    <w:basedOn w:val="1"/>
    <w:qFormat/>
    <w:uiPriority w:val="34"/>
    <w:pPr>
      <w:ind w:firstLine="420" w:firstLineChars="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1" Type="http://schemas.openxmlformats.org/officeDocument/2006/relationships/fontTable" Target="fontTable.xml"/><Relationship Id="rId40" Type="http://schemas.openxmlformats.org/officeDocument/2006/relationships/numbering" Target="numbering.xml"/><Relationship Id="rId4" Type="http://schemas.openxmlformats.org/officeDocument/2006/relationships/footer" Target="footer2.xml"/><Relationship Id="rId39" Type="http://schemas.openxmlformats.org/officeDocument/2006/relationships/customXml" Target="../customXml/item1.xml"/><Relationship Id="rId38" Type="http://schemas.openxmlformats.org/officeDocument/2006/relationships/image" Target="media/image27.jpeg"/><Relationship Id="rId37" Type="http://schemas.openxmlformats.org/officeDocument/2006/relationships/image" Target="media/image26.jpeg"/><Relationship Id="rId36" Type="http://schemas.openxmlformats.org/officeDocument/2006/relationships/image" Target="media/image25.jpe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wmf"/><Relationship Id="rId32" Type="http://schemas.openxmlformats.org/officeDocument/2006/relationships/oleObject" Target="embeddings/oleObject5.bin"/><Relationship Id="rId31" Type="http://schemas.openxmlformats.org/officeDocument/2006/relationships/image" Target="media/image21.wmf"/><Relationship Id="rId30" Type="http://schemas.openxmlformats.org/officeDocument/2006/relationships/oleObject" Target="embeddings/oleObject4.bin"/><Relationship Id="rId3" Type="http://schemas.openxmlformats.org/officeDocument/2006/relationships/footer" Target="footer1.xml"/><Relationship Id="rId29" Type="http://schemas.openxmlformats.org/officeDocument/2006/relationships/image" Target="media/image20.wmf"/><Relationship Id="rId28" Type="http://schemas.openxmlformats.org/officeDocument/2006/relationships/oleObject" Target="embeddings/oleObject3.bin"/><Relationship Id="rId27" Type="http://schemas.openxmlformats.org/officeDocument/2006/relationships/image" Target="media/image19.wmf"/><Relationship Id="rId26" Type="http://schemas.openxmlformats.org/officeDocument/2006/relationships/oleObject" Target="embeddings/oleObject2.bin"/><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114</Pages>
  <Words>173</Words>
  <Characters>203</Characters>
  <Lines>1</Lines>
  <Paragraphs>1</Paragraphs>
  <TotalTime>5</TotalTime>
  <ScaleCrop>false</ScaleCrop>
  <LinksUpToDate>false</LinksUpToDate>
  <CharactersWithSpaces>227</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Administrator</cp:lastModifiedBy>
  <cp:lastPrinted>2021-04-09T10:11:00Z</cp:lastPrinted>
  <dcterms:modified xsi:type="dcterms:W3CDTF">2026-08-03T09:14:25Z</dcterms:modified>
  <dc:title>附件2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1E866F511F7A45C59CE09DD5F7F3B630_13</vt:lpwstr>
  </property>
  <property fmtid="{D5CDD505-2E9C-101B-9397-08002B2CF9AE}" pid="4" name="commondata">
    <vt:lpwstr>eyJoZGlkIjoiYmFkMGY1ZDE0Y2UxYzFmMWFlNmY3YWE4YzMzNWY5MzcifQ==</vt:lpwstr>
  </property>
  <property fmtid="{D5CDD505-2E9C-101B-9397-08002B2CF9AE}" pid="5" name="KSOTemplateDocerSaveRecord">
    <vt:lpwstr>eyJoZGlkIjoiYzk0MTE2MjZiNGUxNDAxNmEzOTFhNDIzNDhkMzNkNDkiLCJ1c2VySWQiOiI0MzEwMDE2MzIifQ==</vt:lpwstr>
  </property>
</Properties>
</file>