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6033C">
      <w:pPr>
        <w:rPr>
          <w:rFonts w:hint="eastAsia" w:ascii="Times New Roman" w:hAnsi="Times New Roman" w:eastAsia="仿宋_GB2312" w:cs="Times New Roman"/>
          <w:color w:val="000000" w:themeColor="text1"/>
          <w:sz w:val="36"/>
          <w:szCs w:val="36"/>
          <w:highlight w:val="none"/>
          <w:lang w:val="en-US" w:eastAsia="zh-CN"/>
          <w14:textFill>
            <w14:solidFill>
              <w14:schemeClr w14:val="tx1"/>
            </w14:solidFill>
          </w14:textFill>
        </w:rPr>
      </w:pPr>
      <w:bookmarkStart w:id="0" w:name="_Hlk57883707"/>
    </w:p>
    <w:p w14:paraId="0065B406">
      <w:pPr>
        <w:pStyle w:val="13"/>
        <w:rPr>
          <w:rFonts w:hint="default" w:ascii="Times New Roman" w:hAnsi="Times New Roman" w:cs="Times New Roman"/>
          <w:color w:val="000000" w:themeColor="text1"/>
          <w:highlight w:val="none"/>
          <w14:textFill>
            <w14:solidFill>
              <w14:schemeClr w14:val="tx1"/>
            </w14:solidFill>
          </w14:textFill>
        </w:rPr>
      </w:pPr>
    </w:p>
    <w:p w14:paraId="58AAB1D2">
      <w:pPr>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7BDCC1B4">
      <w:pPr>
        <w:rPr>
          <w:rFonts w:hint="default" w:ascii="Times New Roman" w:hAnsi="Times New Roman" w:eastAsia="仿宋_GB2312" w:cs="Times New Roman"/>
          <w:color w:val="000000" w:themeColor="text1"/>
          <w:sz w:val="36"/>
          <w:szCs w:val="36"/>
          <w:highlight w:val="none"/>
          <w14:textFill>
            <w14:solidFill>
              <w14:schemeClr w14:val="tx1"/>
            </w14:solidFill>
          </w14:textFill>
        </w:rPr>
      </w:pPr>
    </w:p>
    <w:bookmarkEnd w:id="0"/>
    <w:p w14:paraId="69366192">
      <w:pPr>
        <w:adjustRightInd w:val="0"/>
        <w:snapToGrid w:val="0"/>
        <w:jc w:val="center"/>
        <w:outlineLvl w:val="0"/>
        <w:rPr>
          <w:rFonts w:hint="default" w:ascii="Times New Roman" w:hAnsi="Times New Roman" w:eastAsia="方正小标宋_GBK" w:cs="Times New Roman"/>
          <w:bCs/>
          <w:color w:val="000000" w:themeColor="text1"/>
          <w:sz w:val="52"/>
          <w:szCs w:val="52"/>
          <w:highlight w:val="none"/>
          <w14:textFill>
            <w14:solidFill>
              <w14:schemeClr w14:val="tx1"/>
            </w14:solidFill>
          </w14:textFill>
        </w:rPr>
      </w:pPr>
      <w:r>
        <w:rPr>
          <w:rFonts w:hint="default" w:ascii="Times New Roman" w:hAnsi="Times New Roman" w:eastAsia="方正小标宋_GBK" w:cs="Times New Roman"/>
          <w:bCs/>
          <w:color w:val="000000" w:themeColor="text1"/>
          <w:sz w:val="52"/>
          <w:szCs w:val="52"/>
          <w:highlight w:val="none"/>
          <w14:textFill>
            <w14:solidFill>
              <w14:schemeClr w14:val="tx1"/>
            </w14:solidFill>
          </w14:textFill>
        </w:rPr>
        <w:t>建设项目</w:t>
      </w:r>
      <w:r>
        <w:rPr>
          <w:rFonts w:hint="eastAsia" w:eastAsia="方正小标宋_GBK" w:cs="Times New Roman"/>
          <w:bCs/>
          <w:color w:val="000000" w:themeColor="text1"/>
          <w:sz w:val="52"/>
          <w:szCs w:val="52"/>
          <w:highlight w:val="none"/>
          <w:lang w:val="en-US" w:eastAsia="zh-CN"/>
          <w14:textFill>
            <w14:solidFill>
              <w14:schemeClr w14:val="tx1"/>
            </w14:solidFill>
          </w14:textFill>
        </w:rPr>
        <w:t>生态</w:t>
      </w:r>
      <w:r>
        <w:rPr>
          <w:rFonts w:hint="default" w:ascii="Times New Roman" w:hAnsi="Times New Roman" w:eastAsia="方正小标宋_GBK" w:cs="Times New Roman"/>
          <w:bCs/>
          <w:color w:val="000000" w:themeColor="text1"/>
          <w:sz w:val="52"/>
          <w:szCs w:val="52"/>
          <w:highlight w:val="none"/>
          <w14:textFill>
            <w14:solidFill>
              <w14:schemeClr w14:val="tx1"/>
            </w14:solidFill>
          </w14:textFill>
        </w:rPr>
        <w:t>环境影响报告表</w:t>
      </w:r>
    </w:p>
    <w:p w14:paraId="61DB69D5">
      <w:pPr>
        <w:adjustRightInd w:val="0"/>
        <w:snapToGrid w:val="0"/>
        <w:spacing w:before="192" w:beforeLines="80"/>
        <w:jc w:val="center"/>
        <w:rPr>
          <w:rFonts w:hint="default" w:ascii="Times New Roman" w:hAnsi="Times New Roman" w:eastAsia="楷体_GB2312" w:cs="Times New Roman"/>
          <w:bCs/>
          <w:color w:val="000000" w:themeColor="text1"/>
          <w:sz w:val="48"/>
          <w:szCs w:val="48"/>
          <w:highlight w:val="none"/>
          <w14:textFill>
            <w14:solidFill>
              <w14:schemeClr w14:val="tx1"/>
            </w14:solidFill>
          </w14:textFill>
        </w:rPr>
      </w:pPr>
      <w:r>
        <w:rPr>
          <w:rFonts w:hint="default" w:ascii="Times New Roman" w:hAnsi="Times New Roman" w:eastAsia="楷体_GB2312" w:cs="Times New Roman"/>
          <w:bCs/>
          <w:color w:val="000000" w:themeColor="text1"/>
          <w:sz w:val="48"/>
          <w:szCs w:val="48"/>
          <w:highlight w:val="none"/>
          <w14:textFill>
            <w14:solidFill>
              <w14:schemeClr w14:val="tx1"/>
            </w14:solidFill>
          </w14:textFill>
        </w:rPr>
        <w:t>（生态影响类）</w:t>
      </w:r>
    </w:p>
    <w:p w14:paraId="157DACAA">
      <w:pPr>
        <w:adjustRightInd w:val="0"/>
        <w:snapToGrid w:val="0"/>
        <w:spacing w:line="288" w:lineRule="auto"/>
        <w:jc w:val="center"/>
        <w:outlineLvl w:val="0"/>
        <w:rPr>
          <w:rFonts w:hint="default" w:ascii="Times New Roman" w:hAnsi="Times New Roman" w:eastAsia="华文仿宋" w:cs="Times New Roman"/>
          <w:color w:val="000000" w:themeColor="text1"/>
          <w:kern w:val="44"/>
          <w:sz w:val="44"/>
          <w:szCs w:val="44"/>
          <w:highlight w:val="none"/>
          <w14:textFill>
            <w14:solidFill>
              <w14:schemeClr w14:val="tx1"/>
            </w14:solidFill>
          </w14:textFill>
        </w:rPr>
      </w:pPr>
      <w:bookmarkStart w:id="1" w:name="_Hlk57883728"/>
    </w:p>
    <w:p w14:paraId="469461C2">
      <w:pPr>
        <w:ind w:firstLine="1040"/>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636666E3">
      <w:pPr>
        <w:ind w:firstLine="1040"/>
        <w:rPr>
          <w:rFonts w:hint="default" w:ascii="Times New Roman" w:hAnsi="Times New Roman" w:eastAsia="仿宋" w:cs="Times New Roman"/>
          <w:color w:val="000000" w:themeColor="text1"/>
          <w:sz w:val="44"/>
          <w:szCs w:val="44"/>
          <w:highlight w:val="none"/>
          <w:lang w:val="en-US" w:eastAsia="zh-CN"/>
          <w14:textFill>
            <w14:solidFill>
              <w14:schemeClr w14:val="tx1"/>
            </w14:solidFill>
          </w14:textFill>
        </w:rPr>
      </w:pPr>
    </w:p>
    <w:p w14:paraId="7D2F47FD">
      <w:pPr>
        <w:ind w:firstLine="1040"/>
        <w:rPr>
          <w:rFonts w:hint="default" w:ascii="Times New Roman" w:hAnsi="Times New Roman" w:eastAsia="仿宋" w:cs="Times New Roman"/>
          <w:color w:val="000000" w:themeColor="text1"/>
          <w:sz w:val="44"/>
          <w:szCs w:val="44"/>
          <w:highlight w:val="none"/>
          <w:lang w:val="en-US" w:eastAsia="zh-CN"/>
          <w14:textFill>
            <w14:solidFill>
              <w14:schemeClr w14:val="tx1"/>
            </w14:solidFill>
          </w14:textFill>
        </w:rPr>
      </w:pPr>
    </w:p>
    <w:p w14:paraId="2D8264A3">
      <w:pPr>
        <w:ind w:firstLine="1040"/>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2C1AB5F2">
      <w:pPr>
        <w:ind w:firstLine="1040"/>
        <w:rPr>
          <w:rFonts w:hint="default" w:ascii="Times New Roman" w:hAnsi="Times New Roman" w:eastAsia="仿宋" w:cs="Times New Roman"/>
          <w:color w:val="000000" w:themeColor="text1"/>
          <w:sz w:val="44"/>
          <w:szCs w:val="44"/>
          <w:highlight w:val="none"/>
          <w14:textFill>
            <w14:solidFill>
              <w14:schemeClr w14:val="tx1"/>
            </w14:solidFill>
          </w14:textFill>
        </w:rPr>
      </w:pPr>
    </w:p>
    <w:bookmarkEnd w:id="1"/>
    <w:p w14:paraId="1792A13A">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default" w:ascii="Times New Roman" w:hAnsi="Times New Roman" w:eastAsia="仿宋_GB2312" w:cs="Times New Roman"/>
          <w:color w:val="000000" w:themeColor="text1"/>
          <w:sz w:val="36"/>
          <w:szCs w:val="36"/>
          <w:highlight w:val="none"/>
          <w:u w:val="single"/>
          <w:lang w:val="en-US" w:eastAsia="zh-CN"/>
          <w14:textFill>
            <w14:solidFill>
              <w14:schemeClr w14:val="tx1"/>
            </w14:solidFill>
          </w14:textFill>
        </w:rPr>
      </w:pPr>
      <w:r>
        <w:rPr>
          <w:rFonts w:hint="default" w:ascii="Times New Roman" w:hAnsi="Times New Roman" w:eastAsia="仿宋_GB2312" w:cs="Times New Roman"/>
          <w:color w:val="000000" w:themeColor="text1"/>
          <w:sz w:val="36"/>
          <w:szCs w:val="36"/>
          <w:highlight w:val="none"/>
          <w14:textFill>
            <w14:solidFill>
              <w14:schemeClr w14:val="tx1"/>
            </w14:solidFill>
          </w14:textFill>
        </w:rPr>
        <w:t xml:space="preserve">项目名称： </w:t>
      </w:r>
      <w:r>
        <w:rPr>
          <w:rFonts w:hint="default" w:ascii="Times New Roman" w:hAnsi="Times New Roman" w:eastAsia="仿宋_GB2312" w:cs="Times New Roman"/>
          <w:color w:val="000000" w:themeColor="text1"/>
          <w:sz w:val="36"/>
          <w:szCs w:val="36"/>
          <w:highlight w:val="none"/>
          <w:u w:val="single"/>
          <w14:textFill>
            <w14:solidFill>
              <w14:schemeClr w14:val="tx1"/>
            </w14:solidFill>
          </w14:textFill>
        </w:rPr>
        <w:t xml:space="preserve"> </w:t>
      </w:r>
      <w:r>
        <w:rPr>
          <w:rFonts w:hint="eastAsia" w:eastAsia="仿宋_GB2312" w:cs="Times New Roman"/>
          <w:color w:val="000000" w:themeColor="text1"/>
          <w:sz w:val="36"/>
          <w:szCs w:val="36"/>
          <w:highlight w:val="none"/>
          <w:u w:val="single"/>
          <w:lang w:eastAsia="zh-CN"/>
          <w14:textFill>
            <w14:solidFill>
              <w14:schemeClr w14:val="tx1"/>
            </w14:solidFill>
          </w14:textFill>
        </w:rPr>
        <w:t>新疆和静县亚曼萨依北铜多金属矿普查项目</w:t>
      </w:r>
      <w:r>
        <w:rPr>
          <w:rFonts w:hint="default" w:ascii="Times New Roman" w:hAnsi="Times New Roman" w:eastAsia="仿宋_GB2312" w:cs="Times New Roman"/>
          <w:color w:val="000000" w:themeColor="text1"/>
          <w:sz w:val="36"/>
          <w:szCs w:val="36"/>
          <w:highlight w:val="none"/>
          <w:u w:val="single"/>
          <w:lang w:val="en-US" w:eastAsia="zh-CN"/>
          <w14:textFill>
            <w14:solidFill>
              <w14:schemeClr w14:val="tx1"/>
            </w14:solidFill>
          </w14:textFill>
        </w:rPr>
        <w:t xml:space="preserve">   </w:t>
      </w:r>
    </w:p>
    <w:p w14:paraId="759967CE">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default" w:ascii="Times New Roman" w:hAnsi="Times New Roman" w:eastAsia="仿宋_GB2312" w:cs="Times New Roman"/>
          <w:color w:val="000000" w:themeColor="text1"/>
          <w:sz w:val="36"/>
          <w:szCs w:val="36"/>
          <w:highlight w:val="none"/>
          <w:u w:val="single"/>
          <w:lang w:val="en-US" w:eastAsia="zh-CN"/>
          <w14:textFill>
            <w14:solidFill>
              <w14:schemeClr w14:val="tx1"/>
            </w14:solidFill>
          </w14:textFill>
        </w:rPr>
      </w:pPr>
      <w:r>
        <w:rPr>
          <w:rFonts w:hint="default" w:ascii="Times New Roman" w:hAnsi="Times New Roman" w:eastAsia="仿宋_GB2312" w:cs="Times New Roman"/>
          <w:color w:val="000000" w:themeColor="text1"/>
          <w:sz w:val="36"/>
          <w:szCs w:val="36"/>
          <w:highlight w:val="none"/>
          <w14:textFill>
            <w14:solidFill>
              <w14:schemeClr w14:val="tx1"/>
            </w14:solidFill>
          </w14:textFill>
        </w:rPr>
        <w:t>建设单位（盖章）：</w:t>
      </w:r>
      <w:r>
        <w:rPr>
          <w:rFonts w:hint="eastAsia" w:eastAsia="仿宋_GB2312" w:cs="Times New Roman"/>
          <w:color w:val="000000" w:themeColor="text1"/>
          <w:sz w:val="36"/>
          <w:szCs w:val="36"/>
          <w:highlight w:val="none"/>
          <w:u w:val="single"/>
          <w:lang w:eastAsia="zh-CN"/>
          <w14:textFill>
            <w14:solidFill>
              <w14:schemeClr w14:val="tx1"/>
            </w14:solidFill>
          </w14:textFill>
        </w:rPr>
        <w:t>朝阳联和金属材料有限公司</w:t>
      </w:r>
      <w:r>
        <w:rPr>
          <w:rFonts w:hint="eastAsia" w:eastAsia="仿宋_GB2312" w:cs="Times New Roman"/>
          <w:color w:val="000000" w:themeColor="text1"/>
          <w:sz w:val="36"/>
          <w:szCs w:val="36"/>
          <w:highlight w:val="none"/>
          <w:u w:val="single"/>
          <w:lang w:val="en-US" w:eastAsia="zh-CN"/>
          <w14:textFill>
            <w14:solidFill>
              <w14:schemeClr w14:val="tx1"/>
            </w14:solidFill>
          </w14:textFill>
        </w:rPr>
        <w:t xml:space="preserve">       </w:t>
      </w:r>
    </w:p>
    <w:p w14:paraId="1B21FF6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仿宋_GB2312" w:cs="Times New Roman"/>
          <w:color w:val="000000" w:themeColor="text1"/>
          <w:sz w:val="36"/>
          <w:szCs w:val="36"/>
          <w:highlight w:val="none"/>
          <w14:textFill>
            <w14:solidFill>
              <w14:schemeClr w14:val="tx1"/>
            </w14:solidFill>
          </w14:textFill>
        </w:rPr>
        <w:t>编制日期：</w:t>
      </w:r>
      <w:r>
        <w:rPr>
          <w:rFonts w:hint="default" w:ascii="Times New Roman" w:hAnsi="Times New Roman" w:eastAsia="仿宋_GB2312" w:cs="Times New Roman"/>
          <w:color w:val="000000" w:themeColor="text1"/>
          <w:sz w:val="36"/>
          <w:szCs w:val="36"/>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36"/>
          <w:szCs w:val="36"/>
          <w:highlight w:val="none"/>
          <w:u w:val="single"/>
          <w:lang w:val="en-US" w:eastAsia="zh-CN"/>
          <w14:textFill>
            <w14:solidFill>
              <w14:schemeClr w14:val="tx1"/>
            </w14:solidFill>
          </w14:textFill>
        </w:rPr>
        <w:t xml:space="preserve"> </w:t>
      </w:r>
      <w:r>
        <w:rPr>
          <w:rFonts w:hint="eastAsia" w:eastAsia="仿宋_GB2312" w:cs="Times New Roman"/>
          <w:color w:val="000000" w:themeColor="text1"/>
          <w:sz w:val="36"/>
          <w:szCs w:val="36"/>
          <w:highlight w:val="none"/>
          <w:u w:val="single"/>
          <w:lang w:val="en-US" w:eastAsia="zh-CN"/>
          <w14:textFill>
            <w14:solidFill>
              <w14:schemeClr w14:val="tx1"/>
            </w14:solidFill>
          </w14:textFill>
        </w:rPr>
        <w:t>2026</w:t>
      </w:r>
      <w:r>
        <w:rPr>
          <w:rFonts w:hint="default" w:ascii="Times New Roman" w:hAnsi="Times New Roman" w:eastAsia="仿宋_GB2312" w:cs="Times New Roman"/>
          <w:color w:val="000000" w:themeColor="text1"/>
          <w:sz w:val="36"/>
          <w:szCs w:val="36"/>
          <w:highlight w:val="none"/>
          <w:u w:val="single"/>
          <w:lang w:val="en-US" w:eastAsia="zh-CN"/>
          <w14:textFill>
            <w14:solidFill>
              <w14:schemeClr w14:val="tx1"/>
            </w14:solidFill>
          </w14:textFill>
        </w:rPr>
        <w:t xml:space="preserve"> 年 </w:t>
      </w:r>
      <w:r>
        <w:rPr>
          <w:rFonts w:hint="eastAsia" w:eastAsia="仿宋_GB2312" w:cs="Times New Roman"/>
          <w:color w:val="000000" w:themeColor="text1"/>
          <w:sz w:val="36"/>
          <w:szCs w:val="36"/>
          <w:highlight w:val="none"/>
          <w:u w:val="single"/>
          <w:lang w:val="en-US" w:eastAsia="zh-CN"/>
          <w14:textFill>
            <w14:solidFill>
              <w14:schemeClr w14:val="tx1"/>
            </w14:solidFill>
          </w14:textFill>
        </w:rPr>
        <w:t>9</w:t>
      </w:r>
      <w:r>
        <w:rPr>
          <w:rFonts w:hint="default" w:ascii="Times New Roman" w:hAnsi="Times New Roman" w:eastAsia="仿宋_GB2312" w:cs="Times New Roman"/>
          <w:color w:val="000000" w:themeColor="text1"/>
          <w:sz w:val="36"/>
          <w:szCs w:val="36"/>
          <w:highlight w:val="none"/>
          <w:u w:val="single"/>
          <w:lang w:val="en-US" w:eastAsia="zh-CN"/>
          <w14:textFill>
            <w14:solidFill>
              <w14:schemeClr w14:val="tx1"/>
            </w14:solidFill>
          </w14:textFill>
        </w:rPr>
        <w:t xml:space="preserve"> 月                    </w:t>
      </w:r>
      <w:r>
        <w:rPr>
          <w:rFonts w:hint="eastAsia" w:eastAsia="仿宋_GB2312" w:cs="Times New Roman"/>
          <w:color w:val="000000" w:themeColor="text1"/>
          <w:sz w:val="36"/>
          <w:szCs w:val="36"/>
          <w:highlight w:val="none"/>
          <w:u w:val="single"/>
          <w:lang w:val="en-US" w:eastAsia="zh-CN"/>
          <w14:textFill>
            <w14:solidFill>
              <w14:schemeClr w14:val="tx1"/>
            </w14:solidFill>
          </w14:textFill>
        </w:rPr>
        <w:t xml:space="preserve">     </w:t>
      </w:r>
    </w:p>
    <w:p w14:paraId="6FF2DFCE">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u w:val="single"/>
          <w14:textFill>
            <w14:solidFill>
              <w14:schemeClr w14:val="tx1"/>
            </w14:solidFill>
          </w14:textFill>
        </w:rPr>
      </w:pPr>
    </w:p>
    <w:p w14:paraId="54295233">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11AFDD87">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269BFA71">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3B7C5A47">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5F09885E">
      <w:pPr>
        <w:adjustRightInd w:val="0"/>
        <w:snapToGrid w:val="0"/>
        <w:spacing w:line="288" w:lineRule="auto"/>
        <w:jc w:val="center"/>
        <w:rPr>
          <w:rFonts w:hint="default" w:ascii="Times New Roman" w:hAnsi="Times New Roman" w:eastAsia="楷体_GB2312" w:cs="Times New Roman"/>
          <w:color w:val="000000" w:themeColor="text1"/>
          <w:sz w:val="36"/>
          <w:szCs w:val="36"/>
          <w:highlight w:val="none"/>
          <w14:textFill>
            <w14:solidFill>
              <w14:schemeClr w14:val="tx1"/>
            </w14:solidFill>
          </w14:textFill>
        </w:rPr>
      </w:pPr>
      <w:r>
        <w:rPr>
          <w:rFonts w:hint="default" w:ascii="Times New Roman" w:hAnsi="Times New Roman" w:eastAsia="楷体_GB2312" w:cs="Times New Roman"/>
          <w:color w:val="000000" w:themeColor="text1"/>
          <w:sz w:val="36"/>
          <w:szCs w:val="36"/>
          <w:highlight w:val="none"/>
          <w14:textFill>
            <w14:solidFill>
              <w14:schemeClr w14:val="tx1"/>
            </w14:solidFill>
          </w14:textFill>
        </w:rPr>
        <w:t>中华人民共和国生态环境部制</w:t>
      </w:r>
    </w:p>
    <w:p w14:paraId="1B01F295">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sectPr>
          <w:headerReference r:id="rId3" w:type="default"/>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14:paraId="5CD66A84">
      <w:pPr>
        <w:adjustRightInd/>
        <w:snapToGrid/>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4D5EB2D">
      <w:pPr>
        <w:pStyle w:val="25"/>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一、建设项目基本情况</w:t>
      </w:r>
    </w:p>
    <w:tbl>
      <w:tblPr>
        <w:tblStyle w:val="28"/>
        <w:tblW w:w="9039" w:type="dxa"/>
        <w:tblInd w:w="16"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634"/>
        <w:gridCol w:w="2512"/>
        <w:gridCol w:w="2310"/>
        <w:gridCol w:w="2583"/>
      </w:tblGrid>
      <w:tr w14:paraId="5F2308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1634" w:type="dxa"/>
            <w:tcBorders>
              <w:tl2br w:val="nil"/>
              <w:tr2bl w:val="nil"/>
            </w:tcBorders>
            <w:noWrap w:val="0"/>
            <w:tcMar>
              <w:top w:w="16" w:type="dxa"/>
              <w:left w:w="16" w:type="dxa"/>
              <w:right w:w="16" w:type="dxa"/>
            </w:tcMar>
            <w:vAlign w:val="center"/>
          </w:tcPr>
          <w:p w14:paraId="2FBC155A">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建设项目名称</w:t>
            </w:r>
          </w:p>
        </w:tc>
        <w:tc>
          <w:tcPr>
            <w:tcW w:w="7405" w:type="dxa"/>
            <w:gridSpan w:val="3"/>
            <w:tcBorders>
              <w:tl2br w:val="nil"/>
              <w:tr2bl w:val="nil"/>
            </w:tcBorders>
            <w:noWrap w:val="0"/>
            <w:vAlign w:val="center"/>
          </w:tcPr>
          <w:p w14:paraId="6CDFA705">
            <w:pPr>
              <w:pStyle w:val="63"/>
              <w:bidi w:val="0"/>
              <w:rPr>
                <w:rFonts w:hint="default" w:ascii="Times New Roman" w:hAnsi="Times New Roman" w:cs="Times New Roman"/>
                <w:color w:val="000000" w:themeColor="text1"/>
                <w:sz w:val="24"/>
                <w:szCs w:val="24"/>
                <w:highlight w:val="none"/>
                <w:lang w:val="en-US"/>
                <w14:textFill>
                  <w14:solidFill>
                    <w14:schemeClr w14:val="tx1"/>
                  </w14:solidFill>
                </w14:textFill>
              </w:rPr>
            </w:pPr>
          </w:p>
        </w:tc>
      </w:tr>
      <w:tr w14:paraId="789726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1634" w:type="dxa"/>
            <w:tcBorders>
              <w:tl2br w:val="nil"/>
              <w:tr2bl w:val="nil"/>
            </w:tcBorders>
            <w:noWrap w:val="0"/>
            <w:tcMar>
              <w:top w:w="16" w:type="dxa"/>
              <w:left w:w="16" w:type="dxa"/>
              <w:right w:w="16" w:type="dxa"/>
            </w:tcMar>
            <w:vAlign w:val="center"/>
          </w:tcPr>
          <w:p w14:paraId="030623BA">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项目代码</w:t>
            </w:r>
          </w:p>
        </w:tc>
        <w:tc>
          <w:tcPr>
            <w:tcW w:w="7405" w:type="dxa"/>
            <w:gridSpan w:val="3"/>
            <w:tcBorders>
              <w:tl2br w:val="nil"/>
              <w:tr2bl w:val="nil"/>
            </w:tcBorders>
            <w:noWrap w:val="0"/>
            <w:vAlign w:val="center"/>
          </w:tcPr>
          <w:p w14:paraId="393F8719">
            <w:pPr>
              <w:pStyle w:val="63"/>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w:t>
            </w:r>
          </w:p>
        </w:tc>
      </w:tr>
      <w:tr w14:paraId="0D84FC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503" w:hRule="atLeast"/>
        </w:trPr>
        <w:tc>
          <w:tcPr>
            <w:tcW w:w="1634" w:type="dxa"/>
            <w:tcBorders>
              <w:tl2br w:val="nil"/>
              <w:tr2bl w:val="nil"/>
            </w:tcBorders>
            <w:noWrap w:val="0"/>
            <w:tcMar>
              <w:top w:w="16" w:type="dxa"/>
              <w:left w:w="16" w:type="dxa"/>
              <w:right w:w="16" w:type="dxa"/>
            </w:tcMar>
            <w:vAlign w:val="center"/>
          </w:tcPr>
          <w:p w14:paraId="33B83BEA">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建设单位联系人</w:t>
            </w:r>
          </w:p>
        </w:tc>
        <w:tc>
          <w:tcPr>
            <w:tcW w:w="2512" w:type="dxa"/>
            <w:tcBorders>
              <w:tl2br w:val="nil"/>
              <w:tr2bl w:val="nil"/>
            </w:tcBorders>
            <w:noWrap w:val="0"/>
            <w:vAlign w:val="center"/>
          </w:tcPr>
          <w:p w14:paraId="3025FD67">
            <w:pPr>
              <w:pStyle w:val="63"/>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2310" w:type="dxa"/>
            <w:tcBorders>
              <w:tl2br w:val="nil"/>
              <w:tr2bl w:val="nil"/>
            </w:tcBorders>
            <w:noWrap w:val="0"/>
            <w:vAlign w:val="center"/>
          </w:tcPr>
          <w:p w14:paraId="5D6108D9">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联系方式</w:t>
            </w:r>
          </w:p>
        </w:tc>
        <w:tc>
          <w:tcPr>
            <w:tcW w:w="2583" w:type="dxa"/>
            <w:tcBorders>
              <w:tl2br w:val="nil"/>
              <w:tr2bl w:val="nil"/>
            </w:tcBorders>
            <w:noWrap w:val="0"/>
            <w:vAlign w:val="center"/>
          </w:tcPr>
          <w:p w14:paraId="0E5DB8D8">
            <w:pPr>
              <w:pStyle w:val="63"/>
              <w:bidi w:val="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r>
      <w:tr w14:paraId="66A292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1634" w:type="dxa"/>
            <w:tcBorders>
              <w:tl2br w:val="nil"/>
              <w:tr2bl w:val="nil"/>
            </w:tcBorders>
            <w:noWrap w:val="0"/>
            <w:tcMar>
              <w:top w:w="16" w:type="dxa"/>
              <w:left w:w="16" w:type="dxa"/>
              <w:right w:w="16" w:type="dxa"/>
            </w:tcMar>
            <w:vAlign w:val="center"/>
          </w:tcPr>
          <w:p w14:paraId="2B676E45">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建设地点</w:t>
            </w:r>
          </w:p>
        </w:tc>
        <w:tc>
          <w:tcPr>
            <w:tcW w:w="7405" w:type="dxa"/>
            <w:gridSpan w:val="3"/>
            <w:tcBorders>
              <w:tl2br w:val="nil"/>
              <w:tr2bl w:val="nil"/>
            </w:tcBorders>
            <w:noWrap w:val="0"/>
            <w:vAlign w:val="center"/>
          </w:tcPr>
          <w:p w14:paraId="54B7C064">
            <w:pPr>
              <w:pStyle w:val="63"/>
              <w:bidi w:val="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新疆维吾尔自治区和静县巴伦台镇包格旦郭勒村</w:t>
            </w:r>
          </w:p>
        </w:tc>
      </w:tr>
      <w:tr w14:paraId="1D5E6F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66" w:hRule="atLeast"/>
        </w:trPr>
        <w:tc>
          <w:tcPr>
            <w:tcW w:w="1634" w:type="dxa"/>
            <w:tcBorders>
              <w:tl2br w:val="nil"/>
              <w:tr2bl w:val="nil"/>
            </w:tcBorders>
            <w:noWrap w:val="0"/>
            <w:tcMar>
              <w:top w:w="16" w:type="dxa"/>
              <w:left w:w="16" w:type="dxa"/>
              <w:right w:w="16" w:type="dxa"/>
            </w:tcMar>
            <w:vAlign w:val="center"/>
          </w:tcPr>
          <w:p w14:paraId="0BACF035">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地理坐标</w:t>
            </w:r>
          </w:p>
        </w:tc>
        <w:tc>
          <w:tcPr>
            <w:tcW w:w="7405" w:type="dxa"/>
            <w:gridSpan w:val="3"/>
            <w:tcBorders>
              <w:tl2br w:val="nil"/>
              <w:tr2bl w:val="nil"/>
            </w:tcBorders>
            <w:noWrap w:val="0"/>
            <w:vAlign w:val="center"/>
          </w:tcPr>
          <w:p w14:paraId="454A4E3E">
            <w:pPr>
              <w:pStyle w:val="63"/>
              <w:bidi w:val="0"/>
              <w:rPr>
                <w:rFonts w:hint="default" w:cs="Times New Roman"/>
                <w:color w:val="000000" w:themeColor="text1"/>
                <w:sz w:val="24"/>
                <w:szCs w:val="24"/>
                <w:highlight w:val="none"/>
                <w:lang w:val="en-US" w:eastAsia="zh-CN"/>
                <w14:textFill>
                  <w14:solidFill>
                    <w14:schemeClr w14:val="tx1"/>
                  </w14:solidFill>
                </w14:textFill>
              </w:rPr>
            </w:pPr>
          </w:p>
        </w:tc>
      </w:tr>
      <w:tr w14:paraId="490782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634" w:type="dxa"/>
            <w:tcBorders>
              <w:tl2br w:val="nil"/>
              <w:tr2bl w:val="nil"/>
            </w:tcBorders>
            <w:noWrap w:val="0"/>
            <w:tcMar>
              <w:top w:w="16" w:type="dxa"/>
              <w:left w:w="16" w:type="dxa"/>
              <w:right w:w="16" w:type="dxa"/>
            </w:tcMar>
            <w:vAlign w:val="center"/>
          </w:tcPr>
          <w:p w14:paraId="192C6F69">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w:t>
            </w:r>
          </w:p>
          <w:p w14:paraId="7F844D1C">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行业类别</w:t>
            </w:r>
          </w:p>
        </w:tc>
        <w:tc>
          <w:tcPr>
            <w:tcW w:w="2512" w:type="dxa"/>
            <w:tcBorders>
              <w:tl2br w:val="nil"/>
              <w:tr2bl w:val="nil"/>
            </w:tcBorders>
            <w:noWrap w:val="0"/>
            <w:vAlign w:val="center"/>
          </w:tcPr>
          <w:p w14:paraId="25E0FEBD">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四十六、专业技术服务业-99 陆地矿产资源地质勘查（含油气资源勘探）；二氧化碳地质封存</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全部</w:t>
            </w:r>
          </w:p>
        </w:tc>
        <w:tc>
          <w:tcPr>
            <w:tcW w:w="2310" w:type="dxa"/>
            <w:tcBorders>
              <w:tl2br w:val="nil"/>
              <w:tr2bl w:val="nil"/>
            </w:tcBorders>
            <w:noWrap w:val="0"/>
            <w:vAlign w:val="center"/>
          </w:tcPr>
          <w:p w14:paraId="059E18FF">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用地（用海）面积（m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）/长度（km）</w:t>
            </w:r>
          </w:p>
        </w:tc>
        <w:tc>
          <w:tcPr>
            <w:tcW w:w="2583" w:type="dxa"/>
            <w:tcBorders>
              <w:tl2br w:val="nil"/>
              <w:tr2bl w:val="nil"/>
            </w:tcBorders>
            <w:noWrap w:val="0"/>
            <w:vAlign w:val="center"/>
          </w:tcPr>
          <w:p w14:paraId="74F7B395">
            <w:pPr>
              <w:pStyle w:val="63"/>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探矿范围11.47km</w:t>
            </w:r>
            <w:r>
              <w:rPr>
                <w:rFonts w:hint="eastAsia"/>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，临时占地面积为</w:t>
            </w:r>
            <w:r>
              <w:rPr>
                <w:rFonts w:hint="eastAsia" w:cs="Times New Roman"/>
                <w:color w:val="000000" w:themeColor="text1"/>
                <w:kern w:val="0"/>
                <w:sz w:val="24"/>
                <w:szCs w:val="24"/>
                <w:highlight w:val="none"/>
                <w:lang w:val="en-US" w:eastAsia="zh-CN"/>
                <w14:textFill>
                  <w14:solidFill>
                    <w14:schemeClr w14:val="tx1"/>
                  </w14:solidFill>
                </w14:textFill>
              </w:rPr>
              <w:t>18298</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2</w:t>
            </w:r>
          </w:p>
        </w:tc>
      </w:tr>
      <w:tr w14:paraId="4FE425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4" w:hRule="atLeast"/>
        </w:trPr>
        <w:tc>
          <w:tcPr>
            <w:tcW w:w="1634" w:type="dxa"/>
            <w:tcBorders>
              <w:tl2br w:val="nil"/>
              <w:tr2bl w:val="nil"/>
            </w:tcBorders>
            <w:noWrap w:val="0"/>
            <w:tcMar>
              <w:top w:w="16" w:type="dxa"/>
              <w:left w:w="16" w:type="dxa"/>
              <w:right w:w="16" w:type="dxa"/>
            </w:tcMar>
            <w:vAlign w:val="center"/>
          </w:tcPr>
          <w:p w14:paraId="15FF23B4">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建设性质</w:t>
            </w:r>
          </w:p>
        </w:tc>
        <w:tc>
          <w:tcPr>
            <w:tcW w:w="2512" w:type="dxa"/>
            <w:tcBorders>
              <w:tl2br w:val="nil"/>
              <w:tr2bl w:val="nil"/>
            </w:tcBorders>
            <w:noWrap w:val="0"/>
            <w:vAlign w:val="center"/>
          </w:tcPr>
          <w:p w14:paraId="4E9CFFE2">
            <w:pPr>
              <w:adjustRightInd w:val="0"/>
              <w:snapToGrid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新建（迁建）</w:t>
            </w:r>
          </w:p>
          <w:p w14:paraId="5F19D837">
            <w:pPr>
              <w:adjustRightInd w:val="0"/>
              <w:snapToGrid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□改建</w:t>
            </w:r>
          </w:p>
          <w:p w14:paraId="4DE41240">
            <w:pPr>
              <w:adjustRightInd w:val="0"/>
              <w:snapToGrid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□扩建</w:t>
            </w:r>
          </w:p>
          <w:p w14:paraId="3CC3E7BC">
            <w:pPr>
              <w:adjustRightInd w:val="0"/>
              <w:snapToGrid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□技术改造</w:t>
            </w:r>
          </w:p>
        </w:tc>
        <w:tc>
          <w:tcPr>
            <w:tcW w:w="2310" w:type="dxa"/>
            <w:tcBorders>
              <w:tl2br w:val="nil"/>
              <w:tr2bl w:val="nil"/>
            </w:tcBorders>
            <w:noWrap w:val="0"/>
            <w:vAlign w:val="center"/>
          </w:tcPr>
          <w:p w14:paraId="5A1EECB4">
            <w:pPr>
              <w:adjustRightInd w:val="0"/>
              <w:snapToGrid w:val="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w:t>
            </w:r>
          </w:p>
          <w:p w14:paraId="45D65A99">
            <w:pPr>
              <w:adjustRightInd w:val="0"/>
              <w:snapToGrid w:val="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申报情形</w:t>
            </w:r>
          </w:p>
        </w:tc>
        <w:tc>
          <w:tcPr>
            <w:tcW w:w="2583" w:type="dxa"/>
            <w:tcBorders>
              <w:tl2br w:val="nil"/>
              <w:tr2bl w:val="nil"/>
            </w:tcBorders>
            <w:noWrap w:val="0"/>
            <w:vAlign w:val="center"/>
          </w:tcPr>
          <w:p w14:paraId="3A12F9F1">
            <w:pPr>
              <w:adjustRightInd w:val="0"/>
              <w:snapToGrid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首次申报项目</w:t>
            </w:r>
          </w:p>
          <w:p w14:paraId="5B9A38D4">
            <w:pPr>
              <w:adjustRightInd w:val="0"/>
              <w:snapToGrid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□不予批准后再次申报项目</w:t>
            </w:r>
          </w:p>
          <w:p w14:paraId="72F5FCD6">
            <w:pPr>
              <w:adjustRightInd w:val="0"/>
              <w:snapToGrid w:val="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□超五年重新审核项目</w:t>
            </w:r>
          </w:p>
          <w:p w14:paraId="63781FA9">
            <w:pPr>
              <w:adjustRightInd w:val="0"/>
              <w:snapToGrid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□重大变动重新报批项目</w:t>
            </w:r>
          </w:p>
        </w:tc>
      </w:tr>
      <w:tr w14:paraId="008511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1634" w:type="dxa"/>
            <w:tcBorders>
              <w:tl2br w:val="nil"/>
              <w:tr2bl w:val="nil"/>
            </w:tcBorders>
            <w:noWrap w:val="0"/>
            <w:tcMar>
              <w:top w:w="16" w:type="dxa"/>
              <w:left w:w="16" w:type="dxa"/>
              <w:right w:w="16" w:type="dxa"/>
            </w:tcMar>
            <w:vAlign w:val="center"/>
          </w:tcPr>
          <w:p w14:paraId="0C631DCB">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项目审批（核准/</w:t>
            </w:r>
          </w:p>
          <w:p w14:paraId="78A9A502">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备案）部门（选填）</w:t>
            </w:r>
          </w:p>
        </w:tc>
        <w:tc>
          <w:tcPr>
            <w:tcW w:w="2512" w:type="dxa"/>
            <w:tcBorders>
              <w:tl2br w:val="nil"/>
              <w:tr2bl w:val="nil"/>
            </w:tcBorders>
            <w:noWrap w:val="0"/>
            <w:vAlign w:val="center"/>
          </w:tcPr>
          <w:p w14:paraId="2292B80A">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tc>
        <w:tc>
          <w:tcPr>
            <w:tcW w:w="2310" w:type="dxa"/>
            <w:tcBorders>
              <w:tl2br w:val="nil"/>
              <w:tr2bl w:val="nil"/>
            </w:tcBorders>
            <w:noWrap w:val="0"/>
            <w:vAlign w:val="center"/>
          </w:tcPr>
          <w:p w14:paraId="1D2AACD9">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项目审批（核准/</w:t>
            </w:r>
          </w:p>
          <w:p w14:paraId="09247BB6">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备案）文号（选填）</w:t>
            </w:r>
          </w:p>
        </w:tc>
        <w:tc>
          <w:tcPr>
            <w:tcW w:w="2583" w:type="dxa"/>
            <w:tcBorders>
              <w:tl2br w:val="nil"/>
              <w:tr2bl w:val="nil"/>
            </w:tcBorders>
            <w:noWrap w:val="0"/>
            <w:vAlign w:val="center"/>
          </w:tcPr>
          <w:p w14:paraId="34B13A1B">
            <w:pPr>
              <w:pStyle w:val="63"/>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tc>
      </w:tr>
      <w:tr w14:paraId="51BFA4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1634" w:type="dxa"/>
            <w:tcBorders>
              <w:tl2br w:val="nil"/>
              <w:tr2bl w:val="nil"/>
            </w:tcBorders>
            <w:noWrap w:val="0"/>
            <w:tcMar>
              <w:top w:w="16" w:type="dxa"/>
              <w:left w:w="16" w:type="dxa"/>
              <w:right w:w="16" w:type="dxa"/>
            </w:tcMar>
            <w:vAlign w:val="center"/>
          </w:tcPr>
          <w:p w14:paraId="3BCDA2C6">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总投资（万元）</w:t>
            </w:r>
          </w:p>
        </w:tc>
        <w:tc>
          <w:tcPr>
            <w:tcW w:w="2512" w:type="dxa"/>
            <w:tcBorders>
              <w:tl2br w:val="nil"/>
              <w:tr2bl w:val="nil"/>
            </w:tcBorders>
            <w:noWrap w:val="0"/>
            <w:vAlign w:val="center"/>
          </w:tcPr>
          <w:p w14:paraId="0B436C39">
            <w:pPr>
              <w:pStyle w:val="63"/>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550</w:t>
            </w:r>
          </w:p>
        </w:tc>
        <w:tc>
          <w:tcPr>
            <w:tcW w:w="2310" w:type="dxa"/>
            <w:tcBorders>
              <w:tl2br w:val="nil"/>
              <w:tr2bl w:val="nil"/>
            </w:tcBorders>
            <w:noWrap w:val="0"/>
            <w:tcMar>
              <w:top w:w="16" w:type="dxa"/>
              <w:left w:w="16" w:type="dxa"/>
              <w:right w:w="16" w:type="dxa"/>
            </w:tcMar>
            <w:vAlign w:val="center"/>
          </w:tcPr>
          <w:p w14:paraId="2478F857">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环保投资（万元）</w:t>
            </w:r>
          </w:p>
        </w:tc>
        <w:tc>
          <w:tcPr>
            <w:tcW w:w="2583" w:type="dxa"/>
            <w:tcBorders>
              <w:tl2br w:val="nil"/>
              <w:tr2bl w:val="nil"/>
            </w:tcBorders>
            <w:noWrap w:val="0"/>
            <w:vAlign w:val="center"/>
          </w:tcPr>
          <w:p w14:paraId="7ECFAB97">
            <w:pPr>
              <w:pStyle w:val="63"/>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48</w:t>
            </w:r>
          </w:p>
        </w:tc>
      </w:tr>
      <w:tr w14:paraId="7830AD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34" w:type="dxa"/>
            <w:tcBorders>
              <w:tl2br w:val="nil"/>
              <w:tr2bl w:val="nil"/>
            </w:tcBorders>
            <w:noWrap w:val="0"/>
            <w:tcMar>
              <w:top w:w="16" w:type="dxa"/>
              <w:left w:w="16" w:type="dxa"/>
              <w:right w:w="16" w:type="dxa"/>
            </w:tcMar>
            <w:vAlign w:val="center"/>
          </w:tcPr>
          <w:p w14:paraId="53BE761B">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环保投资占比（%）</w:t>
            </w:r>
          </w:p>
        </w:tc>
        <w:tc>
          <w:tcPr>
            <w:tcW w:w="2512" w:type="dxa"/>
            <w:tcBorders>
              <w:tl2br w:val="nil"/>
              <w:tr2bl w:val="nil"/>
            </w:tcBorders>
            <w:noWrap w:val="0"/>
            <w:vAlign w:val="center"/>
          </w:tcPr>
          <w:p w14:paraId="19285F29">
            <w:pPr>
              <w:pStyle w:val="63"/>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8.73</w:t>
            </w:r>
          </w:p>
        </w:tc>
        <w:tc>
          <w:tcPr>
            <w:tcW w:w="2310" w:type="dxa"/>
            <w:tcBorders>
              <w:tl2br w:val="nil"/>
              <w:tr2bl w:val="nil"/>
            </w:tcBorders>
            <w:noWrap w:val="0"/>
            <w:tcMar>
              <w:top w:w="16" w:type="dxa"/>
              <w:left w:w="16" w:type="dxa"/>
              <w:right w:w="16" w:type="dxa"/>
            </w:tcMar>
            <w:vAlign w:val="center"/>
          </w:tcPr>
          <w:p w14:paraId="36384C32">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施工工期</w:t>
            </w:r>
          </w:p>
        </w:tc>
        <w:tc>
          <w:tcPr>
            <w:tcW w:w="2583" w:type="dxa"/>
            <w:tcBorders>
              <w:tl2br w:val="nil"/>
              <w:tr2bl w:val="nil"/>
            </w:tcBorders>
            <w:noWrap w:val="0"/>
            <w:vAlign w:val="center"/>
          </w:tcPr>
          <w:p w14:paraId="374B1029">
            <w:pPr>
              <w:pStyle w:val="63"/>
              <w:bidi w:val="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天</w:t>
            </w:r>
            <w:r>
              <w:rPr>
                <w:rFonts w:hint="eastAsia" w:cs="Times New Roman"/>
                <w:color w:val="000000" w:themeColor="text1"/>
                <w:sz w:val="24"/>
                <w:szCs w:val="24"/>
                <w:highlight w:val="none"/>
                <w:lang w:val="en-US" w:eastAsia="zh-CN"/>
                <w14:textFill>
                  <w14:solidFill>
                    <w14:schemeClr w14:val="tx1"/>
                  </w14:solidFill>
                </w14:textFill>
              </w:rPr>
              <w:t>（仅临时营地建设；整体勘查周期700d）</w:t>
            </w:r>
          </w:p>
        </w:tc>
      </w:tr>
      <w:tr w14:paraId="7B8FF7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61" w:hRule="atLeast"/>
        </w:trPr>
        <w:tc>
          <w:tcPr>
            <w:tcW w:w="1634" w:type="dxa"/>
            <w:tcBorders>
              <w:tl2br w:val="nil"/>
              <w:tr2bl w:val="nil"/>
            </w:tcBorders>
            <w:noWrap w:val="0"/>
            <w:tcMar>
              <w:top w:w="16" w:type="dxa"/>
              <w:left w:w="16" w:type="dxa"/>
              <w:right w:w="16" w:type="dxa"/>
            </w:tcMar>
            <w:vAlign w:val="center"/>
          </w:tcPr>
          <w:p w14:paraId="40642F4B">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是否开工建设</w:t>
            </w:r>
          </w:p>
        </w:tc>
        <w:tc>
          <w:tcPr>
            <w:tcW w:w="7405" w:type="dxa"/>
            <w:gridSpan w:val="3"/>
            <w:tcBorders>
              <w:tl2br w:val="nil"/>
              <w:tr2bl w:val="nil"/>
            </w:tcBorders>
            <w:noWrap w:val="0"/>
            <w:vAlign w:val="center"/>
          </w:tcPr>
          <w:p w14:paraId="3B3A0348">
            <w:pPr>
              <w:adjustRightInd w:val="0"/>
              <w:snapToGrid w:val="0"/>
              <w:ind w:firstLine="105"/>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否</w:t>
            </w:r>
          </w:p>
          <w:p w14:paraId="099BCF01">
            <w:pPr>
              <w:adjustRightInd w:val="0"/>
              <w:snapToGrid w:val="0"/>
              <w:ind w:firstLine="92"/>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是：</w:t>
            </w:r>
            <w:r>
              <w:rPr>
                <w:rFonts w:hint="default" w:ascii="Times New Roman" w:hAnsi="Times New Roman" w:cs="Times New Roman"/>
                <w:color w:val="000000" w:themeColor="text1"/>
                <w:sz w:val="24"/>
                <w:szCs w:val="24"/>
                <w:highlight w:val="none"/>
                <w:u w:val="single"/>
                <w14:textFill>
                  <w14:solidFill>
                    <w14:schemeClr w14:val="tx1"/>
                  </w14:solidFill>
                </w14:textFill>
              </w:rPr>
              <w:t xml:space="preserve">                             </w:t>
            </w:r>
          </w:p>
        </w:tc>
      </w:tr>
      <w:tr w14:paraId="75CB2C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634" w:type="dxa"/>
            <w:tcBorders>
              <w:tl2br w:val="nil"/>
              <w:tr2bl w:val="nil"/>
            </w:tcBorders>
            <w:noWrap w:val="0"/>
            <w:tcMar>
              <w:top w:w="16" w:type="dxa"/>
              <w:left w:w="16" w:type="dxa"/>
              <w:right w:w="16" w:type="dxa"/>
            </w:tcMar>
            <w:vAlign w:val="center"/>
          </w:tcPr>
          <w:p w14:paraId="11467A14">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专项评价设置情况</w:t>
            </w:r>
          </w:p>
        </w:tc>
        <w:tc>
          <w:tcPr>
            <w:tcW w:w="7405" w:type="dxa"/>
            <w:gridSpan w:val="3"/>
            <w:tcBorders>
              <w:tl2br w:val="nil"/>
              <w:tr2bl w:val="nil"/>
            </w:tcBorders>
            <w:noWrap w:val="0"/>
            <w:tcMar>
              <w:top w:w="16" w:type="dxa"/>
              <w:left w:w="16" w:type="dxa"/>
              <w:right w:w="16" w:type="dxa"/>
            </w:tcMar>
            <w:vAlign w:val="center"/>
          </w:tcPr>
          <w:p w14:paraId="10345A6B">
            <w:pPr>
              <w:pStyle w:val="59"/>
              <w:bidi w:val="0"/>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无</w:t>
            </w:r>
          </w:p>
        </w:tc>
      </w:tr>
      <w:tr w14:paraId="2D9041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1407" w:hRule="atLeast"/>
        </w:trPr>
        <w:tc>
          <w:tcPr>
            <w:tcW w:w="1634" w:type="dxa"/>
            <w:tcBorders>
              <w:tl2br w:val="nil"/>
              <w:tr2bl w:val="nil"/>
            </w:tcBorders>
            <w:noWrap w:val="0"/>
            <w:tcMar>
              <w:top w:w="16" w:type="dxa"/>
              <w:left w:w="16" w:type="dxa"/>
              <w:right w:w="16" w:type="dxa"/>
            </w:tcMar>
            <w:vAlign w:val="center"/>
          </w:tcPr>
          <w:p w14:paraId="4118B02C">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规划情况</w:t>
            </w:r>
          </w:p>
        </w:tc>
        <w:tc>
          <w:tcPr>
            <w:tcW w:w="7405" w:type="dxa"/>
            <w:gridSpan w:val="3"/>
            <w:tcBorders>
              <w:tl2br w:val="nil"/>
              <w:tr2bl w:val="nil"/>
            </w:tcBorders>
            <w:noWrap w:val="0"/>
            <w:tcMar>
              <w:top w:w="16" w:type="dxa"/>
              <w:left w:w="16" w:type="dxa"/>
              <w:right w:w="16" w:type="dxa"/>
            </w:tcMar>
            <w:vAlign w:val="center"/>
          </w:tcPr>
          <w:p w14:paraId="055FFBF8">
            <w:pPr>
              <w:spacing w:line="240" w:lineRule="auto"/>
              <w:ind w:firstLine="0" w:firstLineChars="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（1）《新疆维吾尔自治区矿产资源总体规划（2021-2025）》审批文号：自然资源函〔2022〕1092号</w:t>
            </w:r>
          </w:p>
          <w:p w14:paraId="4E51FFC2">
            <w:pPr>
              <w:spacing w:line="240" w:lineRule="auto"/>
              <w:ind w:firstLine="0" w:firstLineChars="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（2）《巴音郭楞蒙古自治州矿产资源总体规划</w:t>
            </w:r>
            <w:r>
              <w:rPr>
                <w:rFonts w:hint="eastAsia"/>
                <w:color w:val="000000" w:themeColor="text1"/>
                <w:sz w:val="24"/>
                <w:szCs w:val="24"/>
                <w:highlight w:val="none"/>
                <w:lang w:eastAsia="zh-CN"/>
                <w14:textFill>
                  <w14:solidFill>
                    <w14:schemeClr w14:val="tx1"/>
                  </w14:solidFill>
                </w14:textFill>
              </w:rPr>
              <w:t>（2021—</w:t>
            </w:r>
            <w:r>
              <w:rPr>
                <w:color w:val="000000" w:themeColor="text1"/>
                <w:sz w:val="24"/>
                <w:szCs w:val="24"/>
                <w:highlight w:val="none"/>
                <w14:textFill>
                  <w14:solidFill>
                    <w14:schemeClr w14:val="tx1"/>
                  </w14:solidFill>
                </w14:textFill>
              </w:rPr>
              <w:t>2025</w:t>
            </w:r>
            <w:r>
              <w:rPr>
                <w:rFonts w:hint="eastAsia"/>
                <w:color w:val="000000" w:themeColor="text1"/>
                <w:sz w:val="24"/>
                <w:szCs w:val="24"/>
                <w:highlight w:val="none"/>
                <w:lang w:eastAsia="zh-CN"/>
                <w14:textFill>
                  <w14:solidFill>
                    <w14:schemeClr w14:val="tx1"/>
                  </w14:solidFill>
                </w14:textFill>
              </w:rPr>
              <w:t>年）》</w:t>
            </w:r>
            <w:r>
              <w:rPr>
                <w:color w:val="000000" w:themeColor="text1"/>
                <w:sz w:val="24"/>
                <w:szCs w:val="24"/>
                <w:highlight w:val="none"/>
                <w14:textFill>
                  <w14:solidFill>
                    <w14:schemeClr w14:val="tx1"/>
                  </w14:solidFill>
                </w14:textFill>
              </w:rPr>
              <w:t>，巴州人民政府2022年12月发布</w:t>
            </w:r>
          </w:p>
          <w:p w14:paraId="0092BBC0">
            <w:pPr>
              <w:pStyle w:val="72"/>
              <w:spacing w:line="360" w:lineRule="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14:textFill>
                  <w14:solidFill>
                    <w14:schemeClr w14:val="tx1"/>
                  </w14:solidFill>
                </w14:textFill>
              </w:rPr>
              <w:t>（3）《新疆维吾尔自治区和静县矿产资源总体规划（2021</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2025年）》，和静县人民政府2023年4月26日发布</w:t>
            </w:r>
          </w:p>
        </w:tc>
      </w:tr>
      <w:tr w14:paraId="07A3F4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18" w:hRule="atLeast"/>
        </w:trPr>
        <w:tc>
          <w:tcPr>
            <w:tcW w:w="1634" w:type="dxa"/>
            <w:tcBorders>
              <w:tl2br w:val="nil"/>
              <w:tr2bl w:val="nil"/>
            </w:tcBorders>
            <w:noWrap w:val="0"/>
            <w:tcMar>
              <w:top w:w="16" w:type="dxa"/>
              <w:left w:w="16" w:type="dxa"/>
              <w:right w:w="16" w:type="dxa"/>
            </w:tcMar>
            <w:vAlign w:val="center"/>
          </w:tcPr>
          <w:p w14:paraId="5C1066B1">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规划环境影响</w:t>
            </w:r>
          </w:p>
          <w:p w14:paraId="515665B0">
            <w:pPr>
              <w:pStyle w:val="63"/>
              <w:bidi w:val="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评价情况</w:t>
            </w:r>
          </w:p>
        </w:tc>
        <w:tc>
          <w:tcPr>
            <w:tcW w:w="7405" w:type="dxa"/>
            <w:gridSpan w:val="3"/>
            <w:tcBorders>
              <w:tl2br w:val="nil"/>
              <w:tr2bl w:val="nil"/>
            </w:tcBorders>
            <w:noWrap w:val="0"/>
            <w:tcMar>
              <w:top w:w="16" w:type="dxa"/>
              <w:left w:w="16" w:type="dxa"/>
              <w:right w:w="16" w:type="dxa"/>
            </w:tcMar>
            <w:vAlign w:val="center"/>
          </w:tcPr>
          <w:p w14:paraId="322F73DF">
            <w:pPr>
              <w:spacing w:line="240" w:lineRule="auto"/>
              <w:ind w:firstLine="0" w:firstLineChars="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（1）规划名称：《新疆维吾尔自治区矿产资源总体规划（2021</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2025年）环境影响报告书》</w:t>
            </w:r>
          </w:p>
          <w:p w14:paraId="617CFF1C">
            <w:pPr>
              <w:spacing w:line="240" w:lineRule="auto"/>
              <w:ind w:firstLine="0" w:firstLineChars="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审批机关：中华人民共和国生态环境部</w:t>
            </w:r>
          </w:p>
          <w:p w14:paraId="1353D1DB">
            <w:pPr>
              <w:spacing w:line="240" w:lineRule="auto"/>
              <w:ind w:firstLine="0" w:firstLineChars="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审批文件名称及文号：《关于</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新疆维吾尔自治区矿产资源总体规划（2021</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2025年）环境影响报告书</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的审查意见》（环审〔2022〕124号）</w:t>
            </w:r>
          </w:p>
          <w:p w14:paraId="04535456">
            <w:pPr>
              <w:pStyle w:val="63"/>
              <w:bidi w:val="0"/>
              <w:spacing w:line="360" w:lineRule="auto"/>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color w:val="000000" w:themeColor="text1"/>
                <w:sz w:val="24"/>
                <w:szCs w:val="24"/>
                <w:highlight w:val="none"/>
                <w14:textFill>
                  <w14:solidFill>
                    <w14:schemeClr w14:val="tx1"/>
                  </w14:solidFill>
                </w14:textFill>
              </w:rPr>
              <w:t>（2）《巴音郭楞蒙古自治州矿产资源规划（2021</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2025年）环境影响篇章》（2021年11月）</w:t>
            </w:r>
          </w:p>
        </w:tc>
      </w:tr>
      <w:tr w14:paraId="68BE4C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18" w:hRule="atLeast"/>
        </w:trPr>
        <w:tc>
          <w:tcPr>
            <w:tcW w:w="1634" w:type="dxa"/>
            <w:tcBorders>
              <w:tl2br w:val="nil"/>
              <w:tr2bl w:val="nil"/>
            </w:tcBorders>
            <w:shd w:val="clear" w:color="auto" w:fill="auto"/>
            <w:noWrap w:val="0"/>
            <w:tcMar>
              <w:top w:w="16" w:type="dxa"/>
              <w:left w:w="16" w:type="dxa"/>
              <w:right w:w="16" w:type="dxa"/>
            </w:tcMar>
            <w:vAlign w:val="center"/>
          </w:tcPr>
          <w:p w14:paraId="281B8F86">
            <w:pPr>
              <w:autoSpaceDE w:val="0"/>
              <w:autoSpaceDN w:val="0"/>
              <w:adjustRightInd w:val="0"/>
              <w:snapToGrid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规划及</w:t>
            </w:r>
            <w:r>
              <w:rPr>
                <w:rFonts w:hint="default" w:ascii="Times New Roman" w:hAnsi="Times New Roman" w:cs="Times New Roman"/>
                <w:color w:val="000000" w:themeColor="text1"/>
                <w:sz w:val="24"/>
                <w:szCs w:val="24"/>
                <w:highlight w:val="none"/>
                <w14:textFill>
                  <w14:solidFill>
                    <w14:schemeClr w14:val="tx1"/>
                  </w14:solidFill>
                </w14:textFill>
              </w:rPr>
              <w:t>规划环境影响评价</w:t>
            </w:r>
            <w:r>
              <w:rPr>
                <w:rFonts w:hint="default" w:ascii="Times New Roman" w:hAnsi="Times New Roman" w:cs="Times New Roman"/>
                <w:color w:val="000000" w:themeColor="text1"/>
                <w:kern w:val="0"/>
                <w:sz w:val="24"/>
                <w:szCs w:val="24"/>
                <w:highlight w:val="none"/>
                <w14:textFill>
                  <w14:solidFill>
                    <w14:schemeClr w14:val="tx1"/>
                  </w14:solidFill>
                </w14:textFill>
              </w:rPr>
              <w:t>符合性分析</w:t>
            </w:r>
          </w:p>
        </w:tc>
        <w:tc>
          <w:tcPr>
            <w:tcW w:w="7405" w:type="dxa"/>
            <w:gridSpan w:val="3"/>
            <w:tcBorders>
              <w:tl2br w:val="nil"/>
              <w:tr2bl w:val="nil"/>
            </w:tcBorders>
            <w:shd w:val="clear" w:color="auto" w:fill="auto"/>
            <w:noWrap w:val="0"/>
            <w:tcMar>
              <w:top w:w="16" w:type="dxa"/>
              <w:left w:w="16" w:type="dxa"/>
              <w:right w:w="16" w:type="dxa"/>
            </w:tcMar>
            <w:vAlign w:val="center"/>
          </w:tcPr>
          <w:p w14:paraId="473828D5">
            <w:pPr>
              <w:pStyle w:val="6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表1-1    本项目与《新疆维吾尔自治区矿产资源总体规划（2021—2025年）》相符性分析</w:t>
            </w:r>
          </w:p>
          <w:tbl>
            <w:tblPr>
              <w:tblStyle w:val="29"/>
              <w:tblW w:w="490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39"/>
              <w:gridCol w:w="2712"/>
              <w:gridCol w:w="682"/>
            </w:tblGrid>
            <w:tr w14:paraId="58E686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654" w:type="pct"/>
                  <w:tcBorders>
                    <w:tl2br w:val="nil"/>
                    <w:tr2bl w:val="nil"/>
                  </w:tcBorders>
                  <w:noWrap w:val="0"/>
                  <w:vAlign w:val="center"/>
                </w:tcPr>
                <w:p w14:paraId="41D96F4E">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规划内容</w:t>
                  </w:r>
                </w:p>
              </w:tc>
              <w:tc>
                <w:tcPr>
                  <w:tcW w:w="1874" w:type="pct"/>
                  <w:tcBorders>
                    <w:tl2br w:val="nil"/>
                    <w:tr2bl w:val="nil"/>
                  </w:tcBorders>
                  <w:noWrap w:val="0"/>
                  <w:vAlign w:val="center"/>
                </w:tcPr>
                <w:p w14:paraId="308EF075">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本项目情况</w:t>
                  </w:r>
                </w:p>
              </w:tc>
              <w:tc>
                <w:tcPr>
                  <w:tcW w:w="471" w:type="pct"/>
                  <w:tcBorders>
                    <w:tl2br w:val="nil"/>
                    <w:tr2bl w:val="nil"/>
                  </w:tcBorders>
                  <w:noWrap w:val="0"/>
                  <w:vAlign w:val="center"/>
                </w:tcPr>
                <w:p w14:paraId="2E97E6EA">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是否符合</w:t>
                  </w:r>
                </w:p>
              </w:tc>
            </w:tr>
            <w:tr w14:paraId="45058F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2" w:hRule="atLeast"/>
                <w:jc w:val="center"/>
              </w:trPr>
              <w:tc>
                <w:tcPr>
                  <w:tcW w:w="2654" w:type="pct"/>
                  <w:tcBorders>
                    <w:tl2br w:val="nil"/>
                    <w:tr2bl w:val="nil"/>
                  </w:tcBorders>
                  <w:noWrap w:val="0"/>
                  <w:vAlign w:val="center"/>
                </w:tcPr>
                <w:p w14:paraId="64CCB8B9">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落实国家能源资源安全战略，结合新疆实际，合理确定重点、限制、禁止勘查开采矿种。重点勘查开采矿种：石油、天然气、页岩气、煤层气、煤、地热等能源矿产，铁、铬、锰、铜、镍、钴、铅锌、金、锂、铍、钒、钛等金属矿产，以及钾盐、萤石、硅质原料等非金属矿产。限制开采矿种：砖瓦用粘土等矿产，严格控制钨、稀土等特定保护性开采矿产。“限粘”县市禁止新设砖瓦用粘土采矿权。限制开采矿种，除严格矿业权人准入条件外，应论证资源供需形势，对开采总量进行调控，同时严格资源环境承载力论证，保护环境。合理控制国家规定实行保护性开采的特定矿种开采强度。禁止开采矿种：禁止开采砷和放射性等有毒有害物质超过规定标准的</w:t>
                  </w:r>
                  <w:r>
                    <w:rPr>
                      <w:rFonts w:hint="eastAsia" w:cs="Times New Roman"/>
                      <w:color w:val="000000" w:themeColor="text1"/>
                      <w:highlight w:val="none"/>
                      <w:lang w:val="en-US" w:eastAsia="zh-CN"/>
                      <w14:textFill>
                        <w14:solidFill>
                          <w14:schemeClr w14:val="tx1"/>
                        </w14:solidFill>
                      </w14:textFill>
                    </w:rPr>
                    <w:t>煤炭</w:t>
                  </w:r>
                  <w:r>
                    <w:rPr>
                      <w:rFonts w:hint="default" w:ascii="Times New Roman" w:hAnsi="Times New Roman" w:cs="Times New Roman"/>
                      <w:color w:val="000000" w:themeColor="text1"/>
                      <w:highlight w:val="none"/>
                      <w:lang w:val="en-US" w:eastAsia="zh-CN"/>
                      <w14:textFill>
                        <w14:solidFill>
                          <w14:schemeClr w14:val="tx1"/>
                        </w14:solidFill>
                      </w14:textFill>
                    </w:rPr>
                    <w:t>，砂铁、汞、可耕地砖瓦用粘土等矿产。除和田地区外其他地区禁止新设砂金开采项目，严格砂金开发项目环境影响评价。</w:t>
                  </w:r>
                </w:p>
              </w:tc>
              <w:tc>
                <w:tcPr>
                  <w:tcW w:w="1874" w:type="pct"/>
                  <w:tcBorders>
                    <w:tl2br w:val="nil"/>
                    <w:tr2bl w:val="nil"/>
                  </w:tcBorders>
                  <w:noWrap w:val="0"/>
                  <w:vAlign w:val="center"/>
                </w:tcPr>
                <w:p w14:paraId="5C363EAE">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本次地质</w:t>
                  </w:r>
                  <w:r>
                    <w:rPr>
                      <w:rFonts w:hint="default" w:ascii="Times New Roman" w:hAnsi="Times New Roman" w:cs="Times New Roman"/>
                      <w:color w:val="000000" w:themeColor="text1"/>
                      <w:highlight w:val="none"/>
                      <w:lang w:val="en-US" w:eastAsia="zh-CN"/>
                      <w14:textFill>
                        <w14:solidFill>
                          <w14:schemeClr w14:val="tx1"/>
                        </w14:solidFill>
                      </w14:textFill>
                    </w:rPr>
                    <w:t>勘探</w:t>
                  </w:r>
                  <w:r>
                    <w:rPr>
                      <w:rFonts w:hint="default" w:ascii="Times New Roman" w:hAnsi="Times New Roman" w:cs="Times New Roman"/>
                      <w:color w:val="000000" w:themeColor="text1"/>
                      <w:highlight w:val="none"/>
                      <w14:textFill>
                        <w14:solidFill>
                          <w14:schemeClr w14:val="tx1"/>
                        </w14:solidFill>
                      </w14:textFill>
                    </w:rPr>
                    <w:t>工作主要针对</w:t>
                  </w:r>
                  <w:r>
                    <w:rPr>
                      <w:rFonts w:hint="eastAsia" w:cs="Times New Roman"/>
                      <w:color w:val="000000" w:themeColor="text1"/>
                      <w:highlight w:val="none"/>
                      <w:lang w:val="en-US" w:eastAsia="zh-CN"/>
                      <w14:textFill>
                        <w14:solidFill>
                          <w14:schemeClr w14:val="tx1"/>
                        </w14:solidFill>
                      </w14:textFill>
                    </w:rPr>
                    <w:t>铜多金属矿</w:t>
                  </w:r>
                  <w:r>
                    <w:rPr>
                      <w:rFonts w:hint="default" w:ascii="Times New Roman" w:hAnsi="Times New Roman" w:cs="Times New Roman"/>
                      <w:color w:val="000000" w:themeColor="text1"/>
                      <w:highlight w:val="none"/>
                      <w14:textFill>
                        <w14:solidFill>
                          <w14:schemeClr w14:val="tx1"/>
                        </w14:solidFill>
                      </w14:textFill>
                    </w:rPr>
                    <w:t>进行勘查，</w:t>
                  </w:r>
                  <w:r>
                    <w:rPr>
                      <w:rFonts w:hint="default" w:ascii="Times New Roman" w:hAnsi="Times New Roman" w:cs="Times New Roman"/>
                      <w:color w:val="000000" w:themeColor="text1"/>
                      <w:highlight w:val="none"/>
                      <w:lang w:val="en-US" w:eastAsia="zh-CN"/>
                      <w14:textFill>
                        <w14:solidFill>
                          <w14:schemeClr w14:val="tx1"/>
                        </w14:solidFill>
                      </w14:textFill>
                    </w:rPr>
                    <w:t>属于重点勘查开采矿种</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符合</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新疆维吾尔自治区矿产资源总体规划（2021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2025年）</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中的规划要求</w:t>
                  </w:r>
                  <w:r>
                    <w:rPr>
                      <w:rFonts w:hint="default" w:ascii="Times New Roman" w:hAnsi="Times New Roman" w:cs="Times New Roman"/>
                      <w:color w:val="000000" w:themeColor="text1"/>
                      <w:highlight w:val="none"/>
                      <w14:textFill>
                        <w14:solidFill>
                          <w14:schemeClr w14:val="tx1"/>
                        </w14:solidFill>
                      </w14:textFill>
                    </w:rPr>
                    <w:t>。</w:t>
                  </w:r>
                </w:p>
              </w:tc>
              <w:tc>
                <w:tcPr>
                  <w:tcW w:w="471" w:type="pct"/>
                  <w:tcBorders>
                    <w:tl2br w:val="nil"/>
                    <w:tr2bl w:val="nil"/>
                  </w:tcBorders>
                  <w:noWrap w:val="0"/>
                  <w:vAlign w:val="center"/>
                </w:tcPr>
                <w:p w14:paraId="5EB74B97">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符合</w:t>
                  </w:r>
                </w:p>
              </w:tc>
            </w:tr>
            <w:tr w14:paraId="0DFE56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1" w:hRule="atLeast"/>
                <w:jc w:val="center"/>
              </w:trPr>
              <w:tc>
                <w:tcPr>
                  <w:tcW w:w="2654" w:type="pct"/>
                  <w:tcBorders>
                    <w:tl2br w:val="nil"/>
                    <w:tr2bl w:val="nil"/>
                  </w:tcBorders>
                  <w:noWrap w:val="0"/>
                  <w:vAlign w:val="center"/>
                </w:tcPr>
                <w:p w14:paraId="09F99D3F">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r>
                    <w:rPr>
                      <w:rFonts w:hint="default"/>
                      <w:color w:val="000000" w:themeColor="text1"/>
                      <w:highlight w:val="none"/>
                      <w:lang w:val="en-US" w:eastAsia="zh-CN"/>
                      <w14:textFill>
                        <w14:solidFill>
                          <w14:schemeClr w14:val="tx1"/>
                        </w14:solidFill>
                      </w14:textFill>
                    </w:rPr>
                    <w:t>天山</w:t>
                  </w:r>
                  <w:r>
                    <w:rPr>
                      <w:rFonts w:ascii="Times New Roman" w:hAnsi="Times New Roman" w:eastAsia="宋体" w:cs="Times New Roman"/>
                      <w:b w:val="0"/>
                      <w:bCs w:val="0"/>
                      <w:i w:val="0"/>
                      <w:iCs w:val="0"/>
                      <w:caps w:val="0"/>
                      <w:color w:val="000000" w:themeColor="text1"/>
                      <w:spacing w:val="0"/>
                      <w:sz w:val="21"/>
                      <w:szCs w:val="21"/>
                      <w:highlight w:val="none"/>
                      <w:shd w:val="clear"/>
                      <w14:textFill>
                        <w14:solidFill>
                          <w14:schemeClr w14:val="tx1"/>
                        </w14:solidFill>
                      </w14:textFill>
                    </w:rPr>
                    <w:t>能源矿产、黑色及贵金属勘查开发区</w:t>
                  </w:r>
                  <w:r>
                    <w:rPr>
                      <w:rFonts w:hint="default" w:ascii="Times New Roman" w:hAnsi="Times New Roman" w:cs="Times New Roman"/>
                      <w:color w:val="000000" w:themeColor="text1"/>
                      <w:highlight w:val="none"/>
                      <w14:textFill>
                        <w14:solidFill>
                          <w14:schemeClr w14:val="tx1"/>
                        </w14:solidFill>
                      </w14:textFill>
                    </w:rPr>
                    <w:t>。</w:t>
                  </w:r>
                  <w:r>
                    <w:rPr>
                      <w:rFonts w:ascii="Times New Roman" w:hAnsi="Times New Roman" w:eastAsia="宋体" w:cs="Times New Roman"/>
                      <w:i w:val="0"/>
                      <w:iCs w:val="0"/>
                      <w:caps w:val="0"/>
                      <w:color w:val="000000" w:themeColor="text1"/>
                      <w:spacing w:val="0"/>
                      <w:sz w:val="21"/>
                      <w:szCs w:val="21"/>
                      <w:highlight w:val="none"/>
                      <w:shd w:val="clear"/>
                      <w14:textFill>
                        <w14:solidFill>
                          <w14:schemeClr w14:val="tx1"/>
                        </w14:solidFill>
                      </w14:textFill>
                    </w:rPr>
                    <w:t>以煤炭、铁、金等矿资源勘查开发为主，重点加强阿吾拉勒铁矿带敦德、备战等矿山建设及</w:t>
                  </w:r>
                  <w:r>
                    <w:rPr>
                      <w:rFonts w:hint="default" w:ascii="Times New Roman" w:hAnsi="Times New Roman" w:eastAsia="宋体" w:cs="Times New Roman"/>
                      <w:i w:val="0"/>
                      <w:iCs w:val="0"/>
                      <w:caps w:val="0"/>
                      <w:color w:val="000000" w:themeColor="text1"/>
                      <w:spacing w:val="0"/>
                      <w:sz w:val="21"/>
                      <w:szCs w:val="21"/>
                      <w:highlight w:val="none"/>
                      <w:shd w:val="clear"/>
                      <w14:textFill>
                        <w14:solidFill>
                          <w14:schemeClr w14:val="tx1"/>
                        </w14:solidFill>
                      </w14:textFill>
                    </w:rPr>
                    <w:t>1000米以浅深边部富铁矿勘查，新增铁资源量1亿吨，为八钢及新源、和静钢铁产业提供资源保障。加强阿希金矿外围找矿，增加资源储量；加快卡特巴阿苏金矿开发建设，尽快形成产能。兼顾饰面石材、高品质石灰岩、石英岩等非金属矿产，延长产业链。加快和静县、伊宁市绿色矿业发展示范区建设，促进矿业绿色转型升级，发挥大企业龙头骨干作用，辐射带动当地钢铁、黄金、煤炭等产业发展。开展温泉—乌苏一带水热型地热资源调查评价，助力当地生态农业、文化旅游产业发展</w:t>
                  </w:r>
                  <w:r>
                    <w:rPr>
                      <w:rFonts w:hint="default" w:ascii="Times New Roman" w:hAnsi="Times New Roman" w:cs="Times New Roman"/>
                      <w:color w:val="000000" w:themeColor="text1"/>
                      <w:highlight w:val="none"/>
                      <w14:textFill>
                        <w14:solidFill>
                          <w14:schemeClr w14:val="tx1"/>
                        </w14:solidFill>
                      </w14:textFill>
                    </w:rPr>
                    <w:t>。</w:t>
                  </w:r>
                </w:p>
              </w:tc>
              <w:tc>
                <w:tcPr>
                  <w:tcW w:w="1874" w:type="pct"/>
                  <w:tcBorders>
                    <w:tl2br w:val="nil"/>
                    <w:tr2bl w:val="nil"/>
                  </w:tcBorders>
                  <w:noWrap w:val="0"/>
                  <w:vAlign w:val="center"/>
                </w:tcPr>
                <w:p w14:paraId="628826B0">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本项目为</w:t>
                  </w:r>
                  <w:r>
                    <w:rPr>
                      <w:rFonts w:hint="eastAsia" w:cs="Times New Roman"/>
                      <w:color w:val="000000" w:themeColor="text1"/>
                      <w:highlight w:val="none"/>
                      <w:lang w:val="en-US" w:eastAsia="zh-CN"/>
                      <w14:textFill>
                        <w14:solidFill>
                          <w14:schemeClr w14:val="tx1"/>
                        </w14:solidFill>
                      </w14:textFill>
                    </w:rPr>
                    <w:t>多金属矿普查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，主要目的是探明勘探区的资源储量，为后期的开发规划提供依据。符合《新疆维吾尔自治区矿产资源总体规划（2021-2025</w:t>
                  </w:r>
                  <w:r>
                    <w:rPr>
                      <w:rFonts w:hint="eastAsia" w:cs="Times New Roman"/>
                      <w:color w:val="000000" w:themeColor="text1"/>
                      <w:sz w:val="21"/>
                      <w:szCs w:val="21"/>
                      <w:highlight w:val="none"/>
                      <w:lang w:val="en-US" w:eastAsia="zh-CN"/>
                      <w14:textFill>
                        <w14:solidFill>
                          <w14:schemeClr w14:val="tx1"/>
                        </w14:solidFill>
                      </w14:textFill>
                    </w:rPr>
                    <w:t>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》中的相关要求。</w:t>
                  </w:r>
                </w:p>
              </w:tc>
              <w:tc>
                <w:tcPr>
                  <w:tcW w:w="471" w:type="pct"/>
                  <w:tcBorders>
                    <w:tl2br w:val="nil"/>
                    <w:tr2bl w:val="nil"/>
                  </w:tcBorders>
                  <w:noWrap w:val="0"/>
                  <w:vAlign w:val="center"/>
                </w:tcPr>
                <w:p w14:paraId="75EDDA2E">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符合</w:t>
                  </w:r>
                </w:p>
              </w:tc>
            </w:tr>
          </w:tbl>
          <w:p w14:paraId="5D291B86">
            <w:pPr>
              <w:pStyle w:val="6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表1-2  本项目与《巴音郭楞蒙古自治州矿产资源总体规划（2021—2025年）》相符性分析</w:t>
            </w:r>
          </w:p>
          <w:tbl>
            <w:tblPr>
              <w:tblStyle w:val="29"/>
              <w:tblW w:w="491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53"/>
              <w:gridCol w:w="2711"/>
              <w:gridCol w:w="681"/>
            </w:tblGrid>
            <w:tr w14:paraId="5EDA18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58" w:type="pct"/>
                  <w:tcBorders>
                    <w:tl2br w:val="nil"/>
                    <w:tr2bl w:val="nil"/>
                  </w:tcBorders>
                  <w:noWrap w:val="0"/>
                  <w:vAlign w:val="center"/>
                </w:tcPr>
                <w:p w14:paraId="0911F018">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规划内容</w:t>
                  </w:r>
                </w:p>
              </w:tc>
              <w:tc>
                <w:tcPr>
                  <w:tcW w:w="1870" w:type="pct"/>
                  <w:tcBorders>
                    <w:tl2br w:val="nil"/>
                    <w:tr2bl w:val="nil"/>
                  </w:tcBorders>
                  <w:noWrap w:val="0"/>
                  <w:vAlign w:val="center"/>
                </w:tcPr>
                <w:p w14:paraId="32871EF0">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本项目情况</w:t>
                  </w:r>
                </w:p>
              </w:tc>
              <w:tc>
                <w:tcPr>
                  <w:tcW w:w="470" w:type="pct"/>
                  <w:tcBorders>
                    <w:tl2br w:val="nil"/>
                    <w:tr2bl w:val="nil"/>
                  </w:tcBorders>
                  <w:noWrap w:val="0"/>
                  <w:vAlign w:val="center"/>
                </w:tcPr>
                <w:p w14:paraId="1F151A75">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是否符合</w:t>
                  </w:r>
                </w:p>
              </w:tc>
            </w:tr>
            <w:tr w14:paraId="3D56E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58" w:type="pct"/>
                  <w:tcBorders>
                    <w:tl2br w:val="nil"/>
                    <w:tr2bl w:val="nil"/>
                  </w:tcBorders>
                  <w:noWrap w:val="0"/>
                  <w:vAlign w:val="center"/>
                </w:tcPr>
                <w:p w14:paraId="006E9868">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矿区生态保护修复：坚持尊重自然、顺应自然、保护自然，坚持节约优先、保护优先、自然恢复为主，把生态地质环境保护放在优先位置，推进矿产资源绿色勘查开发，最大限度减少对地质环境的破坏。</w:t>
                  </w:r>
                </w:p>
              </w:tc>
              <w:tc>
                <w:tcPr>
                  <w:tcW w:w="1870" w:type="pct"/>
                  <w:tcBorders>
                    <w:tl2br w:val="nil"/>
                    <w:tr2bl w:val="nil"/>
                  </w:tcBorders>
                  <w:noWrap w:val="0"/>
                  <w:vAlign w:val="center"/>
                </w:tcPr>
                <w:p w14:paraId="3502BD1C">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次地质勘探工作严格管控场地、驻地及施工各环节。在满足地质勘查目的的前提下，实现对地质环境的破坏最小化。项目施工时，剥离表土临时堆放，待项目结束后进行表土回填及植被恢复，尽可能地恢复施工迹地原有使用功能。</w:t>
                  </w:r>
                </w:p>
              </w:tc>
              <w:tc>
                <w:tcPr>
                  <w:tcW w:w="470" w:type="pct"/>
                  <w:tcBorders>
                    <w:tl2br w:val="nil"/>
                    <w:tr2bl w:val="nil"/>
                  </w:tcBorders>
                  <w:noWrap w:val="0"/>
                  <w:vAlign w:val="center"/>
                </w:tcPr>
                <w:p w14:paraId="53B3434E">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符合</w:t>
                  </w:r>
                </w:p>
              </w:tc>
            </w:tr>
            <w:tr w14:paraId="1A7F4A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58" w:type="pct"/>
                  <w:tcBorders>
                    <w:tl2br w:val="nil"/>
                    <w:tr2bl w:val="nil"/>
                  </w:tcBorders>
                  <w:noWrap w:val="0"/>
                  <w:vAlign w:val="center"/>
                </w:tcPr>
                <w:p w14:paraId="3C6E078F">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勘查项目要严格按照《绿色地质勘查工作规范》要求，将绿色勘查理念贯穿于地质勘查项目设计、实施、验收全过程，利用先进成熟的绿色勘查新理论、新方法、新技术、新工艺开展地质勘查。大力推广遥感、物探、浅钻</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以钻代槽</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等绿色勘查技术，鼓励采用组合式、便捷式钻探设备，减少使用对植被破坏较大的槽探、坑探、井探等勘查手段，减轻勘查活动对生态环境的扰动。总结绿色勘查实施成效及经验，形成可复制、能推广的绿色勘查新模式、新机制、新制度；积极申报绿色勘查示范项目，促进地质勘查和生态保护协调发展。</w:t>
                  </w:r>
                </w:p>
              </w:tc>
              <w:tc>
                <w:tcPr>
                  <w:tcW w:w="1870" w:type="pct"/>
                  <w:tcBorders>
                    <w:tl2br w:val="nil"/>
                    <w:tr2bl w:val="nil"/>
                  </w:tcBorders>
                  <w:noWrap w:val="0"/>
                  <w:vAlign w:val="center"/>
                </w:tcPr>
                <w:p w14:paraId="2A95980B">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本项目按照《绿色地质勘查工作规范》要求，</w:t>
                  </w:r>
                  <w:r>
                    <w:rPr>
                      <w:rFonts w:hint="default" w:ascii="Times New Roman" w:hAnsi="Times New Roman" w:eastAsia="宋体" w:cs="Times New Roman"/>
                      <w:color w:val="000000" w:themeColor="text1"/>
                      <w:sz w:val="21"/>
                      <w:szCs w:val="21"/>
                      <w:highlight w:val="none"/>
                      <w14:textFill>
                        <w14:solidFill>
                          <w14:schemeClr w14:val="tx1"/>
                        </w14:solidFill>
                      </w14:textFill>
                    </w:rPr>
                    <w:t>采用地质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测量</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槽探</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钻探</w:t>
                  </w:r>
                  <w:r>
                    <w:rPr>
                      <w:rFonts w:hint="default" w:ascii="Times New Roman" w:hAnsi="Times New Roman" w:eastAsia="宋体" w:cs="Times New Roman"/>
                      <w:color w:val="000000" w:themeColor="text1"/>
                      <w:sz w:val="21"/>
                      <w:szCs w:val="21"/>
                      <w:highlight w:val="none"/>
                      <w14:textFill>
                        <w14:solidFill>
                          <w14:schemeClr w14:val="tx1"/>
                        </w14:solidFill>
                      </w14:textFill>
                    </w:rPr>
                    <w:t>等工作手段开展详查评价。通过运用高效、环保的方法、技术、设备等，在地质勘查各方面和全过程中减少或控制对生态环境的影响</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开展绿色勘查，及时对开挖工程进行回填，最大限度减少人为破坏，减轻勘查活动对生态环境的扰动</w:t>
                  </w:r>
                  <w:r>
                    <w:rPr>
                      <w:rFonts w:hint="default" w:ascii="Times New Roman" w:hAnsi="Times New Roman" w:cs="Times New Roman"/>
                      <w:color w:val="000000" w:themeColor="text1"/>
                      <w:sz w:val="21"/>
                      <w:szCs w:val="21"/>
                      <w:highlight w:val="none"/>
                      <w:lang w:val="zh-CN" w:eastAsia="zh-CN"/>
                      <w14:textFill>
                        <w14:solidFill>
                          <w14:schemeClr w14:val="tx1"/>
                        </w14:solidFill>
                      </w14:textFill>
                    </w:rPr>
                    <w:t>。</w:t>
                  </w:r>
                </w:p>
              </w:tc>
              <w:tc>
                <w:tcPr>
                  <w:tcW w:w="470" w:type="pct"/>
                  <w:tcBorders>
                    <w:tl2br w:val="nil"/>
                    <w:tr2bl w:val="nil"/>
                  </w:tcBorders>
                  <w:noWrap w:val="0"/>
                  <w:vAlign w:val="center"/>
                </w:tcPr>
                <w:p w14:paraId="6D7EB44B">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符合</w:t>
                  </w:r>
                </w:p>
              </w:tc>
            </w:tr>
          </w:tbl>
          <w:p w14:paraId="13A4A4A9">
            <w:pPr>
              <w:pStyle w:val="6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表1-3    项目与《新疆维吾尔自治区矿产资源总体规划（2021—2025年）环境影响报告书》及审查意见的符合性分析内容</w:t>
            </w:r>
          </w:p>
          <w:tbl>
            <w:tblPr>
              <w:tblStyle w:val="29"/>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82"/>
              <w:gridCol w:w="2626"/>
              <w:gridCol w:w="691"/>
            </w:tblGrid>
            <w:tr w14:paraId="4008F3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27" w:type="pct"/>
                  <w:tcBorders>
                    <w:tl2br w:val="nil"/>
                    <w:tr2bl w:val="nil"/>
                  </w:tcBorders>
                  <w:noWrap w:val="0"/>
                  <w:vAlign w:val="center"/>
                </w:tcPr>
                <w:p w14:paraId="7B861FF3">
                  <w:pPr>
                    <w:pStyle w:val="63"/>
                    <w:keepNext/>
                    <w:keepLines/>
                    <w:wordWrap w:val="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规划内容</w:t>
                  </w:r>
                </w:p>
              </w:tc>
              <w:tc>
                <w:tcPr>
                  <w:tcW w:w="1798" w:type="pct"/>
                  <w:tcBorders>
                    <w:tl2br w:val="nil"/>
                    <w:tr2bl w:val="nil"/>
                  </w:tcBorders>
                  <w:noWrap w:val="0"/>
                  <w:vAlign w:val="center"/>
                </w:tcPr>
                <w:p w14:paraId="2B48FF7D">
                  <w:pPr>
                    <w:pStyle w:val="63"/>
                    <w:keepNext/>
                    <w:keepLines/>
                    <w:wordWrap w:val="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本项目情况</w:t>
                  </w:r>
                </w:p>
              </w:tc>
              <w:tc>
                <w:tcPr>
                  <w:tcW w:w="473" w:type="pct"/>
                  <w:tcBorders>
                    <w:tl2br w:val="nil"/>
                    <w:tr2bl w:val="nil"/>
                  </w:tcBorders>
                  <w:noWrap w:val="0"/>
                  <w:vAlign w:val="center"/>
                </w:tcPr>
                <w:p w14:paraId="159C5776">
                  <w:pPr>
                    <w:pStyle w:val="63"/>
                    <w:keepNext/>
                    <w:keepLines/>
                    <w:wordWrap w:val="0"/>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是否符合</w:t>
                  </w:r>
                </w:p>
              </w:tc>
            </w:tr>
            <w:tr w14:paraId="3A5E3F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27" w:type="pct"/>
                  <w:tcBorders>
                    <w:tl2br w:val="nil"/>
                    <w:tr2bl w:val="nil"/>
                  </w:tcBorders>
                  <w:noWrap w:val="0"/>
                  <w:vAlign w:val="center"/>
                </w:tcPr>
                <w:p w14:paraId="3B20065C">
                  <w:pPr>
                    <w:pStyle w:val="63"/>
                    <w:keepNext/>
                    <w:keepLines/>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红线作为保障和维护区域生态安全的底线，应进一步优化矿业权设置和空间布局，依法依规对生态空间实施严格保护。与生态保护红线存在空间重叠的6个能源资源基地、24个国家规划矿区22个重点勘查区、32个重点开采区等，后续设置矿业权时，应进一步优化布局，确保满足生态保护红线管控要求。与大气环境优先保护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自然保护区、森林公园、世界遗产地等</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存在空间重叠的90个勘查规划区块、25个开采规划区块，以及与水环境优先保护区存在空间重叠的462个勘查规划区块、153个开采规划区块和与农用地优先保护区存在空间重叠的28个勘查规划区块、8个开采规划区块等，后续设置矿业权时，应进一步优化布局、强化管控措施，确保满足生态环境分区管控及相关环境保护要求。</w:t>
                  </w:r>
                </w:p>
              </w:tc>
              <w:tc>
                <w:tcPr>
                  <w:tcW w:w="1798" w:type="pct"/>
                  <w:tcBorders>
                    <w:tl2br w:val="nil"/>
                    <w:tr2bl w:val="nil"/>
                  </w:tcBorders>
                  <w:noWrap w:val="0"/>
                  <w:vAlign w:val="center"/>
                </w:tcPr>
                <w:p w14:paraId="203CB9CA">
                  <w:pPr>
                    <w:pStyle w:val="63"/>
                    <w:keepNext/>
                    <w:keepLines/>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本项目不</w:t>
                  </w:r>
                  <w:r>
                    <w:rPr>
                      <w:rFonts w:hint="default" w:ascii="Times New Roman" w:hAnsi="Times New Roman" w:cs="Times New Roman"/>
                      <w:color w:val="000000" w:themeColor="text1"/>
                      <w:highlight w:val="none"/>
                      <w:lang w:val="en-US" w:eastAsia="zh-CN"/>
                      <w14:textFill>
                        <w14:solidFill>
                          <w14:schemeClr w14:val="tx1"/>
                        </w14:solidFill>
                      </w14:textFill>
                    </w:rPr>
                    <w:t>存在与</w:t>
                  </w:r>
                  <w:r>
                    <w:rPr>
                      <w:rFonts w:hint="default" w:ascii="Times New Roman" w:hAnsi="Times New Roman" w:cs="Times New Roman"/>
                      <w:color w:val="000000" w:themeColor="text1"/>
                      <w:highlight w:val="none"/>
                      <w:lang w:eastAsia="zh-CN"/>
                      <w14:textFill>
                        <w14:solidFill>
                          <w14:schemeClr w14:val="tx1"/>
                        </w14:solidFill>
                      </w14:textFill>
                    </w:rPr>
                    <w:t>自然保护区、森林公园、世界遗产地等</w:t>
                  </w:r>
                  <w:r>
                    <w:rPr>
                      <w:rFonts w:hint="default" w:ascii="Times New Roman" w:hAnsi="Times New Roman" w:cs="Times New Roman"/>
                      <w:color w:val="000000" w:themeColor="text1"/>
                      <w:highlight w:val="none"/>
                      <w:lang w:val="en-US" w:eastAsia="zh-CN"/>
                      <w14:textFill>
                        <w14:solidFill>
                          <w14:schemeClr w14:val="tx1"/>
                        </w14:solidFill>
                      </w14:textFill>
                    </w:rPr>
                    <w:t>空间重叠</w:t>
                  </w:r>
                  <w:r>
                    <w:rPr>
                      <w:rFonts w:hint="default" w:ascii="Times New Roman" w:hAnsi="Times New Roman" w:cs="Times New Roman"/>
                      <w:color w:val="000000" w:themeColor="text1"/>
                      <w:highlight w:val="none"/>
                      <w14:textFill>
                        <w14:solidFill>
                          <w14:schemeClr w14:val="tx1"/>
                        </w14:solidFill>
                      </w14:textFill>
                    </w:rPr>
                    <w:t>，项目区</w:t>
                  </w:r>
                  <w:r>
                    <w:rPr>
                      <w:rFonts w:hint="default" w:ascii="Times New Roman" w:hAnsi="Times New Roman" w:cs="Times New Roman"/>
                      <w:color w:val="000000" w:themeColor="text1"/>
                      <w:highlight w:val="none"/>
                      <w:lang w:val="en-US" w:eastAsia="zh-CN"/>
                      <w14:textFill>
                        <w14:solidFill>
                          <w14:schemeClr w14:val="tx1"/>
                        </w14:solidFill>
                      </w14:textFill>
                    </w:rPr>
                    <w:t>不涉及生态保护红线</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符合</w:t>
                  </w:r>
                  <w:r>
                    <w:rPr>
                      <w:rFonts w:hint="default" w:ascii="Times New Roman" w:hAnsi="Times New Roman" w:cs="Times New Roman"/>
                      <w:color w:val="000000" w:themeColor="text1"/>
                      <w:highlight w:val="none"/>
                      <w:lang w:val="en-US" w:eastAsia="zh-CN"/>
                      <w14:textFill>
                        <w14:solidFill>
                          <w14:schemeClr w14:val="tx1"/>
                        </w14:solidFill>
                      </w14:textFill>
                    </w:rPr>
                    <w:t>相关</w:t>
                  </w:r>
                  <w:r>
                    <w:rPr>
                      <w:rFonts w:hint="default" w:ascii="Times New Roman" w:hAnsi="Times New Roman" w:cs="Times New Roman"/>
                      <w:color w:val="000000" w:themeColor="text1"/>
                      <w:highlight w:val="none"/>
                      <w14:textFill>
                        <w14:solidFill>
                          <w14:schemeClr w14:val="tx1"/>
                        </w14:solidFill>
                      </w14:textFill>
                    </w:rPr>
                    <w:t>要求。</w:t>
                  </w:r>
                </w:p>
              </w:tc>
              <w:tc>
                <w:tcPr>
                  <w:tcW w:w="473" w:type="pct"/>
                  <w:tcBorders>
                    <w:tl2br w:val="nil"/>
                    <w:tr2bl w:val="nil"/>
                  </w:tcBorders>
                  <w:noWrap w:val="0"/>
                  <w:vAlign w:val="center"/>
                </w:tcPr>
                <w:p w14:paraId="153A64A5">
                  <w:pPr>
                    <w:pStyle w:val="63"/>
                    <w:keepNext/>
                    <w:keepLines/>
                    <w:wordWrap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1F705D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27" w:type="pct"/>
                  <w:tcBorders>
                    <w:tl2br w:val="nil"/>
                    <w:tr2bl w:val="nil"/>
                  </w:tcBorders>
                  <w:noWrap w:val="0"/>
                  <w:vAlign w:val="center"/>
                </w:tcPr>
                <w:p w14:paraId="34E3E06E">
                  <w:pPr>
                    <w:pStyle w:val="63"/>
                    <w:keepNext/>
                    <w:keepLines/>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结合生态保护、饮用水水源保护区及水环境功能区水质保护及改善要求、土壤污染防治目标等，推进重点矿区建立生态、地表水、地下水、土壤等环境要素的长期监测监控体系，明确责任主体、强化资金保障，其中，在用尾矿库100%安装在线监测装置；组织开展主要矿种集中开采区域生态修复效果评估，并根据监测和评估结果增加和优化必要的保护措施。针对地表水环境及土壤环境累积影响、地下水环境质量下降、生态退化等情形，建立预警机制。</w:t>
                  </w:r>
                </w:p>
              </w:tc>
              <w:tc>
                <w:tcPr>
                  <w:tcW w:w="1798" w:type="pct"/>
                  <w:tcBorders>
                    <w:tl2br w:val="nil"/>
                    <w:tr2bl w:val="nil"/>
                  </w:tcBorders>
                  <w:noWrap w:val="0"/>
                  <w:vAlign w:val="center"/>
                </w:tcPr>
                <w:p w14:paraId="7907EA08">
                  <w:pPr>
                    <w:pStyle w:val="63"/>
                    <w:keepNext/>
                    <w:keepLines/>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生活污水排入一体化污水处理设施处理达标后，用于</w:t>
                  </w:r>
                  <w:r>
                    <w:rPr>
                      <w:rFonts w:hint="eastAsia" w:cs="Times New Roman"/>
                      <w:color w:val="000000" w:themeColor="text1"/>
                      <w:highlight w:val="none"/>
                      <w:lang w:val="en-US" w:eastAsia="zh-CN"/>
                      <w14:textFill>
                        <w14:solidFill>
                          <w14:schemeClr w14:val="tx1"/>
                        </w14:solidFill>
                      </w14:textFill>
                    </w:rPr>
                    <w:t>草地生态恢复回用</w:t>
                  </w:r>
                  <w:r>
                    <w:rPr>
                      <w:rFonts w:hint="default" w:ascii="Times New Roman" w:hAnsi="Times New Roman" w:cs="Times New Roman"/>
                      <w:color w:val="000000" w:themeColor="text1"/>
                      <w:highlight w:val="none"/>
                      <w:lang w:val="en-US" w:eastAsia="zh-CN"/>
                      <w14:textFill>
                        <w14:solidFill>
                          <w14:schemeClr w14:val="tx1"/>
                        </w14:solidFill>
                      </w14:textFill>
                    </w:rPr>
                    <w:t>，不外排；钻井设备冲洗水和泥浆废水循环使用，不外排。不与地表水体发生水力关系，不会影响区域水环境质量。</w:t>
                  </w:r>
                </w:p>
              </w:tc>
              <w:tc>
                <w:tcPr>
                  <w:tcW w:w="473" w:type="pct"/>
                  <w:tcBorders>
                    <w:tl2br w:val="nil"/>
                    <w:tr2bl w:val="nil"/>
                  </w:tcBorders>
                  <w:noWrap w:val="0"/>
                  <w:vAlign w:val="center"/>
                </w:tcPr>
                <w:p w14:paraId="24683747">
                  <w:pPr>
                    <w:pStyle w:val="63"/>
                    <w:keepNext/>
                    <w:keepLines/>
                    <w:wordWrap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1884A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18" w:type="dxa"/>
                  <w:tcBorders>
                    <w:tl2br w:val="nil"/>
                    <w:tr2bl w:val="nil"/>
                  </w:tcBorders>
                  <w:noWrap w:val="0"/>
                  <w:vAlign w:val="center"/>
                </w:tcPr>
                <w:p w14:paraId="2D166D69">
                  <w:pPr>
                    <w:pStyle w:val="63"/>
                    <w:keepNext/>
                    <w:keepLines/>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审查意见中指出：严格环境准入，保护区域生态功能。按照新疆维吾尔自治区生态环境分区管控方案、生态环境保护规划等新要求，与大气环境优先保护区、水环境优先保护区、农用地优先保护区等存在空间重叠的现有矿业权、勘查规划区块、开采规划区块，应严格执行相应管控要求，控制勘查、开采活动范围和强度，严格执行绿色勘查、开采及矿山环境生态保护修复相关要求，确保生态系统结构和主要功能不受破坏。严格控制涉及生物多样性保护优先区域、国家重点生态功能区、</w:t>
                  </w:r>
                  <w:r>
                    <w:rPr>
                      <w:rFonts w:hint="eastAsia" w:cs="Times New Roman"/>
                      <w:color w:val="000000" w:themeColor="text1"/>
                      <w:highlight w:val="none"/>
                      <w:lang w:val="en-US" w:eastAsia="zh-CN"/>
                      <w14:textFill>
                        <w14:solidFill>
                          <w14:schemeClr w14:val="tx1"/>
                        </w14:solidFill>
                      </w14:textFill>
                    </w:rPr>
                    <w:t>国家重点生态功能区</w:t>
                  </w:r>
                  <w:r>
                    <w:rPr>
                      <w:rFonts w:hint="default" w:ascii="Times New Roman" w:hAnsi="Times New Roman" w:cs="Times New Roman"/>
                      <w:color w:val="000000" w:themeColor="text1"/>
                      <w:highlight w:val="none"/>
                      <w:lang w:val="en-US" w:eastAsia="zh-CN"/>
                      <w14:textFill>
                        <w14:solidFill>
                          <w14:schemeClr w14:val="tx1"/>
                        </w14:solidFill>
                      </w14:textFill>
                    </w:rPr>
                    <w:t>、水源涵养区、水土流失重点防治区等区域矿产资源开发活动，并采取相应保护措施，防止加剧对重点生态功能区的不良环境影响。</w:t>
                  </w:r>
                </w:p>
              </w:tc>
              <w:tc>
                <w:tcPr>
                  <w:tcW w:w="2584" w:type="dxa"/>
                  <w:tcBorders>
                    <w:tl2br w:val="nil"/>
                    <w:tr2bl w:val="nil"/>
                  </w:tcBorders>
                  <w:noWrap w:val="0"/>
                  <w:vAlign w:val="center"/>
                </w:tcPr>
                <w:p w14:paraId="33E50106">
                  <w:pPr>
                    <w:pStyle w:val="63"/>
                    <w:keepNext/>
                    <w:keepLines/>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本项目已取得所在区域的探矿权，探矿证号</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项目不涉及生物多样性保护优先区域、国家重点生态功能区、</w:t>
                  </w:r>
                  <w:r>
                    <w:rPr>
                      <w:rFonts w:hint="eastAsia" w:cs="Times New Roman"/>
                      <w:color w:val="000000" w:themeColor="text1"/>
                      <w:highlight w:val="none"/>
                      <w:lang w:val="en-US" w:eastAsia="zh-CN"/>
                      <w14:textFill>
                        <w14:solidFill>
                          <w14:schemeClr w14:val="tx1"/>
                        </w14:solidFill>
                      </w14:textFill>
                    </w:rPr>
                    <w:t>国家重点生态功能区</w:t>
                  </w:r>
                  <w:r>
                    <w:rPr>
                      <w:rFonts w:hint="default" w:ascii="Times New Roman" w:hAnsi="Times New Roman" w:cs="Times New Roman"/>
                      <w:color w:val="000000" w:themeColor="text1"/>
                      <w:highlight w:val="none"/>
                      <w:lang w:val="en-US" w:eastAsia="zh-CN"/>
                      <w14:textFill>
                        <w14:solidFill>
                          <w14:schemeClr w14:val="tx1"/>
                        </w14:solidFill>
                      </w14:textFill>
                    </w:rPr>
                    <w:t>、水源涵养区、水土流失重点防治区等区域。符合审查意见相关要求。</w:t>
                  </w:r>
                </w:p>
              </w:tc>
              <w:tc>
                <w:tcPr>
                  <w:tcW w:w="473" w:type="pct"/>
                  <w:tcBorders>
                    <w:tl2br w:val="nil"/>
                    <w:tr2bl w:val="nil"/>
                  </w:tcBorders>
                  <w:noWrap w:val="0"/>
                  <w:vAlign w:val="center"/>
                </w:tcPr>
                <w:p w14:paraId="0DE5ED32">
                  <w:pPr>
                    <w:pStyle w:val="63"/>
                    <w:keepNext/>
                    <w:keepLines/>
                    <w:wordWrap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bl>
          <w:p w14:paraId="29D75228">
            <w:pPr>
              <w:spacing w:line="360" w:lineRule="auto"/>
              <w:ind w:firstLine="482" w:firstLineChars="200"/>
              <w:rPr>
                <w:rFonts w:hint="default" w:ascii="Times New Roman" w:hAnsi="Times New Roman" w:eastAsia="宋体" w:cs="Times New Roman"/>
                <w:snapToGrid w:val="0"/>
                <w:color w:val="000000" w:themeColor="text1"/>
                <w:sz w:val="24"/>
                <w:highlight w:val="none"/>
                <w14:textFill>
                  <w14:solidFill>
                    <w14:schemeClr w14:val="tx1"/>
                  </w14:solidFill>
                </w14:textFill>
              </w:rPr>
            </w:pPr>
            <w:r>
              <w:rPr>
                <w:rFonts w:hint="eastAsia" w:cs="Times New Roman"/>
                <w:b/>
                <w:bCs/>
                <w:snapToGrid w:val="0"/>
                <w:color w:val="000000" w:themeColor="text1"/>
                <w:sz w:val="24"/>
                <w:highlight w:val="none"/>
                <w:lang w:val="en-US" w:eastAsia="zh-CN"/>
                <w14:textFill>
                  <w14:solidFill>
                    <w14:schemeClr w14:val="tx1"/>
                  </w14:solidFill>
                </w14:textFill>
              </w:rPr>
              <w:t>4</w:t>
            </w:r>
            <w:r>
              <w:rPr>
                <w:rFonts w:hint="eastAsia" w:ascii="Times New Roman" w:hAnsi="Times New Roman" w:eastAsia="宋体" w:cs="Times New Roman"/>
                <w:b/>
                <w:bCs/>
                <w:snapToGrid w:val="0"/>
                <w:color w:val="000000" w:themeColor="text1"/>
                <w:sz w:val="24"/>
                <w:highlight w:val="none"/>
                <w14:textFill>
                  <w14:solidFill>
                    <w14:schemeClr w14:val="tx1"/>
                  </w14:solidFill>
                </w14:textFill>
              </w:rPr>
              <w:t>.与《新疆维吾尔自治区和静县矿产资源总体规划（2021</w:t>
            </w:r>
            <w:r>
              <w:rPr>
                <w:rFonts w:hint="eastAsia" w:cs="Times New Roman"/>
                <w:b/>
                <w:bCs/>
                <w:snapToGrid w:val="0"/>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b/>
                <w:bCs/>
                <w:snapToGrid w:val="0"/>
                <w:color w:val="000000" w:themeColor="text1"/>
                <w:sz w:val="24"/>
                <w:highlight w:val="none"/>
                <w14:textFill>
                  <w14:solidFill>
                    <w14:schemeClr w14:val="tx1"/>
                  </w14:solidFill>
                </w14:textFill>
              </w:rPr>
              <w:t>2025年）》的符合性分析</w:t>
            </w:r>
          </w:p>
          <w:p w14:paraId="4ADF231B">
            <w:pPr>
              <w:spacing w:line="360" w:lineRule="auto"/>
              <w:ind w:firstLine="480" w:firstLineChars="200"/>
              <w:rPr>
                <w:rFonts w:hint="default" w:ascii="Times New Roman" w:hAnsi="Times New Roman" w:eastAsia="宋体" w:cs="Times New Roman"/>
                <w:snapToGrid w:val="0"/>
                <w:color w:val="000000" w:themeColor="text1"/>
                <w:sz w:val="24"/>
                <w:highlight w:val="none"/>
                <w14:textFill>
                  <w14:solidFill>
                    <w14:schemeClr w14:val="tx1"/>
                  </w14:solidFill>
                </w14:textFill>
              </w:rPr>
            </w:pPr>
            <w:r>
              <w:rPr>
                <w:rFonts w:hint="eastAsia" w:ascii="Times New Roman" w:hAnsi="Times New Roman" w:eastAsia="宋体" w:cs="Times New Roman"/>
                <w:snapToGrid w:val="0"/>
                <w:color w:val="000000" w:themeColor="text1"/>
                <w:sz w:val="24"/>
                <w:highlight w:val="none"/>
                <w14:textFill>
                  <w14:solidFill>
                    <w14:schemeClr w14:val="tx1"/>
                  </w14:solidFill>
                </w14:textFill>
              </w:rPr>
              <w:t>《新疆维吾尔自治区和静县矿产资源总体规划（2021</w:t>
            </w:r>
            <w:r>
              <w:rPr>
                <w:rFonts w:hint="eastAsia" w:cs="Times New Roman"/>
                <w:snapToGrid w:val="0"/>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snapToGrid w:val="0"/>
                <w:color w:val="000000" w:themeColor="text1"/>
                <w:sz w:val="24"/>
                <w:highlight w:val="none"/>
                <w14:textFill>
                  <w14:solidFill>
                    <w14:schemeClr w14:val="tx1"/>
                  </w14:solidFill>
                </w14:textFill>
              </w:rPr>
              <w:t>2025年）》积极推进绿色矿山创建工作，从依法办矿、规范管理、综合利用、技术创新、节能减排、环境保护、土地复垦、社区和谐、企业文化等方面加强对矿山的引导，提高了创建绿色矿山、转变矿业发展的自觉性、积极性和责任感，绿色矿业发展理念逐步推行。</w:t>
            </w:r>
          </w:p>
          <w:p w14:paraId="5E7DF611">
            <w:pPr>
              <w:spacing w:line="360" w:lineRule="auto"/>
              <w:ind w:firstLine="480" w:firstLineChars="200"/>
              <w:rPr>
                <w:rFonts w:hint="default" w:ascii="Times New Roman" w:hAnsi="Times New Roman" w:eastAsia="宋体" w:cs="Times New Roman"/>
                <w:snapToGrid w:val="0"/>
                <w:color w:val="000000" w:themeColor="text1"/>
                <w:sz w:val="24"/>
                <w:highlight w:val="none"/>
                <w14:textFill>
                  <w14:solidFill>
                    <w14:schemeClr w14:val="tx1"/>
                  </w14:solidFill>
                </w14:textFill>
              </w:rPr>
            </w:pPr>
            <w:r>
              <w:rPr>
                <w:rFonts w:hint="eastAsia" w:ascii="Times New Roman" w:hAnsi="Times New Roman" w:eastAsia="宋体" w:cs="Times New Roman"/>
                <w:snapToGrid w:val="0"/>
                <w:color w:val="000000" w:themeColor="text1"/>
                <w:sz w:val="24"/>
                <w:highlight w:val="none"/>
                <w14:textFill>
                  <w14:solidFill>
                    <w14:schemeClr w14:val="tx1"/>
                  </w14:solidFill>
                </w14:textFill>
              </w:rPr>
              <w:t>和静是新疆重要的矿产资源大县，已发现的矿产42种，矿产地606处，具有一定开发价值的矿种29种，矿产地100余处，其中铁矿、菱镁矿、白云岩等优势矿产，储量丰富。有较多富矿且矿石品级质量好，如莫托沙拉的富铁锰矿、查岗诺尔铁矿、诺尔湖铁矿、备战铁矿、敦德铁锌矿、夏翁次铁铅锌矿、哈勒哈特菱镁矿等。</w:t>
            </w:r>
          </w:p>
          <w:p w14:paraId="3B8C17DD">
            <w:pPr>
              <w:pStyle w:val="83"/>
              <w:spacing w:before="156" w:afterLines="0"/>
              <w:ind w:firstLine="422"/>
              <w:rPr>
                <w:rFonts w:hint="default"/>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表1</w:t>
            </w:r>
            <w:r>
              <w:rPr>
                <w:rFonts w:hint="default"/>
                <w:color w:val="000000" w:themeColor="text1"/>
                <w:sz w:val="21"/>
                <w:szCs w:val="22"/>
                <w:highlight w:val="none"/>
                <w14:textFill>
                  <w14:solidFill>
                    <w14:schemeClr w14:val="tx1"/>
                  </w14:solidFill>
                </w14:textFill>
              </w:rPr>
              <w:t>-</w:t>
            </w:r>
            <w:r>
              <w:rPr>
                <w:rFonts w:hint="eastAsia"/>
                <w:color w:val="000000" w:themeColor="text1"/>
                <w:sz w:val="21"/>
                <w:szCs w:val="22"/>
                <w:highlight w:val="none"/>
                <w:lang w:val="en-US" w:eastAsia="zh-CN"/>
                <w14:textFill>
                  <w14:solidFill>
                    <w14:schemeClr w14:val="tx1"/>
                  </w14:solidFill>
                </w14:textFill>
              </w:rPr>
              <w:t>4</w:t>
            </w:r>
            <w:r>
              <w:rPr>
                <w:rFonts w:hint="default"/>
                <w:color w:val="000000" w:themeColor="text1"/>
                <w:sz w:val="21"/>
                <w:szCs w:val="22"/>
                <w:highlight w:val="none"/>
                <w14:textFill>
                  <w14:solidFill>
                    <w14:schemeClr w14:val="tx1"/>
                  </w14:solidFill>
                </w14:textFill>
              </w:rPr>
              <w:t xml:space="preserve">  </w:t>
            </w:r>
            <w:r>
              <w:rPr>
                <w:rFonts w:hint="eastAsia"/>
                <w:color w:val="000000" w:themeColor="text1"/>
                <w:sz w:val="21"/>
                <w:szCs w:val="22"/>
                <w:highlight w:val="none"/>
                <w14:textFill>
                  <w14:solidFill>
                    <w14:schemeClr w14:val="tx1"/>
                  </w14:solidFill>
                </w14:textFill>
              </w:rPr>
              <w:t>和静县已发现主要矿种数统计表</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825"/>
              <w:gridCol w:w="3986"/>
              <w:gridCol w:w="778"/>
            </w:tblGrid>
            <w:tr w14:paraId="261A83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gridSpan w:val="2"/>
                  <w:tcBorders>
                    <w:tl2br w:val="nil"/>
                    <w:tr2bl w:val="nil"/>
                  </w:tcBorders>
                  <w:noWrap w:val="0"/>
                  <w:vAlign w:val="center"/>
                </w:tcPr>
                <w:p w14:paraId="07552A6E">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矿产类别</w:t>
                  </w:r>
                </w:p>
              </w:tc>
              <w:tc>
                <w:tcPr>
                  <w:tcW w:w="3397" w:type="dxa"/>
                  <w:tcBorders>
                    <w:tl2br w:val="nil"/>
                    <w:tr2bl w:val="nil"/>
                  </w:tcBorders>
                  <w:noWrap w:val="0"/>
                  <w:vAlign w:val="center"/>
                </w:tcPr>
                <w:p w14:paraId="40F3488A">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已发现矿种</w:t>
                  </w:r>
                </w:p>
              </w:tc>
              <w:tc>
                <w:tcPr>
                  <w:tcW w:w="663" w:type="dxa"/>
                  <w:tcBorders>
                    <w:tl2br w:val="nil"/>
                    <w:tr2bl w:val="nil"/>
                  </w:tcBorders>
                  <w:noWrap w:val="0"/>
                  <w:vAlign w:val="center"/>
                </w:tcPr>
                <w:p w14:paraId="6664C651">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数目</w:t>
                  </w:r>
                </w:p>
              </w:tc>
            </w:tr>
            <w:tr w14:paraId="4A7205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gridSpan w:val="2"/>
                  <w:tcBorders>
                    <w:tl2br w:val="nil"/>
                    <w:tr2bl w:val="nil"/>
                  </w:tcBorders>
                  <w:noWrap w:val="0"/>
                  <w:vAlign w:val="center"/>
                </w:tcPr>
                <w:p w14:paraId="0FAFD8FE">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能源矿产</w:t>
                  </w:r>
                </w:p>
              </w:tc>
              <w:tc>
                <w:tcPr>
                  <w:tcW w:w="3397" w:type="dxa"/>
                  <w:tcBorders>
                    <w:tl2br w:val="nil"/>
                    <w:tr2bl w:val="nil"/>
                  </w:tcBorders>
                  <w:noWrap w:val="0"/>
                  <w:vAlign w:val="center"/>
                </w:tcPr>
                <w:p w14:paraId="45FAF744">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石油、天然气、煤、泥炭、地热</w:t>
                  </w:r>
                </w:p>
              </w:tc>
              <w:tc>
                <w:tcPr>
                  <w:tcW w:w="663" w:type="dxa"/>
                  <w:tcBorders>
                    <w:tl2br w:val="nil"/>
                    <w:tr2bl w:val="nil"/>
                  </w:tcBorders>
                  <w:noWrap w:val="0"/>
                  <w:vAlign w:val="center"/>
                </w:tcPr>
                <w:p w14:paraId="3A831CA1">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5</w:t>
                  </w:r>
                </w:p>
              </w:tc>
            </w:tr>
            <w:tr w14:paraId="057F40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Merge w:val="restart"/>
                  <w:tcBorders>
                    <w:tl2br w:val="nil"/>
                    <w:tr2bl w:val="nil"/>
                  </w:tcBorders>
                  <w:noWrap w:val="0"/>
                  <w:vAlign w:val="center"/>
                </w:tcPr>
                <w:p w14:paraId="5D0E9248">
                  <w:pPr>
                    <w:widowControl/>
                    <w:shd w:val="clear" w:color="auto" w:fill="FFFFFF"/>
                    <w:spacing w:beforeLines="0" w:afterLines="0" w:line="240" w:lineRule="auto"/>
                    <w:ind w:firstLine="0" w:firstLineChars="0"/>
                    <w:jc w:val="center"/>
                    <w:rPr>
                      <w:rFonts w:hint="default"/>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金属矿产</w:t>
                  </w:r>
                </w:p>
              </w:tc>
              <w:tc>
                <w:tcPr>
                  <w:tcW w:w="1555" w:type="dxa"/>
                  <w:tcBorders>
                    <w:tl2br w:val="nil"/>
                    <w:tr2bl w:val="nil"/>
                  </w:tcBorders>
                  <w:noWrap w:val="0"/>
                  <w:vAlign w:val="center"/>
                </w:tcPr>
                <w:p w14:paraId="548CF82B">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黑色金属矿产</w:t>
                  </w:r>
                </w:p>
              </w:tc>
              <w:tc>
                <w:tcPr>
                  <w:tcW w:w="3397" w:type="dxa"/>
                  <w:tcBorders>
                    <w:tl2br w:val="nil"/>
                    <w:tr2bl w:val="nil"/>
                  </w:tcBorders>
                  <w:noWrap w:val="0"/>
                  <w:vAlign w:val="center"/>
                </w:tcPr>
                <w:p w14:paraId="56B85C6F">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铁、锰、钛</w:t>
                  </w:r>
                </w:p>
              </w:tc>
              <w:tc>
                <w:tcPr>
                  <w:tcW w:w="663" w:type="dxa"/>
                  <w:tcBorders>
                    <w:tl2br w:val="nil"/>
                    <w:tr2bl w:val="nil"/>
                  </w:tcBorders>
                  <w:noWrap w:val="0"/>
                  <w:vAlign w:val="center"/>
                </w:tcPr>
                <w:p w14:paraId="4B45DE96">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3</w:t>
                  </w:r>
                </w:p>
              </w:tc>
            </w:tr>
            <w:tr w14:paraId="6C7F4A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605" w:type="dxa"/>
                  <w:vMerge w:val="continue"/>
                  <w:tcBorders>
                    <w:tl2br w:val="nil"/>
                    <w:tr2bl w:val="nil"/>
                  </w:tcBorders>
                  <w:noWrap w:val="0"/>
                  <w:vAlign w:val="center"/>
                </w:tcPr>
                <w:p w14:paraId="1AA6F8D8">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p>
              </w:tc>
              <w:tc>
                <w:tcPr>
                  <w:tcW w:w="1555" w:type="dxa"/>
                  <w:tcBorders>
                    <w:tl2br w:val="nil"/>
                    <w:tr2bl w:val="nil"/>
                  </w:tcBorders>
                  <w:noWrap w:val="0"/>
                  <w:vAlign w:val="center"/>
                </w:tcPr>
                <w:p w14:paraId="381E30EF">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有色金属矿产</w:t>
                  </w:r>
                </w:p>
              </w:tc>
              <w:tc>
                <w:tcPr>
                  <w:tcW w:w="3397" w:type="dxa"/>
                  <w:tcBorders>
                    <w:tl2br w:val="nil"/>
                    <w:tr2bl w:val="nil"/>
                  </w:tcBorders>
                  <w:noWrap w:val="0"/>
                  <w:vAlign w:val="center"/>
                </w:tcPr>
                <w:p w14:paraId="4D92BC66">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铜、铅、锌、钨、锡、钼、镍、钴、锑</w:t>
                  </w:r>
                </w:p>
              </w:tc>
              <w:tc>
                <w:tcPr>
                  <w:tcW w:w="663" w:type="dxa"/>
                  <w:tcBorders>
                    <w:tl2br w:val="nil"/>
                    <w:tr2bl w:val="nil"/>
                  </w:tcBorders>
                  <w:noWrap w:val="0"/>
                  <w:vAlign w:val="center"/>
                </w:tcPr>
                <w:p w14:paraId="48219709">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9</w:t>
                  </w:r>
                </w:p>
              </w:tc>
            </w:tr>
            <w:tr w14:paraId="34A213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Merge w:val="continue"/>
                  <w:tcBorders>
                    <w:tl2br w:val="nil"/>
                    <w:tr2bl w:val="nil"/>
                  </w:tcBorders>
                  <w:noWrap w:val="0"/>
                  <w:vAlign w:val="center"/>
                </w:tcPr>
                <w:p w14:paraId="02DDB06F">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p>
              </w:tc>
              <w:tc>
                <w:tcPr>
                  <w:tcW w:w="1555" w:type="dxa"/>
                  <w:tcBorders>
                    <w:tl2br w:val="nil"/>
                    <w:tr2bl w:val="nil"/>
                  </w:tcBorders>
                  <w:noWrap w:val="0"/>
                  <w:vAlign w:val="center"/>
                </w:tcPr>
                <w:p w14:paraId="6CD5F7FE">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贵金属矿产</w:t>
                  </w:r>
                </w:p>
              </w:tc>
              <w:tc>
                <w:tcPr>
                  <w:tcW w:w="3397" w:type="dxa"/>
                  <w:tcBorders>
                    <w:tl2br w:val="nil"/>
                    <w:tr2bl w:val="nil"/>
                  </w:tcBorders>
                  <w:noWrap w:val="0"/>
                  <w:vAlign w:val="center"/>
                </w:tcPr>
                <w:p w14:paraId="0D62B77B">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金、银</w:t>
                  </w:r>
                </w:p>
              </w:tc>
              <w:tc>
                <w:tcPr>
                  <w:tcW w:w="663" w:type="dxa"/>
                  <w:tcBorders>
                    <w:tl2br w:val="nil"/>
                    <w:tr2bl w:val="nil"/>
                  </w:tcBorders>
                  <w:noWrap w:val="0"/>
                  <w:vAlign w:val="center"/>
                </w:tcPr>
                <w:p w14:paraId="42A9CBC1">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2</w:t>
                  </w:r>
                </w:p>
              </w:tc>
            </w:tr>
            <w:tr w14:paraId="0C36C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Merge w:val="continue"/>
                  <w:tcBorders>
                    <w:tl2br w:val="nil"/>
                    <w:tr2bl w:val="nil"/>
                  </w:tcBorders>
                  <w:noWrap w:val="0"/>
                  <w:vAlign w:val="center"/>
                </w:tcPr>
                <w:p w14:paraId="2F13931B">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p>
              </w:tc>
              <w:tc>
                <w:tcPr>
                  <w:tcW w:w="1555" w:type="dxa"/>
                  <w:tcBorders>
                    <w:tl2br w:val="nil"/>
                    <w:tr2bl w:val="nil"/>
                  </w:tcBorders>
                  <w:noWrap w:val="0"/>
                  <w:vAlign w:val="center"/>
                </w:tcPr>
                <w:p w14:paraId="0EFF872B">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稀有金属矿产</w:t>
                  </w:r>
                </w:p>
              </w:tc>
              <w:tc>
                <w:tcPr>
                  <w:tcW w:w="3397" w:type="dxa"/>
                  <w:tcBorders>
                    <w:tl2br w:val="nil"/>
                    <w:tr2bl w:val="nil"/>
                  </w:tcBorders>
                  <w:noWrap w:val="0"/>
                  <w:vAlign w:val="center"/>
                </w:tcPr>
                <w:p w14:paraId="61547675">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铍、锆</w:t>
                  </w:r>
                </w:p>
              </w:tc>
              <w:tc>
                <w:tcPr>
                  <w:tcW w:w="663" w:type="dxa"/>
                  <w:tcBorders>
                    <w:tl2br w:val="nil"/>
                    <w:tr2bl w:val="nil"/>
                  </w:tcBorders>
                  <w:noWrap w:val="0"/>
                  <w:vAlign w:val="center"/>
                </w:tcPr>
                <w:p w14:paraId="53F02E7A">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2</w:t>
                  </w:r>
                </w:p>
              </w:tc>
            </w:tr>
            <w:tr w14:paraId="3C0BDE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tcBorders>
                    <w:tl2br w:val="nil"/>
                    <w:tr2bl w:val="nil"/>
                  </w:tcBorders>
                  <w:noWrap w:val="0"/>
                  <w:vAlign w:val="center"/>
                </w:tcPr>
                <w:p w14:paraId="5B8B2DCC">
                  <w:pPr>
                    <w:widowControl/>
                    <w:shd w:val="clear" w:color="auto" w:fill="FFFFFF"/>
                    <w:spacing w:beforeLines="0" w:afterLines="0" w:line="240" w:lineRule="auto"/>
                    <w:ind w:firstLine="0" w:firstLineChars="0"/>
                    <w:jc w:val="center"/>
                    <w:rPr>
                      <w:rFonts w:hint="default"/>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非金属矿产</w:t>
                  </w:r>
                </w:p>
              </w:tc>
              <w:tc>
                <w:tcPr>
                  <w:tcW w:w="1555" w:type="dxa"/>
                  <w:tcBorders>
                    <w:tl2br w:val="nil"/>
                    <w:tr2bl w:val="nil"/>
                  </w:tcBorders>
                  <w:noWrap w:val="0"/>
                  <w:vAlign w:val="center"/>
                </w:tcPr>
                <w:p w14:paraId="2372ECE2">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冶金辅助、化工原料、建材及其它非金属矿产</w:t>
                  </w:r>
                </w:p>
              </w:tc>
              <w:tc>
                <w:tcPr>
                  <w:tcW w:w="3397" w:type="dxa"/>
                  <w:tcBorders>
                    <w:tl2br w:val="nil"/>
                    <w:tr2bl w:val="nil"/>
                  </w:tcBorders>
                  <w:noWrap w:val="0"/>
                  <w:vAlign w:val="center"/>
                </w:tcPr>
                <w:p w14:paraId="724E8580">
                  <w:pPr>
                    <w:spacing w:beforeLines="0" w:afterLines="0" w:line="240" w:lineRule="auto"/>
                    <w:ind w:firstLine="0" w:firstLineChars="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菱镁矿、方解石、萤石、石英、硫铁矿、蛇纹石、石墨、石膏、重晶石、水泥用页岩、水泥用灰岩、冶金用灰岩、制灰用灰岩、冶金用白云岩、建筑用砂岩、石英岩、建筑用花岗岩、饰面用大理岩、建筑石料用玄武岩、建筑用砂、砖瓦用粘土</w:t>
                  </w:r>
                </w:p>
              </w:tc>
              <w:tc>
                <w:tcPr>
                  <w:tcW w:w="663" w:type="dxa"/>
                  <w:tcBorders>
                    <w:tl2br w:val="nil"/>
                    <w:tr2bl w:val="nil"/>
                  </w:tcBorders>
                  <w:noWrap w:val="0"/>
                  <w:vAlign w:val="center"/>
                </w:tcPr>
                <w:p w14:paraId="6AF72751">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20</w:t>
                  </w:r>
                </w:p>
              </w:tc>
            </w:tr>
            <w:tr w14:paraId="7324A1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gridSpan w:val="2"/>
                  <w:tcBorders>
                    <w:tl2br w:val="nil"/>
                    <w:tr2bl w:val="nil"/>
                  </w:tcBorders>
                  <w:noWrap w:val="0"/>
                  <w:vAlign w:val="center"/>
                </w:tcPr>
                <w:p w14:paraId="1C65699F">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水气矿产</w:t>
                  </w:r>
                </w:p>
              </w:tc>
              <w:tc>
                <w:tcPr>
                  <w:tcW w:w="3397" w:type="dxa"/>
                  <w:tcBorders>
                    <w:tl2br w:val="nil"/>
                    <w:tr2bl w:val="nil"/>
                  </w:tcBorders>
                  <w:noWrap w:val="0"/>
                  <w:vAlign w:val="center"/>
                </w:tcPr>
                <w:p w14:paraId="3008AA24">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shd w:val="clear" w:color="auto" w:fill="FFFFFF"/>
                      <w14:textFill>
                        <w14:solidFill>
                          <w14:schemeClr w14:val="tx1"/>
                        </w14:solidFill>
                      </w14:textFill>
                    </w:rPr>
                    <w:t>地下水（矿泉水）</w:t>
                  </w:r>
                </w:p>
              </w:tc>
              <w:tc>
                <w:tcPr>
                  <w:tcW w:w="663" w:type="dxa"/>
                  <w:tcBorders>
                    <w:tl2br w:val="nil"/>
                    <w:tr2bl w:val="nil"/>
                  </w:tcBorders>
                  <w:noWrap w:val="0"/>
                  <w:vAlign w:val="center"/>
                </w:tcPr>
                <w:p w14:paraId="1A4532F8">
                  <w:pPr>
                    <w:spacing w:beforeLines="0" w:afterLines="0" w:line="240" w:lineRule="auto"/>
                    <w:ind w:firstLine="0" w:firstLine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r>
          </w:tbl>
          <w:p w14:paraId="1DCAED58">
            <w:pPr>
              <w:spacing w:line="360" w:lineRule="auto"/>
              <w:ind w:firstLine="480" w:firstLineChars="200"/>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z w:val="24"/>
                <w:highlight w:val="none"/>
                <w14:textFill>
                  <w14:solidFill>
                    <w14:schemeClr w14:val="tx1"/>
                  </w14:solidFill>
                </w14:textFill>
              </w:rPr>
              <w:t>本项目为</w:t>
            </w:r>
            <w:r>
              <w:rPr>
                <w:rFonts w:hint="eastAsia" w:ascii="Times New Roman" w:hAnsi="Times New Roman" w:eastAsia="宋体" w:cs="Times New Roman"/>
                <w:snapToGrid w:val="0"/>
                <w:color w:val="000000" w:themeColor="text1"/>
                <w:sz w:val="24"/>
                <w:highlight w:val="none"/>
                <w:lang w:val="en-US" w:eastAsia="zh-CN"/>
                <w14:textFill>
                  <w14:solidFill>
                    <w14:schemeClr w14:val="tx1"/>
                  </w14:solidFill>
                </w14:textFill>
              </w:rPr>
              <w:t>铜多金属矿</w:t>
            </w:r>
            <w:r>
              <w:rPr>
                <w:rFonts w:hint="eastAsia" w:ascii="Times New Roman" w:hAnsi="Times New Roman" w:eastAsia="宋体" w:cs="Times New Roman"/>
                <w:snapToGrid w:val="0"/>
                <w:color w:val="000000" w:themeColor="text1"/>
                <w:sz w:val="24"/>
                <w:highlight w:val="none"/>
                <w14:textFill>
                  <w14:solidFill>
                    <w14:schemeClr w14:val="tx1"/>
                  </w14:solidFill>
                </w14:textFill>
              </w:rPr>
              <w:t>勘探项目，位于和静县境内，勘查矿种（铜矿）属于和静县矿产资源总体规划中明确的有色金属矿产，符合规划确定的有色金属矿产勘查方向。铜矿不属于规划中限制或禁止勘查开采的矿种范围。项目在勘查实施过程中，将按照规划要求积极推进绿色勘查，严格执行环境保护、土地复垦、生态恢复治理等相关</w:t>
            </w:r>
            <w:r>
              <w:rPr>
                <w:rFonts w:hint="eastAsia" w:cs="Times New Roman"/>
                <w:snapToGrid w:val="0"/>
                <w:color w:val="000000" w:themeColor="text1"/>
                <w:sz w:val="24"/>
                <w:highlight w:val="none"/>
                <w:lang w:eastAsia="zh-CN"/>
                <w14:textFill>
                  <w14:solidFill>
                    <w14:schemeClr w14:val="tx1"/>
                  </w14:solidFill>
                </w14:textFill>
              </w:rPr>
              <w:t>规定</w:t>
            </w:r>
            <w:r>
              <w:rPr>
                <w:rFonts w:hint="eastAsia" w:ascii="Times New Roman" w:hAnsi="Times New Roman" w:eastAsia="宋体" w:cs="Times New Roman"/>
                <w:snapToGrid w:val="0"/>
                <w:color w:val="000000" w:themeColor="text1"/>
                <w:sz w:val="24"/>
                <w:highlight w:val="none"/>
                <w14:textFill>
                  <w14:solidFill>
                    <w14:schemeClr w14:val="tx1"/>
                  </w14:solidFill>
                </w14:textFill>
              </w:rPr>
              <w:t>，做到依法办矿、规范管理。因此，本项目的勘查矿种、勘查区域及实施方式均符合《新疆维吾尔自治区和静县矿产资源总体规划（2021</w:t>
            </w:r>
            <w:r>
              <w:rPr>
                <w:rFonts w:hint="eastAsia" w:cs="Times New Roman"/>
                <w:snapToGrid w:val="0"/>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snapToGrid w:val="0"/>
                <w:color w:val="000000" w:themeColor="text1"/>
                <w:sz w:val="24"/>
                <w:highlight w:val="none"/>
                <w14:textFill>
                  <w14:solidFill>
                    <w14:schemeClr w14:val="tx1"/>
                  </w14:solidFill>
                </w14:textFill>
              </w:rPr>
              <w:t>2025年）》的相关要求。</w:t>
            </w:r>
          </w:p>
        </w:tc>
      </w:tr>
      <w:tr w14:paraId="33B1A2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755" w:hRule="atLeast"/>
        </w:trPr>
        <w:tc>
          <w:tcPr>
            <w:tcW w:w="1634" w:type="dxa"/>
            <w:tcBorders>
              <w:tl2br w:val="nil"/>
              <w:tr2bl w:val="nil"/>
            </w:tcBorders>
            <w:noWrap w:val="0"/>
            <w:tcMar>
              <w:top w:w="16" w:type="dxa"/>
              <w:left w:w="16" w:type="dxa"/>
              <w:right w:w="16" w:type="dxa"/>
            </w:tcMar>
            <w:vAlign w:val="center"/>
          </w:tcPr>
          <w:p w14:paraId="411BD852">
            <w:pPr>
              <w:autoSpaceDE w:val="0"/>
              <w:autoSpaceDN w:val="0"/>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bookmarkStart w:id="2" w:name="_Hlk56690880"/>
            <w:r>
              <w:rPr>
                <w:rFonts w:hint="default" w:ascii="Times New Roman" w:hAnsi="Times New Roman" w:cs="Times New Roman"/>
                <w:color w:val="000000" w:themeColor="text1"/>
                <w:kern w:val="0"/>
                <w:sz w:val="24"/>
                <w:szCs w:val="24"/>
                <w:highlight w:val="none"/>
                <w14:textFill>
                  <w14:solidFill>
                    <w14:schemeClr w14:val="tx1"/>
                  </w14:solidFill>
                </w14:textFill>
              </w:rPr>
              <w:t>其他符合性分析</w:t>
            </w:r>
          </w:p>
        </w:tc>
        <w:tc>
          <w:tcPr>
            <w:tcW w:w="7405" w:type="dxa"/>
            <w:gridSpan w:val="3"/>
            <w:tcBorders>
              <w:tl2br w:val="nil"/>
              <w:tr2bl w:val="nil"/>
            </w:tcBorders>
            <w:noWrap w:val="0"/>
            <w:tcMar>
              <w:top w:w="16" w:type="dxa"/>
              <w:left w:w="16" w:type="dxa"/>
              <w:right w:w="16" w:type="dxa"/>
            </w:tcMar>
            <w:vAlign w:val="center"/>
          </w:tcPr>
          <w:p w14:paraId="34A766E8">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1.产业政策符合性分析</w:t>
            </w:r>
          </w:p>
          <w:p w14:paraId="2BB5B4D6">
            <w:pPr>
              <w:pStyle w:val="53"/>
              <w:bidi w:val="0"/>
              <w:ind w:firstLine="482"/>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本项目为陆地矿产资源地质勘查项目，已取得所在区域的探矿权，探矿证号</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根据《产业结构调整指导目录（2024</w:t>
            </w:r>
            <w:r>
              <w:rPr>
                <w:rFonts w:hint="eastAsia" w:cs="Times New Roman"/>
                <w:color w:val="000000" w:themeColor="text1"/>
                <w:highlight w:val="none"/>
                <w:lang w:val="en-US" w:eastAsia="zh-CN"/>
                <w14:textFill>
                  <w14:solidFill>
                    <w14:schemeClr w14:val="tx1"/>
                  </w14:solidFill>
                </w14:textFill>
              </w:rPr>
              <w:t>年本</w:t>
            </w:r>
            <w:r>
              <w:rPr>
                <w:rFonts w:hint="default" w:ascii="Times New Roman" w:hAnsi="Times New Roman" w:cs="Times New Roman"/>
                <w:color w:val="000000" w:themeColor="text1"/>
                <w:highlight w:val="none"/>
                <w:lang w:val="en-US" w:eastAsia="zh-CN"/>
                <w14:textFill>
                  <w14:solidFill>
                    <w14:schemeClr w14:val="tx1"/>
                  </w14:solidFill>
                </w14:textFill>
              </w:rPr>
              <w:t>）》，不属于鼓励类、限制类及淘汰类，为允许类。符合《产业结构调整指导目录（2024</w:t>
            </w:r>
            <w:r>
              <w:rPr>
                <w:rFonts w:hint="eastAsia" w:cs="Times New Roman"/>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本）》要求。本项目为</w:t>
            </w:r>
            <w:r>
              <w:rPr>
                <w:rFonts w:hint="eastAsia" w:cs="Times New Roman"/>
                <w:color w:val="000000" w:themeColor="text1"/>
                <w:highlight w:val="none"/>
                <w:lang w:val="en-US" w:eastAsia="zh-CN"/>
                <w14:textFill>
                  <w14:solidFill>
                    <w14:schemeClr w14:val="tx1"/>
                  </w14:solidFill>
                </w14:textFill>
              </w:rPr>
              <w:t>多金属矿普查</w:t>
            </w:r>
            <w:r>
              <w:rPr>
                <w:rFonts w:hint="default" w:ascii="Times New Roman" w:hAnsi="Times New Roman" w:cs="Times New Roman"/>
                <w:color w:val="000000" w:themeColor="text1"/>
                <w:highlight w:val="none"/>
                <w:lang w:val="en-US" w:eastAsia="zh-CN"/>
                <w14:textFill>
                  <w14:solidFill>
                    <w14:schemeClr w14:val="tx1"/>
                  </w14:solidFill>
                </w14:textFill>
              </w:rPr>
              <w:t>，不在《新疆维吾尔自治区28个国家重点生态功能区县（市）产业准入负面清单</w:t>
            </w:r>
            <w:r>
              <w:rPr>
                <w:rFonts w:hint="eastAsia" w:cs="Times New Roman"/>
                <w:color w:val="000000" w:themeColor="text1"/>
                <w:highlight w:val="none"/>
                <w:lang w:val="en-US" w:eastAsia="zh-CN"/>
                <w14:textFill>
                  <w14:solidFill>
                    <w14:schemeClr w14:val="tx1"/>
                  </w14:solidFill>
                </w14:textFill>
              </w:rPr>
              <w:t>（试行）》</w:t>
            </w:r>
            <w:r>
              <w:rPr>
                <w:rFonts w:hint="default" w:ascii="Times New Roman" w:hAnsi="Times New Roman" w:cs="Times New Roman"/>
                <w:color w:val="000000" w:themeColor="text1"/>
                <w:highlight w:val="none"/>
                <w:lang w:val="en-US" w:eastAsia="zh-CN"/>
                <w14:textFill>
                  <w14:solidFill>
                    <w14:schemeClr w14:val="tx1"/>
                  </w14:solidFill>
                </w14:textFill>
              </w:rPr>
              <w:t>的禁止类和限制类中；也不属于《市场准入负面清单（2025年版）》的项目。</w:t>
            </w:r>
          </w:p>
          <w:p w14:paraId="6653CD84">
            <w:pPr>
              <w:pStyle w:val="53"/>
              <w:bidi w:val="0"/>
              <w:ind w:firstLine="482"/>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综上所述，本项目符合产业政策。</w:t>
            </w:r>
          </w:p>
          <w:p w14:paraId="74500BCD">
            <w:pPr>
              <w:pStyle w:val="55"/>
              <w:bidi w:val="0"/>
              <w:ind w:firstLine="482"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生态环境分区管控</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要求</w:t>
            </w:r>
            <w:r>
              <w:rPr>
                <w:rFonts w:hint="default" w:ascii="Times New Roman" w:hAnsi="Times New Roman" w:cs="Times New Roman"/>
                <w:color w:val="000000" w:themeColor="text1"/>
                <w:highlight w:val="none"/>
                <w14:textFill>
                  <w14:solidFill>
                    <w14:schemeClr w14:val="tx1"/>
                  </w14:solidFill>
                </w14:textFill>
              </w:rPr>
              <w:t>符合性分析</w:t>
            </w:r>
          </w:p>
          <w:p w14:paraId="27394257">
            <w:pPr>
              <w:pStyle w:val="55"/>
              <w:bidi w:val="0"/>
              <w:ind w:firstLine="482" w:firstLineChars="20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2.1《关于印发〈新疆维吾尔自治区生态环境分区管控动态更新成果〉的通知》（新环环评发〔2024〕157号）符合性分析</w:t>
            </w:r>
          </w:p>
          <w:p w14:paraId="501F7AAC">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项目与《关于印发〈新疆维吾尔自治区生态环境分区管控动态更新成果〉的通知》（新环环评发〔2024〕157号）符合性分析详见下表。</w:t>
            </w:r>
          </w:p>
          <w:p w14:paraId="0CB19B6B">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表1-</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与《新疆维吾尔自治区生态环境分区管控动态更新成果》符合性分析</w:t>
            </w:r>
          </w:p>
          <w:tbl>
            <w:tblPr>
              <w:tblStyle w:val="29"/>
              <w:tblW w:w="492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2"/>
              <w:gridCol w:w="693"/>
              <w:gridCol w:w="2529"/>
              <w:gridCol w:w="2772"/>
              <w:gridCol w:w="692"/>
            </w:tblGrid>
            <w:tr w14:paraId="17A15F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 w:type="pct"/>
                  <w:gridSpan w:val="2"/>
                  <w:tcBorders>
                    <w:tl2br w:val="nil"/>
                    <w:tr2bl w:val="nil"/>
                  </w:tcBorders>
                  <w:noWrap w:val="0"/>
                  <w:vAlign w:val="center"/>
                </w:tcPr>
                <w:p w14:paraId="41DD7893">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管控要求</w:t>
                  </w:r>
                </w:p>
              </w:tc>
              <w:tc>
                <w:tcPr>
                  <w:tcW w:w="1739" w:type="pct"/>
                  <w:tcBorders>
                    <w:tl2br w:val="nil"/>
                    <w:tr2bl w:val="nil"/>
                  </w:tcBorders>
                  <w:noWrap w:val="0"/>
                  <w:vAlign w:val="center"/>
                </w:tcPr>
                <w:p w14:paraId="6220AEE8">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环境管理政策有关要求</w:t>
                  </w:r>
                </w:p>
              </w:tc>
              <w:tc>
                <w:tcPr>
                  <w:tcW w:w="1907" w:type="pct"/>
                  <w:tcBorders>
                    <w:tl2br w:val="nil"/>
                    <w:tr2bl w:val="nil"/>
                  </w:tcBorders>
                  <w:noWrap w:val="0"/>
                  <w:vAlign w:val="center"/>
                </w:tcPr>
                <w:p w14:paraId="0753949A">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本项目情况</w:t>
                  </w:r>
                </w:p>
              </w:tc>
              <w:tc>
                <w:tcPr>
                  <w:tcW w:w="475" w:type="pct"/>
                  <w:tcBorders>
                    <w:tl2br w:val="nil"/>
                    <w:tr2bl w:val="nil"/>
                  </w:tcBorders>
                  <w:noWrap w:val="0"/>
                  <w:vAlign w:val="center"/>
                </w:tcPr>
                <w:p w14:paraId="7C090F54">
                  <w:pPr>
                    <w:pStyle w:val="59"/>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符合性</w:t>
                  </w:r>
                </w:p>
              </w:tc>
            </w:tr>
            <w:tr w14:paraId="4AF6E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0" w:type="pct"/>
                  <w:vMerge w:val="restart"/>
                  <w:tcBorders>
                    <w:tl2br w:val="nil"/>
                    <w:tr2bl w:val="nil"/>
                  </w:tcBorders>
                  <w:noWrap w:val="0"/>
                  <w:vAlign w:val="center"/>
                </w:tcPr>
                <w:p w14:paraId="12A38FCE">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A1空间布局约束</w:t>
                  </w:r>
                </w:p>
              </w:tc>
              <w:tc>
                <w:tcPr>
                  <w:tcW w:w="476" w:type="pct"/>
                  <w:vMerge w:val="restart"/>
                  <w:tcBorders>
                    <w:tl2br w:val="nil"/>
                    <w:tr2bl w:val="nil"/>
                  </w:tcBorders>
                  <w:noWrap w:val="0"/>
                  <w:vAlign w:val="center"/>
                </w:tcPr>
                <w:p w14:paraId="2E9A99FE">
                  <w:pPr>
                    <w:pStyle w:val="5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A1.1禁止开发建设的活动</w:t>
                  </w:r>
                </w:p>
              </w:tc>
              <w:tc>
                <w:tcPr>
                  <w:tcW w:w="1739" w:type="pct"/>
                  <w:tcBorders>
                    <w:tl2br w:val="nil"/>
                    <w:tr2bl w:val="nil"/>
                  </w:tcBorders>
                  <w:noWrap w:val="0"/>
                  <w:vAlign w:val="center"/>
                </w:tcPr>
                <w:p w14:paraId="60255A62">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〔A1.1-1〕禁止新建、扩建《产业结构调整指导目录（2024年本）》中淘汰类项目。禁止引入《市场准入负面清单（2022年版）》禁止准入类事项。</w:t>
                  </w:r>
                </w:p>
              </w:tc>
              <w:tc>
                <w:tcPr>
                  <w:tcW w:w="1907" w:type="pct"/>
                  <w:tcBorders>
                    <w:tl2br w:val="nil"/>
                    <w:tr2bl w:val="nil"/>
                  </w:tcBorders>
                  <w:noWrap w:val="0"/>
                  <w:vAlign w:val="center"/>
                </w:tcPr>
                <w:p w14:paraId="059AB383">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本项目不属于</w:t>
                  </w:r>
                  <w:r>
                    <w:rPr>
                      <w:rFonts w:hint="default" w:ascii="Times New Roman" w:hAnsi="Times New Roman" w:cs="Times New Roman"/>
                      <w:color w:val="000000" w:themeColor="text1"/>
                      <w:highlight w:val="none"/>
                      <w14:textFill>
                        <w14:solidFill>
                          <w14:schemeClr w14:val="tx1"/>
                        </w14:solidFill>
                      </w14:textFill>
                    </w:rPr>
                    <w:t>《产业结构调整指导目录</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2024年本</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》中</w:t>
                  </w:r>
                  <w:r>
                    <w:rPr>
                      <w:rFonts w:hint="eastAsia" w:cs="Times New Roman"/>
                      <w:color w:val="000000" w:themeColor="text1"/>
                      <w:highlight w:val="none"/>
                      <w:lang w:eastAsia="zh-CN"/>
                      <w14:textFill>
                        <w14:solidFill>
                          <w14:schemeClr w14:val="tx1"/>
                        </w14:solidFill>
                      </w14:textFill>
                    </w:rPr>
                    <w:t>的鼓励类</w:t>
                  </w:r>
                  <w:r>
                    <w:rPr>
                      <w:rFonts w:hint="default" w:ascii="Times New Roman" w:hAnsi="Times New Roman" w:cs="Times New Roman"/>
                      <w:color w:val="000000" w:themeColor="text1"/>
                      <w:highlight w:val="none"/>
                      <w14:textFill>
                        <w14:solidFill>
                          <w14:schemeClr w14:val="tx1"/>
                        </w14:solidFill>
                      </w14:textFill>
                    </w:rPr>
                    <w:t>、限制类和淘汰类</w:t>
                  </w:r>
                  <w:r>
                    <w:rPr>
                      <w:rFonts w:hint="eastAsia" w:cs="Times New Roman"/>
                      <w:color w:val="000000" w:themeColor="text1"/>
                      <w:highlight w:val="none"/>
                      <w:lang w:eastAsia="zh-CN"/>
                      <w14:textFill>
                        <w14:solidFill>
                          <w14:schemeClr w14:val="tx1"/>
                        </w14:solidFill>
                      </w14:textFill>
                    </w:rPr>
                    <w:t>项目，</w:t>
                  </w:r>
                  <w:r>
                    <w:rPr>
                      <w:rFonts w:hint="default" w:ascii="Times New Roman" w:hAnsi="Times New Roman" w:cs="Times New Roman"/>
                      <w:color w:val="000000" w:themeColor="text1"/>
                      <w:highlight w:val="none"/>
                      <w14:textFill>
                        <w14:solidFill>
                          <w14:schemeClr w14:val="tx1"/>
                        </w14:solidFill>
                      </w14:textFill>
                    </w:rPr>
                    <w:t>属于允许类；</w:t>
                  </w:r>
                  <w:r>
                    <w:rPr>
                      <w:rFonts w:hint="default" w:ascii="Times New Roman" w:hAnsi="Times New Roman" w:cs="Times New Roman"/>
                      <w:color w:val="000000" w:themeColor="text1"/>
                      <w:highlight w:val="none"/>
                      <w:lang w:val="en-US" w:eastAsia="zh-CN"/>
                      <w14:textFill>
                        <w14:solidFill>
                          <w14:schemeClr w14:val="tx1"/>
                        </w14:solidFill>
                      </w14:textFill>
                    </w:rPr>
                    <w:t>本项目也不属于《市场准入负面清单（2025年版）》</w:t>
                  </w:r>
                  <w:r>
                    <w:rPr>
                      <w:rFonts w:hint="eastAsia" w:cs="Times New Roman"/>
                      <w:color w:val="000000" w:themeColor="text1"/>
                      <w:highlight w:val="none"/>
                      <w:lang w:val="en-US" w:eastAsia="zh-CN"/>
                      <w14:textFill>
                        <w14:solidFill>
                          <w14:schemeClr w14:val="tx1"/>
                        </w14:solidFill>
                      </w14:textFill>
                    </w:rPr>
                    <w:t>所列</w:t>
                  </w:r>
                  <w:r>
                    <w:rPr>
                      <w:rFonts w:hint="default" w:ascii="Times New Roman" w:hAnsi="Times New Roman" w:cs="Times New Roman"/>
                      <w:color w:val="000000" w:themeColor="text1"/>
                      <w:highlight w:val="none"/>
                      <w:lang w:val="en-US" w:eastAsia="zh-CN"/>
                      <w14:textFill>
                        <w14:solidFill>
                          <w14:schemeClr w14:val="tx1"/>
                        </w14:solidFill>
                      </w14:textFill>
                    </w:rPr>
                    <w:t>项目。</w:t>
                  </w:r>
                  <w:r>
                    <w:rPr>
                      <w:rFonts w:hint="default" w:ascii="Times New Roman" w:hAnsi="Times New Roman" w:cs="Times New Roman"/>
                      <w:color w:val="000000" w:themeColor="text1"/>
                      <w:highlight w:val="none"/>
                      <w14:textFill>
                        <w14:solidFill>
                          <w14:schemeClr w14:val="tx1"/>
                        </w14:solidFill>
                      </w14:textFill>
                    </w:rPr>
                    <w:t>符合国家产业政策</w:t>
                  </w:r>
                  <w:r>
                    <w:rPr>
                      <w:rFonts w:hint="default" w:ascii="Times New Roman" w:hAnsi="Times New Roman" w:cs="Times New Roman"/>
                      <w:color w:val="000000" w:themeColor="text1"/>
                      <w:highlight w:val="none"/>
                      <w:lang w:eastAsia="zh-CN"/>
                      <w14:textFill>
                        <w14:solidFill>
                          <w14:schemeClr w14:val="tx1"/>
                        </w14:solidFill>
                      </w14:textFill>
                    </w:rPr>
                    <w:t>。</w:t>
                  </w:r>
                </w:p>
              </w:tc>
              <w:tc>
                <w:tcPr>
                  <w:tcW w:w="475" w:type="pct"/>
                  <w:tcBorders>
                    <w:tl2br w:val="nil"/>
                    <w:tr2bl w:val="nil"/>
                  </w:tcBorders>
                  <w:noWrap w:val="0"/>
                  <w:vAlign w:val="center"/>
                </w:tcPr>
                <w:p w14:paraId="4800D094">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4588ED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400" w:type="pct"/>
                  <w:vMerge w:val="continue"/>
                  <w:tcBorders>
                    <w:tl2br w:val="nil"/>
                    <w:tr2bl w:val="nil"/>
                  </w:tcBorders>
                  <w:noWrap w:val="0"/>
                  <w:vAlign w:val="center"/>
                </w:tcPr>
                <w:p w14:paraId="6E393F30">
                  <w:pPr>
                    <w:pStyle w:val="59"/>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476" w:type="pct"/>
                  <w:vMerge w:val="continue"/>
                  <w:tcBorders>
                    <w:tl2br w:val="nil"/>
                    <w:tr2bl w:val="nil"/>
                  </w:tcBorders>
                  <w:noWrap w:val="0"/>
                  <w:vAlign w:val="center"/>
                </w:tcPr>
                <w:p w14:paraId="2A7EC164">
                  <w:pPr>
                    <w:pStyle w:val="59"/>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739" w:type="pct"/>
                  <w:tcBorders>
                    <w:tl2br w:val="nil"/>
                    <w:tr2bl w:val="nil"/>
                  </w:tcBorders>
                  <w:noWrap w:val="0"/>
                  <w:vAlign w:val="center"/>
                </w:tcPr>
                <w:p w14:paraId="47FD6A1D">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〔A1.1-4〕禁止在水源涵养区、</w:t>
                  </w:r>
                  <w:r>
                    <w:rPr>
                      <w:rFonts w:hint="eastAsia" w:cs="Times New Roman"/>
                      <w:color w:val="000000" w:themeColor="text1"/>
                      <w:highlight w:val="none"/>
                      <w:lang w:val="en-US" w:eastAsia="zh-CN"/>
                      <w14:textFill>
                        <w14:solidFill>
                          <w14:schemeClr w14:val="tx1"/>
                        </w14:solidFill>
                      </w14:textFill>
                    </w:rPr>
                    <w:t>地下水源地</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饮用水源地</w:t>
                  </w:r>
                  <w:r>
                    <w:rPr>
                      <w:rFonts w:hint="default" w:ascii="Times New Roman" w:hAnsi="Times New Roman" w:cs="Times New Roman"/>
                      <w:color w:val="000000" w:themeColor="text1"/>
                      <w:highlight w:val="none"/>
                      <w:lang w:val="en-US" w:eastAsia="zh-CN"/>
                      <w14:textFill>
                        <w14:solidFill>
                          <w14:schemeClr w14:val="tx1"/>
                        </w14:solidFill>
                      </w14:textFill>
                    </w:rPr>
                    <w:t>、自然保护区、风景名胜区、森林公园、重要湿地及人群密集区等生态敏感区域内进行煤炭、石油、天然气开发。</w:t>
                  </w:r>
                </w:p>
              </w:tc>
              <w:tc>
                <w:tcPr>
                  <w:tcW w:w="1907" w:type="pct"/>
                  <w:tcBorders>
                    <w:tl2br w:val="nil"/>
                    <w:tr2bl w:val="nil"/>
                  </w:tcBorders>
                  <w:noWrap w:val="0"/>
                  <w:vAlign w:val="center"/>
                </w:tcPr>
                <w:p w14:paraId="2A72F3DC">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本项目位于新疆维吾尔自治区巴音郭楞蒙古自治州</w:t>
                  </w:r>
                  <w:r>
                    <w:rPr>
                      <w:rFonts w:hint="eastAsia" w:cs="Times New Roman"/>
                      <w:color w:val="000000" w:themeColor="text1"/>
                      <w:highlight w:val="none"/>
                      <w:lang w:val="en-US" w:eastAsia="zh-CN"/>
                      <w14:textFill>
                        <w14:solidFill>
                          <w14:schemeClr w14:val="tx1"/>
                        </w14:solidFill>
                      </w14:textFill>
                    </w:rPr>
                    <w:t>和静县</w:t>
                  </w:r>
                  <w:r>
                    <w:rPr>
                      <w:rFonts w:hint="default" w:ascii="Times New Roman" w:hAnsi="Times New Roman" w:cs="Times New Roman"/>
                      <w:color w:val="000000" w:themeColor="text1"/>
                      <w:highlight w:val="none"/>
                      <w:lang w:val="en-US" w:eastAsia="zh-CN"/>
                      <w14:textFill>
                        <w14:solidFill>
                          <w14:schemeClr w14:val="tx1"/>
                        </w14:solidFill>
                      </w14:textFill>
                    </w:rPr>
                    <w:t>，不涉及水源涵养区、</w:t>
                  </w:r>
                  <w:r>
                    <w:rPr>
                      <w:rFonts w:hint="eastAsia" w:cs="Times New Roman"/>
                      <w:color w:val="000000" w:themeColor="text1"/>
                      <w:highlight w:val="none"/>
                      <w:lang w:val="en-US" w:eastAsia="zh-CN"/>
                      <w14:textFill>
                        <w14:solidFill>
                          <w14:schemeClr w14:val="tx1"/>
                        </w14:solidFill>
                      </w14:textFill>
                    </w:rPr>
                    <w:t>地下水源地</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饮用水源地</w:t>
                  </w:r>
                  <w:r>
                    <w:rPr>
                      <w:rFonts w:hint="default" w:ascii="Times New Roman" w:hAnsi="Times New Roman" w:cs="Times New Roman"/>
                      <w:color w:val="000000" w:themeColor="text1"/>
                      <w:highlight w:val="none"/>
                      <w:lang w:val="en-US" w:eastAsia="zh-CN"/>
                      <w14:textFill>
                        <w14:solidFill>
                          <w14:schemeClr w14:val="tx1"/>
                        </w14:solidFill>
                      </w14:textFill>
                    </w:rPr>
                    <w:t>、自然保护区、风景名胜区、森林公园、重要湿地及人群密集区等生态敏感区域，本项目为矿产资源勘查，不涉及煤炭、石油、天然气开发。符合相关要求。</w:t>
                  </w:r>
                </w:p>
              </w:tc>
              <w:tc>
                <w:tcPr>
                  <w:tcW w:w="475" w:type="pct"/>
                  <w:tcBorders>
                    <w:tl2br w:val="nil"/>
                    <w:tr2bl w:val="nil"/>
                  </w:tcBorders>
                  <w:noWrap w:val="0"/>
                  <w:vAlign w:val="center"/>
                </w:tcPr>
                <w:p w14:paraId="21962AE3">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367A5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0" w:type="pct"/>
                  <w:tcBorders>
                    <w:tl2br w:val="nil"/>
                    <w:tr2bl w:val="nil"/>
                  </w:tcBorders>
                  <w:noWrap w:val="0"/>
                  <w:vAlign w:val="center"/>
                </w:tcPr>
                <w:p w14:paraId="5EB5F5EA">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A2污染物排放管控</w:t>
                  </w:r>
                </w:p>
              </w:tc>
              <w:tc>
                <w:tcPr>
                  <w:tcW w:w="476" w:type="pct"/>
                  <w:tcBorders>
                    <w:tl2br w:val="nil"/>
                    <w:tr2bl w:val="nil"/>
                  </w:tcBorders>
                  <w:noWrap w:val="0"/>
                  <w:vAlign w:val="center"/>
                </w:tcPr>
                <w:p w14:paraId="359338DD">
                  <w:pPr>
                    <w:pStyle w:val="5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A2.2污染控制措施要求</w:t>
                  </w:r>
                </w:p>
              </w:tc>
              <w:tc>
                <w:tcPr>
                  <w:tcW w:w="1739" w:type="pct"/>
                  <w:tcBorders>
                    <w:tl2br w:val="nil"/>
                    <w:tr2bl w:val="nil"/>
                  </w:tcBorders>
                  <w:noWrap w:val="0"/>
                  <w:vAlign w:val="center"/>
                </w:tcPr>
                <w:p w14:paraId="1D7E91ED">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〔A2.2-4〕强化用水定额管理。推进地下水超采综合治理。开展河湖生态流量（水量）确定工作，强化生态用水保障。</w:t>
                  </w:r>
                </w:p>
              </w:tc>
              <w:tc>
                <w:tcPr>
                  <w:tcW w:w="1907" w:type="pct"/>
                  <w:tcBorders>
                    <w:tl2br w:val="nil"/>
                    <w:tr2bl w:val="nil"/>
                  </w:tcBorders>
                  <w:noWrap w:val="0"/>
                  <w:vAlign w:val="center"/>
                </w:tcPr>
                <w:p w14:paraId="55F377F0">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项目用水定期从附近乡镇拉运。项目采用较为先进的地质勘查技术，勘探过程中水耗不超过国家要求。生活污水排入一体化污水处理设施处理达标后，用于</w:t>
                  </w:r>
                  <w:r>
                    <w:rPr>
                      <w:rFonts w:hint="eastAsia" w:cs="Times New Roman"/>
                      <w:color w:val="000000" w:themeColor="text1"/>
                      <w:highlight w:val="none"/>
                      <w:lang w:val="en-US" w:eastAsia="zh-CN"/>
                      <w14:textFill>
                        <w14:solidFill>
                          <w14:schemeClr w14:val="tx1"/>
                        </w14:solidFill>
                      </w14:textFill>
                    </w:rPr>
                    <w:t>草地生态恢复回用</w:t>
                  </w:r>
                  <w:r>
                    <w:rPr>
                      <w:rFonts w:hint="default" w:ascii="Times New Roman" w:hAnsi="Times New Roman" w:cs="Times New Roman"/>
                      <w:color w:val="000000" w:themeColor="text1"/>
                      <w:highlight w:val="none"/>
                      <w:lang w:val="en-US" w:eastAsia="zh-CN"/>
                      <w14:textFill>
                        <w14:solidFill>
                          <w14:schemeClr w14:val="tx1"/>
                        </w14:solidFill>
                      </w14:textFill>
                    </w:rPr>
                    <w:t>，不外排；钻井设备冲洗水和泥浆废水循环使用，不外排，不会影响区域水环境质量</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符合相关要求。</w:t>
                  </w:r>
                </w:p>
              </w:tc>
              <w:tc>
                <w:tcPr>
                  <w:tcW w:w="475" w:type="pct"/>
                  <w:tcBorders>
                    <w:tl2br w:val="nil"/>
                    <w:tr2bl w:val="nil"/>
                  </w:tcBorders>
                  <w:noWrap w:val="0"/>
                  <w:vAlign w:val="center"/>
                </w:tcPr>
                <w:p w14:paraId="73C24AE9">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2AA189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0" w:type="pct"/>
                  <w:tcBorders>
                    <w:tl2br w:val="nil"/>
                    <w:tr2bl w:val="nil"/>
                  </w:tcBorders>
                  <w:noWrap w:val="0"/>
                  <w:vAlign w:val="center"/>
                </w:tcPr>
                <w:p w14:paraId="49A668D6">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A3环境风险防控</w:t>
                  </w:r>
                </w:p>
              </w:tc>
              <w:tc>
                <w:tcPr>
                  <w:tcW w:w="476" w:type="pct"/>
                  <w:tcBorders>
                    <w:tl2br w:val="nil"/>
                    <w:tr2bl w:val="nil"/>
                  </w:tcBorders>
                  <w:noWrap w:val="0"/>
                  <w:vAlign w:val="center"/>
                </w:tcPr>
                <w:p w14:paraId="3E1565E7">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A3.2联防联控要求</w:t>
                  </w:r>
                </w:p>
              </w:tc>
              <w:tc>
                <w:tcPr>
                  <w:tcW w:w="1739" w:type="pct"/>
                  <w:tcBorders>
                    <w:tl2br w:val="nil"/>
                    <w:tr2bl w:val="nil"/>
                  </w:tcBorders>
                  <w:noWrap w:val="0"/>
                  <w:vAlign w:val="center"/>
                </w:tcPr>
                <w:p w14:paraId="5CEDCB54">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〔A3.2-5〕强化生态环境应急管理。实施企业突发生态环境应急预案电子化备案，完成县级以上政府突发环境事件应急预案修编。完善区域和企业应急处置物资储备</w:t>
                  </w:r>
                  <w:r>
                    <w:rPr>
                      <w:rFonts w:hint="eastAsia" w:cs="Times New Roman"/>
                      <w:color w:val="000000" w:themeColor="text1"/>
                      <w:highlight w:val="none"/>
                      <w:lang w:val="en-US" w:eastAsia="zh-CN"/>
                      <w14:textFill>
                        <w14:solidFill>
                          <w14:schemeClr w14:val="tx1"/>
                        </w14:solidFill>
                      </w14:textFill>
                    </w:rPr>
                    <w:t>体系</w:t>
                  </w:r>
                  <w:r>
                    <w:rPr>
                      <w:rFonts w:hint="default" w:ascii="Times New Roman" w:hAnsi="Times New Roman" w:cs="Times New Roman"/>
                      <w:color w:val="000000" w:themeColor="text1"/>
                      <w:highlight w:val="none"/>
                      <w:lang w:val="en-US" w:eastAsia="zh-CN"/>
                      <w14:textFill>
                        <w14:solidFill>
                          <w14:schemeClr w14:val="tx1"/>
                        </w14:solidFill>
                      </w14:textFill>
                    </w:rPr>
                    <w:t>，结合新疆各地特征污染物的特性，加强应急物资储备及应急物资信息化建设，掌握社会应急物资储备动态信息，妥善应对各类突发生态环境事件。加强应急监测装备配置，定期开展应急演练，增强实战能力。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907" w:type="pct"/>
                  <w:tcBorders>
                    <w:tl2br w:val="nil"/>
                    <w:tr2bl w:val="nil"/>
                  </w:tcBorders>
                  <w:noWrap w:val="0"/>
                  <w:vAlign w:val="center"/>
                </w:tcPr>
                <w:p w14:paraId="5BD21FA3">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w:t>
                  </w:r>
                  <w:r>
                    <w:rPr>
                      <w:rFonts w:hint="eastAsia" w:cs="Times New Roman"/>
                      <w:color w:val="000000" w:themeColor="text1"/>
                      <w:highlight w:val="none"/>
                      <w:lang w:val="en-US" w:eastAsia="zh-CN"/>
                      <w14:textFill>
                        <w14:solidFill>
                          <w14:schemeClr w14:val="tx1"/>
                        </w14:solidFill>
                      </w14:textFill>
                    </w:rPr>
                    <w:t>通过建立</w:t>
                  </w:r>
                  <w:r>
                    <w:rPr>
                      <w:rFonts w:hint="default" w:ascii="Times New Roman" w:hAnsi="Times New Roman" w:cs="Times New Roman"/>
                      <w:color w:val="000000" w:themeColor="text1"/>
                      <w:highlight w:val="none"/>
                      <w:lang w:val="en-US" w:eastAsia="zh-CN"/>
                      <w14:textFill>
                        <w14:solidFill>
                          <w14:schemeClr w14:val="tx1"/>
                        </w14:solidFill>
                      </w14:textFill>
                    </w:rPr>
                    <w:t>环境突发事件应急管理领导机构、完善环境突发应急预案体系、配备完善应急物资等</w:t>
                  </w:r>
                  <w:r>
                    <w:rPr>
                      <w:rFonts w:hint="eastAsia" w:cs="Times New Roman"/>
                      <w:color w:val="000000" w:themeColor="text1"/>
                      <w:highlight w:val="none"/>
                      <w:lang w:val="en-US" w:eastAsia="zh-CN"/>
                      <w14:textFill>
                        <w14:solidFill>
                          <w14:schemeClr w14:val="tx1"/>
                        </w14:solidFill>
                      </w14:textFill>
                    </w:rPr>
                    <w:t>手段</w:t>
                  </w:r>
                  <w:r>
                    <w:rPr>
                      <w:rFonts w:hint="default" w:ascii="Times New Roman" w:hAnsi="Times New Roman" w:cs="Times New Roman"/>
                      <w:color w:val="000000" w:themeColor="text1"/>
                      <w:highlight w:val="none"/>
                      <w:lang w:val="en-US" w:eastAsia="zh-CN"/>
                      <w14:textFill>
                        <w14:solidFill>
                          <w14:schemeClr w14:val="tx1"/>
                        </w14:solidFill>
                      </w14:textFill>
                    </w:rPr>
                    <w:t>加强环境风险防控，加强应急物资储备及应急物资信息化建设，增强实战能力。</w:t>
                  </w:r>
                </w:p>
              </w:tc>
              <w:tc>
                <w:tcPr>
                  <w:tcW w:w="475" w:type="pct"/>
                  <w:tcBorders>
                    <w:tl2br w:val="nil"/>
                    <w:tr2bl w:val="nil"/>
                  </w:tcBorders>
                  <w:noWrap w:val="0"/>
                  <w:vAlign w:val="center"/>
                </w:tcPr>
                <w:p w14:paraId="59DE1F7B">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5BCDD0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0" w:type="pct"/>
                  <w:tcBorders>
                    <w:tl2br w:val="nil"/>
                    <w:tr2bl w:val="nil"/>
                  </w:tcBorders>
                  <w:noWrap w:val="0"/>
                  <w:vAlign w:val="center"/>
                </w:tcPr>
                <w:p w14:paraId="3E1B95D6">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A4资源利用要求</w:t>
                  </w:r>
                </w:p>
              </w:tc>
              <w:tc>
                <w:tcPr>
                  <w:tcW w:w="476" w:type="pct"/>
                  <w:tcBorders>
                    <w:tl2br w:val="nil"/>
                    <w:tr2bl w:val="nil"/>
                  </w:tcBorders>
                  <w:noWrap w:val="0"/>
                  <w:vAlign w:val="center"/>
                </w:tcPr>
                <w:p w14:paraId="520A9FFE">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A4.5资源综合利用</w:t>
                  </w:r>
                </w:p>
              </w:tc>
              <w:tc>
                <w:tcPr>
                  <w:tcW w:w="1739" w:type="pct"/>
                  <w:tcBorders>
                    <w:tl2br w:val="nil"/>
                    <w:tr2bl w:val="nil"/>
                  </w:tcBorders>
                  <w:noWrap w:val="0"/>
                  <w:vAlign w:val="center"/>
                </w:tcPr>
                <w:p w14:paraId="3311A64D">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tc>
              <w:tc>
                <w:tcPr>
                  <w:tcW w:w="1907" w:type="pct"/>
                  <w:tcBorders>
                    <w:tl2br w:val="nil"/>
                    <w:tr2bl w:val="nil"/>
                  </w:tcBorders>
                  <w:noWrap w:val="0"/>
                  <w:vAlign w:val="center"/>
                </w:tcPr>
                <w:p w14:paraId="13DBB086">
                  <w:pPr>
                    <w:pStyle w:val="59"/>
                    <w:keepNext w:val="0"/>
                    <w:keepLines w:val="0"/>
                    <w:pageBreakBefore w:val="0"/>
                    <w:widowControl/>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对开挖</w:t>
                  </w:r>
                  <w:r>
                    <w:rPr>
                      <w:rFonts w:hint="default" w:ascii="Times New Roman" w:hAnsi="Times New Roman" w:cs="Times New Roman"/>
                      <w:color w:val="000000" w:themeColor="text1"/>
                      <w:highlight w:val="none"/>
                      <w:lang w:val="en-US" w:eastAsia="zh-CN"/>
                      <w14:textFill>
                        <w14:solidFill>
                          <w14:schemeClr w14:val="tx1"/>
                        </w14:solidFill>
                      </w14:textFill>
                    </w:rPr>
                    <w:t>土石方、钻井泥浆、岩屑、沉淀池沉渣进行现场收集、暂存（采取防雨、防扬散措施），待勘探结束后，</w:t>
                  </w:r>
                  <w:r>
                    <w:rPr>
                      <w:rFonts w:hint="eastAsia" w:cs="Times New Roman"/>
                      <w:color w:val="000000" w:themeColor="text1"/>
                      <w:highlight w:val="none"/>
                      <w:lang w:val="en-US" w:eastAsia="zh-CN"/>
                      <w14:textFill>
                        <w14:solidFill>
                          <w14:schemeClr w14:val="tx1"/>
                        </w14:solidFill>
                      </w14:textFill>
                    </w:rPr>
                    <w:t>将开挖</w:t>
                  </w:r>
                  <w:r>
                    <w:rPr>
                      <w:rFonts w:hint="default" w:ascii="Times New Roman" w:hAnsi="Times New Roman" w:cs="Times New Roman"/>
                      <w:color w:val="000000" w:themeColor="text1"/>
                      <w:highlight w:val="none"/>
                      <w:lang w:val="en-US" w:eastAsia="zh-CN"/>
                      <w14:textFill>
                        <w14:solidFill>
                          <w14:schemeClr w14:val="tx1"/>
                        </w14:solidFill>
                      </w14:textFill>
                    </w:rPr>
                    <w:t>产生的</w:t>
                  </w:r>
                  <w:r>
                    <w:rPr>
                      <w:rFonts w:hint="eastAsia" w:cs="Times New Roman"/>
                      <w:color w:val="000000" w:themeColor="text1"/>
                      <w:highlight w:val="none"/>
                      <w:lang w:val="en-US" w:eastAsia="zh-CN"/>
                      <w14:textFill>
                        <w14:solidFill>
                          <w14:schemeClr w14:val="tx1"/>
                        </w14:solidFill>
                      </w14:textFill>
                    </w:rPr>
                    <w:t>土石方</w:t>
                  </w:r>
                  <w:r>
                    <w:rPr>
                      <w:rFonts w:hint="default" w:ascii="Times New Roman" w:hAnsi="Times New Roman" w:cs="Times New Roman"/>
                      <w:color w:val="000000" w:themeColor="text1"/>
                      <w:highlight w:val="none"/>
                      <w:lang w:val="en-US" w:eastAsia="zh-CN"/>
                      <w14:textFill>
                        <w14:solidFill>
                          <w14:schemeClr w14:val="tx1"/>
                        </w14:solidFill>
                      </w14:textFill>
                    </w:rPr>
                    <w:t>回填至开挖地；</w:t>
                  </w:r>
                  <w:r>
                    <w:rPr>
                      <w:rFonts w:hint="eastAsia" w:cs="Times New Roman"/>
                      <w:color w:val="000000" w:themeColor="text1"/>
                      <w:highlight w:val="none"/>
                      <w:lang w:val="en-US" w:eastAsia="zh-CN"/>
                      <w14:textFill>
                        <w14:solidFill>
                          <w14:schemeClr w14:val="tx1"/>
                        </w14:solidFill>
                      </w14:textFill>
                    </w:rPr>
                    <w:t>钻井泥浆固化就地填埋</w:t>
                  </w:r>
                  <w:r>
                    <w:rPr>
                      <w:rFonts w:hint="default" w:ascii="Times New Roman" w:hAnsi="Times New Roman" w:cs="Times New Roman"/>
                      <w:color w:val="000000" w:themeColor="text1"/>
                      <w:highlight w:val="none"/>
                      <w:lang w:val="en-US" w:eastAsia="zh-CN"/>
                      <w14:textFill>
                        <w14:solidFill>
                          <w14:schemeClr w14:val="tx1"/>
                        </w14:solidFill>
                      </w14:textFill>
                    </w:rPr>
                    <w:t>；施工营地内设置一定数量的垃圾桶，用于临时存放生活垃圾，统一收集后送至</w:t>
                  </w:r>
                  <w:r>
                    <w:rPr>
                      <w:rFonts w:hint="eastAsia" w:cs="Times New Roman"/>
                      <w:color w:val="000000" w:themeColor="text1"/>
                      <w:highlight w:val="none"/>
                      <w:lang w:val="en-US" w:eastAsia="zh-CN"/>
                      <w14:textFill>
                        <w14:solidFill>
                          <w14:schemeClr w14:val="tx1"/>
                        </w14:solidFill>
                      </w14:textFill>
                    </w:rPr>
                    <w:t>和静县市容环卫中心，</w:t>
                  </w:r>
                  <w:r>
                    <w:rPr>
                      <w:rFonts w:hint="default" w:ascii="Times New Roman" w:hAnsi="Times New Roman" w:cs="Times New Roman"/>
                      <w:color w:val="000000" w:themeColor="text1"/>
                      <w:highlight w:val="none"/>
                      <w:lang w:val="en-US" w:eastAsia="zh-CN"/>
                      <w14:textFill>
                        <w14:solidFill>
                          <w14:schemeClr w14:val="tx1"/>
                        </w14:solidFill>
                      </w14:textFill>
                    </w:rPr>
                    <w:t>符合相关要求。</w:t>
                  </w:r>
                </w:p>
              </w:tc>
              <w:tc>
                <w:tcPr>
                  <w:tcW w:w="475" w:type="pct"/>
                  <w:tcBorders>
                    <w:tl2br w:val="nil"/>
                    <w:tr2bl w:val="nil"/>
                  </w:tcBorders>
                  <w:noWrap w:val="0"/>
                  <w:vAlign w:val="center"/>
                </w:tcPr>
                <w:p w14:paraId="0BF9681E">
                  <w:pPr>
                    <w:pStyle w:val="5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bl>
          <w:p w14:paraId="4E1DE796">
            <w:pPr>
              <w:pStyle w:val="55"/>
              <w:bidi w:val="0"/>
              <w:ind w:firstLine="482"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w:t>
            </w:r>
            <w:r>
              <w:rPr>
                <w:rFonts w:hint="eastAsia"/>
                <w:b/>
                <w:bCs/>
                <w:color w:val="000000" w:themeColor="text1"/>
                <w:highlight w:val="none"/>
                <w14:textFill>
                  <w14:solidFill>
                    <w14:schemeClr w14:val="tx1"/>
                  </w14:solidFill>
                </w14:textFill>
              </w:rPr>
              <w:t>本项目与《关于印发〈新疆维吾尔自治区七大片区生态环境分区管控要求〉（2021年版）的通知》（新环环评发〔2021〕162号）</w:t>
            </w:r>
            <w:r>
              <w:rPr>
                <w:rFonts w:hint="eastAsia"/>
                <w:b/>
                <w:bCs/>
                <w:color w:val="000000" w:themeColor="text1"/>
                <w:highlight w:val="none"/>
                <w:lang w:eastAsia="zh-CN"/>
                <w14:textFill>
                  <w14:solidFill>
                    <w14:schemeClr w14:val="tx1"/>
                  </w14:solidFill>
                </w14:textFill>
              </w:rPr>
              <w:t>的符合</w:t>
            </w:r>
            <w:r>
              <w:rPr>
                <w:rFonts w:hint="eastAsia"/>
                <w:b/>
                <w:bCs/>
                <w:color w:val="000000" w:themeColor="text1"/>
                <w:highlight w:val="none"/>
                <w14:textFill>
                  <w14:solidFill>
                    <w14:schemeClr w14:val="tx1"/>
                  </w14:solidFill>
                </w14:textFill>
              </w:rPr>
              <w:t>性分析</w:t>
            </w:r>
          </w:p>
          <w:p w14:paraId="7C2F9AF6">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本项目位于和静县，属于天山南坡片区，本项目与“天山南坡片区总体管控要求”符合性分析见表1-</w:t>
            </w: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cs="Times New Roman"/>
                <w:color w:val="000000" w:themeColor="text1"/>
                <w:highlight w:val="none"/>
                <w:lang w:val="en-US" w:eastAsia="zh-CN"/>
                <w14:textFill>
                  <w14:solidFill>
                    <w14:schemeClr w14:val="tx1"/>
                  </w14:solidFill>
                </w14:textFill>
              </w:rPr>
              <w:t>。</w:t>
            </w:r>
          </w:p>
          <w:p w14:paraId="53B01859">
            <w:pPr>
              <w:adjustRightInd w:val="0"/>
              <w:spacing w:before="156" w:beforeLines="50" w:line="240" w:lineRule="auto"/>
              <w:ind w:firstLine="0" w:firstLineChars="0"/>
              <w:jc w:val="center"/>
              <w:textAlignment w:val="baseline"/>
              <w:rPr>
                <w:b/>
                <w:color w:val="000000" w:themeColor="text1"/>
                <w:kern w:val="0"/>
                <w:sz w:val="21"/>
                <w:szCs w:val="20"/>
                <w:highlight w:val="none"/>
                <w14:textFill>
                  <w14:solidFill>
                    <w14:schemeClr w14:val="tx1"/>
                  </w14:solidFill>
                </w14:textFill>
              </w:rPr>
            </w:pPr>
            <w:r>
              <w:rPr>
                <w:rFonts w:hint="eastAsia"/>
                <w:b/>
                <w:color w:val="000000" w:themeColor="text1"/>
                <w:kern w:val="0"/>
                <w:sz w:val="21"/>
                <w:szCs w:val="20"/>
                <w:highlight w:val="none"/>
                <w14:textFill>
                  <w14:solidFill>
                    <w14:schemeClr w14:val="tx1"/>
                  </w14:solidFill>
                </w14:textFill>
              </w:rPr>
              <w:t>表</w:t>
            </w:r>
            <w:r>
              <w:rPr>
                <w:b/>
                <w:color w:val="000000" w:themeColor="text1"/>
                <w:kern w:val="0"/>
                <w:sz w:val="21"/>
                <w:szCs w:val="20"/>
                <w:highlight w:val="none"/>
                <w14:textFill>
                  <w14:solidFill>
                    <w14:schemeClr w14:val="tx1"/>
                  </w14:solidFill>
                </w14:textFill>
              </w:rPr>
              <w:t>1-</w:t>
            </w:r>
            <w:r>
              <w:rPr>
                <w:rFonts w:hint="eastAsia"/>
                <w:b/>
                <w:color w:val="000000" w:themeColor="text1"/>
                <w:kern w:val="0"/>
                <w:sz w:val="21"/>
                <w:szCs w:val="20"/>
                <w:highlight w:val="none"/>
                <w:lang w:val="en-US" w:eastAsia="zh-CN"/>
                <w14:textFill>
                  <w14:solidFill>
                    <w14:schemeClr w14:val="tx1"/>
                  </w14:solidFill>
                </w14:textFill>
              </w:rPr>
              <w:t>6</w:t>
            </w:r>
            <w:r>
              <w:rPr>
                <w:b/>
                <w:color w:val="000000" w:themeColor="text1"/>
                <w:kern w:val="0"/>
                <w:sz w:val="21"/>
                <w:szCs w:val="20"/>
                <w:highlight w:val="none"/>
                <w14:textFill>
                  <w14:solidFill>
                    <w14:schemeClr w14:val="tx1"/>
                  </w14:solidFill>
                </w14:textFill>
              </w:rPr>
              <w:t xml:space="preserve">  </w:t>
            </w:r>
            <w:r>
              <w:rPr>
                <w:rFonts w:hint="eastAsia"/>
                <w:b/>
                <w:color w:val="000000" w:themeColor="text1"/>
                <w:kern w:val="0"/>
                <w:sz w:val="21"/>
                <w:szCs w:val="20"/>
                <w:highlight w:val="none"/>
                <w14:textFill>
                  <w14:solidFill>
                    <w14:schemeClr w14:val="tx1"/>
                  </w14:solidFill>
                </w14:textFill>
              </w:rPr>
              <w:t>本项目与七大片天山南坡片区总体管控要求</w:t>
            </w:r>
            <w:r>
              <w:rPr>
                <w:rFonts w:hint="eastAsia"/>
                <w:b/>
                <w:color w:val="000000" w:themeColor="text1"/>
                <w:kern w:val="0"/>
                <w:sz w:val="21"/>
                <w:szCs w:val="20"/>
                <w:highlight w:val="none"/>
                <w:lang w:eastAsia="zh-CN"/>
                <w14:textFill>
                  <w14:solidFill>
                    <w14:schemeClr w14:val="tx1"/>
                  </w14:solidFill>
                </w14:textFill>
              </w:rPr>
              <w:t>的符合</w:t>
            </w:r>
            <w:r>
              <w:rPr>
                <w:rFonts w:hint="eastAsia"/>
                <w:b/>
                <w:color w:val="000000" w:themeColor="text1"/>
                <w:kern w:val="0"/>
                <w:sz w:val="21"/>
                <w:szCs w:val="20"/>
                <w:highlight w:val="none"/>
                <w14:textFill>
                  <w14:solidFill>
                    <w14:schemeClr w14:val="tx1"/>
                  </w14:solidFill>
                </w14:textFill>
              </w:rPr>
              <w:t>性分析一览表</w:t>
            </w:r>
          </w:p>
          <w:tbl>
            <w:tblPr>
              <w:tblStyle w:val="28"/>
              <w:tblW w:w="4950" w:type="pct"/>
              <w:tblInd w:w="15"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69"/>
              <w:gridCol w:w="3941"/>
              <w:gridCol w:w="1736"/>
              <w:gridCol w:w="653"/>
            </w:tblGrid>
            <w:tr w14:paraId="2FB8C7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664" w:type="pct"/>
                  <w:vMerge w:val="restart"/>
                  <w:tcBorders>
                    <w:tl2br w:val="nil"/>
                    <w:tr2bl w:val="nil"/>
                  </w:tcBorders>
                  <w:vAlign w:val="center"/>
                </w:tcPr>
                <w:p w14:paraId="4FD97B1F">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天山南坡片区总体管控要求</w:t>
                  </w:r>
                </w:p>
              </w:tc>
              <w:tc>
                <w:tcPr>
                  <w:tcW w:w="2700" w:type="pct"/>
                  <w:tcBorders>
                    <w:tl2br w:val="nil"/>
                    <w:tr2bl w:val="nil"/>
                  </w:tcBorders>
                  <w:vAlign w:val="center"/>
                </w:tcPr>
                <w:p w14:paraId="76D941AB">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管控要求</w:t>
                  </w:r>
                </w:p>
              </w:tc>
              <w:tc>
                <w:tcPr>
                  <w:tcW w:w="1189" w:type="pct"/>
                  <w:tcBorders>
                    <w:tl2br w:val="nil"/>
                    <w:tr2bl w:val="nil"/>
                  </w:tcBorders>
                  <w:vAlign w:val="center"/>
                </w:tcPr>
                <w:p w14:paraId="00163326">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本项目</w:t>
                  </w:r>
                </w:p>
              </w:tc>
              <w:tc>
                <w:tcPr>
                  <w:tcW w:w="447" w:type="pct"/>
                  <w:tcBorders>
                    <w:tl2br w:val="nil"/>
                    <w:tr2bl w:val="nil"/>
                  </w:tcBorders>
                  <w:vAlign w:val="center"/>
                </w:tcPr>
                <w:p w14:paraId="1E465351">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符合性</w:t>
                  </w:r>
                </w:p>
              </w:tc>
            </w:tr>
            <w:tr w14:paraId="6AE623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32" w:type="dxa"/>
                  <w:vMerge w:val="continue"/>
                  <w:tcBorders>
                    <w:tl2br w:val="nil"/>
                    <w:tr2bl w:val="nil"/>
                  </w:tcBorders>
                  <w:vAlign w:val="center"/>
                </w:tcPr>
                <w:p w14:paraId="5DF1E9E6">
                  <w:pPr>
                    <w:widowControl/>
                    <w:spacing w:line="240" w:lineRule="auto"/>
                    <w:ind w:firstLine="0" w:firstLineChars="0"/>
                    <w:jc w:val="left"/>
                    <w:rPr>
                      <w:color w:val="000000" w:themeColor="text1"/>
                      <w:kern w:val="0"/>
                      <w:sz w:val="21"/>
                      <w:szCs w:val="21"/>
                      <w:highlight w:val="none"/>
                      <w14:textFill>
                        <w14:solidFill>
                          <w14:schemeClr w14:val="tx1"/>
                        </w14:solidFill>
                      </w14:textFill>
                    </w:rPr>
                  </w:pPr>
                </w:p>
              </w:tc>
              <w:tc>
                <w:tcPr>
                  <w:tcW w:w="2700" w:type="pct"/>
                  <w:tcBorders>
                    <w:tl2br w:val="nil"/>
                    <w:tr2bl w:val="nil"/>
                  </w:tcBorders>
                  <w:vAlign w:val="center"/>
                </w:tcPr>
                <w:p w14:paraId="2AE119AF">
                  <w:pPr>
                    <w:spacing w:line="240" w:lineRule="auto"/>
                    <w:ind w:firstLine="0" w:firstLineChars="0"/>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1189" w:type="pct"/>
                  <w:tcBorders>
                    <w:tl2br w:val="nil"/>
                    <w:tr2bl w:val="nil"/>
                  </w:tcBorders>
                  <w:vAlign w:val="center"/>
                </w:tcPr>
                <w:p w14:paraId="1CED3757">
                  <w:pPr>
                    <w:spacing w:line="240" w:lineRule="auto"/>
                    <w:ind w:firstLine="0" w:firstLineChars="0"/>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本项目持有合法有效的探矿权证，属矿产地质勘查工程，施工期短暂，采用点状、线状小面积扰动，不涉及高山冰川及森林。施工结束后全部迹地恢复，不改变草地用途，不损害自然景观和生物</w:t>
                  </w:r>
                  <w:r>
                    <w:rPr>
                      <w:rFonts w:hint="eastAsia"/>
                      <w:color w:val="000000" w:themeColor="text1"/>
                      <w:kern w:val="0"/>
                      <w:sz w:val="21"/>
                      <w:szCs w:val="21"/>
                      <w:highlight w:val="none"/>
                      <w:lang w:eastAsia="zh-CN"/>
                      <w14:textFill>
                        <w14:solidFill>
                          <w14:schemeClr w14:val="tx1"/>
                        </w14:solidFill>
                      </w14:textFill>
                    </w:rPr>
                    <w:t>多样性。</w:t>
                  </w:r>
                </w:p>
              </w:tc>
              <w:tc>
                <w:tcPr>
                  <w:tcW w:w="447" w:type="pct"/>
                  <w:tcBorders>
                    <w:tl2br w:val="nil"/>
                    <w:tr2bl w:val="nil"/>
                  </w:tcBorders>
                  <w:vAlign w:val="center"/>
                </w:tcPr>
                <w:p w14:paraId="3CB758FE">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符合</w:t>
                  </w:r>
                </w:p>
              </w:tc>
            </w:tr>
            <w:tr w14:paraId="2C4A31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32" w:type="dxa"/>
                  <w:vMerge w:val="continue"/>
                  <w:tcBorders>
                    <w:tl2br w:val="nil"/>
                    <w:tr2bl w:val="nil"/>
                  </w:tcBorders>
                  <w:vAlign w:val="center"/>
                </w:tcPr>
                <w:p w14:paraId="14BEBD6C">
                  <w:pPr>
                    <w:widowControl/>
                    <w:spacing w:line="240" w:lineRule="auto"/>
                    <w:ind w:firstLine="0" w:firstLineChars="0"/>
                    <w:jc w:val="left"/>
                    <w:rPr>
                      <w:color w:val="000000" w:themeColor="text1"/>
                      <w:kern w:val="0"/>
                      <w:sz w:val="21"/>
                      <w:szCs w:val="21"/>
                      <w:highlight w:val="none"/>
                      <w14:textFill>
                        <w14:solidFill>
                          <w14:schemeClr w14:val="tx1"/>
                        </w14:solidFill>
                      </w14:textFill>
                    </w:rPr>
                  </w:pPr>
                </w:p>
              </w:tc>
              <w:tc>
                <w:tcPr>
                  <w:tcW w:w="2700" w:type="pct"/>
                  <w:tcBorders>
                    <w:tl2br w:val="nil"/>
                    <w:tr2bl w:val="nil"/>
                  </w:tcBorders>
                  <w:vAlign w:val="center"/>
                </w:tcPr>
                <w:p w14:paraId="377DF540">
                  <w:pPr>
                    <w:spacing w:line="240" w:lineRule="auto"/>
                    <w:ind w:firstLine="0" w:firstLineChars="0"/>
                    <w:rPr>
                      <w:color w:val="000000" w:themeColor="text1"/>
                      <w:kern w:val="0"/>
                      <w:sz w:val="21"/>
                      <w:szCs w:val="21"/>
                      <w:highlight w:val="none"/>
                      <w14:textFill>
                        <w14:solidFill>
                          <w14:schemeClr w14:val="tx1"/>
                        </w14:solidFill>
                      </w14:textFill>
                    </w:rPr>
                  </w:pPr>
                  <w:r>
                    <w:rPr>
                      <w:snapToGrid w:val="0"/>
                      <w:color w:val="000000" w:themeColor="text1"/>
                      <w:kern w:val="0"/>
                      <w:sz w:val="21"/>
                      <w:szCs w:val="21"/>
                      <w:highlight w:val="none"/>
                      <w14:textFill>
                        <w14:solidFill>
                          <w14:schemeClr w14:val="tx1"/>
                        </w14:solidFill>
                      </w14:textFill>
                    </w:rPr>
                    <w:t>重点做好塔里木盆地北缘荒漠化防治。加强荒漠植被及河岸荒漠林保护，规范油气勘探开发作业，建立油田和公路扰动区域工程与生物相结合的防风固沙体系，逐步形成生态屏障。</w:t>
                  </w:r>
                </w:p>
              </w:tc>
              <w:tc>
                <w:tcPr>
                  <w:tcW w:w="1189" w:type="pct"/>
                  <w:tcBorders>
                    <w:tl2br w:val="nil"/>
                    <w:tr2bl w:val="nil"/>
                  </w:tcBorders>
                  <w:vAlign w:val="center"/>
                </w:tcPr>
                <w:p w14:paraId="5FA3BC7A">
                  <w:pPr>
                    <w:spacing w:line="240" w:lineRule="auto"/>
                    <w:ind w:firstLine="0" w:firstLineChars="0"/>
                    <w:rPr>
                      <w:color w:val="000000" w:themeColor="text1"/>
                      <w:kern w:val="0"/>
                      <w:sz w:val="21"/>
                      <w:szCs w:val="21"/>
                      <w:highlight w:val="none"/>
                      <w14:textFill>
                        <w14:solidFill>
                          <w14:schemeClr w14:val="tx1"/>
                        </w14:solidFill>
                      </w14:textFill>
                    </w:rPr>
                  </w:pPr>
                  <w:r>
                    <w:rPr>
                      <w:snapToGrid w:val="0"/>
                      <w:color w:val="000000" w:themeColor="text1"/>
                      <w:kern w:val="0"/>
                      <w:sz w:val="21"/>
                      <w:szCs w:val="21"/>
                      <w:highlight w:val="none"/>
                      <w14:textFill>
                        <w14:solidFill>
                          <w14:schemeClr w14:val="tx1"/>
                        </w14:solidFill>
                      </w14:textFill>
                    </w:rPr>
                    <w:t>本项目不涉及油气勘探开发</w:t>
                  </w:r>
                </w:p>
              </w:tc>
              <w:tc>
                <w:tcPr>
                  <w:tcW w:w="447" w:type="pct"/>
                  <w:tcBorders>
                    <w:tl2br w:val="nil"/>
                    <w:tr2bl w:val="nil"/>
                  </w:tcBorders>
                  <w:vAlign w:val="center"/>
                </w:tcPr>
                <w:p w14:paraId="00512E96">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符合</w:t>
                  </w:r>
                </w:p>
              </w:tc>
            </w:tr>
            <w:tr w14:paraId="24E51D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32" w:type="dxa"/>
                  <w:vMerge w:val="continue"/>
                  <w:tcBorders>
                    <w:tl2br w:val="nil"/>
                    <w:tr2bl w:val="nil"/>
                  </w:tcBorders>
                  <w:vAlign w:val="center"/>
                </w:tcPr>
                <w:p w14:paraId="4F306788">
                  <w:pPr>
                    <w:widowControl/>
                    <w:spacing w:line="240" w:lineRule="auto"/>
                    <w:ind w:firstLine="0" w:firstLineChars="0"/>
                    <w:jc w:val="left"/>
                    <w:rPr>
                      <w:color w:val="000000" w:themeColor="text1"/>
                      <w:kern w:val="0"/>
                      <w:sz w:val="21"/>
                      <w:szCs w:val="21"/>
                      <w:highlight w:val="none"/>
                      <w14:textFill>
                        <w14:solidFill>
                          <w14:schemeClr w14:val="tx1"/>
                        </w14:solidFill>
                      </w14:textFill>
                    </w:rPr>
                  </w:pPr>
                </w:p>
              </w:tc>
              <w:tc>
                <w:tcPr>
                  <w:tcW w:w="2700" w:type="pct"/>
                  <w:tcBorders>
                    <w:tl2br w:val="nil"/>
                    <w:tr2bl w:val="nil"/>
                  </w:tcBorders>
                  <w:vAlign w:val="center"/>
                </w:tcPr>
                <w:p w14:paraId="43052C08">
                  <w:pPr>
                    <w:spacing w:line="240" w:lineRule="auto"/>
                    <w:ind w:firstLine="0" w:firstLineChars="0"/>
                    <w:jc w:val="center"/>
                    <w:rPr>
                      <w:snapToGrid w:val="0"/>
                      <w:color w:val="000000" w:themeColor="text1"/>
                      <w:kern w:val="0"/>
                      <w:sz w:val="21"/>
                      <w:szCs w:val="21"/>
                      <w:highlight w:val="none"/>
                      <w14:textFill>
                        <w14:solidFill>
                          <w14:schemeClr w14:val="tx1"/>
                        </w14:solidFill>
                      </w14:textFill>
                    </w:rPr>
                  </w:pPr>
                  <w:r>
                    <w:rPr>
                      <w:snapToGrid w:val="0"/>
                      <w:color w:val="000000" w:themeColor="text1"/>
                      <w:kern w:val="0"/>
                      <w:sz w:val="21"/>
                      <w:szCs w:val="21"/>
                      <w:highlight w:val="none"/>
                      <w14:textFill>
                        <w14:solidFill>
                          <w14:schemeClr w14:val="tx1"/>
                        </w14:solidFill>
                      </w14:textFill>
                    </w:rPr>
                    <w:t>推进塔里木河流域用水结构调整，维护塔里木河、博斯腾湖基本生态</w:t>
                  </w:r>
                  <w:r>
                    <w:rPr>
                      <w:rFonts w:hint="eastAsia"/>
                      <w:snapToGrid w:val="0"/>
                      <w:color w:val="000000" w:themeColor="text1"/>
                      <w:kern w:val="0"/>
                      <w:sz w:val="21"/>
                      <w:szCs w:val="21"/>
                      <w:highlight w:val="none"/>
                      <w:lang w:eastAsia="zh-CN"/>
                      <w14:textFill>
                        <w14:solidFill>
                          <w14:schemeClr w14:val="tx1"/>
                        </w14:solidFill>
                      </w14:textFill>
                    </w:rPr>
                    <w:t>用水。</w:t>
                  </w:r>
                </w:p>
              </w:tc>
              <w:tc>
                <w:tcPr>
                  <w:tcW w:w="1189" w:type="pct"/>
                  <w:tcBorders>
                    <w:tl2br w:val="nil"/>
                    <w:tr2bl w:val="nil"/>
                  </w:tcBorders>
                  <w:vAlign w:val="center"/>
                </w:tcPr>
                <w:p w14:paraId="589A98F8">
                  <w:pPr>
                    <w:spacing w:line="240" w:lineRule="auto"/>
                    <w:ind w:firstLine="0" w:firstLineChars="0"/>
                    <w:rPr>
                      <w:snapToGrid w:val="0"/>
                      <w:color w:val="000000" w:themeColor="text1"/>
                      <w:kern w:val="0"/>
                      <w:sz w:val="21"/>
                      <w:szCs w:val="21"/>
                      <w:highlight w:val="none"/>
                      <w14:textFill>
                        <w14:solidFill>
                          <w14:schemeClr w14:val="tx1"/>
                        </w14:solidFill>
                      </w14:textFill>
                    </w:rPr>
                  </w:pPr>
                  <w:r>
                    <w:rPr>
                      <w:snapToGrid w:val="0"/>
                      <w:color w:val="000000" w:themeColor="text1"/>
                      <w:kern w:val="0"/>
                      <w:sz w:val="21"/>
                      <w:szCs w:val="21"/>
                      <w:highlight w:val="none"/>
                      <w14:textFill>
                        <w14:solidFill>
                          <w14:schemeClr w14:val="tx1"/>
                        </w14:solidFill>
                      </w14:textFill>
                    </w:rPr>
                    <w:t>本项目不涉及塔里木河、博斯腾湖生态</w:t>
                  </w:r>
                  <w:r>
                    <w:rPr>
                      <w:rFonts w:hint="eastAsia"/>
                      <w:snapToGrid w:val="0"/>
                      <w:color w:val="000000" w:themeColor="text1"/>
                      <w:kern w:val="0"/>
                      <w:sz w:val="21"/>
                      <w:szCs w:val="21"/>
                      <w:highlight w:val="none"/>
                      <w:lang w:eastAsia="zh-CN"/>
                      <w14:textFill>
                        <w14:solidFill>
                          <w14:schemeClr w14:val="tx1"/>
                        </w14:solidFill>
                      </w14:textFill>
                    </w:rPr>
                    <w:t>用水。</w:t>
                  </w:r>
                </w:p>
              </w:tc>
              <w:tc>
                <w:tcPr>
                  <w:tcW w:w="447" w:type="pct"/>
                  <w:tcBorders>
                    <w:tl2br w:val="nil"/>
                    <w:tr2bl w:val="nil"/>
                  </w:tcBorders>
                  <w:vAlign w:val="center"/>
                </w:tcPr>
                <w:p w14:paraId="07AB3595">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符合</w:t>
                  </w:r>
                </w:p>
              </w:tc>
            </w:tr>
            <w:tr w14:paraId="1684D4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32" w:type="dxa"/>
                  <w:vMerge w:val="continue"/>
                  <w:tcBorders>
                    <w:tl2br w:val="nil"/>
                    <w:tr2bl w:val="nil"/>
                  </w:tcBorders>
                  <w:vAlign w:val="center"/>
                </w:tcPr>
                <w:p w14:paraId="1215D3C8">
                  <w:pPr>
                    <w:widowControl/>
                    <w:spacing w:line="240" w:lineRule="auto"/>
                    <w:ind w:firstLine="0" w:firstLineChars="0"/>
                    <w:jc w:val="left"/>
                    <w:rPr>
                      <w:color w:val="000000" w:themeColor="text1"/>
                      <w:kern w:val="0"/>
                      <w:sz w:val="21"/>
                      <w:szCs w:val="21"/>
                      <w:highlight w:val="none"/>
                      <w14:textFill>
                        <w14:solidFill>
                          <w14:schemeClr w14:val="tx1"/>
                        </w14:solidFill>
                      </w14:textFill>
                    </w:rPr>
                  </w:pPr>
                </w:p>
              </w:tc>
              <w:tc>
                <w:tcPr>
                  <w:tcW w:w="2700" w:type="pct"/>
                  <w:tcBorders>
                    <w:tl2br w:val="nil"/>
                    <w:tr2bl w:val="nil"/>
                  </w:tcBorders>
                  <w:vAlign w:val="center"/>
                </w:tcPr>
                <w:p w14:paraId="38FCD7BC">
                  <w:pPr>
                    <w:spacing w:line="240" w:lineRule="auto"/>
                    <w:ind w:firstLine="0" w:firstLineChars="0"/>
                    <w:rPr>
                      <w:snapToGrid w:val="0"/>
                      <w:color w:val="000000" w:themeColor="text1"/>
                      <w:kern w:val="0"/>
                      <w:sz w:val="21"/>
                      <w:szCs w:val="21"/>
                      <w:highlight w:val="none"/>
                      <w14:textFill>
                        <w14:solidFill>
                          <w14:schemeClr w14:val="tx1"/>
                        </w14:solidFill>
                      </w14:textFill>
                    </w:rPr>
                  </w:pPr>
                  <w:r>
                    <w:rPr>
                      <w:snapToGrid w:val="0"/>
                      <w:color w:val="000000" w:themeColor="text1"/>
                      <w:kern w:val="0"/>
                      <w:sz w:val="21"/>
                      <w:szCs w:val="21"/>
                      <w:highlight w:val="none"/>
                      <w14:textFill>
                        <w14:solidFill>
                          <w14:schemeClr w14:val="tx1"/>
                        </w14:solidFill>
                      </w14:textFill>
                    </w:rPr>
                    <w:t>加强塔里木河流域水环境风险管控。加大博斯腾湖污染源头达标排放治理和监督力度，实施博斯腾湖综合治理。</w:t>
                  </w:r>
                </w:p>
              </w:tc>
              <w:tc>
                <w:tcPr>
                  <w:tcW w:w="1189" w:type="pct"/>
                  <w:tcBorders>
                    <w:tl2br w:val="nil"/>
                    <w:tr2bl w:val="nil"/>
                  </w:tcBorders>
                  <w:vAlign w:val="center"/>
                </w:tcPr>
                <w:p w14:paraId="1D5A927A">
                  <w:pPr>
                    <w:spacing w:line="240" w:lineRule="auto"/>
                    <w:ind w:firstLine="0" w:firstLineChars="0"/>
                    <w:jc w:val="center"/>
                    <w:rPr>
                      <w:snapToGrid w:val="0"/>
                      <w:color w:val="000000" w:themeColor="text1"/>
                      <w:kern w:val="0"/>
                      <w:sz w:val="21"/>
                      <w:szCs w:val="21"/>
                      <w:highlight w:val="none"/>
                      <w14:textFill>
                        <w14:solidFill>
                          <w14:schemeClr w14:val="tx1"/>
                        </w14:solidFill>
                      </w14:textFill>
                    </w:rPr>
                  </w:pPr>
                  <w:r>
                    <w:rPr>
                      <w:snapToGrid w:val="0"/>
                      <w:color w:val="000000" w:themeColor="text1"/>
                      <w:kern w:val="0"/>
                      <w:sz w:val="21"/>
                      <w:szCs w:val="21"/>
                      <w:highlight w:val="none"/>
                      <w14:textFill>
                        <w14:solidFill>
                          <w14:schemeClr w14:val="tx1"/>
                        </w14:solidFill>
                      </w14:textFill>
                    </w:rPr>
                    <w:t>本项目不涉及</w:t>
                  </w:r>
                </w:p>
              </w:tc>
              <w:tc>
                <w:tcPr>
                  <w:tcW w:w="447" w:type="pct"/>
                  <w:tcBorders>
                    <w:tl2br w:val="nil"/>
                    <w:tr2bl w:val="nil"/>
                  </w:tcBorders>
                  <w:vAlign w:val="center"/>
                </w:tcPr>
                <w:p w14:paraId="6D8FC388">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符合</w:t>
                  </w:r>
                </w:p>
              </w:tc>
            </w:tr>
            <w:tr w14:paraId="2D40B5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32" w:type="dxa"/>
                  <w:vMerge w:val="continue"/>
                  <w:tcBorders>
                    <w:tl2br w:val="nil"/>
                    <w:tr2bl w:val="nil"/>
                  </w:tcBorders>
                  <w:vAlign w:val="center"/>
                </w:tcPr>
                <w:p w14:paraId="1FF36172">
                  <w:pPr>
                    <w:widowControl/>
                    <w:spacing w:line="240" w:lineRule="auto"/>
                    <w:ind w:firstLine="0" w:firstLineChars="0"/>
                    <w:jc w:val="left"/>
                    <w:rPr>
                      <w:color w:val="000000" w:themeColor="text1"/>
                      <w:kern w:val="0"/>
                      <w:sz w:val="21"/>
                      <w:szCs w:val="21"/>
                      <w:highlight w:val="none"/>
                      <w14:textFill>
                        <w14:solidFill>
                          <w14:schemeClr w14:val="tx1"/>
                        </w14:solidFill>
                      </w14:textFill>
                    </w:rPr>
                  </w:pPr>
                </w:p>
              </w:tc>
              <w:tc>
                <w:tcPr>
                  <w:tcW w:w="2700" w:type="pct"/>
                  <w:tcBorders>
                    <w:tl2br w:val="nil"/>
                    <w:tr2bl w:val="nil"/>
                  </w:tcBorders>
                  <w:vAlign w:val="center"/>
                </w:tcPr>
                <w:p w14:paraId="210F4695">
                  <w:pPr>
                    <w:spacing w:line="240" w:lineRule="auto"/>
                    <w:ind w:firstLine="0" w:firstLineChars="0"/>
                    <w:rPr>
                      <w:snapToGrid w:val="0"/>
                      <w:color w:val="000000" w:themeColor="text1"/>
                      <w:kern w:val="0"/>
                      <w:sz w:val="21"/>
                      <w:szCs w:val="21"/>
                      <w:highlight w:val="none"/>
                      <w14:textFill>
                        <w14:solidFill>
                          <w14:schemeClr w14:val="tx1"/>
                        </w14:solidFill>
                      </w14:textFill>
                    </w:rPr>
                  </w:pPr>
                  <w:r>
                    <w:rPr>
                      <w:snapToGrid w:val="0"/>
                      <w:color w:val="000000" w:themeColor="text1"/>
                      <w:kern w:val="0"/>
                      <w:sz w:val="21"/>
                      <w:szCs w:val="21"/>
                      <w:highlight w:val="none"/>
                      <w14:textFill>
                        <w14:solidFill>
                          <w14:schemeClr w14:val="tx1"/>
                        </w14:solidFill>
                      </w14:textFill>
                    </w:rPr>
                    <w:t>加强油（气）资源开发区土壤环境污染综合整治。强化涉重金属行业污染防控与工业废物处理处置。</w:t>
                  </w:r>
                </w:p>
              </w:tc>
              <w:tc>
                <w:tcPr>
                  <w:tcW w:w="1189" w:type="pct"/>
                  <w:tcBorders>
                    <w:tl2br w:val="nil"/>
                    <w:tr2bl w:val="nil"/>
                  </w:tcBorders>
                  <w:vAlign w:val="center"/>
                </w:tcPr>
                <w:p w14:paraId="48E8D79F">
                  <w:pPr>
                    <w:spacing w:line="240" w:lineRule="auto"/>
                    <w:ind w:firstLine="0" w:firstLineChars="0"/>
                    <w:rPr>
                      <w:snapToGrid w:val="0"/>
                      <w:color w:val="000000" w:themeColor="text1"/>
                      <w:kern w:val="0"/>
                      <w:sz w:val="21"/>
                      <w:szCs w:val="21"/>
                      <w:highlight w:val="none"/>
                      <w14:textFill>
                        <w14:solidFill>
                          <w14:schemeClr w14:val="tx1"/>
                        </w14:solidFill>
                      </w14:textFill>
                    </w:rPr>
                  </w:pPr>
                  <w:r>
                    <w:rPr>
                      <w:snapToGrid w:val="0"/>
                      <w:color w:val="000000" w:themeColor="text1"/>
                      <w:kern w:val="0"/>
                      <w:sz w:val="21"/>
                      <w:szCs w:val="21"/>
                      <w:highlight w:val="none"/>
                      <w14:textFill>
                        <w14:solidFill>
                          <w14:schemeClr w14:val="tx1"/>
                        </w14:solidFill>
                      </w14:textFill>
                    </w:rPr>
                    <w:t>本项目不涉及油气开发，不涉及重金属</w:t>
                  </w:r>
                  <w:r>
                    <w:rPr>
                      <w:rFonts w:hint="eastAsia"/>
                      <w:snapToGrid w:val="0"/>
                      <w:color w:val="000000" w:themeColor="text1"/>
                      <w:kern w:val="0"/>
                      <w:sz w:val="21"/>
                      <w:szCs w:val="21"/>
                      <w:highlight w:val="none"/>
                      <w:lang w:eastAsia="zh-CN"/>
                      <w14:textFill>
                        <w14:solidFill>
                          <w14:schemeClr w14:val="tx1"/>
                        </w14:solidFill>
                      </w14:textFill>
                    </w:rPr>
                    <w:t>排放。</w:t>
                  </w:r>
                </w:p>
              </w:tc>
              <w:tc>
                <w:tcPr>
                  <w:tcW w:w="447" w:type="pct"/>
                  <w:tcBorders>
                    <w:tl2br w:val="nil"/>
                    <w:tr2bl w:val="nil"/>
                  </w:tcBorders>
                  <w:vAlign w:val="center"/>
                </w:tcPr>
                <w:p w14:paraId="141FA38C">
                  <w:pPr>
                    <w:spacing w:line="240" w:lineRule="auto"/>
                    <w:ind w:firstLine="0" w:firstLineChars="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符合</w:t>
                  </w:r>
                </w:p>
              </w:tc>
            </w:tr>
          </w:tbl>
          <w:p w14:paraId="17612DBF">
            <w:pPr>
              <w:pStyle w:val="55"/>
              <w:bidi w:val="0"/>
              <w:ind w:firstLine="480" w:firstLineChars="200"/>
              <w:rPr>
                <w:rFonts w:hint="eastAsia"/>
                <w:b w:val="0"/>
                <w:bCs/>
                <w:color w:val="000000" w:themeColor="text1"/>
                <w:highlight w:val="none"/>
                <w14:textFill>
                  <w14:solidFill>
                    <w14:schemeClr w14:val="tx1"/>
                  </w14:solidFill>
                </w14:textFill>
              </w:rPr>
            </w:pPr>
            <w:r>
              <w:rPr>
                <w:rFonts w:hint="eastAsia"/>
                <w:b w:val="0"/>
                <w:bCs/>
                <w:color w:val="000000" w:themeColor="text1"/>
                <w:highlight w:val="none"/>
                <w14:textFill>
                  <w14:solidFill>
                    <w14:schemeClr w14:val="tx1"/>
                  </w14:solidFill>
                </w14:textFill>
              </w:rPr>
              <w:t>综上，本项目符合《新疆维吾尔自治区七大片区生态环境分区管控要求》中天山南坡片区总体管控要求。</w:t>
            </w:r>
          </w:p>
          <w:p w14:paraId="23C91E25">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《巴音郭楞蒙古自治州“三线一单”生态环境分区管控动态更新成果（2023年）》符合性分析</w:t>
            </w:r>
          </w:p>
          <w:p w14:paraId="75DE7275">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本工程建设地点位于新疆维吾尔自治区</w:t>
            </w:r>
            <w:r>
              <w:rPr>
                <w:rFonts w:hint="eastAsia" w:cs="Times New Roman"/>
                <w:color w:val="000000" w:themeColor="text1"/>
                <w:highlight w:val="none"/>
                <w:lang w:val="en-US" w:eastAsia="zh-CN"/>
                <w14:textFill>
                  <w14:solidFill>
                    <w14:schemeClr w14:val="tx1"/>
                  </w14:solidFill>
                </w14:textFill>
              </w:rPr>
              <w:t>和静县</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根据《巴音郭楞蒙古自治州“三线一单”生态环境分区管控动态更新成果（2023年）》（巴政办发〔2024〕32号），环境管控单元管控要求详见下表。</w:t>
            </w:r>
          </w:p>
          <w:p w14:paraId="3A1701FD">
            <w:pPr>
              <w:pStyle w:val="61"/>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表1-</w:t>
            </w:r>
            <w:r>
              <w:rPr>
                <w:rFonts w:hint="eastAsia" w:cs="Times New Roman"/>
                <w:color w:val="000000" w:themeColor="text1"/>
                <w:highlight w:val="none"/>
                <w:lang w:val="en-US" w:eastAsia="zh-CN"/>
                <w14:textFill>
                  <w14:solidFill>
                    <w14:schemeClr w14:val="tx1"/>
                  </w14:solidFill>
                </w14:textFill>
              </w:rPr>
              <w:t>7</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《巴音郭楞蒙古自治州生态环境准入清单》</w:t>
            </w:r>
            <w:r>
              <w:rPr>
                <w:rFonts w:hint="eastAsia" w:cs="Times New Roman"/>
                <w:color w:val="000000" w:themeColor="text1"/>
                <w:highlight w:val="none"/>
                <w:lang w:val="en-US" w:eastAsia="zh-CN"/>
                <w14:textFill>
                  <w14:solidFill>
                    <w14:schemeClr w14:val="tx1"/>
                  </w14:solidFill>
                </w14:textFill>
              </w:rPr>
              <w:t>的符合</w:t>
            </w:r>
            <w:r>
              <w:rPr>
                <w:rFonts w:hint="default" w:ascii="Times New Roman" w:hAnsi="Times New Roman" w:cs="Times New Roman"/>
                <w:color w:val="000000" w:themeColor="text1"/>
                <w:highlight w:val="none"/>
                <w:lang w:val="en-US" w:eastAsia="zh-CN"/>
                <w14:textFill>
                  <w14:solidFill>
                    <w14:schemeClr w14:val="tx1"/>
                  </w14:solidFill>
                </w14:textFill>
              </w:rPr>
              <w:t>性分析</w:t>
            </w:r>
          </w:p>
          <w:tbl>
            <w:tblPr>
              <w:tblStyle w:val="29"/>
              <w:tblW w:w="726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2"/>
              <w:gridCol w:w="760"/>
              <w:gridCol w:w="2619"/>
              <w:gridCol w:w="2850"/>
              <w:gridCol w:w="419"/>
            </w:tblGrid>
            <w:tr w14:paraId="0254E7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372" w:type="dxa"/>
                  <w:gridSpan w:val="2"/>
                  <w:tcBorders>
                    <w:tl2br w:val="nil"/>
                    <w:tr2bl w:val="nil"/>
                  </w:tcBorders>
                  <w:noWrap w:val="0"/>
                  <w:vAlign w:val="center"/>
                </w:tcPr>
                <w:p w14:paraId="0FA779B3">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环境管控单元编码</w:t>
                  </w:r>
                </w:p>
              </w:tc>
              <w:tc>
                <w:tcPr>
                  <w:tcW w:w="2619" w:type="dxa"/>
                  <w:tcBorders>
                    <w:tl2br w:val="nil"/>
                    <w:tr2bl w:val="nil"/>
                  </w:tcBorders>
                  <w:noWrap w:val="0"/>
                  <w:vAlign w:val="center"/>
                </w:tcPr>
                <w:p w14:paraId="5C9D2BA0">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ZH6528</w:t>
                  </w:r>
                  <w:r>
                    <w:rPr>
                      <w:rFonts w:hint="eastAsia" w:cs="Times New Roman"/>
                      <w:color w:val="000000" w:themeColor="text1"/>
                      <w:highlight w:val="none"/>
                      <w:lang w:val="en-US" w:eastAsia="zh-CN"/>
                      <w14:textFill>
                        <w14:solidFill>
                          <w14:schemeClr w14:val="tx1"/>
                        </w14:solidFill>
                      </w14:textFill>
                    </w:rPr>
                    <w:t>27</w:t>
                  </w:r>
                  <w:r>
                    <w:rPr>
                      <w:rFonts w:hint="default" w:ascii="Times New Roman" w:hAnsi="Times New Roman" w:cs="Times New Roman"/>
                      <w:color w:val="000000" w:themeColor="text1"/>
                      <w:highlight w:val="none"/>
                      <w:lang w:val="en-US" w:eastAsia="zh-CN"/>
                      <w14:textFill>
                        <w14:solidFill>
                          <w14:schemeClr w14:val="tx1"/>
                        </w14:solidFill>
                      </w14:textFill>
                    </w:rPr>
                    <w:t>30001</w:t>
                  </w:r>
                </w:p>
              </w:tc>
              <w:tc>
                <w:tcPr>
                  <w:tcW w:w="2850" w:type="dxa"/>
                  <w:vMerge w:val="restart"/>
                  <w:tcBorders>
                    <w:tl2br w:val="nil"/>
                    <w:tr2bl w:val="nil"/>
                  </w:tcBorders>
                  <w:noWrap w:val="0"/>
                  <w:vAlign w:val="center"/>
                </w:tcPr>
                <w:p w14:paraId="288DA551">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本工程情况</w:t>
                  </w:r>
                </w:p>
              </w:tc>
              <w:tc>
                <w:tcPr>
                  <w:tcW w:w="419" w:type="dxa"/>
                  <w:vMerge w:val="restart"/>
                  <w:tcBorders>
                    <w:tl2br w:val="nil"/>
                    <w:tr2bl w:val="nil"/>
                  </w:tcBorders>
                  <w:noWrap w:val="0"/>
                  <w:vAlign w:val="center"/>
                </w:tcPr>
                <w:p w14:paraId="40DA748E">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相符性分析</w:t>
                  </w:r>
                </w:p>
              </w:tc>
            </w:tr>
            <w:tr w14:paraId="34C99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72" w:type="dxa"/>
                  <w:gridSpan w:val="2"/>
                  <w:tcBorders>
                    <w:tl2br w:val="nil"/>
                    <w:tr2bl w:val="nil"/>
                  </w:tcBorders>
                  <w:noWrap w:val="0"/>
                  <w:vAlign w:val="center"/>
                </w:tcPr>
                <w:p w14:paraId="27F6B81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环境管控单元名称</w:t>
                  </w:r>
                </w:p>
              </w:tc>
              <w:tc>
                <w:tcPr>
                  <w:tcW w:w="2619" w:type="dxa"/>
                  <w:tcBorders>
                    <w:tl2br w:val="nil"/>
                    <w:tr2bl w:val="nil"/>
                  </w:tcBorders>
                  <w:noWrap w:val="0"/>
                  <w:vAlign w:val="center"/>
                </w:tcPr>
                <w:p w14:paraId="25C04A8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和静县</w:t>
                  </w:r>
                  <w:r>
                    <w:rPr>
                      <w:rFonts w:hint="default" w:ascii="Times New Roman" w:hAnsi="Times New Roman" w:cs="Times New Roman"/>
                      <w:color w:val="000000" w:themeColor="text1"/>
                      <w:highlight w:val="none"/>
                      <w14:textFill>
                        <w14:solidFill>
                          <w14:schemeClr w14:val="tx1"/>
                        </w14:solidFill>
                      </w14:textFill>
                    </w:rPr>
                    <w:t>一般管控区</w:t>
                  </w:r>
                </w:p>
              </w:tc>
              <w:tc>
                <w:tcPr>
                  <w:tcW w:w="2850" w:type="dxa"/>
                  <w:vMerge w:val="continue"/>
                  <w:tcBorders>
                    <w:tl2br w:val="nil"/>
                    <w:tr2bl w:val="nil"/>
                  </w:tcBorders>
                  <w:noWrap w:val="0"/>
                  <w:vAlign w:val="center"/>
                </w:tcPr>
                <w:p w14:paraId="5DFF1668">
                  <w:pPr>
                    <w:pStyle w:val="63"/>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cs="Times New Roman"/>
                      <w:color w:val="000000" w:themeColor="text1"/>
                      <w:highlight w:val="none"/>
                      <w14:textFill>
                        <w14:solidFill>
                          <w14:schemeClr w14:val="tx1"/>
                        </w14:solidFill>
                      </w14:textFill>
                    </w:rPr>
                  </w:pPr>
                </w:p>
              </w:tc>
              <w:tc>
                <w:tcPr>
                  <w:tcW w:w="419" w:type="dxa"/>
                  <w:vMerge w:val="continue"/>
                  <w:tcBorders>
                    <w:tl2br w:val="nil"/>
                    <w:tr2bl w:val="nil"/>
                  </w:tcBorders>
                  <w:noWrap w:val="0"/>
                  <w:vAlign w:val="center"/>
                </w:tcPr>
                <w:p w14:paraId="0688A18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6B7FDF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72" w:type="dxa"/>
                  <w:gridSpan w:val="2"/>
                  <w:tcBorders>
                    <w:tl2br w:val="nil"/>
                    <w:tr2bl w:val="nil"/>
                  </w:tcBorders>
                  <w:noWrap w:val="0"/>
                  <w:vAlign w:val="center"/>
                </w:tcPr>
                <w:p w14:paraId="17DDA7ED">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环境管控单元类别</w:t>
                  </w:r>
                </w:p>
              </w:tc>
              <w:tc>
                <w:tcPr>
                  <w:tcW w:w="2619" w:type="dxa"/>
                  <w:tcBorders>
                    <w:tl2br w:val="nil"/>
                    <w:tr2bl w:val="nil"/>
                  </w:tcBorders>
                  <w:noWrap w:val="0"/>
                  <w:vAlign w:val="center"/>
                </w:tcPr>
                <w:p w14:paraId="031A4324">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一般管控单元</w:t>
                  </w:r>
                </w:p>
              </w:tc>
              <w:tc>
                <w:tcPr>
                  <w:tcW w:w="2850" w:type="dxa"/>
                  <w:vMerge w:val="continue"/>
                  <w:tcBorders>
                    <w:tl2br w:val="nil"/>
                    <w:tr2bl w:val="nil"/>
                  </w:tcBorders>
                  <w:noWrap w:val="0"/>
                  <w:vAlign w:val="center"/>
                </w:tcPr>
                <w:p w14:paraId="38C7FBC2">
                  <w:pPr>
                    <w:pStyle w:val="63"/>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cs="Times New Roman"/>
                      <w:color w:val="000000" w:themeColor="text1"/>
                      <w:highlight w:val="none"/>
                      <w14:textFill>
                        <w14:solidFill>
                          <w14:schemeClr w14:val="tx1"/>
                        </w14:solidFill>
                      </w14:textFill>
                    </w:rPr>
                  </w:pPr>
                </w:p>
              </w:tc>
              <w:tc>
                <w:tcPr>
                  <w:tcW w:w="419" w:type="dxa"/>
                  <w:vMerge w:val="continue"/>
                  <w:tcBorders>
                    <w:tl2br w:val="nil"/>
                    <w:tr2bl w:val="nil"/>
                  </w:tcBorders>
                  <w:noWrap w:val="0"/>
                  <w:vAlign w:val="center"/>
                </w:tcPr>
                <w:p w14:paraId="35C7D7F0">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05854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2" w:type="dxa"/>
                  <w:vMerge w:val="restart"/>
                  <w:tcBorders>
                    <w:tl2br w:val="nil"/>
                    <w:tr2bl w:val="nil"/>
                  </w:tcBorders>
                  <w:noWrap w:val="0"/>
                  <w:vAlign w:val="center"/>
                </w:tcPr>
                <w:p w14:paraId="403D127B">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管控要求</w:t>
                  </w:r>
                </w:p>
              </w:tc>
              <w:tc>
                <w:tcPr>
                  <w:tcW w:w="760" w:type="dxa"/>
                  <w:tcBorders>
                    <w:tl2br w:val="nil"/>
                    <w:tr2bl w:val="nil"/>
                  </w:tcBorders>
                  <w:shd w:val="clear" w:color="auto" w:fill="auto"/>
                  <w:noWrap w:val="0"/>
                  <w:vAlign w:val="center"/>
                </w:tcPr>
                <w:p w14:paraId="3B70D785">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空间布局约束</w:t>
                  </w:r>
                </w:p>
              </w:tc>
              <w:tc>
                <w:tcPr>
                  <w:tcW w:w="2619" w:type="dxa"/>
                  <w:tcBorders>
                    <w:tl2br w:val="nil"/>
                    <w:tr2bl w:val="nil"/>
                  </w:tcBorders>
                  <w:shd w:val="clear" w:color="auto" w:fill="auto"/>
                  <w:noWrap w:val="0"/>
                  <w:vAlign w:val="center"/>
                </w:tcPr>
                <w:p w14:paraId="37331B26">
                  <w:pPr>
                    <w:pStyle w:val="63"/>
                    <w:keepNext w:val="0"/>
                    <w:keepLines w:val="0"/>
                    <w:pageBreakBefore w:val="0"/>
                    <w:widowControl w:val="0"/>
                    <w:numPr>
                      <w:ilvl w:val="0"/>
                      <w:numId w:val="0"/>
                    </w:numPr>
                    <w:kinsoku/>
                    <w:wordWrap w:val="0"/>
                    <w:overflowPunct/>
                    <w:topLinePunct w:val="0"/>
                    <w:autoSpaceDE/>
                    <w:autoSpaceDN/>
                    <w:bidi w:val="0"/>
                    <w:adjustRightInd/>
                    <w:snapToGrid/>
                    <w:ind w:firstLine="42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p w14:paraId="39D5A7A7">
                  <w:pPr>
                    <w:pStyle w:val="63"/>
                    <w:keepNext w:val="0"/>
                    <w:keepLines w:val="0"/>
                    <w:pageBreakBefore w:val="0"/>
                    <w:widowControl w:val="0"/>
                    <w:numPr>
                      <w:ilvl w:val="0"/>
                      <w:numId w:val="0"/>
                    </w:numPr>
                    <w:kinsoku/>
                    <w:wordWrap w:val="0"/>
                    <w:overflowPunct/>
                    <w:topLinePunct w:val="0"/>
                    <w:autoSpaceDE/>
                    <w:autoSpaceDN/>
                    <w:bidi w:val="0"/>
                    <w:adjustRightInd/>
                    <w:snapToGrid/>
                    <w:ind w:left="0" w:leftChars="0"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金属和非金属矿山采选企业新建、改建、扩建执行《新疆维吾尔自治区重点行业生态环境准入条件（2024年）》相关要求。</w:t>
                  </w:r>
                </w:p>
              </w:tc>
              <w:tc>
                <w:tcPr>
                  <w:tcW w:w="2850" w:type="dxa"/>
                  <w:tcBorders>
                    <w:tl2br w:val="nil"/>
                    <w:tr2bl w:val="nil"/>
                  </w:tcBorders>
                  <w:shd w:val="clear" w:color="auto" w:fill="auto"/>
                  <w:noWrap w:val="0"/>
                  <w:vAlign w:val="center"/>
                </w:tcPr>
                <w:p w14:paraId="559C8CE9">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位于</w:t>
                  </w:r>
                  <w:r>
                    <w:rPr>
                      <w:rFonts w:hint="eastAsia" w:cs="Times New Roman"/>
                      <w:color w:val="000000" w:themeColor="text1"/>
                      <w:highlight w:val="none"/>
                      <w:lang w:val="en-US" w:eastAsia="zh-CN"/>
                      <w14:textFill>
                        <w14:solidFill>
                          <w14:schemeClr w14:val="tx1"/>
                        </w14:solidFill>
                      </w14:textFill>
                    </w:rPr>
                    <w:t>和静县</w:t>
                  </w:r>
                  <w:r>
                    <w:rPr>
                      <w:rFonts w:hint="default" w:ascii="Times New Roman" w:hAnsi="Times New Roman" w:cs="Times New Roman"/>
                      <w:color w:val="000000" w:themeColor="text1"/>
                      <w:highlight w:val="none"/>
                      <w:lang w:val="en-US" w:eastAsia="zh-CN"/>
                      <w14:textFill>
                        <w14:solidFill>
                          <w14:schemeClr w14:val="tx1"/>
                        </w14:solidFill>
                      </w14:textFill>
                    </w:rPr>
                    <w:t>城</w:t>
                  </w:r>
                  <w:r>
                    <w:rPr>
                      <w:rFonts w:hint="eastAsia" w:cs="Times New Roman"/>
                      <w:color w:val="000000" w:themeColor="text1"/>
                      <w:highlight w:val="none"/>
                      <w:lang w:val="en-US" w:eastAsia="zh-CN"/>
                      <w14:textFill>
                        <w14:solidFill>
                          <w14:schemeClr w14:val="tx1"/>
                        </w14:solidFill>
                      </w14:textFill>
                    </w:rPr>
                    <w:t>正北方向</w:t>
                  </w:r>
                  <w:r>
                    <w:rPr>
                      <w:rFonts w:hint="default" w:ascii="Times New Roman" w:hAnsi="Times New Roman" w:cs="Times New Roman"/>
                      <w:color w:val="000000" w:themeColor="text1"/>
                      <w:highlight w:val="none"/>
                      <w:lang w:val="en-US" w:eastAsia="zh-CN"/>
                      <w14:textFill>
                        <w14:solidFill>
                          <w14:schemeClr w14:val="tx1"/>
                        </w14:solidFill>
                      </w14:textFill>
                    </w:rPr>
                    <w:t>，直线距离</w:t>
                  </w:r>
                  <w:r>
                    <w:rPr>
                      <w:rFonts w:hint="eastAsia" w:cs="Times New Roman"/>
                      <w:color w:val="000000" w:themeColor="text1"/>
                      <w:highlight w:val="none"/>
                      <w:lang w:val="en-US" w:eastAsia="zh-CN"/>
                      <w14:textFill>
                        <w14:solidFill>
                          <w14:schemeClr w14:val="tx1"/>
                        </w14:solidFill>
                      </w14:textFill>
                    </w:rPr>
                    <w:t>69千米</w:t>
                  </w:r>
                  <w:r>
                    <w:rPr>
                      <w:rFonts w:hint="default" w:ascii="Times New Roman" w:hAnsi="Times New Roman" w:cs="Times New Roman"/>
                      <w:color w:val="000000" w:themeColor="text1"/>
                      <w:highlight w:val="none"/>
                      <w:lang w:val="zh-CN" w:eastAsia="zh-CN"/>
                      <w14:textFill>
                        <w14:solidFill>
                          <w14:schemeClr w14:val="tx1"/>
                        </w14:solidFill>
                      </w14:textFill>
                    </w:rPr>
                    <w:t>，行政区划</w:t>
                  </w:r>
                  <w:r>
                    <w:rPr>
                      <w:rFonts w:hint="eastAsia" w:cs="Times New Roman"/>
                      <w:color w:val="000000" w:themeColor="text1"/>
                      <w:highlight w:val="none"/>
                      <w:lang w:val="zh-CN" w:eastAsia="zh-CN"/>
                      <w14:textFill>
                        <w14:solidFill>
                          <w14:schemeClr w14:val="tx1"/>
                        </w14:solidFill>
                      </w14:textFill>
                    </w:rPr>
                    <w:t>隶属于</w:t>
                  </w:r>
                  <w:r>
                    <w:rPr>
                      <w:rFonts w:hint="default" w:ascii="Times New Roman" w:hAnsi="Times New Roman" w:cs="Times New Roman"/>
                      <w:color w:val="000000" w:themeColor="text1"/>
                      <w:highlight w:val="none"/>
                      <w:lang w:val="zh-CN" w:eastAsia="zh-CN"/>
                      <w14:textFill>
                        <w14:solidFill>
                          <w14:schemeClr w14:val="tx1"/>
                        </w14:solidFill>
                      </w14:textFill>
                    </w:rPr>
                    <w:t>巴音郭</w:t>
                  </w:r>
                  <w:r>
                    <w:rPr>
                      <w:rFonts w:hint="default" w:ascii="Times New Roman" w:hAnsi="Times New Roman" w:cs="Times New Roman"/>
                      <w:color w:val="000000" w:themeColor="text1"/>
                      <w:highlight w:val="none"/>
                      <w:lang w:val="en-US" w:eastAsia="zh-CN"/>
                      <w14:textFill>
                        <w14:solidFill>
                          <w14:schemeClr w14:val="tx1"/>
                        </w14:solidFill>
                      </w14:textFill>
                    </w:rPr>
                    <w:t>楞</w:t>
                  </w:r>
                  <w:r>
                    <w:rPr>
                      <w:rFonts w:hint="default" w:ascii="Times New Roman" w:hAnsi="Times New Roman" w:cs="Times New Roman"/>
                      <w:color w:val="000000" w:themeColor="text1"/>
                      <w:highlight w:val="none"/>
                      <w:lang w:val="zh-CN" w:eastAsia="zh-CN"/>
                      <w14:textFill>
                        <w14:solidFill>
                          <w14:schemeClr w14:val="tx1"/>
                        </w14:solidFill>
                      </w14:textFill>
                    </w:rPr>
                    <w:t>蒙古自治州</w:t>
                  </w:r>
                  <w:r>
                    <w:rPr>
                      <w:rFonts w:hint="eastAsia" w:cs="Times New Roman"/>
                      <w:color w:val="000000" w:themeColor="text1"/>
                      <w:highlight w:val="none"/>
                      <w:lang w:val="zh-CN" w:eastAsia="zh-CN"/>
                      <w14:textFill>
                        <w14:solidFill>
                          <w14:schemeClr w14:val="tx1"/>
                        </w14:solidFill>
                      </w14:textFill>
                    </w:rPr>
                    <w:t>和静县</w:t>
                  </w:r>
                  <w:r>
                    <w:rPr>
                      <w:rFonts w:hint="default" w:ascii="Times New Roman" w:hAnsi="Times New Roman" w:cs="Times New Roman"/>
                      <w:color w:val="000000" w:themeColor="text1"/>
                      <w:highlight w:val="none"/>
                      <w:lang w:val="zh-CN" w:eastAsia="zh-CN"/>
                      <w14:textFill>
                        <w14:solidFill>
                          <w14:schemeClr w14:val="tx1"/>
                        </w14:solidFill>
                      </w14:textFill>
                    </w:rPr>
                    <w:t>，本项目周边无自然保护区、风景名胜区、世界文化和自然遗产地、海洋特别保护区、饮用水水源保护区，</w:t>
                  </w:r>
                  <w:r>
                    <w:rPr>
                      <w:rFonts w:hint="eastAsia" w:cs="Times New Roman"/>
                      <w:color w:val="000000" w:themeColor="text1"/>
                      <w:highlight w:val="none"/>
                      <w:lang w:val="zh-CN" w:eastAsia="zh-CN"/>
                      <w14:textFill>
                        <w14:solidFill>
                          <w14:schemeClr w14:val="tx1"/>
                        </w14:solidFill>
                      </w14:textFill>
                    </w:rPr>
                    <w:t>也不</w:t>
                  </w:r>
                  <w:r>
                    <w:rPr>
                      <w:rFonts w:hint="default" w:ascii="Times New Roman" w:hAnsi="Times New Roman" w:cs="Times New Roman"/>
                      <w:color w:val="000000" w:themeColor="text1"/>
                      <w:highlight w:val="none"/>
                      <w:lang w:val="zh-CN" w:eastAsia="zh-CN"/>
                      <w14:textFill>
                        <w14:solidFill>
                          <w14:schemeClr w14:val="tx1"/>
                        </w14:solidFill>
                      </w14:textFill>
                    </w:rPr>
                    <w:t>处于水源涵养区</w:t>
                  </w:r>
                  <w:r>
                    <w:rPr>
                      <w:rFonts w:hint="eastAsia" w:cs="Times New Roman"/>
                      <w:color w:val="000000" w:themeColor="text1"/>
                      <w:highlight w:val="none"/>
                      <w:lang w:val="zh-CN" w:eastAsia="zh-CN"/>
                      <w14:textFill>
                        <w14:solidFill>
                          <w14:schemeClr w14:val="tx1"/>
                        </w14:solidFill>
                      </w14:textFill>
                    </w:rPr>
                    <w:t>。</w:t>
                  </w:r>
                  <w:r>
                    <w:rPr>
                      <w:rFonts w:hint="default" w:ascii="Times New Roman" w:hAnsi="Times New Roman" w:cs="Times New Roman"/>
                      <w:color w:val="000000" w:themeColor="text1"/>
                      <w:highlight w:val="none"/>
                      <w:lang w:val="zh-CN" w:eastAsia="zh-CN"/>
                      <w14:textFill>
                        <w14:solidFill>
                          <w14:schemeClr w14:val="tx1"/>
                        </w14:solidFill>
                      </w14:textFill>
                    </w:rPr>
                    <w:t>项目</w:t>
                  </w:r>
                  <w:r>
                    <w:rPr>
                      <w:rFonts w:hint="eastAsia" w:cs="Times New Roman"/>
                      <w:color w:val="000000" w:themeColor="text1"/>
                      <w:highlight w:val="none"/>
                      <w:lang w:val="zh-CN" w:eastAsia="zh-CN"/>
                      <w14:textFill>
                        <w14:solidFill>
                          <w14:schemeClr w14:val="tx1"/>
                        </w14:solidFill>
                      </w14:textFill>
                    </w:rPr>
                    <w:t>采用</w:t>
                  </w:r>
                  <w:r>
                    <w:rPr>
                      <w:rFonts w:hint="default" w:ascii="Times New Roman" w:hAnsi="Times New Roman" w:cs="Times New Roman"/>
                      <w:color w:val="000000" w:themeColor="text1"/>
                      <w:highlight w:val="none"/>
                      <w:lang w:val="zh-CN" w:eastAsia="zh-CN"/>
                      <w14:textFill>
                        <w14:solidFill>
                          <w14:schemeClr w14:val="tx1"/>
                        </w14:solidFill>
                      </w14:textFill>
                    </w:rPr>
                    <w:t>边开挖、边回填、边复垦的勘探方式减少水土流失，</w:t>
                  </w:r>
                  <w:r>
                    <w:rPr>
                      <w:rFonts w:hint="default" w:ascii="Times New Roman" w:hAnsi="Times New Roman" w:cs="Times New Roman"/>
                      <w:color w:val="000000" w:themeColor="text1"/>
                      <w:highlight w:val="none"/>
                      <w:lang w:eastAsia="zh-CN"/>
                      <w14:textFill>
                        <w14:solidFill>
                          <w14:schemeClr w14:val="tx1"/>
                        </w14:solidFill>
                      </w14:textFill>
                    </w:rPr>
                    <w:t>勘探过程中</w:t>
                  </w:r>
                  <w:r>
                    <w:rPr>
                      <w:rFonts w:hint="default" w:ascii="Times New Roman" w:hAnsi="Times New Roman" w:cs="Times New Roman"/>
                      <w:color w:val="000000" w:themeColor="text1"/>
                      <w:highlight w:val="none"/>
                      <w:lang w:val="en-US" w:eastAsia="zh-CN"/>
                      <w14:textFill>
                        <w14:solidFill>
                          <w14:schemeClr w14:val="tx1"/>
                        </w14:solidFill>
                      </w14:textFill>
                    </w:rPr>
                    <w:t>开挖的土石方</w:t>
                  </w:r>
                  <w:r>
                    <w:rPr>
                      <w:rFonts w:hint="eastAsia" w:cs="Times New Roman"/>
                      <w:color w:val="000000" w:themeColor="text1"/>
                      <w:highlight w:val="none"/>
                      <w:lang w:val="en-US" w:eastAsia="zh-CN"/>
                      <w14:textFill>
                        <w14:solidFill>
                          <w14:schemeClr w14:val="tx1"/>
                        </w14:solidFill>
                      </w14:textFill>
                    </w:rPr>
                    <w:t>用</w:t>
                  </w:r>
                  <w:r>
                    <w:rPr>
                      <w:rFonts w:hint="default" w:ascii="Times New Roman" w:hAnsi="Times New Roman" w:cs="Times New Roman"/>
                      <w:color w:val="000000" w:themeColor="text1"/>
                      <w:highlight w:val="none"/>
                      <w:lang w:val="en-US" w:eastAsia="zh-CN"/>
                      <w14:textFill>
                        <w14:solidFill>
                          <w14:schemeClr w14:val="tx1"/>
                        </w14:solidFill>
                      </w14:textFill>
                    </w:rPr>
                    <w:t>彩条布苫盖</w:t>
                  </w:r>
                  <w:r>
                    <w:rPr>
                      <w:rFonts w:hint="default" w:ascii="Times New Roman" w:hAnsi="Times New Roman" w:cs="Times New Roman"/>
                      <w:color w:val="000000" w:themeColor="text1"/>
                      <w:highlight w:val="none"/>
                      <w:lang w:eastAsia="zh-CN"/>
                      <w14:textFill>
                        <w14:solidFill>
                          <w14:schemeClr w14:val="tx1"/>
                        </w14:solidFill>
                      </w14:textFill>
                    </w:rPr>
                    <w:t>，对环境空气质量影响较小，不会降低区域环境空气质量，不属于严重污染大气环境的项目。本项目</w:t>
                  </w:r>
                  <w:r>
                    <w:rPr>
                      <w:rFonts w:hint="default" w:ascii="Times New Roman" w:hAnsi="Times New Roman" w:cs="Times New Roman"/>
                      <w:color w:val="000000" w:themeColor="text1"/>
                      <w:highlight w:val="none"/>
                      <w:lang w:val="en-US" w:eastAsia="zh-CN"/>
                      <w14:textFill>
                        <w14:solidFill>
                          <w14:schemeClr w14:val="tx1"/>
                        </w14:solidFill>
                      </w14:textFill>
                    </w:rPr>
                    <w:t>属于</w:t>
                  </w:r>
                  <w:r>
                    <w:rPr>
                      <w:rFonts w:hint="default" w:ascii="Times New Roman" w:hAnsi="Times New Roman" w:cs="Times New Roman"/>
                      <w:color w:val="000000" w:themeColor="text1"/>
                      <w:highlight w:val="none"/>
                      <w:lang w:eastAsia="zh-CN"/>
                      <w14:textFill>
                        <w14:solidFill>
                          <w14:schemeClr w14:val="tx1"/>
                        </w14:solidFill>
                      </w14:textFill>
                    </w:rPr>
                    <w:t>陆地矿产资源地质勘查项目，已取得所在区域的探矿权，探矿证号</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符合该管控单元空间布局约束要求。</w:t>
                  </w:r>
                </w:p>
              </w:tc>
              <w:tc>
                <w:tcPr>
                  <w:tcW w:w="419" w:type="dxa"/>
                  <w:tcBorders>
                    <w:tl2br w:val="nil"/>
                    <w:tr2bl w:val="nil"/>
                  </w:tcBorders>
                  <w:noWrap w:val="0"/>
                  <w:vAlign w:val="center"/>
                </w:tcPr>
                <w:p w14:paraId="5954A9EC">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26563B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2" w:type="dxa"/>
                  <w:vMerge w:val="continue"/>
                  <w:tcBorders>
                    <w:tl2br w:val="nil"/>
                    <w:tr2bl w:val="nil"/>
                  </w:tcBorders>
                  <w:noWrap w:val="0"/>
                  <w:vAlign w:val="center"/>
                </w:tcPr>
                <w:p w14:paraId="0F7ABB14">
                  <w:pPr>
                    <w:pStyle w:val="63"/>
                    <w:bidi w:val="0"/>
                    <w:rPr>
                      <w:rFonts w:hint="default" w:ascii="Times New Roman" w:hAnsi="Times New Roman" w:cs="Times New Roman"/>
                      <w:color w:val="000000" w:themeColor="text1"/>
                      <w:highlight w:val="none"/>
                      <w14:textFill>
                        <w14:solidFill>
                          <w14:schemeClr w14:val="tx1"/>
                        </w14:solidFill>
                      </w14:textFill>
                    </w:rPr>
                  </w:pPr>
                </w:p>
              </w:tc>
              <w:tc>
                <w:tcPr>
                  <w:tcW w:w="760" w:type="dxa"/>
                  <w:tcBorders>
                    <w:tl2br w:val="nil"/>
                    <w:tr2bl w:val="nil"/>
                  </w:tcBorders>
                  <w:shd w:val="clear" w:color="auto" w:fill="auto"/>
                  <w:noWrap w:val="0"/>
                  <w:vAlign w:val="center"/>
                </w:tcPr>
                <w:p w14:paraId="2779ADE3">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污染物排放管控</w:t>
                  </w:r>
                </w:p>
              </w:tc>
              <w:tc>
                <w:tcPr>
                  <w:tcW w:w="2619" w:type="dxa"/>
                  <w:tcBorders>
                    <w:tl2br w:val="nil"/>
                    <w:tr2bl w:val="nil"/>
                  </w:tcBorders>
                  <w:shd w:val="clear" w:color="auto" w:fill="auto"/>
                  <w:noWrap w:val="0"/>
                  <w:vAlign w:val="center"/>
                </w:tcPr>
                <w:p w14:paraId="6B2CDAB2">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1.矿山采选污染物排放执行相应行业标准。稳步推进废水循环利用技术改造升级。采选产生废水排放有行业标准的执行行业标准，否则执行《污水综合排放标准》（</w:t>
                  </w:r>
                  <w:r>
                    <w:rPr>
                      <w:rFonts w:hint="eastAsia" w:cs="Times New Roman"/>
                      <w:color w:val="000000" w:themeColor="text1"/>
                      <w:highlight w:val="none"/>
                      <w:lang w:val="en-US" w:eastAsia="zh-CN"/>
                      <w14:textFill>
                        <w14:solidFill>
                          <w14:schemeClr w14:val="tx1"/>
                        </w14:solidFill>
                      </w14:textFill>
                    </w:rPr>
                    <w:t>GB 8978</w:t>
                  </w:r>
                  <w:r>
                    <w:rPr>
                      <w:rFonts w:hint="default" w:ascii="Times New Roman" w:hAnsi="Times New Roman" w:cs="Times New Roman"/>
                      <w:color w:val="000000" w:themeColor="text1"/>
                      <w:highlight w:val="none"/>
                      <w:lang w:val="en-US" w:eastAsia="zh-CN"/>
                      <w14:textFill>
                        <w14:solidFill>
                          <w14:schemeClr w14:val="tx1"/>
                        </w14:solidFill>
                      </w14:textFill>
                    </w:rPr>
                    <w:t>）。采选活动矿石转运、破碎、筛分等粉尘产生工序，应配备抑尘、除尘设备，除尘效率不低于99%，有效控制无组织粉尘排放。采选矿各环节废气排放有行业标准的执行行业标准，否则执行《大气污染物综合排放标准》（</w:t>
                  </w:r>
                  <w:r>
                    <w:rPr>
                      <w:rFonts w:hint="eastAsia" w:cs="Times New Roman"/>
                      <w:color w:val="000000" w:themeColor="text1"/>
                      <w:highlight w:val="none"/>
                      <w:lang w:val="en-US" w:eastAsia="zh-CN"/>
                      <w14:textFill>
                        <w14:solidFill>
                          <w14:schemeClr w14:val="tx1"/>
                        </w14:solidFill>
                      </w14:textFill>
                    </w:rPr>
                    <w:t>GB 16297</w:t>
                  </w:r>
                  <w:r>
                    <w:rPr>
                      <w:rFonts w:hint="default" w:ascii="Times New Roman" w:hAnsi="Times New Roman" w:cs="Times New Roman"/>
                      <w:color w:val="000000" w:themeColor="text1"/>
                      <w:highlight w:val="none"/>
                      <w:lang w:val="en-US" w:eastAsia="zh-CN"/>
                      <w14:textFill>
                        <w14:solidFill>
                          <w14:schemeClr w14:val="tx1"/>
                        </w14:solidFill>
                      </w14:textFill>
                    </w:rPr>
                    <w:t>）。一般固体废弃物应根据《</w:t>
                  </w:r>
                  <w:r>
                    <w:rPr>
                      <w:rFonts w:hint="eastAsia" w:cs="Times New Roman"/>
                      <w:color w:val="000000" w:themeColor="text1"/>
                      <w:highlight w:val="none"/>
                      <w:lang w:val="en-US" w:eastAsia="zh-CN"/>
                      <w14:textFill>
                        <w14:solidFill>
                          <w14:schemeClr w14:val="tx1"/>
                        </w14:solidFill>
                      </w14:textFill>
                    </w:rPr>
                    <w:t>一般工业固体废物贮存和填埋污染控制标准</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GB 18599</w:t>
                  </w:r>
                  <w:r>
                    <w:rPr>
                      <w:rFonts w:hint="default" w:ascii="Times New Roman" w:hAnsi="Times New Roman" w:cs="Times New Roman"/>
                      <w:color w:val="000000" w:themeColor="text1"/>
                      <w:highlight w:val="none"/>
                      <w:lang w:val="en-US" w:eastAsia="zh-CN"/>
                      <w14:textFill>
                        <w14:solidFill>
                          <w14:schemeClr w14:val="tx1"/>
                        </w14:solidFill>
                      </w14:textFill>
                    </w:rPr>
                    <w:t>）进行管理。矿山生态环境保护和恢复要达到《矿山生态环境保护与恢复治理技术规范</w:t>
                  </w:r>
                  <w:r>
                    <w:rPr>
                      <w:rFonts w:hint="eastAsia" w:cs="Times New Roman"/>
                      <w:color w:val="000000" w:themeColor="text1"/>
                      <w:highlight w:val="none"/>
                      <w:lang w:val="en-US" w:eastAsia="zh-CN"/>
                      <w14:textFill>
                        <w14:solidFill>
                          <w14:schemeClr w14:val="tx1"/>
                        </w14:solidFill>
                      </w14:textFill>
                    </w:rPr>
                    <w:t>（试行）</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HJ 651</w:t>
                  </w:r>
                  <w:r>
                    <w:rPr>
                      <w:rFonts w:hint="default" w:ascii="Times New Roman" w:hAnsi="Times New Roman" w:cs="Times New Roman"/>
                      <w:color w:val="000000" w:themeColor="text1"/>
                      <w:highlight w:val="none"/>
                      <w:lang w:val="en-US" w:eastAsia="zh-CN"/>
                      <w14:textFill>
                        <w14:solidFill>
                          <w14:schemeClr w14:val="tx1"/>
                        </w14:solidFill>
                      </w14:textFill>
                    </w:rPr>
                    <w:t>）及其他有关环保法律法规的相关要求。</w:t>
                  </w:r>
                </w:p>
              </w:tc>
              <w:tc>
                <w:tcPr>
                  <w:tcW w:w="2850" w:type="dxa"/>
                  <w:tcBorders>
                    <w:tl2br w:val="nil"/>
                    <w:tr2bl w:val="nil"/>
                  </w:tcBorders>
                  <w:shd w:val="clear" w:color="auto" w:fill="auto"/>
                  <w:noWrap w:val="0"/>
                  <w:vAlign w:val="center"/>
                </w:tcPr>
                <w:p w14:paraId="46324A76">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本项目采用绿色勘查技术（按照《固体矿产地质勘查规范总则》（GB/</w:t>
                  </w:r>
                  <w:r>
                    <w:rPr>
                      <w:rFonts w:hint="eastAsia"/>
                      <w:color w:val="000000" w:themeColor="text1"/>
                      <w:sz w:val="21"/>
                      <w:szCs w:val="21"/>
                      <w:highlight w:val="none"/>
                      <w:lang w:eastAsia="zh-CN"/>
                      <w14:textFill>
                        <w14:solidFill>
                          <w14:schemeClr w14:val="tx1"/>
                        </w14:solidFill>
                      </w14:textFill>
                    </w:rPr>
                    <w:t>T 13908</w:t>
                  </w:r>
                  <w:r>
                    <w:rPr>
                      <w:rFonts w:hint="eastAsia"/>
                      <w:color w:val="000000" w:themeColor="text1"/>
                      <w:sz w:val="21"/>
                      <w:szCs w:val="21"/>
                      <w:highlight w:val="none"/>
                      <w14:textFill>
                        <w14:solidFill>
                          <w14:schemeClr w14:val="tx1"/>
                        </w14:solidFill>
                      </w14:textFill>
                    </w:rPr>
                    <w:t>-2020）中绿色勘查的要求，将生态环境保护贯穿于勘查设计、施工、验收全过程</w:t>
                  </w:r>
                  <w:r>
                    <w:rPr>
                      <w:rFonts w:hint="eastAsia"/>
                      <w:color w:val="000000" w:themeColor="text1"/>
                      <w:sz w:val="21"/>
                      <w:szCs w:val="21"/>
                      <w:highlight w:val="none"/>
                      <w:lang w:eastAsia="zh-CN"/>
                      <w14:textFill>
                        <w14:solidFill>
                          <w14:schemeClr w14:val="tx1"/>
                        </w14:solidFill>
                      </w14:textFill>
                    </w:rPr>
                    <w:t>，在</w:t>
                  </w:r>
                  <w:r>
                    <w:rPr>
                      <w:rFonts w:hint="eastAsia"/>
                      <w:color w:val="000000" w:themeColor="text1"/>
                      <w:sz w:val="21"/>
                      <w:szCs w:val="21"/>
                      <w:highlight w:val="none"/>
                      <w14:textFill>
                        <w14:solidFill>
                          <w14:schemeClr w14:val="tx1"/>
                        </w14:solidFill>
                      </w14:textFill>
                    </w:rPr>
                    <w:t>设计中选用适宜的勘查方法、技术手段和设备</w:t>
                  </w:r>
                  <w:r>
                    <w:rPr>
                      <w:rFonts w:hint="eastAsia"/>
                      <w:color w:val="000000" w:themeColor="text1"/>
                      <w:sz w:val="21"/>
                      <w:szCs w:val="21"/>
                      <w:highlight w:val="none"/>
                      <w:lang w:eastAsia="zh-CN"/>
                      <w14:textFill>
                        <w14:solidFill>
                          <w14:schemeClr w14:val="tx1"/>
                        </w14:solidFill>
                      </w14:textFill>
                    </w:rPr>
                    <w:t>，在</w:t>
                  </w:r>
                  <w:r>
                    <w:rPr>
                      <w:rFonts w:hint="eastAsia"/>
                      <w:color w:val="000000" w:themeColor="text1"/>
                      <w:sz w:val="21"/>
                      <w:szCs w:val="21"/>
                      <w:highlight w:val="none"/>
                      <w14:textFill>
                        <w14:solidFill>
                          <w14:schemeClr w14:val="tx1"/>
                        </w14:solidFill>
                      </w14:textFill>
                    </w:rPr>
                    <w:t>勘查施工过程中尽量避开对耕地的占用和压实，以及对植被的损毁，对勘查过</w:t>
                  </w:r>
                  <w:r>
                    <w:rPr>
                      <w:rFonts w:hint="eastAsia"/>
                      <w:color w:val="000000" w:themeColor="text1"/>
                      <w:sz w:val="21"/>
                      <w:szCs w:val="21"/>
                      <w:highlight w:val="none"/>
                      <w:lang w:eastAsia="zh-CN"/>
                      <w14:textFill>
                        <w14:solidFill>
                          <w14:schemeClr w14:val="tx1"/>
                        </w14:solidFill>
                      </w14:textFill>
                    </w:rPr>
                    <w:t>程中</w:t>
                  </w:r>
                  <w:r>
                    <w:rPr>
                      <w:rFonts w:hint="eastAsia"/>
                      <w:color w:val="000000" w:themeColor="text1"/>
                      <w:sz w:val="21"/>
                      <w:szCs w:val="21"/>
                      <w:highlight w:val="none"/>
                      <w14:textFill>
                        <w14:solidFill>
                          <w14:schemeClr w14:val="tx1"/>
                        </w14:solidFill>
                      </w14:textFill>
                    </w:rPr>
                    <w:t>产生的固废进行有效管控，勘查工作结束后对施工造成的临时占地等进行生态恢复）</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临时用地通过覆土、种植等措施开展复垦还绿；项目废水、固废均采取了合理的处置措施，防止对水体和土壤造成污染。建设单位将严格落实本报告提出的生态环境保护措施。采取上述措施后，项目产生的污染物均能得到妥善处置，因此对环境影响较小</w:t>
                  </w:r>
                  <w:r>
                    <w:rPr>
                      <w:rFonts w:hint="default" w:ascii="Times New Roman" w:hAnsi="Times New Roman" w:cs="Times New Roman"/>
                      <w:color w:val="000000" w:themeColor="text1"/>
                      <w:highlight w:val="none"/>
                      <w14:textFill>
                        <w14:solidFill>
                          <w14:schemeClr w14:val="tx1"/>
                        </w14:solidFill>
                      </w14:textFill>
                    </w:rPr>
                    <w:t>。</w:t>
                  </w:r>
                </w:p>
              </w:tc>
              <w:tc>
                <w:tcPr>
                  <w:tcW w:w="419" w:type="dxa"/>
                  <w:tcBorders>
                    <w:tl2br w:val="nil"/>
                    <w:tr2bl w:val="nil"/>
                  </w:tcBorders>
                  <w:noWrap w:val="0"/>
                  <w:vAlign w:val="center"/>
                </w:tcPr>
                <w:p w14:paraId="0FA2A0F9">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符合</w:t>
                  </w:r>
                </w:p>
              </w:tc>
            </w:tr>
            <w:tr w14:paraId="788935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2" w:type="dxa"/>
                  <w:vMerge w:val="continue"/>
                  <w:tcBorders>
                    <w:tl2br w:val="nil"/>
                    <w:tr2bl w:val="nil"/>
                  </w:tcBorders>
                  <w:noWrap w:val="0"/>
                  <w:vAlign w:val="center"/>
                </w:tcPr>
                <w:p w14:paraId="6C2AFBF2">
                  <w:pPr>
                    <w:pStyle w:val="63"/>
                    <w:bidi w:val="0"/>
                    <w:rPr>
                      <w:rFonts w:hint="default" w:ascii="Times New Roman" w:hAnsi="Times New Roman" w:cs="Times New Roman"/>
                      <w:color w:val="000000" w:themeColor="text1"/>
                      <w:highlight w:val="none"/>
                      <w14:textFill>
                        <w14:solidFill>
                          <w14:schemeClr w14:val="tx1"/>
                        </w14:solidFill>
                      </w14:textFill>
                    </w:rPr>
                  </w:pPr>
                </w:p>
              </w:tc>
              <w:tc>
                <w:tcPr>
                  <w:tcW w:w="760" w:type="dxa"/>
                  <w:tcBorders>
                    <w:tl2br w:val="nil"/>
                    <w:tr2bl w:val="nil"/>
                  </w:tcBorders>
                  <w:shd w:val="clear" w:color="auto" w:fill="auto"/>
                  <w:noWrap w:val="0"/>
                  <w:vAlign w:val="center"/>
                </w:tcPr>
                <w:p w14:paraId="53F2FD98">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环境风险防控</w:t>
                  </w:r>
                </w:p>
              </w:tc>
              <w:tc>
                <w:tcPr>
                  <w:tcW w:w="2619" w:type="dxa"/>
                  <w:tcBorders>
                    <w:tl2br w:val="nil"/>
                    <w:tr2bl w:val="nil"/>
                  </w:tcBorders>
                  <w:shd w:val="clear" w:color="auto" w:fill="auto"/>
                  <w:noWrap w:val="0"/>
                  <w:vAlign w:val="center"/>
                </w:tcPr>
                <w:p w14:paraId="496DECD0">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1.加强对矿山、油田等矿产资源开采影响区域内未利用地的环境监管，发现土壤污染问题的，要坚决查处，并及时督促有关单位采取有效防治措施消除或减轻污染。</w:t>
                  </w:r>
                </w:p>
              </w:tc>
              <w:tc>
                <w:tcPr>
                  <w:tcW w:w="2850" w:type="dxa"/>
                  <w:tcBorders>
                    <w:tl2br w:val="nil"/>
                    <w:tr2bl w:val="nil"/>
                  </w:tcBorders>
                  <w:shd w:val="clear" w:color="auto" w:fill="auto"/>
                  <w:noWrap w:val="0"/>
                  <w:vAlign w:val="center"/>
                </w:tcPr>
                <w:p w14:paraId="75D92724">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项目不涉及重点流域、饮用水源等环境敏感区域</w:t>
                  </w:r>
                  <w:r>
                    <w:rPr>
                      <w:rFonts w:hint="eastAsia" w:cs="Times New Roman"/>
                      <w:color w:val="000000" w:themeColor="text1"/>
                      <w:highlight w:val="none"/>
                      <w:lang w:eastAsia="zh-CN"/>
                      <w14:textFill>
                        <w14:solidFill>
                          <w14:schemeClr w14:val="tx1"/>
                        </w14:solidFill>
                      </w14:textFill>
                    </w:rPr>
                    <w:t>，在</w:t>
                  </w:r>
                  <w:r>
                    <w:rPr>
                      <w:rFonts w:hint="default" w:ascii="Times New Roman" w:hAnsi="Times New Roman" w:cs="Times New Roman"/>
                      <w:color w:val="000000" w:themeColor="text1"/>
                      <w:highlight w:val="none"/>
                      <w14:textFill>
                        <w14:solidFill>
                          <w14:schemeClr w14:val="tx1"/>
                        </w14:solidFill>
                      </w14:textFill>
                    </w:rPr>
                    <w:t>勘</w:t>
                  </w:r>
                  <w:r>
                    <w:rPr>
                      <w:rFonts w:hint="default" w:ascii="Times New Roman" w:hAnsi="Times New Roman" w:cs="Times New Roman"/>
                      <w:color w:val="000000" w:themeColor="text1"/>
                      <w:highlight w:val="none"/>
                      <w:lang w:val="en-US" w:eastAsia="zh-CN"/>
                      <w14:textFill>
                        <w14:solidFill>
                          <w14:schemeClr w14:val="tx1"/>
                        </w14:solidFill>
                      </w14:textFill>
                    </w:rPr>
                    <w:t>查</w:t>
                  </w:r>
                  <w:r>
                    <w:rPr>
                      <w:rFonts w:hint="eastAsia" w:cs="Times New Roman"/>
                      <w:color w:val="000000" w:themeColor="text1"/>
                      <w:highlight w:val="none"/>
                      <w:lang w:val="en-US" w:eastAsia="zh-CN"/>
                      <w14:textFill>
                        <w14:solidFill>
                          <w14:schemeClr w14:val="tx1"/>
                        </w14:solidFill>
                      </w14:textFill>
                    </w:rPr>
                    <w:t>期间建立健全</w:t>
                  </w:r>
                  <w:r>
                    <w:rPr>
                      <w:rFonts w:hint="default" w:ascii="Times New Roman" w:hAnsi="Times New Roman" w:cs="Times New Roman"/>
                      <w:color w:val="000000" w:themeColor="text1"/>
                      <w:highlight w:val="none"/>
                      <w14:textFill>
                        <w14:solidFill>
                          <w14:schemeClr w14:val="tx1"/>
                        </w14:solidFill>
                      </w14:textFill>
                    </w:rPr>
                    <w:t>环境管理制度，防范环境污染事故发生。符合该管控单元环境风险防控要求。</w:t>
                  </w:r>
                </w:p>
              </w:tc>
              <w:tc>
                <w:tcPr>
                  <w:tcW w:w="419" w:type="dxa"/>
                  <w:tcBorders>
                    <w:tl2br w:val="nil"/>
                    <w:tr2bl w:val="nil"/>
                  </w:tcBorders>
                  <w:noWrap w:val="0"/>
                  <w:vAlign w:val="center"/>
                </w:tcPr>
                <w:p w14:paraId="3804C1A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r w14:paraId="444631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2" w:type="dxa"/>
                  <w:vMerge w:val="continue"/>
                  <w:tcBorders>
                    <w:tl2br w:val="nil"/>
                    <w:tr2bl w:val="nil"/>
                  </w:tcBorders>
                  <w:noWrap w:val="0"/>
                  <w:vAlign w:val="center"/>
                </w:tcPr>
                <w:p w14:paraId="25157923">
                  <w:pPr>
                    <w:pStyle w:val="63"/>
                    <w:bidi w:val="0"/>
                    <w:rPr>
                      <w:rFonts w:hint="default" w:ascii="Times New Roman" w:hAnsi="Times New Roman" w:cs="Times New Roman"/>
                      <w:color w:val="000000" w:themeColor="text1"/>
                      <w:highlight w:val="none"/>
                      <w14:textFill>
                        <w14:solidFill>
                          <w14:schemeClr w14:val="tx1"/>
                        </w14:solidFill>
                      </w14:textFill>
                    </w:rPr>
                  </w:pPr>
                </w:p>
              </w:tc>
              <w:tc>
                <w:tcPr>
                  <w:tcW w:w="760" w:type="dxa"/>
                  <w:tcBorders>
                    <w:tl2br w:val="nil"/>
                    <w:tr2bl w:val="nil"/>
                  </w:tcBorders>
                  <w:shd w:val="clear" w:color="auto" w:fill="auto"/>
                  <w:noWrap w:val="0"/>
                  <w:vAlign w:val="center"/>
                </w:tcPr>
                <w:p w14:paraId="05E5AAD3">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资源利用效率</w:t>
                  </w:r>
                </w:p>
              </w:tc>
              <w:tc>
                <w:tcPr>
                  <w:tcW w:w="2619" w:type="dxa"/>
                  <w:tcBorders>
                    <w:tl2br w:val="nil"/>
                    <w:tr2bl w:val="nil"/>
                  </w:tcBorders>
                  <w:shd w:val="clear" w:color="auto" w:fill="auto"/>
                  <w:noWrap w:val="0"/>
                  <w:vAlign w:val="center"/>
                </w:tcPr>
                <w:p w14:paraId="487E9185">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1.废石综合回用、尾矿砂利用率参考《新疆维吾尔自治区重点行业生态环境准入条件（2024年）》等相关文件要求。</w:t>
                  </w:r>
                </w:p>
              </w:tc>
              <w:tc>
                <w:tcPr>
                  <w:tcW w:w="2850" w:type="dxa"/>
                  <w:tcBorders>
                    <w:tl2br w:val="nil"/>
                    <w:tr2bl w:val="nil"/>
                  </w:tcBorders>
                  <w:shd w:val="clear" w:color="auto" w:fill="auto"/>
                  <w:noWrap w:val="0"/>
                  <w:vAlign w:val="center"/>
                </w:tcPr>
                <w:p w14:paraId="240B0199">
                  <w:pPr>
                    <w:pStyle w:val="63"/>
                    <w:keepNext w:val="0"/>
                    <w:keepLines w:val="0"/>
                    <w:pageBreakBefore w:val="0"/>
                    <w:widowControl w:val="0"/>
                    <w:kinsoku/>
                    <w:wordWrap w:val="0"/>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开挖产生的土石方在勘探期结束后全部回填至开挖地。</w:t>
                  </w:r>
                  <w:r>
                    <w:rPr>
                      <w:rFonts w:hint="eastAsia" w:cs="Times New Roman"/>
                      <w:color w:val="000000" w:themeColor="text1"/>
                      <w:highlight w:val="none"/>
                      <w:lang w:val="en-US" w:eastAsia="zh-CN"/>
                      <w14:textFill>
                        <w14:solidFill>
                          <w14:schemeClr w14:val="tx1"/>
                        </w14:solidFill>
                      </w14:textFill>
                    </w:rPr>
                    <w:t>钻井泥浆固化就地填埋</w:t>
                  </w:r>
                  <w:r>
                    <w:rPr>
                      <w:rFonts w:hint="eastAsia"/>
                      <w:color w:val="000000" w:themeColor="text1"/>
                      <w:highlight w:val="none"/>
                      <w:lang w:val="en-US" w:eastAsia="zh-CN"/>
                      <w14:textFill>
                        <w14:solidFill>
                          <w14:schemeClr w14:val="tx1"/>
                        </w14:solidFill>
                      </w14:textFill>
                    </w:rPr>
                    <w:t>，岩屑用于回填封孔；一体化污水处理设施产生的污泥集中收集交和静县工业固体废物填埋场统一处置。施工营地内设置一定数量的垃圾桶，用于临时存放生活垃圾，统一收集后送至和静县市容环卫中心。符合相关要求</w:t>
                  </w:r>
                  <w:r>
                    <w:rPr>
                      <w:rFonts w:hint="default" w:ascii="Times New Roman" w:hAnsi="Times New Roman" w:cs="Times New Roman"/>
                      <w:color w:val="000000" w:themeColor="text1"/>
                      <w:highlight w:val="none"/>
                      <w14:textFill>
                        <w14:solidFill>
                          <w14:schemeClr w14:val="tx1"/>
                        </w14:solidFill>
                      </w14:textFill>
                    </w:rPr>
                    <w:t>。</w:t>
                  </w:r>
                </w:p>
              </w:tc>
              <w:tc>
                <w:tcPr>
                  <w:tcW w:w="419" w:type="dxa"/>
                  <w:tcBorders>
                    <w:tl2br w:val="nil"/>
                    <w:tr2bl w:val="nil"/>
                  </w:tcBorders>
                  <w:noWrap w:val="0"/>
                  <w:vAlign w:val="center"/>
                </w:tcPr>
                <w:p w14:paraId="4623A07D">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符合</w:t>
                  </w:r>
                </w:p>
              </w:tc>
            </w:tr>
          </w:tbl>
          <w:p w14:paraId="57DDCD02">
            <w:pPr>
              <w:spacing w:line="360" w:lineRule="auto"/>
              <w:ind w:firstLine="480" w:firstLineChars="200"/>
              <w:rPr>
                <w:rFonts w:hint="eastAsia" w:ascii="Times New Roman" w:hAnsi="Times New Roman" w:eastAsia="宋体" w:cs="Times New Roman"/>
                <w:snapToGrid w:val="0"/>
                <w:color w:val="000000" w:themeColor="text1"/>
                <w:sz w:val="24"/>
                <w:highlight w:val="none"/>
                <w14:textFill>
                  <w14:solidFill>
                    <w14:schemeClr w14:val="tx1"/>
                  </w14:solidFill>
                </w14:textFill>
              </w:rPr>
            </w:pPr>
          </w:p>
        </w:tc>
      </w:tr>
    </w:tbl>
    <w:p w14:paraId="5A8D959D">
      <w:pPr>
        <w:autoSpaceDE w:val="0"/>
        <w:autoSpaceDN w:val="0"/>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bookmarkEnd w:id="2"/>
    <w:tbl>
      <w:tblPr>
        <w:tblStyle w:val="28"/>
        <w:tblW w:w="494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62"/>
        <w:gridCol w:w="12969"/>
      </w:tblGrid>
      <w:tr w14:paraId="11B3B8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362" w:type="dxa"/>
            <w:tcBorders>
              <w:tl2br w:val="nil"/>
              <w:tr2bl w:val="nil"/>
            </w:tcBorders>
            <w:noWrap w:val="0"/>
            <w:tcMar>
              <w:top w:w="16" w:type="dxa"/>
              <w:left w:w="16" w:type="dxa"/>
              <w:right w:w="16" w:type="dxa"/>
            </w:tcMar>
            <w:vAlign w:val="center"/>
          </w:tcPr>
          <w:p w14:paraId="110BBFC0">
            <w:pPr>
              <w:autoSpaceDE w:val="0"/>
              <w:autoSpaceDN w:val="0"/>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其他符合性分析</w:t>
            </w:r>
          </w:p>
        </w:tc>
        <w:tc>
          <w:tcPr>
            <w:tcW w:w="12969" w:type="dxa"/>
            <w:tcBorders>
              <w:tl2br w:val="nil"/>
              <w:tr2bl w:val="nil"/>
            </w:tcBorders>
            <w:noWrap w:val="0"/>
            <w:tcMar>
              <w:top w:w="16" w:type="dxa"/>
              <w:left w:w="16" w:type="dxa"/>
              <w:right w:w="16" w:type="dxa"/>
            </w:tcMar>
            <w:vAlign w:val="center"/>
          </w:tcPr>
          <w:p w14:paraId="79EECC35">
            <w:pPr>
              <w:pStyle w:val="55"/>
              <w:bidi w:val="0"/>
              <w:ind w:firstLine="482"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环境管理政策</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环境保护规划</w:t>
            </w:r>
            <w:r>
              <w:rPr>
                <w:rFonts w:hint="default" w:ascii="Times New Roman" w:hAnsi="Times New Roman" w:cs="Times New Roman"/>
                <w:color w:val="000000" w:themeColor="text1"/>
                <w:highlight w:val="none"/>
                <w14:textFill>
                  <w14:solidFill>
                    <w14:schemeClr w14:val="tx1"/>
                  </w14:solidFill>
                </w14:textFill>
              </w:rPr>
              <w:t>相符性分析</w:t>
            </w:r>
          </w:p>
          <w:p w14:paraId="6F7713B9">
            <w:pPr>
              <w:pStyle w:val="53"/>
              <w:bidi w:val="0"/>
              <w:ind w:left="0" w:leftChars="0" w:firstLine="0" w:firstLineChars="0"/>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Times New Roman" w:hAnsi="Times New Roman"/>
                <w:snapToGrid/>
                <w:color w:val="000000" w:themeColor="text1"/>
                <w:spacing w:val="0"/>
                <w:highlight w:val="none"/>
                <w14:textFill>
                  <w14:solidFill>
                    <w14:schemeClr w14:val="tx1"/>
                  </w14:solidFill>
                </w14:textFill>
              </w:rPr>
              <w:t>表</w:t>
            </w:r>
            <w:r>
              <w:rPr>
                <w:rFonts w:ascii="Times New Roman" w:hAnsi="Times New Roman"/>
                <w:snapToGrid/>
                <w:color w:val="000000" w:themeColor="text1"/>
                <w:spacing w:val="0"/>
                <w:highlight w:val="none"/>
                <w14:textFill>
                  <w14:solidFill>
                    <w14:schemeClr w14:val="tx1"/>
                  </w14:solidFill>
                </w14:textFill>
              </w:rPr>
              <w:t xml:space="preserve">1-8  </w:t>
            </w:r>
            <w:r>
              <w:rPr>
                <w:rFonts w:hint="eastAsia" w:ascii="Times New Roman" w:hAnsi="Times New Roman"/>
                <w:snapToGrid/>
                <w:color w:val="000000" w:themeColor="text1"/>
                <w:spacing w:val="0"/>
                <w:highlight w:val="none"/>
                <w14:textFill>
                  <w14:solidFill>
                    <w14:schemeClr w14:val="tx1"/>
                  </w14:solidFill>
                </w14:textFill>
              </w:rPr>
              <w:t>环境规划符合性分析</w:t>
            </w:r>
          </w:p>
          <w:tbl>
            <w:tblPr>
              <w:tblStyle w:val="28"/>
              <w:tblW w:w="494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443"/>
              <w:gridCol w:w="5952"/>
              <w:gridCol w:w="4426"/>
              <w:gridCol w:w="979"/>
            </w:tblGrid>
            <w:tr w14:paraId="6C1038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563" w:type="pct"/>
                  <w:tcBorders>
                    <w:tl2br w:val="nil"/>
                    <w:tr2bl w:val="nil"/>
                  </w:tcBorders>
                  <w:vAlign w:val="center"/>
                </w:tcPr>
                <w:p w14:paraId="53FE953F">
                  <w:pPr>
                    <w:adjustRightInd w:val="0"/>
                    <w:snapToGrid w:val="0"/>
                    <w:spacing w:line="240" w:lineRule="auto"/>
                    <w:ind w:firstLine="0" w:firstLineChars="0"/>
                    <w:jc w:val="center"/>
                    <w:rPr>
                      <w:color w:val="000000" w:themeColor="text1"/>
                      <w:sz w:val="21"/>
                      <w:szCs w:val="21"/>
                      <w:highlight w:val="none"/>
                      <w14:textFill>
                        <w14:solidFill>
                          <w14:schemeClr w14:val="tx1"/>
                        </w14:solidFill>
                      </w14:textFill>
                    </w:rPr>
                  </w:pPr>
                  <w:bookmarkStart w:id="3" w:name="_Hlk97245357"/>
                  <w:r>
                    <w:rPr>
                      <w:color w:val="000000" w:themeColor="text1"/>
                      <w:sz w:val="21"/>
                      <w:szCs w:val="21"/>
                      <w:highlight w:val="none"/>
                      <w14:textFill>
                        <w14:solidFill>
                          <w14:schemeClr w14:val="tx1"/>
                        </w14:solidFill>
                      </w14:textFill>
                    </w:rPr>
                    <w:t>规划</w:t>
                  </w:r>
                </w:p>
              </w:tc>
              <w:tc>
                <w:tcPr>
                  <w:tcW w:w="2325" w:type="pct"/>
                  <w:tcBorders>
                    <w:tl2br w:val="nil"/>
                    <w:tr2bl w:val="nil"/>
                  </w:tcBorders>
                  <w:vAlign w:val="center"/>
                </w:tcPr>
                <w:p w14:paraId="68B07889">
                  <w:pPr>
                    <w:adjustRightInd w:val="0"/>
                    <w:snapToGrid w:val="0"/>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规划要求</w:t>
                  </w:r>
                </w:p>
              </w:tc>
              <w:tc>
                <w:tcPr>
                  <w:tcW w:w="1728" w:type="pct"/>
                  <w:tcBorders>
                    <w:tl2br w:val="nil"/>
                    <w:tr2bl w:val="nil"/>
                  </w:tcBorders>
                  <w:vAlign w:val="center"/>
                </w:tcPr>
                <w:p w14:paraId="550D1A20">
                  <w:pPr>
                    <w:adjustRightInd w:val="0"/>
                    <w:snapToGrid w:val="0"/>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本项目情况</w:t>
                  </w:r>
                </w:p>
              </w:tc>
              <w:tc>
                <w:tcPr>
                  <w:tcW w:w="382" w:type="pct"/>
                  <w:tcBorders>
                    <w:tl2br w:val="nil"/>
                    <w:tr2bl w:val="nil"/>
                  </w:tcBorders>
                  <w:vAlign w:val="center"/>
                </w:tcPr>
                <w:p w14:paraId="72B02F37">
                  <w:pPr>
                    <w:adjustRightInd w:val="0"/>
                    <w:snapToGrid w:val="0"/>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符合性</w:t>
                  </w:r>
                </w:p>
              </w:tc>
            </w:tr>
            <w:tr w14:paraId="69881B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563" w:type="pct"/>
                  <w:tcBorders>
                    <w:tl2br w:val="nil"/>
                    <w:tr2bl w:val="nil"/>
                  </w:tcBorders>
                  <w:vAlign w:val="center"/>
                </w:tcPr>
                <w:p w14:paraId="4563F3B9">
                  <w:pPr>
                    <w:spacing w:line="240" w:lineRule="auto"/>
                    <w:ind w:firstLine="0" w:firstLineChars="0"/>
                    <w:jc w:val="center"/>
                    <w:textAlignment w:val="center"/>
                    <w:rPr>
                      <w:color w:val="000000" w:themeColor="text1"/>
                      <w:sz w:val="21"/>
                      <w:szCs w:val="21"/>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新疆维吾尔自治区国民经济和社会发展第十四个五年规划和</w:t>
                  </w:r>
                  <w:r>
                    <w:rPr>
                      <w:color w:val="000000" w:themeColor="text1"/>
                      <w:sz w:val="21"/>
                      <w:szCs w:val="22"/>
                      <w:highlight w:val="none"/>
                      <w14:textFill>
                        <w14:solidFill>
                          <w14:schemeClr w14:val="tx1"/>
                        </w14:solidFill>
                      </w14:textFill>
                    </w:rPr>
                    <w:t>2035</w:t>
                  </w:r>
                  <w:r>
                    <w:rPr>
                      <w:rFonts w:hint="eastAsia"/>
                      <w:color w:val="000000" w:themeColor="text1"/>
                      <w:sz w:val="21"/>
                      <w:szCs w:val="22"/>
                      <w:highlight w:val="none"/>
                      <w14:textFill>
                        <w14:solidFill>
                          <w14:schemeClr w14:val="tx1"/>
                        </w14:solidFill>
                      </w14:textFill>
                    </w:rPr>
                    <w:t>年远景目标纲要</w:t>
                  </w:r>
                </w:p>
              </w:tc>
              <w:tc>
                <w:tcPr>
                  <w:tcW w:w="2325" w:type="pct"/>
                  <w:tcBorders>
                    <w:tl2br w:val="nil"/>
                    <w:tr2bl w:val="nil"/>
                  </w:tcBorders>
                  <w:vAlign w:val="center"/>
                </w:tcPr>
                <w:p w14:paraId="2689D926">
                  <w:pPr>
                    <w:spacing w:line="240" w:lineRule="auto"/>
                    <w:ind w:firstLine="0" w:firstLineChars="0"/>
                    <w:textAlignment w:val="center"/>
                    <w:rPr>
                      <w:color w:val="000000" w:themeColor="text1"/>
                      <w:sz w:val="21"/>
                      <w:szCs w:val="21"/>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按照“深化北疆东疆，加快南疆勘查”的总体思路，开展重点成矿区带地质调查和矿产勘查，做好矿产资源开发利用储备。贯彻新发展理念，建设绿色矿山，实现可持续发展。</w:t>
                  </w:r>
                </w:p>
              </w:tc>
              <w:tc>
                <w:tcPr>
                  <w:tcW w:w="1728" w:type="pct"/>
                  <w:tcBorders>
                    <w:tl2br w:val="nil"/>
                    <w:tr2bl w:val="nil"/>
                  </w:tcBorders>
                  <w:vAlign w:val="center"/>
                </w:tcPr>
                <w:p w14:paraId="115C5196">
                  <w:pPr>
                    <w:spacing w:line="240" w:lineRule="auto"/>
                    <w:ind w:firstLine="0" w:firstLineChars="0"/>
                    <w:textAlignment w:val="center"/>
                    <w:rPr>
                      <w:color w:val="000000" w:themeColor="text1"/>
                      <w:sz w:val="21"/>
                      <w:szCs w:val="21"/>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本项目为固体矿产地质勘探，符合</w:t>
                  </w:r>
                  <w:r>
                    <w:rPr>
                      <w:rFonts w:hint="eastAsia"/>
                      <w:color w:val="000000" w:themeColor="text1"/>
                      <w:sz w:val="21"/>
                      <w:szCs w:val="22"/>
                      <w:highlight w:val="none"/>
                      <w:lang w:eastAsia="zh-CN"/>
                      <w14:textFill>
                        <w14:solidFill>
                          <w14:schemeClr w14:val="tx1"/>
                        </w14:solidFill>
                      </w14:textFill>
                    </w:rPr>
                    <w:t>《新疆维吾尔自治区国民经济和社会发展第十四个五年规划和2035年远景目标纲要》。</w:t>
                  </w:r>
                </w:p>
              </w:tc>
              <w:tc>
                <w:tcPr>
                  <w:tcW w:w="382" w:type="pct"/>
                  <w:tcBorders>
                    <w:tl2br w:val="nil"/>
                    <w:tr2bl w:val="nil"/>
                  </w:tcBorders>
                  <w:vAlign w:val="center"/>
                </w:tcPr>
                <w:p w14:paraId="1DB2A59C">
                  <w:pPr>
                    <w:spacing w:line="240" w:lineRule="auto"/>
                    <w:ind w:firstLine="0" w:firstLineChars="0"/>
                    <w:jc w:val="center"/>
                    <w:textAlignment w:val="center"/>
                    <w:rPr>
                      <w:color w:val="000000" w:themeColor="text1"/>
                      <w:sz w:val="21"/>
                      <w:szCs w:val="21"/>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符合</w:t>
                  </w:r>
                </w:p>
              </w:tc>
            </w:tr>
            <w:tr w14:paraId="188840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12" w:hRule="atLeast"/>
                <w:jc w:val="center"/>
              </w:trPr>
              <w:tc>
                <w:tcPr>
                  <w:tcW w:w="563" w:type="pct"/>
                  <w:tcBorders>
                    <w:tl2br w:val="nil"/>
                    <w:tr2bl w:val="nil"/>
                  </w:tcBorders>
                  <w:shd w:val="clear" w:color="auto" w:fill="auto"/>
                  <w:vAlign w:val="center"/>
                </w:tcPr>
                <w:p w14:paraId="25900E12">
                  <w:pPr>
                    <w:adjustRightInd w:val="0"/>
                    <w:snapToGrid w:val="0"/>
                    <w:spacing w:line="240" w:lineRule="auto"/>
                    <w:ind w:firstLine="0" w:firstLineChars="0"/>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《巴音郭楞蒙古自治州生态环境</w:t>
                  </w:r>
                  <w:r>
                    <w:rPr>
                      <w:rFonts w:hint="eastAsia"/>
                      <w:color w:val="000000" w:themeColor="text1"/>
                      <w:sz w:val="21"/>
                      <w:szCs w:val="21"/>
                      <w:highlight w:val="none"/>
                      <w14:textFill>
                        <w14:solidFill>
                          <w14:schemeClr w14:val="tx1"/>
                        </w14:solidFill>
                      </w14:textFill>
                    </w:rPr>
                    <w:t>“</w:t>
                  </w:r>
                  <w:r>
                    <w:rPr>
                      <w:color w:val="000000" w:themeColor="text1"/>
                      <w:sz w:val="21"/>
                      <w:szCs w:val="21"/>
                      <w:highlight w:val="none"/>
                      <w14:textFill>
                        <w14:solidFill>
                          <w14:schemeClr w14:val="tx1"/>
                        </w14:solidFill>
                      </w14:textFill>
                    </w:rPr>
                    <w:t>十四五</w:t>
                  </w:r>
                  <w:r>
                    <w:rPr>
                      <w:rFonts w:hint="eastAsia"/>
                      <w:color w:val="000000" w:themeColor="text1"/>
                      <w:sz w:val="21"/>
                      <w:szCs w:val="21"/>
                      <w:highlight w:val="none"/>
                      <w14:textFill>
                        <w14:solidFill>
                          <w14:schemeClr w14:val="tx1"/>
                        </w14:solidFill>
                      </w14:textFill>
                    </w:rPr>
                    <w:t>”</w:t>
                  </w:r>
                  <w:r>
                    <w:rPr>
                      <w:color w:val="000000" w:themeColor="text1"/>
                      <w:sz w:val="21"/>
                      <w:szCs w:val="21"/>
                      <w:highlight w:val="none"/>
                      <w14:textFill>
                        <w14:solidFill>
                          <w14:schemeClr w14:val="tx1"/>
                        </w14:solidFill>
                      </w14:textFill>
                    </w:rPr>
                    <w:t>规划（修订版）》（巴党发〔2025〕2号）</w:t>
                  </w:r>
                </w:p>
              </w:tc>
              <w:tc>
                <w:tcPr>
                  <w:tcW w:w="2325" w:type="pct"/>
                  <w:tcBorders>
                    <w:tl2br w:val="nil"/>
                    <w:tr2bl w:val="nil"/>
                  </w:tcBorders>
                  <w:shd w:val="clear" w:color="auto" w:fill="auto"/>
                  <w:vAlign w:val="center"/>
                </w:tcPr>
                <w:p w14:paraId="22787F3D">
                  <w:pPr>
                    <w:adjustRightInd w:val="0"/>
                    <w:snapToGrid w:val="0"/>
                    <w:spacing w:line="240" w:lineRule="auto"/>
                    <w:ind w:firstLine="0" w:firstLineChars="0"/>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生态保护修复扎实开展，生态环境质量不断改善。兵地统筹开展区域空间生态环境评价，发布“三线一单”成果。积极推进以国家公园为主体的自然保护地体系建设，推动完成保护地整合优化预案。坚持山水林田湖草沙多要素系统治理，加大重点区域治理修复。积极推进国土空间绿化行动，实施塔里木河流域胡杨林拯救行动，积极组织开展“绿盾”自然保护地强化监督。大力开展农村环境整治，稳步推进厕所革命、农村生活垃圾和生活污水治理，村容村貌进一步提升。</w:t>
                  </w:r>
                </w:p>
              </w:tc>
              <w:tc>
                <w:tcPr>
                  <w:tcW w:w="1728" w:type="pct"/>
                  <w:tcBorders>
                    <w:tl2br w:val="nil"/>
                    <w:tr2bl w:val="nil"/>
                  </w:tcBorders>
                  <w:shd w:val="clear" w:color="auto" w:fill="auto"/>
                  <w:vAlign w:val="center"/>
                </w:tcPr>
                <w:p w14:paraId="03B61191">
                  <w:pPr>
                    <w:adjustRightInd w:val="0"/>
                    <w:snapToGrid w:val="0"/>
                    <w:spacing w:line="240" w:lineRule="auto"/>
                    <w:ind w:firstLine="0" w:firstLineChars="0"/>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为矿产地质勘查项目，勘查区范围不涉及生态保护红线和自然保护地等敏感区域。采用槽探、钻探等绿色勘查手段，施工范围小、扰动轻，不涉及自然保护地核心区，不占用湿地，临时占用少量草地但施工结束后及时进行植被恢复，不排放工业废水。因此，项目建设不影响区域生态保护修复成效，符合相关生态环保</w:t>
                  </w:r>
                  <w:r>
                    <w:rPr>
                      <w:rFonts w:hint="eastAsia"/>
                      <w:color w:val="000000" w:themeColor="text1"/>
                      <w:sz w:val="21"/>
                      <w:szCs w:val="21"/>
                      <w:highlight w:val="none"/>
                      <w:lang w:eastAsia="zh-CN"/>
                      <w14:textFill>
                        <w14:solidFill>
                          <w14:schemeClr w14:val="tx1"/>
                        </w14:solidFill>
                      </w14:textFill>
                    </w:rPr>
                    <w:t>要求。</w:t>
                  </w:r>
                </w:p>
              </w:tc>
              <w:tc>
                <w:tcPr>
                  <w:tcW w:w="382" w:type="pct"/>
                  <w:tcBorders>
                    <w:tl2br w:val="nil"/>
                    <w:tr2bl w:val="nil"/>
                  </w:tcBorders>
                  <w:shd w:val="clear" w:color="auto" w:fill="auto"/>
                  <w:vAlign w:val="center"/>
                </w:tcPr>
                <w:p w14:paraId="7ACCA94F">
                  <w:pPr>
                    <w:adjustRightInd w:val="0"/>
                    <w:snapToGrid w:val="0"/>
                    <w:spacing w:line="240" w:lineRule="auto"/>
                    <w:ind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151369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21" w:hRule="atLeast"/>
                <w:jc w:val="center"/>
              </w:trPr>
              <w:tc>
                <w:tcPr>
                  <w:tcW w:w="563" w:type="pct"/>
                  <w:vMerge w:val="restart"/>
                  <w:tcBorders>
                    <w:tl2br w:val="nil"/>
                    <w:tr2bl w:val="nil"/>
                  </w:tcBorders>
                  <w:vAlign w:val="center"/>
                </w:tcPr>
                <w:p w14:paraId="1612DDF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14:textFill>
                        <w14:solidFill>
                          <w14:schemeClr w14:val="tx1"/>
                        </w14:solidFill>
                      </w14:textFill>
                    </w:rPr>
                    <w:t>中华人民共和国生态环境法典</w:t>
                  </w:r>
                  <w:r>
                    <w:rPr>
                      <w:color w:val="000000" w:themeColor="text1"/>
                      <w:sz w:val="21"/>
                      <w:szCs w:val="21"/>
                      <w:highlight w:val="none"/>
                      <w14:textFill>
                        <w14:solidFill>
                          <w14:schemeClr w14:val="tx1"/>
                        </w14:solidFill>
                      </w14:textFill>
                    </w:rPr>
                    <w:t>》</w:t>
                  </w:r>
                </w:p>
              </w:tc>
              <w:tc>
                <w:tcPr>
                  <w:tcW w:w="2325" w:type="pct"/>
                  <w:tcBorders>
                    <w:tl2br w:val="nil"/>
                    <w:tr2bl w:val="nil"/>
                  </w:tcBorders>
                  <w:vAlign w:val="center"/>
                </w:tcPr>
                <w:p w14:paraId="47A42625">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第一条 为了保护生态环境，防治污染和其他公害，保障公众健康和生态环境权益，维护生态安全，推动绿色低碳发展，建设生态文明，全面推进美丽中国建设，加快推进人与自然和谐共生的现代化，实现中华民族永续发展，根据宪法，制定</w:t>
                  </w:r>
                  <w:r>
                    <w:rPr>
                      <w:rFonts w:hint="eastAsia"/>
                      <w:color w:val="000000" w:themeColor="text1"/>
                      <w:sz w:val="21"/>
                      <w:szCs w:val="21"/>
                      <w:highlight w:val="none"/>
                      <w:lang w:eastAsia="zh-CN"/>
                      <w14:textFill>
                        <w14:solidFill>
                          <w14:schemeClr w14:val="tx1"/>
                        </w14:solidFill>
                      </w14:textFill>
                    </w:rPr>
                    <w:t>本法。</w:t>
                  </w:r>
                </w:p>
              </w:tc>
              <w:tc>
                <w:tcPr>
                  <w:tcW w:w="1728" w:type="pct"/>
                  <w:tcBorders>
                    <w:tl2br w:val="nil"/>
                    <w:tr2bl w:val="nil"/>
                  </w:tcBorders>
                  <w:vAlign w:val="center"/>
                </w:tcPr>
                <w:p w14:paraId="7F58265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本项目正在编制环境影响报告表，依法开展生态环境影响评价；施工期污染物均</w:t>
                  </w:r>
                  <w:r>
                    <w:rPr>
                      <w:rFonts w:hint="eastAsia"/>
                      <w:color w:val="000000" w:themeColor="text1"/>
                      <w:sz w:val="21"/>
                      <w:szCs w:val="21"/>
                      <w:highlight w:val="none"/>
                      <w:lang w:eastAsia="zh-CN"/>
                      <w14:textFill>
                        <w14:solidFill>
                          <w14:schemeClr w14:val="tx1"/>
                        </w14:solidFill>
                      </w14:textFill>
                    </w:rPr>
                    <w:t>得到有效</w:t>
                  </w:r>
                  <w:r>
                    <w:rPr>
                      <w:rFonts w:hint="eastAsia"/>
                      <w:color w:val="000000" w:themeColor="text1"/>
                      <w:sz w:val="21"/>
                      <w:szCs w:val="21"/>
                      <w:highlight w:val="none"/>
                      <w14:textFill>
                        <w14:solidFill>
                          <w14:schemeClr w14:val="tx1"/>
                        </w14:solidFill>
                      </w14:textFill>
                    </w:rPr>
                    <w:t>处置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符合资源利用上线</w:t>
                  </w:r>
                  <w:r>
                    <w:rPr>
                      <w:rFonts w:hint="eastAsia"/>
                      <w:color w:val="000000" w:themeColor="text1"/>
                      <w:sz w:val="21"/>
                      <w:szCs w:val="21"/>
                      <w:highlight w:val="none"/>
                      <w:lang w:eastAsia="zh-CN"/>
                      <w14:textFill>
                        <w14:solidFill>
                          <w14:schemeClr w14:val="tx1"/>
                        </w14:solidFill>
                      </w14:textFill>
                    </w:rPr>
                    <w:t>要求。</w:t>
                  </w:r>
                </w:p>
              </w:tc>
              <w:tc>
                <w:tcPr>
                  <w:tcW w:w="382" w:type="pct"/>
                  <w:tcBorders>
                    <w:tl2br w:val="nil"/>
                    <w:tr2bl w:val="nil"/>
                  </w:tcBorders>
                  <w:vAlign w:val="center"/>
                </w:tcPr>
                <w:p w14:paraId="73C2D933">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2A92E9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21" w:hRule="atLeast"/>
                <w:jc w:val="center"/>
              </w:trPr>
              <w:tc>
                <w:tcPr>
                  <w:tcW w:w="563" w:type="pct"/>
                  <w:vMerge w:val="continue"/>
                  <w:tcBorders>
                    <w:tl2br w:val="nil"/>
                    <w:tr2bl w:val="nil"/>
                  </w:tcBorders>
                  <w:vAlign w:val="center"/>
                </w:tcPr>
                <w:p w14:paraId="0C689A0F">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tcPr>
                <w:p w14:paraId="23EAD844">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第八十三条 编制有关开发利用规划，建设对生态环境有影响的项目，应当依法进行生态环境影响评价。未依法进行生态环境影响评价的开发利用规划，不得组织实施；未依法进行生态环境影响评价的建设项目，不得开工</w:t>
                  </w:r>
                  <w:r>
                    <w:rPr>
                      <w:rFonts w:hint="eastAsia"/>
                      <w:color w:val="000000" w:themeColor="text1"/>
                      <w:sz w:val="21"/>
                      <w:szCs w:val="21"/>
                      <w:highlight w:val="none"/>
                      <w:lang w:eastAsia="zh-CN"/>
                      <w14:textFill>
                        <w14:solidFill>
                          <w14:schemeClr w14:val="tx1"/>
                        </w14:solidFill>
                      </w14:textFill>
                    </w:rPr>
                    <w:t>建设。</w:t>
                  </w:r>
                </w:p>
              </w:tc>
              <w:tc>
                <w:tcPr>
                  <w:tcW w:w="1728" w:type="pct"/>
                  <w:tcBorders>
                    <w:tl2br w:val="nil"/>
                    <w:tr2bl w:val="nil"/>
                  </w:tcBorders>
                </w:tcPr>
                <w:p w14:paraId="03775FA1">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本项目已委托编制环境影响报告表，依法开展环境影响</w:t>
                  </w:r>
                  <w:r>
                    <w:rPr>
                      <w:rFonts w:hint="eastAsia"/>
                      <w:color w:val="000000" w:themeColor="text1"/>
                      <w:sz w:val="21"/>
                      <w:szCs w:val="21"/>
                      <w:highlight w:val="none"/>
                      <w:lang w:eastAsia="zh-CN"/>
                      <w14:textFill>
                        <w14:solidFill>
                          <w14:schemeClr w14:val="tx1"/>
                        </w14:solidFill>
                      </w14:textFill>
                    </w:rPr>
                    <w:t>评价。</w:t>
                  </w:r>
                </w:p>
              </w:tc>
              <w:tc>
                <w:tcPr>
                  <w:tcW w:w="382" w:type="pct"/>
                  <w:tcBorders>
                    <w:tl2br w:val="nil"/>
                    <w:tr2bl w:val="nil"/>
                  </w:tcBorders>
                </w:tcPr>
                <w:p w14:paraId="159C5C7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符合</w:t>
                  </w:r>
                </w:p>
              </w:tc>
            </w:tr>
            <w:tr w14:paraId="15DE4C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21" w:hRule="atLeast"/>
                <w:jc w:val="center"/>
              </w:trPr>
              <w:tc>
                <w:tcPr>
                  <w:tcW w:w="563" w:type="pct"/>
                  <w:vMerge w:val="continue"/>
                  <w:tcBorders>
                    <w:tl2br w:val="nil"/>
                    <w:tr2bl w:val="nil"/>
                  </w:tcBorders>
                  <w:vAlign w:val="center"/>
                </w:tcPr>
                <w:p w14:paraId="4C2B7A0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tcPr>
                <w:p w14:paraId="3AF5E69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第九十五条 国家根据建设项目对生态环境的影响程度，对建设项目的生态环境影响评价实行</w:t>
                  </w:r>
                  <w:r>
                    <w:rPr>
                      <w:rFonts w:hint="eastAsia"/>
                      <w:color w:val="000000" w:themeColor="text1"/>
                      <w:sz w:val="21"/>
                      <w:szCs w:val="21"/>
                      <w:highlight w:val="none"/>
                      <w:lang w:eastAsia="zh-CN"/>
                      <w14:textFill>
                        <w14:solidFill>
                          <w14:schemeClr w14:val="tx1"/>
                        </w14:solidFill>
                      </w14:textFill>
                    </w:rPr>
                    <w:t>分类管理。</w:t>
                  </w:r>
                </w:p>
              </w:tc>
              <w:tc>
                <w:tcPr>
                  <w:tcW w:w="1728" w:type="pct"/>
                  <w:tcBorders>
                    <w:tl2br w:val="nil"/>
                    <w:tr2bl w:val="nil"/>
                  </w:tcBorders>
                  <w:vAlign w:val="center"/>
                </w:tcPr>
                <w:p w14:paraId="069C0C98">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根据《建设项目环境影响评价分类管理名录》，本项目属于“四十六、专业技术服务业”中的“99、陆地矿产资源地质勘查（含油气资源勘探）；二氧化碳地质封存”，应编制环境影响报告表，本次评价按此</w:t>
                  </w:r>
                  <w:r>
                    <w:rPr>
                      <w:rFonts w:hint="eastAsia"/>
                      <w:color w:val="000000" w:themeColor="text1"/>
                      <w:sz w:val="21"/>
                      <w:szCs w:val="21"/>
                      <w:highlight w:val="none"/>
                      <w:lang w:eastAsia="zh-CN"/>
                      <w14:textFill>
                        <w14:solidFill>
                          <w14:schemeClr w14:val="tx1"/>
                        </w14:solidFill>
                      </w14:textFill>
                    </w:rPr>
                    <w:t>执行。</w:t>
                  </w:r>
                </w:p>
              </w:tc>
              <w:tc>
                <w:tcPr>
                  <w:tcW w:w="382" w:type="pct"/>
                  <w:tcBorders>
                    <w:tl2br w:val="nil"/>
                    <w:tr2bl w:val="nil"/>
                  </w:tcBorders>
                  <w:vAlign w:val="center"/>
                </w:tcPr>
                <w:p w14:paraId="2B9BDF9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0EC5A0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63" w:type="pct"/>
                  <w:vMerge w:val="continue"/>
                  <w:tcBorders>
                    <w:tl2br w:val="nil"/>
                    <w:tr2bl w:val="nil"/>
                  </w:tcBorders>
                  <w:vAlign w:val="center"/>
                </w:tcPr>
                <w:p w14:paraId="2B5874E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7B8A8C2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第七百七十一条</w:t>
                  </w:r>
                  <w:r>
                    <w:rPr>
                      <w:rFonts w:hint="eastAsia"/>
                      <w:color w:val="000000" w:themeColor="text1"/>
                      <w:sz w:val="21"/>
                      <w:szCs w:val="21"/>
                      <w:highlight w:val="none"/>
                      <w14:textFill>
                        <w14:solidFill>
                          <w14:schemeClr w14:val="tx1"/>
                        </w14:solidFill>
                      </w14:textFill>
                    </w:rPr>
                    <w:t xml:space="preserve"> 矿产资源的勘查、开采以及</w:t>
                  </w:r>
                  <w:r>
                    <w:rPr>
                      <w:rFonts w:hint="eastAsia"/>
                      <w:color w:val="000000" w:themeColor="text1"/>
                      <w:sz w:val="21"/>
                      <w:szCs w:val="21"/>
                      <w:highlight w:val="none"/>
                      <w:lang w:eastAsia="zh-CN"/>
                      <w14:textFill>
                        <w14:solidFill>
                          <w14:schemeClr w14:val="tx1"/>
                        </w14:solidFill>
                      </w14:textFill>
                    </w:rPr>
                    <w:t>矿山生态修复</w:t>
                  </w:r>
                  <w:r>
                    <w:rPr>
                      <w:rFonts w:hint="eastAsia"/>
                      <w:color w:val="000000" w:themeColor="text1"/>
                      <w:sz w:val="21"/>
                      <w:szCs w:val="21"/>
                      <w:highlight w:val="none"/>
                      <w14:textFill>
                        <w14:solidFill>
                          <w14:schemeClr w14:val="tx1"/>
                        </w14:solidFill>
                      </w14:textFill>
                    </w:rPr>
                    <w:t>，应当坚持开发利用与保护并重，实现</w:t>
                  </w:r>
                  <w:r>
                    <w:rPr>
                      <w:rFonts w:hint="eastAsia"/>
                      <w:color w:val="000000" w:themeColor="text1"/>
                      <w:sz w:val="21"/>
                      <w:szCs w:val="21"/>
                      <w:highlight w:val="none"/>
                      <w:lang w:eastAsia="zh-CN"/>
                      <w14:textFill>
                        <w14:solidFill>
                          <w14:schemeClr w14:val="tx1"/>
                        </w14:solidFill>
                      </w14:textFill>
                    </w:rPr>
                    <w:t>绿色发展。</w:t>
                  </w:r>
                </w:p>
              </w:tc>
              <w:tc>
                <w:tcPr>
                  <w:tcW w:w="1728" w:type="pct"/>
                  <w:tcBorders>
                    <w:tl2br w:val="nil"/>
                    <w:tr2bl w:val="nil"/>
                  </w:tcBorders>
                  <w:vAlign w:val="center"/>
                </w:tcPr>
                <w:p w14:paraId="0D2E9446">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项目占用天然牧草地，已启动草原征占审核审批手续</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勘查结束后及时进行植被恢复，不改变草地用途</w:t>
                  </w:r>
                </w:p>
              </w:tc>
              <w:tc>
                <w:tcPr>
                  <w:tcW w:w="382" w:type="pct"/>
                  <w:tcBorders>
                    <w:tl2br w:val="nil"/>
                    <w:tr2bl w:val="nil"/>
                  </w:tcBorders>
                  <w:vAlign w:val="center"/>
                </w:tcPr>
                <w:p w14:paraId="4EFB039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6C9185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63" w:type="pct"/>
                  <w:vMerge w:val="continue"/>
                  <w:tcBorders>
                    <w:tl2br w:val="nil"/>
                    <w:tr2bl w:val="nil"/>
                  </w:tcBorders>
                  <w:vAlign w:val="center"/>
                </w:tcPr>
                <w:p w14:paraId="7EA96D6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44D6FB95">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第七百七十四条</w:t>
                  </w:r>
                  <w:r>
                    <w:rPr>
                      <w:rFonts w:hint="eastAsia"/>
                      <w:color w:val="000000" w:themeColor="text1"/>
                      <w:sz w:val="21"/>
                      <w:szCs w:val="21"/>
                      <w:highlight w:val="none"/>
                      <w14:textFill>
                        <w14:solidFill>
                          <w14:schemeClr w14:val="tx1"/>
                        </w14:solidFill>
                      </w14:textFill>
                    </w:rPr>
                    <w:t xml:space="preserve"> 勘查活动结束后，探矿权人应当及时对勘查区域进行清理；破坏地表植被的，应当及时</w:t>
                  </w:r>
                  <w:r>
                    <w:rPr>
                      <w:rFonts w:hint="eastAsia"/>
                      <w:color w:val="000000" w:themeColor="text1"/>
                      <w:sz w:val="21"/>
                      <w:szCs w:val="21"/>
                      <w:highlight w:val="none"/>
                      <w:lang w:eastAsia="zh-CN"/>
                      <w14:textFill>
                        <w14:solidFill>
                          <w14:schemeClr w14:val="tx1"/>
                        </w14:solidFill>
                      </w14:textFill>
                    </w:rPr>
                    <w:t>恢复。</w:t>
                  </w:r>
                </w:p>
              </w:tc>
              <w:tc>
                <w:tcPr>
                  <w:tcW w:w="1728" w:type="pct"/>
                  <w:tcBorders>
                    <w:tl2br w:val="nil"/>
                    <w:tr2bl w:val="nil"/>
                  </w:tcBorders>
                  <w:vAlign w:val="center"/>
                </w:tcPr>
                <w:p w14:paraId="067E6404">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施工结束后对全部临时占地进行场地平整，播撒乡土草种恢复植被，</w:t>
                  </w:r>
                  <w:r>
                    <w:rPr>
                      <w:rFonts w:hint="eastAsia"/>
                      <w:color w:val="000000" w:themeColor="text1"/>
                      <w:sz w:val="21"/>
                      <w:szCs w:val="21"/>
                      <w:highlight w:val="none"/>
                      <w:lang w:eastAsia="zh-CN"/>
                      <w14:textFill>
                        <w14:solidFill>
                          <w14:schemeClr w14:val="tx1"/>
                        </w14:solidFill>
                      </w14:textFill>
                    </w:rPr>
                    <w:t>使场地恢复</w:t>
                  </w:r>
                  <w:r>
                    <w:rPr>
                      <w:color w:val="000000" w:themeColor="text1"/>
                      <w:sz w:val="21"/>
                      <w:szCs w:val="21"/>
                      <w:highlight w:val="none"/>
                      <w14:textFill>
                        <w14:solidFill>
                          <w14:schemeClr w14:val="tx1"/>
                        </w14:solidFill>
                      </w14:textFill>
                    </w:rPr>
                    <w:t>至与周边天然牧草地</w:t>
                  </w:r>
                  <w:r>
                    <w:rPr>
                      <w:rFonts w:hint="eastAsia"/>
                      <w:color w:val="000000" w:themeColor="text1"/>
                      <w:sz w:val="21"/>
                      <w:szCs w:val="21"/>
                      <w:highlight w:val="none"/>
                      <w:lang w:eastAsia="zh-CN"/>
                      <w14:textFill>
                        <w14:solidFill>
                          <w14:schemeClr w14:val="tx1"/>
                        </w14:solidFill>
                      </w14:textFill>
                    </w:rPr>
                    <w:t>基本一致。</w:t>
                  </w:r>
                </w:p>
              </w:tc>
              <w:tc>
                <w:tcPr>
                  <w:tcW w:w="382" w:type="pct"/>
                  <w:tcBorders>
                    <w:tl2br w:val="nil"/>
                    <w:tr2bl w:val="nil"/>
                  </w:tcBorders>
                  <w:vAlign w:val="center"/>
                </w:tcPr>
                <w:p w14:paraId="39CF9B9C">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1FDB35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63" w:type="pct"/>
                  <w:vMerge w:val="continue"/>
                  <w:tcBorders>
                    <w:tl2br w:val="nil"/>
                    <w:tr2bl w:val="nil"/>
                  </w:tcBorders>
                  <w:vAlign w:val="center"/>
                </w:tcPr>
                <w:p w14:paraId="4D179C4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1DD4259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第八百八十九条 水土保持工作实行预防为主、保护优先、全面规划、综合治理、因地制宜、突出重点、科学管理、注重效益的</w:t>
                  </w:r>
                  <w:r>
                    <w:rPr>
                      <w:rFonts w:hint="eastAsia"/>
                      <w:color w:val="000000" w:themeColor="text1"/>
                      <w:sz w:val="21"/>
                      <w:szCs w:val="21"/>
                      <w:highlight w:val="none"/>
                      <w:lang w:eastAsia="zh-CN"/>
                      <w14:textFill>
                        <w14:solidFill>
                          <w14:schemeClr w14:val="tx1"/>
                        </w14:solidFill>
                      </w14:textFill>
                    </w:rPr>
                    <w:t>方针。</w:t>
                  </w:r>
                </w:p>
              </w:tc>
              <w:tc>
                <w:tcPr>
                  <w:tcW w:w="1728" w:type="pct"/>
                  <w:tcBorders>
                    <w:tl2br w:val="nil"/>
                    <w:tr2bl w:val="nil"/>
                  </w:tcBorders>
                  <w:vAlign w:val="center"/>
                </w:tcPr>
                <w:p w14:paraId="6EB3EA99">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项目区属于天山山区水土流失重点预防区，施工期通过控制作业带宽度、</w:t>
                  </w:r>
                  <w:r>
                    <w:rPr>
                      <w:rFonts w:hint="eastAsia"/>
                      <w:color w:val="000000" w:themeColor="text1"/>
                      <w:sz w:val="21"/>
                      <w:szCs w:val="21"/>
                      <w:highlight w:val="none"/>
                      <w:lang w:eastAsia="zh-CN"/>
                      <w14:textFill>
                        <w14:solidFill>
                          <w14:schemeClr w14:val="tx1"/>
                        </w14:solidFill>
                      </w14:textFill>
                    </w:rPr>
                    <w:t>对临时</w:t>
                  </w:r>
                  <w:r>
                    <w:rPr>
                      <w:rFonts w:hint="eastAsia"/>
                      <w:color w:val="000000" w:themeColor="text1"/>
                      <w:sz w:val="21"/>
                      <w:szCs w:val="21"/>
                      <w:highlight w:val="none"/>
                      <w14:textFill>
                        <w14:solidFill>
                          <w14:schemeClr w14:val="tx1"/>
                        </w14:solidFill>
                      </w14:textFill>
                    </w:rPr>
                    <w:t>堆土</w:t>
                  </w:r>
                  <w:r>
                    <w:rPr>
                      <w:rFonts w:hint="eastAsia"/>
                      <w:color w:val="000000" w:themeColor="text1"/>
                      <w:sz w:val="21"/>
                      <w:szCs w:val="21"/>
                      <w:highlight w:val="none"/>
                      <w:lang w:eastAsia="zh-CN"/>
                      <w14:textFill>
                        <w14:solidFill>
                          <w14:schemeClr w14:val="tx1"/>
                        </w14:solidFill>
                      </w14:textFill>
                    </w:rPr>
                    <w:t>进行苫盖</w:t>
                  </w:r>
                  <w:r>
                    <w:rPr>
                      <w:rFonts w:hint="eastAsia"/>
                      <w:color w:val="000000" w:themeColor="text1"/>
                      <w:sz w:val="21"/>
                      <w:szCs w:val="21"/>
                      <w:highlight w:val="none"/>
                      <w14:textFill>
                        <w14:solidFill>
                          <w14:schemeClr w14:val="tx1"/>
                        </w14:solidFill>
                      </w14:textFill>
                    </w:rPr>
                    <w:t>、避开恶劣天气施工等措施控制</w:t>
                  </w:r>
                  <w:r>
                    <w:rPr>
                      <w:rFonts w:hint="eastAsia"/>
                      <w:color w:val="000000" w:themeColor="text1"/>
                      <w:sz w:val="21"/>
                      <w:szCs w:val="21"/>
                      <w:highlight w:val="none"/>
                      <w:lang w:eastAsia="zh-CN"/>
                      <w14:textFill>
                        <w14:solidFill>
                          <w14:schemeClr w14:val="tx1"/>
                        </w14:solidFill>
                      </w14:textFill>
                    </w:rPr>
                    <w:t>水土流失。</w:t>
                  </w:r>
                </w:p>
              </w:tc>
              <w:tc>
                <w:tcPr>
                  <w:tcW w:w="382" w:type="pct"/>
                  <w:tcBorders>
                    <w:tl2br w:val="nil"/>
                    <w:tr2bl w:val="nil"/>
                  </w:tcBorders>
                  <w:vAlign w:val="center"/>
                </w:tcPr>
                <w:p w14:paraId="073BE56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207985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05" w:hRule="atLeast"/>
                <w:jc w:val="center"/>
              </w:trPr>
              <w:tc>
                <w:tcPr>
                  <w:tcW w:w="563" w:type="pct"/>
                  <w:tcBorders>
                    <w:tl2br w:val="nil"/>
                    <w:tr2bl w:val="nil"/>
                  </w:tcBorders>
                  <w:vAlign w:val="center"/>
                </w:tcPr>
                <w:p w14:paraId="24BF28E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新疆维吾尔自治区林业草原保护发展“十四五”规划</w:t>
                  </w:r>
                </w:p>
              </w:tc>
              <w:tc>
                <w:tcPr>
                  <w:tcW w:w="2325" w:type="pct"/>
                  <w:tcBorders>
                    <w:tl2br w:val="nil"/>
                    <w:tr2bl w:val="nil"/>
                  </w:tcBorders>
                  <w:vAlign w:val="center"/>
                </w:tcPr>
                <w:p w14:paraId="548FE36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一、坚持保护优先、绿色发展</w:t>
                  </w:r>
                </w:p>
                <w:p w14:paraId="2F13D1F1">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尊重自然、顺应自然、保护自然，将保护林草资源摆在优先位置，探索自然保护与资源利用新模式，严格保护自然生态系统，积极推动生态产业化和产业生态化，推动林草事业绿色发展。</w:t>
                  </w:r>
                </w:p>
                <w:p w14:paraId="2669D721">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二、坚持统筹谋划、综合治理</w:t>
                  </w:r>
                </w:p>
                <w:p w14:paraId="456ED8E4">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运用系统思维和整体思维加强顶层设计，统筹谋划重大工程、重大改革和重大制度，与国家战略有效衔接</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把握全局性、普遍性生态突出问题，注重林草系统修复和综合治理，注重林草产业结构调整优化，注重林草质量效益提升。</w:t>
                  </w:r>
                </w:p>
                <w:p w14:paraId="48837CB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三、坚持因地制宜、突出特色</w:t>
                  </w:r>
                </w:p>
                <w:p w14:paraId="77555DA9">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根据不同区域自然条件和生态承载力科学推进生态建设，宜封则封、宜造则造、宜林则林、宜灌则灌、宜草则草、宜荒则荒、宜沙则沙。大力培育林草优势产业、特色产业和新兴产业，形成区位突出、特色鲜明、融合发展的林草产业新格局。</w:t>
                  </w:r>
                </w:p>
              </w:tc>
              <w:tc>
                <w:tcPr>
                  <w:tcW w:w="1728" w:type="pct"/>
                  <w:tcBorders>
                    <w:tl2br w:val="nil"/>
                    <w:tr2bl w:val="nil"/>
                  </w:tcBorders>
                  <w:vAlign w:val="center"/>
                </w:tcPr>
                <w:p w14:paraId="20F7180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 1 \* GB3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①</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t>本项目为矿产地质勘查项目，占用天然草原，已启动草原征占审核审批手续，正在办理中。</w:t>
                  </w:r>
                  <w:r>
                    <w:rPr>
                      <w:rFonts w:hint="eastAsia"/>
                      <w:color w:val="000000" w:themeColor="text1"/>
                      <w:sz w:val="21"/>
                      <w:szCs w:val="21"/>
                      <w:highlight w:val="none"/>
                      <w:lang w:eastAsia="zh-CN"/>
                      <w14:textFill>
                        <w14:solidFill>
                          <w14:schemeClr w14:val="tx1"/>
                        </w14:solidFill>
                      </w14:textFill>
                    </w:rPr>
                    <w:t>在未</w:t>
                  </w:r>
                  <w:r>
                    <w:rPr>
                      <w:rFonts w:hint="eastAsia"/>
                      <w:color w:val="000000" w:themeColor="text1"/>
                      <w:sz w:val="21"/>
                      <w:szCs w:val="21"/>
                      <w:highlight w:val="none"/>
                      <w14:textFill>
                        <w14:solidFill>
                          <w14:schemeClr w14:val="tx1"/>
                        </w14:solidFill>
                      </w14:textFill>
                    </w:rPr>
                    <w:t>取得草原行政主管部门正式批复前，本项目不得开工建设，确保符合“先审批、后占用”的法律要求，做到草原资源</w:t>
                  </w:r>
                  <w:r>
                    <w:rPr>
                      <w:rFonts w:hint="eastAsia"/>
                      <w:color w:val="000000" w:themeColor="text1"/>
                      <w:sz w:val="21"/>
                      <w:szCs w:val="21"/>
                      <w:highlight w:val="none"/>
                      <w:lang w:eastAsia="zh-CN"/>
                      <w14:textFill>
                        <w14:solidFill>
                          <w14:schemeClr w14:val="tx1"/>
                        </w14:solidFill>
                      </w14:textFill>
                    </w:rPr>
                    <w:t>保护优先。</w:t>
                  </w:r>
                </w:p>
                <w:p w14:paraId="4261934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 2 \* GB3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②</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t>勘查区严格划定施工范围，设置彩条旗限界，严禁超范围碾压草地；临时占地尽量避让植被相对较好的草地区域，槽探、钻探等点状工程结束后及时进行场地平整、回填覆土和植被</w:t>
                  </w:r>
                  <w:r>
                    <w:rPr>
                      <w:rFonts w:hint="eastAsia"/>
                      <w:color w:val="000000" w:themeColor="text1"/>
                      <w:sz w:val="21"/>
                      <w:szCs w:val="21"/>
                      <w:highlight w:val="none"/>
                      <w:lang w:eastAsia="zh-CN"/>
                      <w14:textFill>
                        <w14:solidFill>
                          <w14:schemeClr w14:val="tx1"/>
                        </w14:solidFill>
                      </w14:textFill>
                    </w:rPr>
                    <w:t>恢复。</w:t>
                  </w:r>
                </w:p>
                <w:p w14:paraId="345C7A6A">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 3 \* GB3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③</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t>本项目施工范围小、扰动面积有限，施工结束后对临时占地进行全面植被恢复，不改变草地用途，不影响草地生态功能。项目建设不涉及自然保护区、生态保护红线等禁止开发</w:t>
                  </w:r>
                  <w:r>
                    <w:rPr>
                      <w:rFonts w:hint="eastAsia"/>
                      <w:color w:val="000000" w:themeColor="text1"/>
                      <w:sz w:val="21"/>
                      <w:szCs w:val="21"/>
                      <w:highlight w:val="none"/>
                      <w:lang w:eastAsia="zh-CN"/>
                      <w14:textFill>
                        <w14:solidFill>
                          <w14:schemeClr w14:val="tx1"/>
                        </w14:solidFill>
                      </w14:textFill>
                    </w:rPr>
                    <w:t>区域。</w:t>
                  </w:r>
                </w:p>
              </w:tc>
              <w:tc>
                <w:tcPr>
                  <w:tcW w:w="382" w:type="pct"/>
                  <w:tcBorders>
                    <w:tl2br w:val="nil"/>
                    <w:tr2bl w:val="nil"/>
                  </w:tcBorders>
                  <w:vAlign w:val="center"/>
                </w:tcPr>
                <w:p w14:paraId="5AD10A0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3FFC09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563" w:type="pct"/>
                  <w:tcBorders>
                    <w:tl2br w:val="nil"/>
                    <w:tr2bl w:val="nil"/>
                  </w:tcBorders>
                  <w:vAlign w:val="center"/>
                </w:tcPr>
                <w:p w14:paraId="7103881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和静县国土空间总体规划（2021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2035年）</w:t>
                  </w:r>
                </w:p>
              </w:tc>
              <w:tc>
                <w:tcPr>
                  <w:tcW w:w="2325" w:type="pct"/>
                  <w:tcBorders>
                    <w:tl2br w:val="nil"/>
                    <w:tr2bl w:val="nil"/>
                  </w:tcBorders>
                  <w:vAlign w:val="center"/>
                </w:tcPr>
                <w:p w14:paraId="2F88DF94">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建立绿色矿山，基本形成绿色矿山建设新格局。在矿山勘查、设计、建设、生产、闭坑等阶段遵循创建“绿色矿山”的标准</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至2035年，6家大中型矿山升级或创建为国家级绿色矿山；位于城镇周边、生态脆弱区域的19家小型矿山建成自治区级绿色矿山。</w:t>
                  </w:r>
                </w:p>
              </w:tc>
              <w:tc>
                <w:tcPr>
                  <w:tcW w:w="1728" w:type="pct"/>
                  <w:tcBorders>
                    <w:tl2br w:val="nil"/>
                    <w:tr2bl w:val="nil"/>
                  </w:tcBorders>
                  <w:vAlign w:val="center"/>
                </w:tcPr>
                <w:p w14:paraId="30F6091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为矿产地质调查项目，属于矿产资源勘查阶段。项目实施过程中严格遵循绿色勘查理念，采用槽探、钻探等低扰动勘查手段，严格控制施工作业范围，槽探工程尽量缩小断面尺寸、控制开挖深度，施工结束后及时回填槽探、平整场地、恢复植被，最大程度减少对生态环境的影响。各项勘查工程均符合绿色矿山建设中关于“勘查阶段”的环保</w:t>
                  </w:r>
                  <w:r>
                    <w:rPr>
                      <w:rFonts w:hint="eastAsia"/>
                      <w:color w:val="000000" w:themeColor="text1"/>
                      <w:sz w:val="21"/>
                      <w:szCs w:val="21"/>
                      <w:highlight w:val="none"/>
                      <w:lang w:eastAsia="zh-CN"/>
                      <w14:textFill>
                        <w14:solidFill>
                          <w14:schemeClr w14:val="tx1"/>
                        </w14:solidFill>
                      </w14:textFill>
                    </w:rPr>
                    <w:t>要求。</w:t>
                  </w:r>
                </w:p>
              </w:tc>
              <w:tc>
                <w:tcPr>
                  <w:tcW w:w="382" w:type="pct"/>
                  <w:tcBorders>
                    <w:tl2br w:val="nil"/>
                    <w:tr2bl w:val="nil"/>
                  </w:tcBorders>
                  <w:vAlign w:val="center"/>
                </w:tcPr>
                <w:p w14:paraId="69C83091">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0EAB5E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restart"/>
                  <w:tcBorders>
                    <w:tl2br w:val="nil"/>
                    <w:tr2bl w:val="nil"/>
                  </w:tcBorders>
                  <w:vAlign w:val="center"/>
                </w:tcPr>
                <w:p w14:paraId="430F4493">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《新疆生态环境保护“十四五”规划》</w:t>
                  </w:r>
                </w:p>
              </w:tc>
              <w:tc>
                <w:tcPr>
                  <w:tcW w:w="2325" w:type="pct"/>
                  <w:tcBorders>
                    <w:tl2br w:val="nil"/>
                    <w:tr2bl w:val="nil"/>
                  </w:tcBorders>
                  <w:vAlign w:val="center"/>
                </w:tcPr>
                <w:p w14:paraId="3BC680D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严格执行能源、矿产资源开发自治区人民政府“一支笔”审批制度、环境保护“一票否决”</w:t>
                  </w:r>
                  <w:r>
                    <w:rPr>
                      <w:rFonts w:hint="eastAsia"/>
                      <w:color w:val="000000" w:themeColor="text1"/>
                      <w:sz w:val="21"/>
                      <w:szCs w:val="21"/>
                      <w:highlight w:val="none"/>
                      <w:lang w:eastAsia="zh-CN"/>
                      <w14:textFill>
                        <w14:solidFill>
                          <w14:schemeClr w14:val="tx1"/>
                        </w14:solidFill>
                      </w14:textFill>
                    </w:rPr>
                    <w:t>制度。</w:t>
                  </w:r>
                </w:p>
              </w:tc>
              <w:tc>
                <w:tcPr>
                  <w:tcW w:w="1728" w:type="pct"/>
                  <w:tcBorders>
                    <w:tl2br w:val="nil"/>
                    <w:tr2bl w:val="nil"/>
                  </w:tcBorders>
                  <w:vAlign w:val="center"/>
                </w:tcPr>
                <w:p w14:paraId="494A605F">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本项目持有合法有效的探矿权证，属矿产地质勘查工程，</w:t>
                  </w:r>
                  <w:r>
                    <w:rPr>
                      <w:rFonts w:hint="eastAsia"/>
                      <w:color w:val="000000" w:themeColor="text1"/>
                      <w:sz w:val="21"/>
                      <w:szCs w:val="21"/>
                      <w:highlight w:val="none"/>
                      <w14:textFill>
                        <w14:solidFill>
                          <w14:schemeClr w14:val="tx1"/>
                        </w14:solidFill>
                      </w14:textFill>
                    </w:rPr>
                    <w:t>依法依规推进实施</w:t>
                  </w:r>
                </w:p>
              </w:tc>
              <w:tc>
                <w:tcPr>
                  <w:tcW w:w="382" w:type="pct"/>
                  <w:tcBorders>
                    <w:tl2br w:val="nil"/>
                    <w:tr2bl w:val="nil"/>
                  </w:tcBorders>
                  <w:vAlign w:val="center"/>
                </w:tcPr>
                <w:p w14:paraId="455FFE4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15B4C7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5F5B43F2">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4B4A90DA">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全面推进绿色矿山建设，推广矿产资源节约与综合利用先进技术</w:t>
                  </w:r>
                </w:p>
              </w:tc>
              <w:tc>
                <w:tcPr>
                  <w:tcW w:w="1728" w:type="pct"/>
                  <w:tcBorders>
                    <w:tl2br w:val="nil"/>
                    <w:tr2bl w:val="nil"/>
                  </w:tcBorders>
                  <w:vAlign w:val="center"/>
                </w:tcPr>
                <w:p w14:paraId="06A3D14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本项目为勘查阶段，严格遵循绿色勘查理念，采用槽探、钻探等低扰动手段，施工结束后及时回填探槽、平整场地、恢复植被，最大限度减少对生态环境的扰动</w:t>
                  </w:r>
                </w:p>
              </w:tc>
              <w:tc>
                <w:tcPr>
                  <w:tcW w:w="382" w:type="pct"/>
                  <w:tcBorders>
                    <w:tl2br w:val="nil"/>
                    <w:tr2bl w:val="nil"/>
                  </w:tcBorders>
                  <w:vAlign w:val="center"/>
                </w:tcPr>
                <w:p w14:paraId="55A0D268">
                  <w:pPr>
                    <w:adjustRightInd w:val="0"/>
                    <w:snapToGrid w:val="0"/>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408EA7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restart"/>
                  <w:tcBorders>
                    <w:tl2br w:val="nil"/>
                    <w:tr2bl w:val="nil"/>
                  </w:tcBorders>
                  <w:vAlign w:val="center"/>
                </w:tcPr>
                <w:p w14:paraId="5352C2A3">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《绿色地质勘查工作规范》（DZ/T0374-2021）</w:t>
                  </w:r>
                </w:p>
              </w:tc>
              <w:tc>
                <w:tcPr>
                  <w:tcW w:w="2325" w:type="pct"/>
                  <w:tcBorders>
                    <w:tl2br w:val="nil"/>
                    <w:tr2bl w:val="nil"/>
                  </w:tcBorders>
                  <w:vAlign w:val="center"/>
                </w:tcPr>
                <w:p w14:paraId="2901C999">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在满足地质工作目的和质量的情况下，作业点和作业路线应避开珍稀、濒危野生动植物自然分布区域。必须穿行此区域时，开车时不应鸣笛，行走时不应恐吓、伤害野生动物；不应采摘、踩踏珍稀</w:t>
                  </w:r>
                  <w:r>
                    <w:rPr>
                      <w:rFonts w:hint="eastAsia"/>
                      <w:color w:val="000000" w:themeColor="text1"/>
                      <w:sz w:val="21"/>
                      <w:szCs w:val="22"/>
                      <w:highlight w:val="none"/>
                      <w:shd w:val="clear" w:color="auto" w:fill="FFFFFF"/>
                      <w:lang w:eastAsia="zh-CN"/>
                      <w14:textFill>
                        <w14:solidFill>
                          <w14:schemeClr w14:val="tx1"/>
                        </w14:solidFill>
                      </w14:textFill>
                    </w:rPr>
                    <w:t>野生植物。</w:t>
                  </w:r>
                </w:p>
              </w:tc>
              <w:tc>
                <w:tcPr>
                  <w:tcW w:w="1728" w:type="pct"/>
                  <w:tcBorders>
                    <w:tl2br w:val="nil"/>
                    <w:tr2bl w:val="nil"/>
                  </w:tcBorders>
                  <w:vAlign w:val="center"/>
                </w:tcPr>
                <w:p w14:paraId="449FB904">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本次勘查区域内不涉及珍稀、濒危野生动植物自然分布区域，同时本次环评已提出相关的野生动植物</w:t>
                  </w:r>
                  <w:r>
                    <w:rPr>
                      <w:rFonts w:hint="eastAsia"/>
                      <w:color w:val="000000" w:themeColor="text1"/>
                      <w:sz w:val="21"/>
                      <w:szCs w:val="22"/>
                      <w:highlight w:val="none"/>
                      <w:shd w:val="clear" w:color="auto" w:fill="FFFFFF"/>
                      <w:lang w:eastAsia="zh-CN"/>
                      <w14:textFill>
                        <w14:solidFill>
                          <w14:schemeClr w14:val="tx1"/>
                        </w14:solidFill>
                      </w14:textFill>
                    </w:rPr>
                    <w:t>保护措施。</w:t>
                  </w:r>
                </w:p>
              </w:tc>
              <w:tc>
                <w:tcPr>
                  <w:tcW w:w="382" w:type="pct"/>
                  <w:tcBorders>
                    <w:tl2br w:val="nil"/>
                    <w:tr2bl w:val="nil"/>
                  </w:tcBorders>
                  <w:vAlign w:val="center"/>
                </w:tcPr>
                <w:p w14:paraId="3E899E6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5C4553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3BCF7532">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20CFC24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作业时要标记点位</w:t>
                  </w:r>
                  <w:r>
                    <w:rPr>
                      <w:rFonts w:hint="eastAsia"/>
                      <w:color w:val="000000" w:themeColor="text1"/>
                      <w:sz w:val="21"/>
                      <w:szCs w:val="22"/>
                      <w:highlight w:val="none"/>
                      <w:shd w:val="clear" w:color="auto" w:fill="FFFFFF"/>
                      <w:lang w:eastAsia="zh-CN"/>
                      <w14:textFill>
                        <w14:solidFill>
                          <w14:schemeClr w14:val="tx1"/>
                        </w14:solidFill>
                      </w14:textFill>
                    </w:rPr>
                    <w:t>，</w:t>
                  </w:r>
                  <w:r>
                    <w:rPr>
                      <w:color w:val="000000" w:themeColor="text1"/>
                      <w:sz w:val="21"/>
                      <w:szCs w:val="22"/>
                      <w:highlight w:val="none"/>
                      <w:shd w:val="clear" w:color="auto" w:fill="FFFFFF"/>
                      <w14:textFill>
                        <w14:solidFill>
                          <w14:schemeClr w14:val="tx1"/>
                        </w14:solidFill>
                      </w14:textFill>
                    </w:rPr>
                    <w:t>应使用环保材料标记。作业中和作业后产生的废纸、金属、玻璃、塑料袋（瓶）、包装袋等垃圾和废电池、化学试剂等有害废弃物应带回驻地，分类后按规定处置，避免污染水、土壤和</w:t>
                  </w:r>
                  <w:r>
                    <w:rPr>
                      <w:rFonts w:hint="eastAsia"/>
                      <w:color w:val="000000" w:themeColor="text1"/>
                      <w:sz w:val="21"/>
                      <w:szCs w:val="22"/>
                      <w:highlight w:val="none"/>
                      <w:shd w:val="clear" w:color="auto" w:fill="FFFFFF"/>
                      <w:lang w:eastAsia="zh-CN"/>
                      <w14:textFill>
                        <w14:solidFill>
                          <w14:schemeClr w14:val="tx1"/>
                        </w14:solidFill>
                      </w14:textFill>
                    </w:rPr>
                    <w:t>大气环境。</w:t>
                  </w:r>
                </w:p>
              </w:tc>
              <w:tc>
                <w:tcPr>
                  <w:tcW w:w="1728" w:type="pct"/>
                  <w:tcBorders>
                    <w:tl2br w:val="nil"/>
                    <w:tr2bl w:val="nil"/>
                  </w:tcBorders>
                  <w:vAlign w:val="center"/>
                </w:tcPr>
                <w:p w14:paraId="5D5DD438">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本次</w:t>
                  </w:r>
                  <w:r>
                    <w:rPr>
                      <w:rFonts w:hint="eastAsia"/>
                      <w:color w:val="000000" w:themeColor="text1"/>
                      <w:sz w:val="21"/>
                      <w:szCs w:val="22"/>
                      <w:highlight w:val="none"/>
                      <w:shd w:val="clear" w:color="auto" w:fill="FFFFFF"/>
                      <w:lang w:eastAsia="zh-CN"/>
                      <w14:textFill>
                        <w14:solidFill>
                          <w14:schemeClr w14:val="tx1"/>
                        </w14:solidFill>
                      </w14:textFill>
                    </w:rPr>
                    <w:t>勘查</w:t>
                  </w:r>
                  <w:r>
                    <w:rPr>
                      <w:color w:val="000000" w:themeColor="text1"/>
                      <w:sz w:val="21"/>
                      <w:szCs w:val="22"/>
                      <w:highlight w:val="none"/>
                      <w:shd w:val="clear" w:color="auto" w:fill="FFFFFF"/>
                      <w14:textFill>
                        <w14:solidFill>
                          <w14:schemeClr w14:val="tx1"/>
                        </w14:solidFill>
                      </w14:textFill>
                    </w:rPr>
                    <w:t>所使用的标记材料均为环保材料。作业中和作业后产</w:t>
                  </w:r>
                  <w:r>
                    <w:rPr>
                      <w:rFonts w:hint="eastAsia"/>
                      <w:color w:val="000000" w:themeColor="text1"/>
                      <w:sz w:val="21"/>
                      <w:szCs w:val="22"/>
                      <w:highlight w:val="none"/>
                      <w:shd w:val="clear" w:color="auto" w:fill="FFFFFF"/>
                      <w14:textFill>
                        <w14:solidFill>
                          <w14:schemeClr w14:val="tx1"/>
                        </w14:solidFill>
                      </w14:textFill>
                    </w:rPr>
                    <w:t>生</w:t>
                  </w:r>
                  <w:r>
                    <w:rPr>
                      <w:color w:val="000000" w:themeColor="text1"/>
                      <w:sz w:val="21"/>
                      <w:szCs w:val="22"/>
                      <w:highlight w:val="none"/>
                      <w:shd w:val="clear" w:color="auto" w:fill="FFFFFF"/>
                      <w14:textFill>
                        <w14:solidFill>
                          <w14:schemeClr w14:val="tx1"/>
                        </w14:solidFill>
                      </w14:textFill>
                    </w:rPr>
                    <w:t>的垃圾均带回</w:t>
                  </w:r>
                  <w:r>
                    <w:rPr>
                      <w:rFonts w:hint="eastAsia"/>
                      <w:color w:val="000000" w:themeColor="text1"/>
                      <w:sz w:val="21"/>
                      <w:szCs w:val="22"/>
                      <w:highlight w:val="none"/>
                      <w:shd w:val="clear" w:color="auto" w:fill="FFFFFF"/>
                      <w14:textFill>
                        <w14:solidFill>
                          <w14:schemeClr w14:val="tx1"/>
                        </w14:solidFill>
                      </w14:textFill>
                    </w:rPr>
                    <w:t>生活区</w:t>
                  </w:r>
                  <w:r>
                    <w:rPr>
                      <w:color w:val="000000" w:themeColor="text1"/>
                      <w:sz w:val="21"/>
                      <w:szCs w:val="22"/>
                      <w:highlight w:val="none"/>
                      <w:shd w:val="clear" w:color="auto" w:fill="FFFFFF"/>
                      <w14:textFill>
                        <w14:solidFill>
                          <w14:schemeClr w14:val="tx1"/>
                        </w14:solidFill>
                      </w14:textFill>
                    </w:rPr>
                    <w:t>设置的垃圾桶中，按规定处置，避免污染水、土壤和大气环境。项目样品采集及化验等均委托第三方有相关资质的检测单位进行，不在项目区域实施，故项目不涉及使用相关的</w:t>
                  </w:r>
                  <w:r>
                    <w:rPr>
                      <w:rFonts w:hint="eastAsia"/>
                      <w:color w:val="000000" w:themeColor="text1"/>
                      <w:sz w:val="21"/>
                      <w:szCs w:val="22"/>
                      <w:highlight w:val="none"/>
                      <w:shd w:val="clear" w:color="auto" w:fill="FFFFFF"/>
                      <w:lang w:eastAsia="zh-CN"/>
                      <w14:textFill>
                        <w14:solidFill>
                          <w14:schemeClr w14:val="tx1"/>
                        </w14:solidFill>
                      </w14:textFill>
                    </w:rPr>
                    <w:t>化学试剂。</w:t>
                  </w:r>
                </w:p>
              </w:tc>
              <w:tc>
                <w:tcPr>
                  <w:tcW w:w="382" w:type="pct"/>
                  <w:tcBorders>
                    <w:tl2br w:val="nil"/>
                    <w:tr2bl w:val="nil"/>
                  </w:tcBorders>
                  <w:vAlign w:val="center"/>
                </w:tcPr>
                <w:p w14:paraId="73A356C9">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30E3D0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6A94F6C8">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6FCC4626">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穿行工作区域无道路时，车辆应尽量避开植被行驶；人员穿行茂密山林时，尽量避免砍伐树木，同行人应走同一条道路；穿越农作物种植区或果园时，不应随意踩踏和采摘。确实无法开展工作时，可修剪少量</w:t>
                  </w:r>
                  <w:r>
                    <w:rPr>
                      <w:rFonts w:hint="eastAsia"/>
                      <w:color w:val="000000" w:themeColor="text1"/>
                      <w:sz w:val="21"/>
                      <w:szCs w:val="22"/>
                      <w:highlight w:val="none"/>
                      <w:shd w:val="clear" w:color="auto" w:fill="FFFFFF"/>
                      <w:lang w:eastAsia="zh-CN"/>
                      <w14:textFill>
                        <w14:solidFill>
                          <w14:schemeClr w14:val="tx1"/>
                        </w14:solidFill>
                      </w14:textFill>
                    </w:rPr>
                    <w:t>枝叶。</w:t>
                  </w:r>
                </w:p>
              </w:tc>
              <w:tc>
                <w:tcPr>
                  <w:tcW w:w="1728" w:type="pct"/>
                  <w:tcBorders>
                    <w:tl2br w:val="nil"/>
                    <w:tr2bl w:val="nil"/>
                  </w:tcBorders>
                  <w:vAlign w:val="center"/>
                </w:tcPr>
                <w:p w14:paraId="0AAC047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根据现场调查，</w:t>
                  </w:r>
                  <w:r>
                    <w:rPr>
                      <w:rFonts w:hint="eastAsia"/>
                      <w:color w:val="000000" w:themeColor="text1"/>
                      <w:sz w:val="21"/>
                      <w:szCs w:val="22"/>
                      <w:highlight w:val="none"/>
                      <w:shd w:val="clear" w:color="auto" w:fill="FFFFFF"/>
                      <w14:textFill>
                        <w14:solidFill>
                          <w14:schemeClr w14:val="tx1"/>
                        </w14:solidFill>
                      </w14:textFill>
                    </w:rPr>
                    <w:t>项目区植被覆盖率较高，勘探期间严格要求工作人员走同一路线，减少对天然牧草地的碾压，落实绿色勘查</w:t>
                  </w:r>
                  <w:r>
                    <w:rPr>
                      <w:rFonts w:hint="eastAsia"/>
                      <w:color w:val="000000" w:themeColor="text1"/>
                      <w:sz w:val="21"/>
                      <w:szCs w:val="22"/>
                      <w:highlight w:val="none"/>
                      <w:shd w:val="clear" w:color="auto" w:fill="FFFFFF"/>
                      <w:lang w:eastAsia="zh-CN"/>
                      <w14:textFill>
                        <w14:solidFill>
                          <w14:schemeClr w14:val="tx1"/>
                        </w14:solidFill>
                      </w14:textFill>
                    </w:rPr>
                    <w:t>要求。</w:t>
                  </w:r>
                </w:p>
              </w:tc>
              <w:tc>
                <w:tcPr>
                  <w:tcW w:w="382" w:type="pct"/>
                  <w:tcBorders>
                    <w:tl2br w:val="nil"/>
                    <w:tr2bl w:val="nil"/>
                  </w:tcBorders>
                  <w:vAlign w:val="center"/>
                </w:tcPr>
                <w:p w14:paraId="0432EE12">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3F7B98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2EC48AEA">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4511F6B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槽探施工可采用机械施工和人工开挖两种方式。交通方便，不需新修施工运输道路的地段，可采用机械施工</w:t>
                  </w:r>
                  <w:r>
                    <w:rPr>
                      <w:rFonts w:hint="eastAsia"/>
                      <w:color w:val="000000" w:themeColor="text1"/>
                      <w:sz w:val="21"/>
                      <w:szCs w:val="22"/>
                      <w:highlight w:val="none"/>
                      <w:shd w:val="clear" w:color="auto" w:fill="FFFFFF"/>
                      <w14:textFill>
                        <w14:solidFill>
                          <w14:schemeClr w14:val="tx1"/>
                        </w14:solidFill>
                      </w14:textFill>
                    </w:rPr>
                    <w:t>；</w:t>
                  </w:r>
                  <w:r>
                    <w:rPr>
                      <w:color w:val="000000" w:themeColor="text1"/>
                      <w:sz w:val="21"/>
                      <w:szCs w:val="22"/>
                      <w:highlight w:val="none"/>
                      <w:shd w:val="clear" w:color="auto" w:fill="FFFFFF"/>
                      <w14:textFill>
                        <w14:solidFill>
                          <w14:schemeClr w14:val="tx1"/>
                        </w14:solidFill>
                      </w14:textFill>
                    </w:rPr>
                    <w:t>交通不便、植被茂密的地段，宜采用人工开挖，以避免修路及机械施工造成土地、植被景观的破坏</w:t>
                  </w:r>
                </w:p>
              </w:tc>
              <w:tc>
                <w:tcPr>
                  <w:tcW w:w="1728" w:type="pct"/>
                  <w:tcBorders>
                    <w:tl2br w:val="nil"/>
                    <w:tr2bl w:val="nil"/>
                  </w:tcBorders>
                  <w:vAlign w:val="center"/>
                </w:tcPr>
                <w:p w14:paraId="5D33B8A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14:textFill>
                        <w14:solidFill>
                          <w14:schemeClr w14:val="tx1"/>
                        </w14:solidFill>
                      </w14:textFill>
                    </w:rPr>
                    <w:t>本项目</w:t>
                  </w:r>
                  <w:r>
                    <w:rPr>
                      <w:color w:val="000000" w:themeColor="text1"/>
                      <w:sz w:val="21"/>
                      <w:szCs w:val="22"/>
                      <w:highlight w:val="none"/>
                      <w:shd w:val="clear" w:color="auto" w:fill="FFFFFF"/>
                      <w14:textFill>
                        <w14:solidFill>
                          <w14:schemeClr w14:val="tx1"/>
                        </w14:solidFill>
                      </w14:textFill>
                    </w:rPr>
                    <w:t>槽探施工采用机械施工和人工开挖两种方式。</w:t>
                  </w:r>
                  <w:r>
                    <w:rPr>
                      <w:rFonts w:hint="eastAsia"/>
                      <w:color w:val="000000" w:themeColor="text1"/>
                      <w:sz w:val="21"/>
                      <w:szCs w:val="22"/>
                      <w:highlight w:val="none"/>
                      <w:shd w:val="clear" w:color="auto" w:fill="FFFFFF"/>
                      <w14:textFill>
                        <w14:solidFill>
                          <w14:schemeClr w14:val="tx1"/>
                        </w14:solidFill>
                      </w14:textFill>
                    </w:rPr>
                    <w:t>施工按照设计要求控制施工场地界限，避免超过规划的施工占地范围，对土地、植被景观造成破坏</w:t>
                  </w:r>
                </w:p>
              </w:tc>
              <w:tc>
                <w:tcPr>
                  <w:tcW w:w="382" w:type="pct"/>
                  <w:tcBorders>
                    <w:tl2br w:val="nil"/>
                    <w:tr2bl w:val="nil"/>
                  </w:tcBorders>
                  <w:vAlign w:val="center"/>
                </w:tcPr>
                <w:p w14:paraId="243FD282">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44A5E2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0383ED02">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77281C7F">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在陡斜地段开挖探槽产生的岩土，应采用可降解材料编织袋装袋，依次堆码于探槽两侧2m</w:t>
                  </w:r>
                  <w:r>
                    <w:rPr>
                      <w:rFonts w:hint="eastAsia"/>
                      <w:color w:val="000000" w:themeColor="text1"/>
                      <w:sz w:val="21"/>
                      <w:szCs w:val="22"/>
                      <w:highlight w:val="none"/>
                      <w:shd w:val="clear" w:color="auto" w:fill="FFFFFF"/>
                      <w:lang w:eastAsia="zh-CN"/>
                      <w14:textFill>
                        <w14:solidFill>
                          <w14:schemeClr w14:val="tx1"/>
                        </w14:solidFill>
                      </w14:textFill>
                    </w:rPr>
                    <w:t>～</w:t>
                  </w:r>
                  <w:r>
                    <w:rPr>
                      <w:color w:val="000000" w:themeColor="text1"/>
                      <w:sz w:val="21"/>
                      <w:szCs w:val="22"/>
                      <w:highlight w:val="none"/>
                      <w:shd w:val="clear" w:color="auto" w:fill="FFFFFF"/>
                      <w14:textFill>
                        <w14:solidFill>
                          <w14:schemeClr w14:val="tx1"/>
                        </w14:solidFill>
                      </w14:textFill>
                    </w:rPr>
                    <w:t>5m范围内较平缓稳定区域，堆放高度不宜超过2m，确保堆填边坡稳定。探槽上方禁止堆放土石，预防形成滑塌或坡面泥石流等次生灾害</w:t>
                  </w:r>
                </w:p>
              </w:tc>
              <w:tc>
                <w:tcPr>
                  <w:tcW w:w="1728" w:type="pct"/>
                  <w:tcBorders>
                    <w:tl2br w:val="nil"/>
                    <w:tr2bl w:val="nil"/>
                  </w:tcBorders>
                  <w:vAlign w:val="center"/>
                </w:tcPr>
                <w:p w14:paraId="58DA2BDF">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14:textFill>
                        <w14:solidFill>
                          <w14:schemeClr w14:val="tx1"/>
                        </w14:solidFill>
                      </w14:textFill>
                    </w:rPr>
                    <w:t>本次槽探施工产生的岩土采用可降解材料编织袋装袋后，依次堆码于探槽两侧2m</w:t>
                  </w:r>
                  <w:r>
                    <w:rPr>
                      <w:rFonts w:hint="eastAsia"/>
                      <w:color w:val="000000" w:themeColor="text1"/>
                      <w:sz w:val="21"/>
                      <w:szCs w:val="22"/>
                      <w:highlight w:val="none"/>
                      <w:shd w:val="clear" w:color="auto" w:fill="FFFFFF"/>
                      <w:lang w:eastAsia="zh-CN"/>
                      <w14:textFill>
                        <w14:solidFill>
                          <w14:schemeClr w14:val="tx1"/>
                        </w14:solidFill>
                      </w14:textFill>
                    </w:rPr>
                    <w:t>～</w:t>
                  </w:r>
                  <w:r>
                    <w:rPr>
                      <w:rFonts w:hint="eastAsia"/>
                      <w:color w:val="000000" w:themeColor="text1"/>
                      <w:sz w:val="21"/>
                      <w:szCs w:val="22"/>
                      <w:highlight w:val="none"/>
                      <w:shd w:val="clear" w:color="auto" w:fill="FFFFFF"/>
                      <w14:textFill>
                        <w14:solidFill>
                          <w14:schemeClr w14:val="tx1"/>
                        </w14:solidFill>
                      </w14:textFill>
                    </w:rPr>
                    <w:t>5m范围内的较平缓稳定区域，堆放高度不超过2m，确保堆填边坡稳定。探槽上方严禁堆放土石，以防引发滑塌或坡面泥石流等次生灾害</w:t>
                  </w:r>
                </w:p>
              </w:tc>
              <w:tc>
                <w:tcPr>
                  <w:tcW w:w="382" w:type="pct"/>
                  <w:tcBorders>
                    <w:tl2br w:val="nil"/>
                    <w:tr2bl w:val="nil"/>
                  </w:tcBorders>
                  <w:vAlign w:val="center"/>
                </w:tcPr>
                <w:p w14:paraId="44D1EE0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68BE5D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2AE6A62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6D819A6F">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槽探施工应自上而下顺序开挖，并做好沟槽边坡安全管控，按规定放坡，及时清除坡体上的松散土石，不稳定边坡应进行临时支护，预防滑塌安全事故</w:t>
                  </w:r>
                </w:p>
              </w:tc>
              <w:tc>
                <w:tcPr>
                  <w:tcW w:w="1728" w:type="pct"/>
                  <w:tcBorders>
                    <w:tl2br w:val="nil"/>
                    <w:tr2bl w:val="nil"/>
                  </w:tcBorders>
                  <w:vAlign w:val="center"/>
                </w:tcPr>
                <w:p w14:paraId="200E73DC">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14:textFill>
                        <w14:solidFill>
                          <w14:schemeClr w14:val="tx1"/>
                        </w14:solidFill>
                      </w14:textFill>
                    </w:rPr>
                    <w:t>槽探工程采用自上而下分层循序开挖施工，施工期间严格落实沟槽边坡安全管控措施，按设计及规范要求合理放坡，及时清理坡体松动、危浮土石；对地质条件较差、稳定性不足的边坡及时采取临时支护加固处理，全过程严控边坡滑塌、坍塌安全风险</w:t>
                  </w:r>
                </w:p>
              </w:tc>
              <w:tc>
                <w:tcPr>
                  <w:tcW w:w="382" w:type="pct"/>
                  <w:tcBorders>
                    <w:tl2br w:val="nil"/>
                    <w:tr2bl w:val="nil"/>
                  </w:tcBorders>
                  <w:vAlign w:val="center"/>
                </w:tcPr>
                <w:p w14:paraId="657F892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01DA43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6A126BB8">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5FBB653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探槽经地质观测、编录、采样及验收等工作结束后，不需保留的探槽应及时逆序回填压实，应保留回填前后的探槽照片</w:t>
                  </w:r>
                  <w:r>
                    <w:rPr>
                      <w:rFonts w:hint="eastAsia"/>
                      <w:color w:val="000000" w:themeColor="text1"/>
                      <w:sz w:val="21"/>
                      <w:szCs w:val="22"/>
                      <w:highlight w:val="none"/>
                      <w:shd w:val="clear" w:color="auto" w:fill="FFFFFF"/>
                      <w14:textFill>
                        <w14:solidFill>
                          <w14:schemeClr w14:val="tx1"/>
                        </w14:solidFill>
                      </w14:textFill>
                    </w:rPr>
                    <w:t>；</w:t>
                  </w:r>
                  <w:r>
                    <w:rPr>
                      <w:color w:val="000000" w:themeColor="text1"/>
                      <w:sz w:val="21"/>
                      <w:szCs w:val="22"/>
                      <w:highlight w:val="none"/>
                      <w:shd w:val="clear" w:color="auto" w:fill="FFFFFF"/>
                      <w14:textFill>
                        <w14:solidFill>
                          <w14:schemeClr w14:val="tx1"/>
                        </w14:solidFill>
                      </w14:textFill>
                    </w:rPr>
                    <w:t>确需保留的探槽应设立明显标识，对深度较大又确需保留的探槽，应做好围挡设施防止人畜</w:t>
                  </w:r>
                  <w:r>
                    <w:rPr>
                      <w:rFonts w:hint="eastAsia"/>
                      <w:color w:val="000000" w:themeColor="text1"/>
                      <w:sz w:val="21"/>
                      <w:szCs w:val="22"/>
                      <w:highlight w:val="none"/>
                      <w:shd w:val="clear" w:color="auto" w:fill="FFFFFF"/>
                      <w14:textFill>
                        <w14:solidFill>
                          <w14:schemeClr w14:val="tx1"/>
                        </w14:solidFill>
                      </w14:textFill>
                    </w:rPr>
                    <w:t>误入</w:t>
                  </w:r>
                  <w:r>
                    <w:rPr>
                      <w:color w:val="000000" w:themeColor="text1"/>
                      <w:sz w:val="21"/>
                      <w:szCs w:val="22"/>
                      <w:highlight w:val="none"/>
                      <w:shd w:val="clear" w:color="auto" w:fill="FFFFFF"/>
                      <w14:textFill>
                        <w14:solidFill>
                          <w14:schemeClr w14:val="tx1"/>
                        </w14:solidFill>
                      </w14:textFill>
                    </w:rPr>
                    <w:t>造成伤害</w:t>
                  </w:r>
                </w:p>
              </w:tc>
              <w:tc>
                <w:tcPr>
                  <w:tcW w:w="1728" w:type="pct"/>
                  <w:tcBorders>
                    <w:tl2br w:val="nil"/>
                    <w:tr2bl w:val="nil"/>
                  </w:tcBorders>
                  <w:vAlign w:val="center"/>
                </w:tcPr>
                <w:p w14:paraId="33277E26">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探槽完成地质观测、编录、采样及竣工验收工作后，不</w:t>
                  </w:r>
                  <w:r>
                    <w:rPr>
                      <w:rFonts w:hint="eastAsia"/>
                      <w:color w:val="000000" w:themeColor="text1"/>
                      <w:sz w:val="21"/>
                      <w:szCs w:val="22"/>
                      <w:highlight w:val="none"/>
                      <w:shd w:val="clear" w:color="auto" w:fill="FFFFFF"/>
                      <w14:textFill>
                        <w14:solidFill>
                          <w14:schemeClr w14:val="tx1"/>
                        </w14:solidFill>
                      </w14:textFill>
                    </w:rPr>
                    <w:t>需</w:t>
                  </w:r>
                  <w:r>
                    <w:rPr>
                      <w:color w:val="000000" w:themeColor="text1"/>
                      <w:sz w:val="21"/>
                      <w:szCs w:val="22"/>
                      <w:highlight w:val="none"/>
                      <w:shd w:val="clear" w:color="auto" w:fill="FFFFFF"/>
                      <w14:textFill>
                        <w14:solidFill>
                          <w14:schemeClr w14:val="tx1"/>
                        </w14:solidFill>
                      </w14:textFill>
                    </w:rPr>
                    <w:t>保留的探槽及时按逆序分层回填夯实，并留存回填前、回填</w:t>
                  </w:r>
                  <w:r>
                    <w:rPr>
                      <w:rFonts w:hint="eastAsia"/>
                      <w:color w:val="000000" w:themeColor="text1"/>
                      <w:sz w:val="21"/>
                      <w:szCs w:val="22"/>
                      <w:highlight w:val="none"/>
                      <w:shd w:val="clear" w:color="auto" w:fill="FFFFFF"/>
                      <w:lang w:eastAsia="zh-CN"/>
                      <w14:textFill>
                        <w14:solidFill>
                          <w14:schemeClr w14:val="tx1"/>
                        </w14:solidFill>
                      </w14:textFill>
                    </w:rPr>
                    <w:t>后的</w:t>
                  </w:r>
                  <w:r>
                    <w:rPr>
                      <w:color w:val="000000" w:themeColor="text1"/>
                      <w:sz w:val="21"/>
                      <w:szCs w:val="22"/>
                      <w:highlight w:val="none"/>
                      <w:shd w:val="clear" w:color="auto" w:fill="FFFFFF"/>
                      <w14:textFill>
                        <w14:solidFill>
                          <w14:schemeClr w14:val="tx1"/>
                        </w14:solidFill>
                      </w14:textFill>
                    </w:rPr>
                    <w:t>影像资料；确需保留的探槽设置醒目安全警示标志，对于开挖深度较大、存在安全隐患的保留探槽，必须规范设置防护围挡，严防人畜误入槽内引发坠落伤害事故</w:t>
                  </w:r>
                </w:p>
              </w:tc>
              <w:tc>
                <w:tcPr>
                  <w:tcW w:w="382" w:type="pct"/>
                  <w:tcBorders>
                    <w:tl2br w:val="nil"/>
                    <w:tr2bl w:val="nil"/>
                  </w:tcBorders>
                  <w:vAlign w:val="center"/>
                </w:tcPr>
                <w:p w14:paraId="0D1F38FF">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5DB71A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2D4F6266">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597EA91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钻探施工应采用先进的钻进工艺，在满足地质调查目的的前提下，倾斜矿床宜采用定向钻进技术，实现“一基多孔、一孔多支”，减少设备搬迁；采用液动冲击回转钻进、多工艺潜孔锤空气钻进等提高钻进效率，减少作业时间</w:t>
                  </w:r>
                </w:p>
              </w:tc>
              <w:tc>
                <w:tcPr>
                  <w:tcW w:w="1728" w:type="pct"/>
                  <w:tcBorders>
                    <w:tl2br w:val="nil"/>
                    <w:tr2bl w:val="nil"/>
                  </w:tcBorders>
                  <w:vAlign w:val="center"/>
                </w:tcPr>
                <w:p w14:paraId="6B2AA802">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本次勘探钻探施工属于目前地质矿产勘查、</w:t>
                  </w:r>
                  <w:r>
                    <w:rPr>
                      <w:rFonts w:hint="eastAsia"/>
                      <w:color w:val="000000" w:themeColor="text1"/>
                      <w:sz w:val="21"/>
                      <w:szCs w:val="22"/>
                      <w:highlight w:val="none"/>
                      <w:shd w:val="clear" w:color="auto" w:fill="FFFFFF"/>
                      <w:lang w:eastAsia="zh-CN"/>
                      <w14:textFill>
                        <w14:solidFill>
                          <w14:schemeClr w14:val="tx1"/>
                        </w14:solidFill>
                      </w14:textFill>
                    </w:rPr>
                    <w:t>工程地质勘察</w:t>
                  </w:r>
                  <w:r>
                    <w:rPr>
                      <w:color w:val="000000" w:themeColor="text1"/>
                      <w:sz w:val="21"/>
                      <w:szCs w:val="22"/>
                      <w:highlight w:val="none"/>
                      <w:shd w:val="clear" w:color="auto" w:fill="FFFFFF"/>
                      <w14:textFill>
                        <w14:solidFill>
                          <w14:schemeClr w14:val="tx1"/>
                        </w14:solidFill>
                      </w14:textFill>
                    </w:rPr>
                    <w:t>行业成熟、可靠、先进适用的主流常规钻进工艺。在满足地质调查目的的前提下，减少设备搬迁</w:t>
                  </w:r>
                </w:p>
              </w:tc>
              <w:tc>
                <w:tcPr>
                  <w:tcW w:w="382" w:type="pct"/>
                  <w:tcBorders>
                    <w:tl2br w:val="nil"/>
                    <w:tr2bl w:val="nil"/>
                  </w:tcBorders>
                  <w:vAlign w:val="center"/>
                </w:tcPr>
                <w:p w14:paraId="5E7C32D6">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0BD2D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5492BD7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1C7C47F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施工操作场地</w:t>
                  </w:r>
                  <w:r>
                    <w:rPr>
                      <w:rFonts w:hint="eastAsia"/>
                      <w:color w:val="000000" w:themeColor="text1"/>
                      <w:sz w:val="21"/>
                      <w:szCs w:val="22"/>
                      <w:highlight w:val="none"/>
                      <w:shd w:val="clear" w:color="auto" w:fill="FFFFFF"/>
                      <w:lang w:eastAsia="zh-CN"/>
                      <w14:textFill>
                        <w14:solidFill>
                          <w14:schemeClr w14:val="tx1"/>
                        </w14:solidFill>
                      </w14:textFill>
                    </w:rPr>
                    <w:t>、材料</w:t>
                  </w:r>
                  <w:r>
                    <w:rPr>
                      <w:color w:val="000000" w:themeColor="text1"/>
                      <w:sz w:val="21"/>
                      <w:szCs w:val="22"/>
                      <w:highlight w:val="none"/>
                      <w:shd w:val="clear" w:color="auto" w:fill="FFFFFF"/>
                      <w14:textFill>
                        <w14:solidFill>
                          <w14:schemeClr w14:val="tx1"/>
                        </w14:solidFill>
                      </w14:textFill>
                    </w:rPr>
                    <w:t>物资存放场地等地面应铺设防渗材料</w:t>
                  </w:r>
                  <w:r>
                    <w:rPr>
                      <w:rFonts w:hint="eastAsia"/>
                      <w:color w:val="000000" w:themeColor="text1"/>
                      <w:sz w:val="21"/>
                      <w:szCs w:val="22"/>
                      <w:highlight w:val="none"/>
                      <w:shd w:val="clear" w:color="auto" w:fill="FFFFFF"/>
                      <w:lang w:eastAsia="zh-CN"/>
                      <w14:textFill>
                        <w14:solidFill>
                          <w14:schemeClr w14:val="tx1"/>
                        </w14:solidFill>
                      </w14:textFill>
                    </w:rPr>
                    <w:t>，如</w:t>
                  </w:r>
                  <w:r>
                    <w:rPr>
                      <w:color w:val="000000" w:themeColor="text1"/>
                      <w:sz w:val="21"/>
                      <w:szCs w:val="22"/>
                      <w:highlight w:val="none"/>
                      <w:shd w:val="clear" w:color="auto" w:fill="FFFFFF"/>
                      <w14:textFill>
                        <w14:solidFill>
                          <w14:schemeClr w14:val="tx1"/>
                        </w14:solidFill>
                      </w14:textFill>
                    </w:rPr>
                    <w:t>厚度大于或等于3mm的工布等。油料存放地、循环沟、浆液池、垃圾池等易发生渗漏污染的表面，应采用防渗土工布（一膜一布或两膜夹一布的土工布，厚度大于或等于5mm）或高密度聚乙烯（HDPE）土工膜作防渗铺垫</w:t>
                  </w:r>
                  <w:r>
                    <w:rPr>
                      <w:rFonts w:hint="eastAsia"/>
                      <w:color w:val="000000" w:themeColor="text1"/>
                      <w:sz w:val="21"/>
                      <w:szCs w:val="22"/>
                      <w:highlight w:val="none"/>
                      <w:shd w:val="clear" w:color="auto" w:fill="FFFFFF"/>
                      <w:lang w:eastAsia="zh-CN"/>
                      <w14:textFill>
                        <w14:solidFill>
                          <w14:schemeClr w14:val="tx1"/>
                        </w14:solidFill>
                      </w14:textFill>
                    </w:rPr>
                    <w:t>，进行</w:t>
                  </w:r>
                  <w:r>
                    <w:rPr>
                      <w:color w:val="000000" w:themeColor="text1"/>
                      <w:sz w:val="21"/>
                      <w:szCs w:val="22"/>
                      <w:highlight w:val="none"/>
                      <w:shd w:val="clear" w:color="auto" w:fill="FFFFFF"/>
                      <w14:textFill>
                        <w14:solidFill>
                          <w14:schemeClr w14:val="tx1"/>
                        </w14:solidFill>
                      </w14:textFill>
                    </w:rPr>
                    <w:t>防渗处理</w:t>
                  </w:r>
                  <w:r>
                    <w:rPr>
                      <w:rFonts w:hint="eastAsia"/>
                      <w:color w:val="000000" w:themeColor="text1"/>
                      <w:sz w:val="21"/>
                      <w:szCs w:val="22"/>
                      <w:highlight w:val="none"/>
                      <w:shd w:val="clear" w:color="auto" w:fill="FFFFFF"/>
                      <w:lang w:eastAsia="zh-CN"/>
                      <w14:textFill>
                        <w14:solidFill>
                          <w14:schemeClr w14:val="tx1"/>
                        </w14:solidFill>
                      </w14:textFill>
                    </w:rPr>
                    <w:t>，预防</w:t>
                  </w:r>
                  <w:r>
                    <w:rPr>
                      <w:color w:val="000000" w:themeColor="text1"/>
                      <w:sz w:val="21"/>
                      <w:szCs w:val="22"/>
                      <w:highlight w:val="none"/>
                      <w:shd w:val="clear" w:color="auto" w:fill="FFFFFF"/>
                      <w14:textFill>
                        <w14:solidFill>
                          <w14:schemeClr w14:val="tx1"/>
                        </w14:solidFill>
                      </w14:textFill>
                    </w:rPr>
                    <w:t>渗漏污染。在机台下方和设备检修区域，须铺设吸油毡</w:t>
                  </w:r>
                </w:p>
              </w:tc>
              <w:tc>
                <w:tcPr>
                  <w:tcW w:w="1728" w:type="pct"/>
                  <w:tcBorders>
                    <w:tl2br w:val="nil"/>
                    <w:tr2bl w:val="nil"/>
                  </w:tcBorders>
                  <w:vAlign w:val="center"/>
                </w:tcPr>
                <w:p w14:paraId="66E29E1C">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本次勘探施工操作场地材料物资存放场地等地面将铺设防渗材料</w:t>
                  </w:r>
                </w:p>
              </w:tc>
              <w:tc>
                <w:tcPr>
                  <w:tcW w:w="382" w:type="pct"/>
                  <w:tcBorders>
                    <w:tl2br w:val="nil"/>
                    <w:tr2bl w:val="nil"/>
                  </w:tcBorders>
                  <w:vAlign w:val="center"/>
                </w:tcPr>
                <w:p w14:paraId="1ED872EA">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36CEC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247C3EE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4D86902B">
                  <w:pPr>
                    <w:adjustRightInd w:val="0"/>
                    <w:snapToGrid w:val="0"/>
                    <w:spacing w:line="240" w:lineRule="auto"/>
                    <w:ind w:firstLine="0" w:firstLineChars="0"/>
                    <w:rPr>
                      <w:color w:val="000000" w:themeColor="text1"/>
                      <w:sz w:val="21"/>
                      <w:szCs w:val="22"/>
                      <w:highlight w:val="none"/>
                      <w:shd w:val="clear" w:color="auto" w:fill="FFFFFF"/>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钻探液循环系统宜采用移动式泥浆箱及管道尽量避免现场开挖；确需开挖，其容积应按钻孔设计深度进行计算，底部应铺设防渗材料进行防渗处理</w:t>
                  </w:r>
                </w:p>
              </w:tc>
              <w:tc>
                <w:tcPr>
                  <w:tcW w:w="1728" w:type="pct"/>
                  <w:tcBorders>
                    <w:tl2br w:val="nil"/>
                    <w:tr2bl w:val="nil"/>
                  </w:tcBorders>
                  <w:vAlign w:val="center"/>
                </w:tcPr>
                <w:p w14:paraId="3E559072">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14:textFill>
                        <w14:solidFill>
                          <w14:schemeClr w14:val="tx1"/>
                        </w14:solidFill>
                      </w14:textFill>
                    </w:rPr>
                    <w:t>本项目</w:t>
                  </w:r>
                  <w:r>
                    <w:rPr>
                      <w:color w:val="000000" w:themeColor="text1"/>
                      <w:sz w:val="21"/>
                      <w:szCs w:val="22"/>
                      <w:highlight w:val="none"/>
                      <w:shd w:val="clear" w:color="auto" w:fill="FFFFFF"/>
                      <w14:textFill>
                        <w14:solidFill>
                          <w14:schemeClr w14:val="tx1"/>
                        </w14:solidFill>
                      </w14:textFill>
                    </w:rPr>
                    <w:t>采用防渗膜塑料布及支架组装成简易沉淀池</w:t>
                  </w:r>
                </w:p>
              </w:tc>
              <w:tc>
                <w:tcPr>
                  <w:tcW w:w="382" w:type="pct"/>
                  <w:tcBorders>
                    <w:tl2br w:val="nil"/>
                    <w:tr2bl w:val="nil"/>
                  </w:tcBorders>
                  <w:vAlign w:val="center"/>
                </w:tcPr>
                <w:p w14:paraId="7393428C">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97D0B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34BD674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612EC89B">
                  <w:pPr>
                    <w:adjustRightInd w:val="0"/>
                    <w:snapToGrid w:val="0"/>
                    <w:spacing w:line="240" w:lineRule="auto"/>
                    <w:ind w:firstLine="0" w:firstLineChars="0"/>
                    <w:rPr>
                      <w:color w:val="000000" w:themeColor="text1"/>
                      <w:sz w:val="21"/>
                      <w:szCs w:val="22"/>
                      <w:highlight w:val="none"/>
                      <w:shd w:val="clear" w:color="auto" w:fill="FFFFFF"/>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钻探施工冲洗液使用泥浆时，应采用优质环保浆液。钻探材料及处理剂应符合GB/T5005的规定</w:t>
                  </w:r>
                </w:p>
              </w:tc>
              <w:tc>
                <w:tcPr>
                  <w:tcW w:w="1728" w:type="pct"/>
                  <w:tcBorders>
                    <w:tl2br w:val="nil"/>
                    <w:tr2bl w:val="nil"/>
                  </w:tcBorders>
                  <w:vAlign w:val="center"/>
                </w:tcPr>
                <w:p w14:paraId="5AD2D1A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14:textFill>
                        <w14:solidFill>
                          <w14:schemeClr w14:val="tx1"/>
                        </w14:solidFill>
                      </w14:textFill>
                    </w:rPr>
                    <w:t>项目钻探施工过程采用水基泥浆作为冲洗液，选用优质环保泥浆材料，钻探材料及处理剂符合GB/T5005的规定</w:t>
                  </w:r>
                </w:p>
              </w:tc>
              <w:tc>
                <w:tcPr>
                  <w:tcW w:w="382" w:type="pct"/>
                  <w:tcBorders>
                    <w:tl2br w:val="nil"/>
                    <w:tr2bl w:val="nil"/>
                  </w:tcBorders>
                  <w:vAlign w:val="center"/>
                </w:tcPr>
                <w:p w14:paraId="64C1CA5C">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282883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4D288289">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2624A6B3">
                  <w:pPr>
                    <w:adjustRightInd w:val="0"/>
                    <w:snapToGrid w:val="0"/>
                    <w:spacing w:line="240" w:lineRule="auto"/>
                    <w:ind w:firstLine="0" w:firstLineChars="0"/>
                    <w:rPr>
                      <w:color w:val="000000" w:themeColor="text1"/>
                      <w:sz w:val="21"/>
                      <w:szCs w:val="22"/>
                      <w:highlight w:val="none"/>
                      <w:shd w:val="clear" w:color="auto" w:fill="FFFFFF"/>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施工过程中发现孔内严重漏失和施工现场周边泉点的水质水量颜色有变化时，应分析原因确认漏失层（段），并采用环保材料堵漏或下</w:t>
                  </w:r>
                  <w:r>
                    <w:rPr>
                      <w:rFonts w:hint="eastAsia"/>
                      <w:color w:val="000000" w:themeColor="text1"/>
                      <w:sz w:val="21"/>
                      <w:szCs w:val="22"/>
                      <w:highlight w:val="none"/>
                      <w:shd w:val="clear" w:color="auto" w:fill="FFFFFF"/>
                      <w14:textFill>
                        <w14:solidFill>
                          <w14:schemeClr w14:val="tx1"/>
                        </w14:solidFill>
                      </w14:textFill>
                    </w:rPr>
                    <w:t>入</w:t>
                  </w:r>
                  <w:r>
                    <w:rPr>
                      <w:color w:val="000000" w:themeColor="text1"/>
                      <w:sz w:val="21"/>
                      <w:szCs w:val="22"/>
                      <w:highlight w:val="none"/>
                      <w:shd w:val="clear" w:color="auto" w:fill="FFFFFF"/>
                      <w14:textFill>
                        <w14:solidFill>
                          <w14:schemeClr w14:val="tx1"/>
                        </w14:solidFill>
                      </w14:textFill>
                    </w:rPr>
                    <w:t>套管等方法进行封堵；当发现孔内涌水时，应对钻孔中接触的承压水进行控制，防止浪费和不同含水层间的交叉污染</w:t>
                  </w:r>
                </w:p>
              </w:tc>
              <w:tc>
                <w:tcPr>
                  <w:tcW w:w="1728" w:type="pct"/>
                  <w:tcBorders>
                    <w:tl2br w:val="nil"/>
                    <w:tr2bl w:val="nil"/>
                  </w:tcBorders>
                  <w:vAlign w:val="center"/>
                </w:tcPr>
                <w:p w14:paraId="671BEE34">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14:textFill>
                        <w14:solidFill>
                          <w14:schemeClr w14:val="tx1"/>
                        </w14:solidFill>
                      </w14:textFill>
                    </w:rPr>
                    <w:t>要求</w:t>
                  </w:r>
                  <w:r>
                    <w:rPr>
                      <w:color w:val="000000" w:themeColor="text1"/>
                      <w:sz w:val="21"/>
                      <w:szCs w:val="22"/>
                      <w:highlight w:val="none"/>
                      <w:shd w:val="clear" w:color="auto" w:fill="FFFFFF"/>
                      <w14:textFill>
                        <w14:solidFill>
                          <w14:schemeClr w14:val="tx1"/>
                        </w14:solidFill>
                      </w14:textFill>
                    </w:rPr>
                    <w:t>项目施工单位加强施工管理，若发现孔内严重漏失，应分析原因确认漏失层（段），并采用环保材料堵漏或下</w:t>
                  </w:r>
                  <w:r>
                    <w:rPr>
                      <w:rFonts w:hint="eastAsia"/>
                      <w:color w:val="000000" w:themeColor="text1"/>
                      <w:sz w:val="21"/>
                      <w:szCs w:val="22"/>
                      <w:highlight w:val="none"/>
                      <w:shd w:val="clear" w:color="auto" w:fill="FFFFFF"/>
                      <w:lang w:eastAsia="zh-CN"/>
                      <w14:textFill>
                        <w14:solidFill>
                          <w14:schemeClr w14:val="tx1"/>
                        </w14:solidFill>
                      </w14:textFill>
                    </w:rPr>
                    <w:t>入</w:t>
                  </w:r>
                  <w:r>
                    <w:rPr>
                      <w:color w:val="000000" w:themeColor="text1"/>
                      <w:sz w:val="21"/>
                      <w:szCs w:val="22"/>
                      <w:highlight w:val="none"/>
                      <w:shd w:val="clear" w:color="auto" w:fill="FFFFFF"/>
                      <w14:textFill>
                        <w14:solidFill>
                          <w14:schemeClr w14:val="tx1"/>
                        </w14:solidFill>
                      </w14:textFill>
                    </w:rPr>
                    <w:t>套管等方法进行封堵；当发现孔内涌水时，应对钻孔中接触的承压水进行控制</w:t>
                  </w:r>
                </w:p>
              </w:tc>
              <w:tc>
                <w:tcPr>
                  <w:tcW w:w="382" w:type="pct"/>
                  <w:tcBorders>
                    <w:tl2br w:val="nil"/>
                    <w:tr2bl w:val="nil"/>
                  </w:tcBorders>
                  <w:vAlign w:val="center"/>
                </w:tcPr>
                <w:p w14:paraId="358E1E2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614D1B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354F9FAB">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4AAD4294">
                  <w:pPr>
                    <w:spacing w:line="240" w:lineRule="auto"/>
                    <w:ind w:firstLine="0" w:firstLineChars="0"/>
                    <w:textAlignment w:val="center"/>
                    <w:rPr>
                      <w:color w:val="000000" w:themeColor="text1"/>
                      <w:sz w:val="21"/>
                      <w:szCs w:val="22"/>
                      <w:highlight w:val="none"/>
                      <w:shd w:val="clear" w:color="auto" w:fill="FFFFFF"/>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钻探施工中产生的废水无法循环利用需排放的，应处理至符合GB8978要求，以免污染土壤和地表（下）水。</w:t>
                  </w:r>
                </w:p>
              </w:tc>
              <w:tc>
                <w:tcPr>
                  <w:tcW w:w="1728" w:type="pct"/>
                  <w:tcBorders>
                    <w:tl2br w:val="nil"/>
                    <w:tr2bl w:val="nil"/>
                  </w:tcBorders>
                  <w:vAlign w:val="center"/>
                </w:tcPr>
                <w:p w14:paraId="73E01156">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项目钻探施工过程产生的废水循环利用，不外排</w:t>
                  </w:r>
                </w:p>
              </w:tc>
              <w:tc>
                <w:tcPr>
                  <w:tcW w:w="382" w:type="pct"/>
                  <w:tcBorders>
                    <w:tl2br w:val="nil"/>
                    <w:tr2bl w:val="nil"/>
                  </w:tcBorders>
                  <w:vAlign w:val="center"/>
                </w:tcPr>
                <w:p w14:paraId="76060DD2">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35CBD5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66292648">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53AE869A">
                  <w:pPr>
                    <w:spacing w:line="240" w:lineRule="auto"/>
                    <w:ind w:firstLine="0" w:firstLineChars="0"/>
                    <w:textAlignment w:val="center"/>
                    <w:rPr>
                      <w:color w:val="000000" w:themeColor="text1"/>
                      <w:sz w:val="21"/>
                      <w:szCs w:val="22"/>
                      <w:highlight w:val="none"/>
                      <w:shd w:val="clear" w:color="auto" w:fill="FFFFFF"/>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钻探施工中产生的沉渣、废浆应设置专用存储池，经沉淀和固化处理后，应满足GB18599要求；未达到要求的严禁向外排放。</w:t>
                  </w:r>
                </w:p>
              </w:tc>
              <w:tc>
                <w:tcPr>
                  <w:tcW w:w="1728" w:type="pct"/>
                  <w:tcBorders>
                    <w:tl2br w:val="nil"/>
                    <w:tr2bl w:val="nil"/>
                  </w:tcBorders>
                  <w:vAlign w:val="center"/>
                </w:tcPr>
                <w:p w14:paraId="696E91B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lang w:eastAsia="zh-CN"/>
                      <w14:textFill>
                        <w14:solidFill>
                          <w14:schemeClr w14:val="tx1"/>
                        </w14:solidFill>
                      </w14:textFill>
                    </w:rPr>
                    <w:t>项目</w:t>
                  </w:r>
                  <w:r>
                    <w:rPr>
                      <w:color w:val="000000" w:themeColor="text1"/>
                      <w:sz w:val="21"/>
                      <w:szCs w:val="22"/>
                      <w:highlight w:val="none"/>
                      <w:shd w:val="clear" w:color="auto" w:fill="FFFFFF"/>
                      <w14:textFill>
                        <w14:solidFill>
                          <w14:schemeClr w14:val="tx1"/>
                        </w14:solidFill>
                      </w14:textFill>
                    </w:rPr>
                    <w:t>钻探平台各设置1个沉淀池，钻探废水经沉淀池收集沉淀后</w:t>
                  </w:r>
                  <w:r>
                    <w:rPr>
                      <w:rFonts w:hint="eastAsia"/>
                      <w:color w:val="000000" w:themeColor="text1"/>
                      <w:sz w:val="21"/>
                      <w:szCs w:val="22"/>
                      <w:highlight w:val="none"/>
                      <w:shd w:val="clear" w:color="auto" w:fill="FFFFFF"/>
                      <w14:textFill>
                        <w14:solidFill>
                          <w14:schemeClr w14:val="tx1"/>
                        </w14:solidFill>
                      </w14:textFill>
                    </w:rPr>
                    <w:t>回用于钻探，</w:t>
                  </w:r>
                  <w:r>
                    <w:rPr>
                      <w:color w:val="000000" w:themeColor="text1"/>
                      <w:sz w:val="21"/>
                      <w:szCs w:val="22"/>
                      <w:highlight w:val="none"/>
                      <w:shd w:val="clear" w:color="auto" w:fill="FFFFFF"/>
                      <w14:textFill>
                        <w14:solidFill>
                          <w14:schemeClr w14:val="tx1"/>
                        </w14:solidFill>
                      </w14:textFill>
                    </w:rPr>
                    <w:t>不外排</w:t>
                  </w:r>
                </w:p>
              </w:tc>
              <w:tc>
                <w:tcPr>
                  <w:tcW w:w="382" w:type="pct"/>
                  <w:tcBorders>
                    <w:tl2br w:val="nil"/>
                    <w:tr2bl w:val="nil"/>
                  </w:tcBorders>
                  <w:vAlign w:val="center"/>
                </w:tcPr>
                <w:p w14:paraId="51DA1105">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6D6178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67C4535A">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71BEA159">
                  <w:pPr>
                    <w:spacing w:line="240" w:lineRule="auto"/>
                    <w:ind w:firstLine="0" w:firstLineChars="0"/>
                    <w:textAlignment w:val="center"/>
                    <w:rPr>
                      <w:color w:val="000000" w:themeColor="text1"/>
                      <w:sz w:val="21"/>
                      <w:szCs w:val="22"/>
                      <w:highlight w:val="none"/>
                      <w:shd w:val="clear" w:color="auto" w:fill="FFFFFF"/>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施工中产生的废料、生活垃圾，钻孔渣土等固体废弃物应及时清理，分类存储，回收利用，按相关管理规定进行现场处置及外运。</w:t>
                  </w:r>
                </w:p>
              </w:tc>
              <w:tc>
                <w:tcPr>
                  <w:tcW w:w="1728" w:type="pct"/>
                  <w:tcBorders>
                    <w:tl2br w:val="nil"/>
                    <w:tr2bl w:val="nil"/>
                  </w:tcBorders>
                  <w:vAlign w:val="center"/>
                </w:tcPr>
                <w:p w14:paraId="3940C4A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14:textFill>
                        <w14:solidFill>
                          <w14:schemeClr w14:val="tx1"/>
                        </w14:solidFill>
                      </w14:textFill>
                    </w:rPr>
                    <w:t>施工期产生的生活垃圾采用垃圾桶集中收集后运出勘查区由环卫部门统一清运</w:t>
                  </w:r>
                </w:p>
              </w:tc>
              <w:tc>
                <w:tcPr>
                  <w:tcW w:w="382" w:type="pct"/>
                  <w:tcBorders>
                    <w:tl2br w:val="nil"/>
                    <w:tr2bl w:val="nil"/>
                  </w:tcBorders>
                  <w:vAlign w:val="center"/>
                </w:tcPr>
                <w:p w14:paraId="04C3FA2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6D25B3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4F4D0CED">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59F5B630">
                  <w:pPr>
                    <w:spacing w:line="240" w:lineRule="auto"/>
                    <w:ind w:firstLine="0" w:firstLineChars="0"/>
                    <w:textAlignment w:val="center"/>
                    <w:rPr>
                      <w:color w:val="000000" w:themeColor="text1"/>
                      <w:sz w:val="21"/>
                      <w:szCs w:val="22"/>
                      <w:highlight w:val="none"/>
                      <w:shd w:val="clear" w:color="auto" w:fill="FFFFFF"/>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在居民区、动物养殖区、野生动物栖息地等附近施工，施工噪声应符合</w:t>
                  </w:r>
                  <w:r>
                    <w:rPr>
                      <w:rFonts w:hint="eastAsia"/>
                      <w:color w:val="000000" w:themeColor="text1"/>
                      <w:sz w:val="21"/>
                      <w:szCs w:val="22"/>
                      <w:highlight w:val="none"/>
                      <w:shd w:val="clear" w:color="auto" w:fill="FFFFFF"/>
                      <w:lang w:eastAsia="zh-CN"/>
                      <w14:textFill>
                        <w14:solidFill>
                          <w14:schemeClr w14:val="tx1"/>
                        </w14:solidFill>
                      </w14:textFill>
                    </w:rPr>
                    <w:t>GB 3096</w:t>
                  </w:r>
                  <w:r>
                    <w:rPr>
                      <w:color w:val="000000" w:themeColor="text1"/>
                      <w:sz w:val="21"/>
                      <w:szCs w:val="22"/>
                      <w:highlight w:val="none"/>
                      <w:shd w:val="clear" w:color="auto" w:fill="FFFFFF"/>
                      <w14:textFill>
                        <w14:solidFill>
                          <w14:schemeClr w14:val="tx1"/>
                        </w14:solidFill>
                      </w14:textFill>
                    </w:rPr>
                    <w:t>要求。</w:t>
                  </w:r>
                </w:p>
              </w:tc>
              <w:tc>
                <w:tcPr>
                  <w:tcW w:w="1728" w:type="pct"/>
                  <w:tcBorders>
                    <w:tl2br w:val="nil"/>
                    <w:tr2bl w:val="nil"/>
                  </w:tcBorders>
                  <w:vAlign w:val="center"/>
                </w:tcPr>
                <w:p w14:paraId="425B4453">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本项目</w:t>
                  </w:r>
                  <w:r>
                    <w:rPr>
                      <w:rFonts w:hint="eastAsia"/>
                      <w:color w:val="000000" w:themeColor="text1"/>
                      <w:sz w:val="21"/>
                      <w:szCs w:val="22"/>
                      <w:highlight w:val="none"/>
                      <w:shd w:val="clear" w:color="auto" w:fill="FFFFFF"/>
                      <w14:textFill>
                        <w14:solidFill>
                          <w14:schemeClr w14:val="tx1"/>
                        </w14:solidFill>
                      </w14:textFill>
                    </w:rPr>
                    <w:t>区及周边无</w:t>
                  </w:r>
                  <w:r>
                    <w:rPr>
                      <w:color w:val="000000" w:themeColor="text1"/>
                      <w:sz w:val="21"/>
                      <w:szCs w:val="22"/>
                      <w:highlight w:val="none"/>
                      <w:shd w:val="clear" w:color="auto" w:fill="FFFFFF"/>
                      <w14:textFill>
                        <w14:solidFill>
                          <w14:schemeClr w14:val="tx1"/>
                        </w14:solidFill>
                      </w14:textFill>
                    </w:rPr>
                    <w:t>居民区、动物养殖区、野生动物栖息地等</w:t>
                  </w:r>
                </w:p>
              </w:tc>
              <w:tc>
                <w:tcPr>
                  <w:tcW w:w="382" w:type="pct"/>
                  <w:tcBorders>
                    <w:tl2br w:val="nil"/>
                    <w:tr2bl w:val="nil"/>
                  </w:tcBorders>
                  <w:vAlign w:val="center"/>
                </w:tcPr>
                <w:p w14:paraId="42590BC7">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4C0EA2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5A569B2F">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478C46F2">
                  <w:pPr>
                    <w:spacing w:line="240" w:lineRule="auto"/>
                    <w:ind w:firstLine="0" w:firstLineChars="0"/>
                    <w:textAlignment w:val="center"/>
                    <w:rPr>
                      <w:color w:val="000000" w:themeColor="text1"/>
                      <w:sz w:val="21"/>
                      <w:szCs w:val="22"/>
                      <w:highlight w:val="none"/>
                      <w:shd w:val="clear" w:color="auto" w:fill="FFFFFF"/>
                      <w14:textFill>
                        <w14:solidFill>
                          <w14:schemeClr w14:val="tx1"/>
                        </w14:solidFill>
                      </w14:textFill>
                    </w:rPr>
                  </w:pPr>
                  <w:r>
                    <w:rPr>
                      <w:color w:val="000000" w:themeColor="text1"/>
                      <w:sz w:val="21"/>
                      <w:szCs w:val="22"/>
                      <w:highlight w:val="none"/>
                      <w:shd w:val="clear" w:color="auto" w:fill="FFFFFF"/>
                      <w14:textFill>
                        <w14:solidFill>
                          <w14:schemeClr w14:val="tx1"/>
                        </w14:solidFill>
                      </w14:textFill>
                    </w:rPr>
                    <w:t>钻孔终孔后应按照相关设计做好封孔工作，实行全孔封闭，并设置永久性标志，确保封孔质量，以恢复地下水环境或减轻钻探施工对地下水环境造成的扰动影响。</w:t>
                  </w:r>
                </w:p>
              </w:tc>
              <w:tc>
                <w:tcPr>
                  <w:tcW w:w="1728" w:type="pct"/>
                  <w:tcBorders>
                    <w:tl2br w:val="nil"/>
                    <w:tr2bl w:val="nil"/>
                  </w:tcBorders>
                  <w:vAlign w:val="center"/>
                </w:tcPr>
                <w:p w14:paraId="6B8A88D4">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2"/>
                      <w:highlight w:val="none"/>
                      <w:shd w:val="clear" w:color="auto" w:fill="FFFFFF"/>
                      <w14:textFill>
                        <w14:solidFill>
                          <w14:schemeClr w14:val="tx1"/>
                        </w14:solidFill>
                      </w14:textFill>
                    </w:rPr>
                    <w:t>要求</w:t>
                  </w:r>
                  <w:r>
                    <w:rPr>
                      <w:color w:val="000000" w:themeColor="text1"/>
                      <w:sz w:val="21"/>
                      <w:szCs w:val="22"/>
                      <w:highlight w:val="none"/>
                      <w:shd w:val="clear" w:color="auto" w:fill="FFFFFF"/>
                      <w14:textFill>
                        <w14:solidFill>
                          <w14:schemeClr w14:val="tx1"/>
                        </w14:solidFill>
                      </w14:textFill>
                    </w:rPr>
                    <w:t>施工结束后，施工单位按照相关设计做好封孔工作，实行全孔封闭，并设置永久性标志，确保封孔质量，以恢复地下水环境或减轻钻探施工对地下水环境造成的扰动影响</w:t>
                  </w:r>
                </w:p>
              </w:tc>
              <w:tc>
                <w:tcPr>
                  <w:tcW w:w="382" w:type="pct"/>
                  <w:tcBorders>
                    <w:tl2br w:val="nil"/>
                    <w:tr2bl w:val="nil"/>
                  </w:tcBorders>
                  <w:vAlign w:val="center"/>
                </w:tcPr>
                <w:p w14:paraId="3CB021D4">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0FF11E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restart"/>
                  <w:tcBorders>
                    <w:tl2br w:val="nil"/>
                    <w:tr2bl w:val="nil"/>
                  </w:tcBorders>
                  <w:vAlign w:val="center"/>
                </w:tcPr>
                <w:p w14:paraId="68866655">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《矿山生态环境保护与恢复治理技术规范（试行）》（HJ651-2013）</w:t>
                  </w:r>
                </w:p>
              </w:tc>
              <w:tc>
                <w:tcPr>
                  <w:tcW w:w="2325" w:type="pct"/>
                  <w:tcBorders>
                    <w:tl2br w:val="nil"/>
                    <w:tr2bl w:val="nil"/>
                  </w:tcBorders>
                  <w:vAlign w:val="center"/>
                </w:tcPr>
                <w:p w14:paraId="0710A8C5">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勘查活动结束后，应根据景观相似原则，对勘查活动造成的土壤、植被和地表景观破坏进行恢复</w:t>
                  </w:r>
                </w:p>
              </w:tc>
              <w:tc>
                <w:tcPr>
                  <w:tcW w:w="1728" w:type="pct"/>
                  <w:tcBorders>
                    <w:tl2br w:val="nil"/>
                    <w:tr2bl w:val="nil"/>
                  </w:tcBorders>
                  <w:vAlign w:val="center"/>
                </w:tcPr>
                <w:p w14:paraId="25273189">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本项目实施过</w:t>
                  </w:r>
                  <w:r>
                    <w:rPr>
                      <w:rFonts w:hint="eastAsia"/>
                      <w:color w:val="000000" w:themeColor="text1"/>
                      <w:sz w:val="21"/>
                      <w:szCs w:val="21"/>
                      <w:highlight w:val="none"/>
                      <w:lang w:eastAsia="zh-CN"/>
                      <w14:textFill>
                        <w14:solidFill>
                          <w14:schemeClr w14:val="tx1"/>
                        </w14:solidFill>
                      </w14:textFill>
                    </w:rPr>
                    <w:t>程中</w:t>
                  </w:r>
                  <w:r>
                    <w:rPr>
                      <w:rFonts w:hint="eastAsia"/>
                      <w:color w:val="000000" w:themeColor="text1"/>
                      <w:sz w:val="21"/>
                      <w:szCs w:val="21"/>
                      <w:highlight w:val="none"/>
                      <w14:textFill>
                        <w14:solidFill>
                          <w14:schemeClr w14:val="tx1"/>
                        </w14:solidFill>
                      </w14:textFill>
                    </w:rPr>
                    <w:t>注意减少对土壤、植被、地表景观的破坏，勘查期结束后，对遗留地面的施工迹地进行恢复，对探井进行回填封闭并设置警示标识</w:t>
                  </w:r>
                </w:p>
              </w:tc>
              <w:tc>
                <w:tcPr>
                  <w:tcW w:w="382" w:type="pct"/>
                  <w:tcBorders>
                    <w:tl2br w:val="nil"/>
                    <w:tr2bl w:val="nil"/>
                  </w:tcBorders>
                  <w:vAlign w:val="center"/>
                </w:tcPr>
                <w:p w14:paraId="6BA40F70">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274FC3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vMerge w:val="continue"/>
                  <w:tcBorders>
                    <w:tl2br w:val="nil"/>
                    <w:tr2bl w:val="nil"/>
                  </w:tcBorders>
                  <w:vAlign w:val="center"/>
                </w:tcPr>
                <w:p w14:paraId="301E3EF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p>
              </w:tc>
              <w:tc>
                <w:tcPr>
                  <w:tcW w:w="2325" w:type="pct"/>
                  <w:tcBorders>
                    <w:tl2br w:val="nil"/>
                    <w:tr2bl w:val="nil"/>
                  </w:tcBorders>
                  <w:vAlign w:val="center"/>
                </w:tcPr>
                <w:p w14:paraId="1363700A">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对水文地质条件、土地耕作及道路安全有影响或位于江、河、湖、海防护堤或重要建筑物附近的钻孔或坑井应予回填封闭，并恢复其原有生态功能</w:t>
                  </w:r>
                </w:p>
              </w:tc>
              <w:tc>
                <w:tcPr>
                  <w:tcW w:w="1728" w:type="pct"/>
                  <w:tcBorders>
                    <w:tl2br w:val="nil"/>
                    <w:tr2bl w:val="nil"/>
                  </w:tcBorders>
                  <w:vAlign w:val="center"/>
                </w:tcPr>
                <w:p w14:paraId="68CDFA56">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本次勘探不涉及</w:t>
                  </w:r>
                  <w:r>
                    <w:rPr>
                      <w:rFonts w:hint="eastAsia"/>
                      <w:color w:val="000000" w:themeColor="text1"/>
                      <w:sz w:val="21"/>
                      <w:szCs w:val="21"/>
                      <w:highlight w:val="none"/>
                      <w:lang w:eastAsia="zh-CN"/>
                      <w14:textFill>
                        <w14:solidFill>
                          <w14:schemeClr w14:val="tx1"/>
                        </w14:solidFill>
                      </w14:textFill>
                    </w:rPr>
                    <w:t>对重要</w:t>
                  </w:r>
                  <w:r>
                    <w:rPr>
                      <w:rFonts w:hint="eastAsia"/>
                      <w:color w:val="000000" w:themeColor="text1"/>
                      <w:sz w:val="21"/>
                      <w:szCs w:val="21"/>
                      <w:highlight w:val="none"/>
                      <w14:textFill>
                        <w14:solidFill>
                          <w14:schemeClr w14:val="tx1"/>
                        </w14:solidFill>
                      </w14:textFill>
                    </w:rPr>
                    <w:t>土地耕作及道路安全有影响的区域，同时不涉及江、河、湖、海防护堤或其他重要建筑物，</w:t>
                  </w:r>
                  <w:r>
                    <w:rPr>
                      <w:rFonts w:hint="eastAsia"/>
                      <w:color w:val="000000" w:themeColor="text1"/>
                      <w:sz w:val="21"/>
                      <w:szCs w:val="21"/>
                      <w:highlight w:val="none"/>
                      <w:lang w:eastAsia="zh-CN"/>
                      <w14:textFill>
                        <w14:solidFill>
                          <w14:schemeClr w14:val="tx1"/>
                        </w14:solidFill>
                      </w14:textFill>
                    </w:rPr>
                    <w:t>对钻孔</w:t>
                  </w:r>
                  <w:r>
                    <w:rPr>
                      <w:rFonts w:hint="eastAsia"/>
                      <w:color w:val="000000" w:themeColor="text1"/>
                      <w:sz w:val="21"/>
                      <w:szCs w:val="21"/>
                      <w:highlight w:val="none"/>
                      <w14:textFill>
                        <w14:solidFill>
                          <w14:schemeClr w14:val="tx1"/>
                        </w14:solidFill>
                      </w14:textFill>
                    </w:rPr>
                    <w:t>进行回填和封闭，恢复其原有生态功能，同时设置警示标识</w:t>
                  </w:r>
                </w:p>
              </w:tc>
              <w:tc>
                <w:tcPr>
                  <w:tcW w:w="382" w:type="pct"/>
                  <w:tcBorders>
                    <w:tl2br w:val="nil"/>
                    <w:tr2bl w:val="nil"/>
                  </w:tcBorders>
                  <w:vAlign w:val="center"/>
                </w:tcPr>
                <w:p w14:paraId="410992C1">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6AE4D8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63" w:type="pct"/>
                  <w:tcBorders>
                    <w:tl2br w:val="nil"/>
                    <w:tr2bl w:val="nil"/>
                  </w:tcBorders>
                  <w:vAlign w:val="center"/>
                </w:tcPr>
                <w:p w14:paraId="3A1DAA01">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《矿山生态环境保护与污染防治技术政策》</w:t>
                  </w:r>
                </w:p>
              </w:tc>
              <w:tc>
                <w:tcPr>
                  <w:tcW w:w="2325" w:type="pct"/>
                  <w:tcBorders>
                    <w:tl2br w:val="nil"/>
                    <w:tr2bl w:val="nil"/>
                  </w:tcBorders>
                  <w:vAlign w:val="center"/>
                </w:tcPr>
                <w:p w14:paraId="1F0FC8F3">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对矿山勘探性钻孔应采取封闭等措施进行处理，以确保生产安全；对矿山基建可能影响的具有保护价值的动、植物资源，应优先采取就地、就近保护措施；对表土、底土和适于植物生长的地层物质均应进行保护性堆存和利用，可优先用作废弃地复垦时的土壤重构用土</w:t>
                  </w:r>
                </w:p>
              </w:tc>
              <w:tc>
                <w:tcPr>
                  <w:tcW w:w="1728" w:type="pct"/>
                  <w:tcBorders>
                    <w:tl2br w:val="nil"/>
                    <w:tr2bl w:val="nil"/>
                  </w:tcBorders>
                  <w:vAlign w:val="center"/>
                </w:tcPr>
                <w:p w14:paraId="3B9CCAEC">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本项目主要为固体矿产地质勘探，在严格落实各项污染防治措施的前提下，项目建设对环境影响较小，钻孔进行回填和封闭，恢复其原有生态功能</w:t>
                  </w:r>
                </w:p>
              </w:tc>
              <w:tc>
                <w:tcPr>
                  <w:tcW w:w="382" w:type="pct"/>
                  <w:tcBorders>
                    <w:tl2br w:val="nil"/>
                    <w:tr2bl w:val="nil"/>
                  </w:tcBorders>
                  <w:vAlign w:val="center"/>
                </w:tcPr>
                <w:p w14:paraId="0921A5DE">
                  <w:pPr>
                    <w:adjustRightInd w:val="0"/>
                    <w:snapToGrid w:val="0"/>
                    <w:spacing w:line="240" w:lineRule="auto"/>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bookmarkEnd w:id="3"/>
          </w:tbl>
          <w:p w14:paraId="423B6CD6">
            <w:pPr>
              <w:pStyle w:val="53"/>
              <w:bidi w:val="0"/>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bl>
    <w:p w14:paraId="1D6E98B2">
      <w:pPr>
        <w:spacing w:line="360" w:lineRule="auto"/>
        <w:outlineLvl w:val="0"/>
        <w:rPr>
          <w:rFonts w:hint="default" w:ascii="Times New Roman" w:hAnsi="Times New Roman" w:eastAsia="黑体" w:cs="Times New Roman"/>
          <w:color w:val="000000" w:themeColor="text1"/>
          <w:sz w:val="30"/>
          <w:highlight w:val="none"/>
          <w14:textFill>
            <w14:solidFill>
              <w14:schemeClr w14:val="tx1"/>
            </w14:solidFill>
          </w14:textFill>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start="1"/>
          <w:cols w:space="720" w:num="1"/>
          <w:docGrid w:linePitch="312" w:charSpace="0"/>
        </w:sectPr>
      </w:pPr>
    </w:p>
    <w:p w14:paraId="7CE10C91">
      <w:pPr>
        <w:pStyle w:val="25"/>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二、建设内容</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8098"/>
      </w:tblGrid>
      <w:tr w14:paraId="5610C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noWrap w:val="0"/>
            <w:vAlign w:val="center"/>
          </w:tcPr>
          <w:p w14:paraId="39D76242">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地理位置</w:t>
            </w:r>
          </w:p>
        </w:tc>
        <w:tc>
          <w:tcPr>
            <w:tcW w:w="8097" w:type="dxa"/>
            <w:tcBorders>
              <w:tl2br w:val="nil"/>
              <w:tr2bl w:val="nil"/>
            </w:tcBorders>
            <w:noWrap w:val="0"/>
            <w:vAlign w:val="center"/>
          </w:tcPr>
          <w:p w14:paraId="4DCE45F8">
            <w:pPr>
              <w:pStyle w:val="53"/>
              <w:keepNext w:val="0"/>
              <w:keepLines w:val="0"/>
              <w:pageBreakBefore w:val="0"/>
              <w:widowControl w:val="0"/>
              <w:kinsoku/>
              <w:wordWrap w:val="0"/>
              <w:overflowPunct/>
              <w:topLinePunct w:val="0"/>
              <w:autoSpaceDE/>
              <w:autoSpaceDN/>
              <w:bidi w:val="0"/>
              <w:adjustRightInd w:val="0"/>
              <w:snapToGrid w:val="0"/>
              <w:textAlignment w:val="auto"/>
              <w:rPr>
                <w:rFonts w:hint="eastAsia"/>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14:textFill>
                  <w14:solidFill>
                    <w14:schemeClr w14:val="tx1"/>
                  </w14:solidFill>
                </w14:textFill>
              </w:rPr>
              <w:t>位于</w:t>
            </w:r>
            <w:r>
              <w:rPr>
                <w:rFonts w:hint="default" w:ascii="Times New Roman" w:hAnsi="Times New Roman" w:cs="Times New Roman"/>
                <w:color w:val="000000" w:themeColor="text1"/>
                <w:highlight w:val="none"/>
                <w:lang w:val="en-US" w:eastAsia="zh-CN"/>
                <w14:textFill>
                  <w14:solidFill>
                    <w14:schemeClr w14:val="tx1"/>
                  </w14:solidFill>
                </w14:textFill>
              </w:rPr>
              <w:t>新疆维吾尔自治区巴音郭楞蒙古自治州</w:t>
            </w:r>
            <w:r>
              <w:rPr>
                <w:rFonts w:hint="eastAsia" w:cs="Times New Roman"/>
                <w:color w:val="000000" w:themeColor="text1"/>
                <w:highlight w:val="none"/>
                <w:lang w:val="en-US" w:eastAsia="zh-CN"/>
                <w14:textFill>
                  <w14:solidFill>
                    <w14:schemeClr w14:val="tx1"/>
                  </w14:solidFill>
                </w14:textFill>
              </w:rPr>
              <w:t>和静县</w:t>
            </w:r>
            <w:r>
              <w:rPr>
                <w:rFonts w:hint="default" w:ascii="Times New Roman" w:hAnsi="Times New Roman" w:cs="Times New Roman"/>
                <w:color w:val="000000" w:themeColor="text1"/>
                <w:highlight w:val="none"/>
                <w:lang w:val="en-US" w:eastAsia="zh-CN"/>
                <w14:textFill>
                  <w14:solidFill>
                    <w14:schemeClr w14:val="tx1"/>
                  </w14:solidFill>
                </w14:textFill>
              </w:rPr>
              <w:t>城</w:t>
            </w:r>
            <w:r>
              <w:rPr>
                <w:rFonts w:hint="eastAsia" w:cs="Times New Roman"/>
                <w:color w:val="000000" w:themeColor="text1"/>
                <w:highlight w:val="none"/>
                <w:lang w:val="en-US" w:eastAsia="zh-CN"/>
                <w14:textFill>
                  <w14:solidFill>
                    <w14:schemeClr w14:val="tx1"/>
                  </w14:solidFill>
                </w14:textFill>
              </w:rPr>
              <w:t>正北方向</w:t>
            </w:r>
            <w:r>
              <w:rPr>
                <w:rFonts w:hint="default" w:ascii="Times New Roman" w:hAnsi="Times New Roman" w:cs="Times New Roman"/>
                <w:color w:val="000000" w:themeColor="text1"/>
                <w:highlight w:val="none"/>
                <w:lang w:val="en-US" w:eastAsia="zh-CN"/>
                <w14:textFill>
                  <w14:solidFill>
                    <w14:schemeClr w14:val="tx1"/>
                  </w14:solidFill>
                </w14:textFill>
              </w:rPr>
              <w:t>，直线距离</w:t>
            </w:r>
            <w:r>
              <w:rPr>
                <w:rFonts w:hint="eastAsia" w:cs="Times New Roman"/>
                <w:color w:val="000000" w:themeColor="text1"/>
                <w:highlight w:val="none"/>
                <w:lang w:val="en-US" w:eastAsia="zh-CN"/>
                <w14:textFill>
                  <w14:solidFill>
                    <w14:schemeClr w14:val="tx1"/>
                  </w14:solidFill>
                </w14:textFill>
              </w:rPr>
              <w:t>69千米</w:t>
            </w:r>
            <w:r>
              <w:rPr>
                <w:rFonts w:hint="default" w:ascii="Times New Roman" w:hAnsi="Times New Roman" w:cs="Times New Roman"/>
                <w:color w:val="000000" w:themeColor="text1"/>
                <w:highlight w:val="none"/>
                <w14:textFill>
                  <w14:solidFill>
                    <w14:schemeClr w14:val="tx1"/>
                  </w14:solidFill>
                </w14:textFill>
              </w:rPr>
              <w:t>，中心点坐标（CGCS2000坐标系）。</w:t>
            </w:r>
            <w:r>
              <w:rPr>
                <w:rFonts w:hint="eastAsia"/>
                <w:color w:val="000000" w:themeColor="text1"/>
                <w:highlight w:val="none"/>
                <w14:textFill>
                  <w14:solidFill>
                    <w14:schemeClr w14:val="tx1"/>
                  </w14:solidFill>
                </w14:textFill>
              </w:rPr>
              <w:t>行政区划属巴音郭楞蒙古自治州和静县管辖</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从和静县沿218国道向巴伦台方向行驶83公里后，向北行驶6公里可到达勘探区，</w:t>
            </w:r>
            <w:r>
              <w:rPr>
                <w:rFonts w:hint="eastAsia"/>
                <w:color w:val="000000" w:themeColor="text1"/>
                <w:highlight w:val="none"/>
                <w14:textFill>
                  <w14:solidFill>
                    <w14:schemeClr w14:val="tx1"/>
                  </w14:solidFill>
                </w14:textFill>
              </w:rPr>
              <w:t>外部交通较为便利</w:t>
            </w:r>
            <w:r>
              <w:rPr>
                <w:rFonts w:hint="eastAsia"/>
                <w:color w:val="000000" w:themeColor="text1"/>
                <w:highlight w:val="none"/>
                <w:lang w:eastAsia="zh-CN"/>
                <w14:textFill>
                  <w14:solidFill>
                    <w14:schemeClr w14:val="tx1"/>
                  </w14:solidFill>
                </w14:textFill>
              </w:rPr>
              <w:t>。</w:t>
            </w:r>
          </w:p>
          <w:p w14:paraId="2B7521A7">
            <w:pPr>
              <w:pStyle w:val="5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朝阳联和金属材料有限公司</w:t>
            </w:r>
            <w:r>
              <w:rPr>
                <w:rFonts w:hint="default" w:ascii="Times New Roman" w:hAnsi="Times New Roman" w:cs="Times New Roman"/>
                <w:color w:val="000000" w:themeColor="text1"/>
                <w:highlight w:val="none"/>
                <w:lang w:val="en-US" w:eastAsia="zh-CN"/>
                <w14:textFill>
                  <w14:solidFill>
                    <w14:schemeClr w14:val="tx1"/>
                  </w14:solidFill>
                </w14:textFill>
              </w:rPr>
              <w:t>于202</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val="en-US" w:eastAsia="zh-CN"/>
                <w14:textFill>
                  <w14:solidFill>
                    <w14:schemeClr w14:val="tx1"/>
                  </w14:solidFill>
                </w14:textFill>
              </w:rPr>
              <w:t>年10月</w:t>
            </w:r>
            <w:r>
              <w:rPr>
                <w:rFonts w:hint="eastAsia" w:cs="Times New Roman"/>
                <w:color w:val="000000" w:themeColor="text1"/>
                <w:highlight w:val="none"/>
                <w:lang w:val="en-US" w:eastAsia="zh-CN"/>
                <w14:textFill>
                  <w14:solidFill>
                    <w14:schemeClr w14:val="tx1"/>
                  </w14:solidFill>
                </w14:textFill>
              </w:rPr>
              <w:t>21</w:t>
            </w:r>
            <w:r>
              <w:rPr>
                <w:rFonts w:hint="default" w:ascii="Times New Roman" w:hAnsi="Times New Roman" w:cs="Times New Roman"/>
                <w:color w:val="000000" w:themeColor="text1"/>
                <w:highlight w:val="none"/>
                <w:lang w:val="en-US" w:eastAsia="zh-CN"/>
                <w14:textFill>
                  <w14:solidFill>
                    <w14:schemeClr w14:val="tx1"/>
                  </w14:solidFill>
                </w14:textFill>
              </w:rPr>
              <w:t>日取得</w:t>
            </w:r>
            <w:r>
              <w:rPr>
                <w:rFonts w:hint="default" w:ascii="Times New Roman" w:hAnsi="Times New Roman" w:cs="Times New Roman"/>
                <w:color w:val="000000" w:themeColor="text1"/>
                <w:highlight w:val="none"/>
                <w14:textFill>
                  <w14:solidFill>
                    <w14:schemeClr w14:val="tx1"/>
                  </w14:solidFill>
                </w14:textFill>
              </w:rPr>
              <w:t>探矿权</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探矿证号</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工作区面积</w:t>
            </w:r>
            <w:r>
              <w:rPr>
                <w:rFonts w:hint="eastAsia" w:cs="Times New Roman"/>
                <w:color w:val="000000" w:themeColor="text1"/>
                <w:highlight w:val="none"/>
                <w:lang w:val="en-US" w:eastAsia="zh-CN"/>
                <w14:textFill>
                  <w14:solidFill>
                    <w14:schemeClr w14:val="tx1"/>
                  </w14:solidFill>
                </w14:textFill>
              </w:rPr>
              <w:t>11.47平方千米</w:t>
            </w:r>
            <w:r>
              <w:rPr>
                <w:rFonts w:hint="default" w:ascii="Times New Roman" w:hAnsi="Times New Roman" w:cs="Times New Roman"/>
                <w:color w:val="000000" w:themeColor="text1"/>
                <w:highlight w:val="none"/>
                <w14:textFill>
                  <w14:solidFill>
                    <w14:schemeClr w14:val="tx1"/>
                  </w14:solidFill>
                </w14:textFill>
              </w:rPr>
              <w:t>。行政区划隶属于</w:t>
            </w:r>
            <w:r>
              <w:rPr>
                <w:rFonts w:hint="eastAsia" w:cs="Times New Roman"/>
                <w:color w:val="000000" w:themeColor="text1"/>
                <w:highlight w:val="none"/>
                <w:lang w:val="en-US" w:eastAsia="zh-CN"/>
                <w14:textFill>
                  <w14:solidFill>
                    <w14:schemeClr w14:val="tx1"/>
                  </w14:solidFill>
                </w14:textFill>
              </w:rPr>
              <w:t>和静县</w:t>
            </w:r>
            <w:r>
              <w:rPr>
                <w:rFonts w:hint="default" w:ascii="Times New Roman" w:hAnsi="Times New Roman" w:cs="Times New Roman"/>
                <w:color w:val="000000" w:themeColor="text1"/>
                <w:highlight w:val="none"/>
                <w14:textFill>
                  <w14:solidFill>
                    <w14:schemeClr w14:val="tx1"/>
                  </w14:solidFill>
                </w14:textFill>
              </w:rPr>
              <w:t>管辖。</w:t>
            </w:r>
            <w:r>
              <w:rPr>
                <w:rFonts w:hint="eastAsia"/>
                <w:color w:val="000000" w:themeColor="text1"/>
                <w:highlight w:val="none"/>
                <w:lang w:val="en-US" w:eastAsia="zh-CN"/>
                <w14:textFill>
                  <w14:solidFill>
                    <w14:schemeClr w14:val="tx1"/>
                  </w14:solidFill>
                </w14:textFill>
              </w:rPr>
              <w:t>根据建设单位取得的探矿证</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项目探矿范围拐点坐标如下表所示</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55D637FF">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表2-1    勘探</w:t>
            </w:r>
            <w:r>
              <w:rPr>
                <w:rFonts w:hint="default" w:ascii="Times New Roman" w:hAnsi="Times New Roman" w:cs="Times New Roman"/>
                <w:color w:val="000000" w:themeColor="text1"/>
                <w:highlight w:val="none"/>
                <w14:textFill>
                  <w14:solidFill>
                    <w14:schemeClr w14:val="tx1"/>
                  </w14:solidFill>
                </w14:textFill>
              </w:rPr>
              <w:t>区范围拐点坐标表</w:t>
            </w:r>
          </w:p>
          <w:tbl>
            <w:tblPr>
              <w:tblStyle w:val="28"/>
              <w:tblW w:w="7800" w:type="dxa"/>
              <w:tblInd w:w="9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2740"/>
              <w:gridCol w:w="2281"/>
              <w:gridCol w:w="2046"/>
            </w:tblGrid>
            <w:tr w14:paraId="7FD4C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33" w:hRule="atLeast"/>
              </w:trPr>
              <w:tc>
                <w:tcPr>
                  <w:tcW w:w="723" w:type="dxa"/>
                  <w:vMerge w:val="restart"/>
                  <w:tcBorders>
                    <w:tl2br w:val="nil"/>
                    <w:tr2bl w:val="nil"/>
                  </w:tcBorders>
                  <w:noWrap/>
                  <w:vAlign w:val="center"/>
                </w:tcPr>
                <w:p w14:paraId="535FEF48">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点号</w:t>
                  </w:r>
                </w:p>
              </w:tc>
              <w:tc>
                <w:tcPr>
                  <w:tcW w:w="5028" w:type="dxa"/>
                  <w:gridSpan w:val="2"/>
                  <w:tcBorders>
                    <w:tl2br w:val="nil"/>
                    <w:tr2bl w:val="nil"/>
                  </w:tcBorders>
                  <w:noWrap/>
                  <w:vAlign w:val="center"/>
                </w:tcPr>
                <w:p w14:paraId="68B4832E">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CGCS2000坐标系</w:t>
                  </w:r>
                </w:p>
              </w:tc>
              <w:tc>
                <w:tcPr>
                  <w:tcW w:w="2049" w:type="dxa"/>
                  <w:vMerge w:val="restart"/>
                  <w:tcBorders>
                    <w:tl2br w:val="nil"/>
                    <w:tr2bl w:val="nil"/>
                  </w:tcBorders>
                  <w:noWrap/>
                  <w:vAlign w:val="center"/>
                </w:tcPr>
                <w:p w14:paraId="28DBE7B1">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备注</w:t>
                  </w:r>
                </w:p>
              </w:tc>
            </w:tr>
            <w:tr w14:paraId="5FE4D3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23" w:type="dxa"/>
                  <w:vMerge w:val="continue"/>
                  <w:tcBorders>
                    <w:tl2br w:val="nil"/>
                    <w:tr2bl w:val="nil"/>
                  </w:tcBorders>
                  <w:noWrap w:val="0"/>
                  <w:vAlign w:val="center"/>
                </w:tcPr>
                <w:p w14:paraId="715E7D13">
                  <w:pPr>
                    <w:pStyle w:val="63"/>
                    <w:bidi w:val="0"/>
                    <w:rPr>
                      <w:rFonts w:hint="default" w:ascii="Times New Roman" w:hAnsi="Times New Roman" w:cs="Times New Roman"/>
                      <w:color w:val="000000" w:themeColor="text1"/>
                      <w:highlight w:val="none"/>
                      <w14:textFill>
                        <w14:solidFill>
                          <w14:schemeClr w14:val="tx1"/>
                        </w14:solidFill>
                      </w14:textFill>
                    </w:rPr>
                  </w:pPr>
                </w:p>
              </w:tc>
              <w:tc>
                <w:tcPr>
                  <w:tcW w:w="2744" w:type="dxa"/>
                  <w:tcBorders>
                    <w:tl2br w:val="nil"/>
                    <w:tr2bl w:val="nil"/>
                  </w:tcBorders>
                  <w:noWrap/>
                  <w:vAlign w:val="center"/>
                </w:tcPr>
                <w:p w14:paraId="74F85146">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经度</w:t>
                  </w:r>
                </w:p>
              </w:tc>
              <w:tc>
                <w:tcPr>
                  <w:tcW w:w="2284" w:type="dxa"/>
                  <w:tcBorders>
                    <w:tl2br w:val="nil"/>
                    <w:tr2bl w:val="nil"/>
                  </w:tcBorders>
                  <w:noWrap/>
                  <w:vAlign w:val="center"/>
                </w:tcPr>
                <w:p w14:paraId="56F7152A">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纬度</w:t>
                  </w:r>
                </w:p>
              </w:tc>
              <w:tc>
                <w:tcPr>
                  <w:tcW w:w="2049" w:type="dxa"/>
                  <w:vMerge w:val="continue"/>
                  <w:tcBorders>
                    <w:tl2br w:val="nil"/>
                    <w:tr2bl w:val="nil"/>
                  </w:tcBorders>
                  <w:noWrap w:val="0"/>
                  <w:vAlign w:val="center"/>
                </w:tcPr>
                <w:p w14:paraId="65760148">
                  <w:pPr>
                    <w:pStyle w:val="63"/>
                    <w:bidi w:val="0"/>
                    <w:rPr>
                      <w:rFonts w:hint="default" w:ascii="Times New Roman" w:hAnsi="Times New Roman" w:cs="Times New Roman"/>
                      <w:color w:val="000000" w:themeColor="text1"/>
                      <w:highlight w:val="none"/>
                      <w14:textFill>
                        <w14:solidFill>
                          <w14:schemeClr w14:val="tx1"/>
                        </w14:solidFill>
                      </w14:textFill>
                    </w:rPr>
                  </w:pPr>
                </w:p>
              </w:tc>
            </w:tr>
            <w:tr w14:paraId="3B1438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23" w:type="dxa"/>
                  <w:tcBorders>
                    <w:tl2br w:val="nil"/>
                    <w:tr2bl w:val="nil"/>
                  </w:tcBorders>
                  <w:noWrap/>
                  <w:vAlign w:val="center"/>
                </w:tcPr>
                <w:p w14:paraId="112066C9">
                  <w:pPr>
                    <w:pStyle w:val="63"/>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2744" w:type="dxa"/>
                  <w:tcBorders>
                    <w:tl2br w:val="nil"/>
                    <w:tr2bl w:val="nil"/>
                  </w:tcBorders>
                  <w:noWrap/>
                  <w:vAlign w:val="center"/>
                </w:tcPr>
                <w:p w14:paraId="21EA4391">
                  <w:pPr>
                    <w:keepNext w:val="0"/>
                    <w:keepLines w:val="0"/>
                    <w:widowControl/>
                    <w:suppressLineNumbers w:val="0"/>
                    <w:jc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284" w:type="dxa"/>
                  <w:tcBorders>
                    <w:tl2br w:val="nil"/>
                    <w:tr2bl w:val="nil"/>
                  </w:tcBorders>
                  <w:noWrap/>
                  <w:vAlign w:val="center"/>
                </w:tcPr>
                <w:p w14:paraId="6C9D7E5A">
                  <w:pPr>
                    <w:keepNext w:val="0"/>
                    <w:keepLines w:val="0"/>
                    <w:widowControl/>
                    <w:suppressLineNumbers w:val="0"/>
                    <w:jc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049" w:type="dxa"/>
                  <w:vMerge w:val="restart"/>
                  <w:tcBorders>
                    <w:tl2br w:val="nil"/>
                    <w:tr2bl w:val="nil"/>
                  </w:tcBorders>
                  <w:noWrap w:val="0"/>
                  <w:vAlign w:val="center"/>
                </w:tcPr>
                <w:p w14:paraId="58BCF874">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共由</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个拐点圈连，面积</w:t>
                  </w:r>
                  <w:r>
                    <w:rPr>
                      <w:rFonts w:hint="eastAsia" w:cs="Times New Roman"/>
                      <w:color w:val="000000" w:themeColor="text1"/>
                      <w:highlight w:val="none"/>
                      <w:lang w:val="en-US" w:eastAsia="zh-CN"/>
                      <w14:textFill>
                        <w14:solidFill>
                          <w14:schemeClr w14:val="tx1"/>
                        </w14:solidFill>
                      </w14:textFill>
                    </w:rPr>
                    <w:t>11.47平方千米</w:t>
                  </w:r>
                </w:p>
              </w:tc>
            </w:tr>
            <w:tr w14:paraId="713345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23" w:type="dxa"/>
                  <w:tcBorders>
                    <w:tl2br w:val="nil"/>
                    <w:tr2bl w:val="nil"/>
                  </w:tcBorders>
                  <w:noWrap/>
                  <w:vAlign w:val="center"/>
                </w:tcPr>
                <w:p w14:paraId="659333D1">
                  <w:pPr>
                    <w:pStyle w:val="63"/>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2744" w:type="dxa"/>
                  <w:tcBorders>
                    <w:tl2br w:val="nil"/>
                    <w:tr2bl w:val="nil"/>
                  </w:tcBorders>
                  <w:noWrap/>
                  <w:vAlign w:val="center"/>
                </w:tcPr>
                <w:p w14:paraId="19E604ED">
                  <w:pPr>
                    <w:keepNext w:val="0"/>
                    <w:keepLines w:val="0"/>
                    <w:widowControl/>
                    <w:suppressLineNumbers w:val="0"/>
                    <w:jc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284" w:type="dxa"/>
                  <w:tcBorders>
                    <w:tl2br w:val="nil"/>
                    <w:tr2bl w:val="nil"/>
                  </w:tcBorders>
                  <w:noWrap/>
                  <w:vAlign w:val="center"/>
                </w:tcPr>
                <w:p w14:paraId="520BA98D">
                  <w:pPr>
                    <w:keepNext w:val="0"/>
                    <w:keepLines w:val="0"/>
                    <w:widowControl/>
                    <w:suppressLineNumbers w:val="0"/>
                    <w:jc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049" w:type="dxa"/>
                  <w:vMerge w:val="continue"/>
                  <w:tcBorders>
                    <w:tl2br w:val="nil"/>
                    <w:tr2bl w:val="nil"/>
                  </w:tcBorders>
                  <w:noWrap w:val="0"/>
                  <w:vAlign w:val="center"/>
                </w:tcPr>
                <w:p w14:paraId="4C0E5842">
                  <w:pPr>
                    <w:pStyle w:val="63"/>
                    <w:bidi w:val="0"/>
                    <w:rPr>
                      <w:rFonts w:hint="default" w:ascii="Times New Roman" w:hAnsi="Times New Roman" w:cs="Times New Roman"/>
                      <w:color w:val="000000" w:themeColor="text1"/>
                      <w:highlight w:val="none"/>
                      <w14:textFill>
                        <w14:solidFill>
                          <w14:schemeClr w14:val="tx1"/>
                        </w14:solidFill>
                      </w14:textFill>
                    </w:rPr>
                  </w:pPr>
                </w:p>
              </w:tc>
            </w:tr>
            <w:tr w14:paraId="19614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23" w:type="dxa"/>
                  <w:tcBorders>
                    <w:tl2br w:val="nil"/>
                    <w:tr2bl w:val="nil"/>
                  </w:tcBorders>
                  <w:noWrap/>
                  <w:vAlign w:val="center"/>
                </w:tcPr>
                <w:p w14:paraId="2368F30A">
                  <w:pPr>
                    <w:pStyle w:val="6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2744" w:type="dxa"/>
                  <w:tcBorders>
                    <w:tl2br w:val="nil"/>
                    <w:tr2bl w:val="nil"/>
                  </w:tcBorders>
                  <w:noWrap/>
                  <w:vAlign w:val="center"/>
                </w:tcPr>
                <w:p w14:paraId="68B49D0F">
                  <w:pPr>
                    <w:keepNext w:val="0"/>
                    <w:keepLines w:val="0"/>
                    <w:widowControl/>
                    <w:suppressLineNumbers w:val="0"/>
                    <w:jc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284" w:type="dxa"/>
                  <w:tcBorders>
                    <w:tl2br w:val="nil"/>
                    <w:tr2bl w:val="nil"/>
                  </w:tcBorders>
                  <w:noWrap/>
                  <w:vAlign w:val="center"/>
                </w:tcPr>
                <w:p w14:paraId="4EEEF4F0">
                  <w:pPr>
                    <w:keepNext w:val="0"/>
                    <w:keepLines w:val="0"/>
                    <w:widowControl/>
                    <w:suppressLineNumbers w:val="0"/>
                    <w:jc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049" w:type="dxa"/>
                  <w:vMerge w:val="continue"/>
                  <w:tcBorders>
                    <w:tl2br w:val="nil"/>
                    <w:tr2bl w:val="nil"/>
                  </w:tcBorders>
                  <w:noWrap w:val="0"/>
                  <w:vAlign w:val="center"/>
                </w:tcPr>
                <w:p w14:paraId="62B999D2">
                  <w:pPr>
                    <w:pStyle w:val="63"/>
                    <w:bidi w:val="0"/>
                    <w:rPr>
                      <w:rFonts w:hint="default" w:ascii="Times New Roman" w:hAnsi="Times New Roman" w:cs="Times New Roman"/>
                      <w:color w:val="000000" w:themeColor="text1"/>
                      <w:highlight w:val="none"/>
                      <w14:textFill>
                        <w14:solidFill>
                          <w14:schemeClr w14:val="tx1"/>
                        </w14:solidFill>
                      </w14:textFill>
                    </w:rPr>
                  </w:pPr>
                </w:p>
              </w:tc>
            </w:tr>
            <w:tr w14:paraId="0CDEB1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23" w:type="dxa"/>
                  <w:tcBorders>
                    <w:tl2br w:val="nil"/>
                    <w:tr2bl w:val="nil"/>
                  </w:tcBorders>
                  <w:noWrap/>
                  <w:vAlign w:val="center"/>
                </w:tcPr>
                <w:p w14:paraId="615F212C">
                  <w:pPr>
                    <w:pStyle w:val="6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2744" w:type="dxa"/>
                  <w:tcBorders>
                    <w:tl2br w:val="nil"/>
                    <w:tr2bl w:val="nil"/>
                  </w:tcBorders>
                  <w:noWrap/>
                  <w:vAlign w:val="center"/>
                </w:tcPr>
                <w:p w14:paraId="218C405B">
                  <w:pPr>
                    <w:keepNext w:val="0"/>
                    <w:keepLines w:val="0"/>
                    <w:widowControl/>
                    <w:suppressLineNumbers w:val="0"/>
                    <w:jc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p>
              </w:tc>
              <w:tc>
                <w:tcPr>
                  <w:tcW w:w="2284" w:type="dxa"/>
                  <w:tcBorders>
                    <w:tl2br w:val="nil"/>
                    <w:tr2bl w:val="nil"/>
                  </w:tcBorders>
                  <w:noWrap/>
                  <w:vAlign w:val="center"/>
                </w:tcPr>
                <w:p w14:paraId="439738B5">
                  <w:pPr>
                    <w:keepNext w:val="0"/>
                    <w:keepLines w:val="0"/>
                    <w:widowControl/>
                    <w:suppressLineNumbers w:val="0"/>
                    <w:jc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p>
              </w:tc>
              <w:tc>
                <w:tcPr>
                  <w:tcW w:w="2049" w:type="dxa"/>
                  <w:vMerge w:val="continue"/>
                  <w:tcBorders>
                    <w:tl2br w:val="nil"/>
                    <w:tr2bl w:val="nil"/>
                  </w:tcBorders>
                  <w:noWrap w:val="0"/>
                  <w:vAlign w:val="center"/>
                </w:tcPr>
                <w:p w14:paraId="5A06D28B">
                  <w:pPr>
                    <w:pStyle w:val="63"/>
                    <w:bidi w:val="0"/>
                    <w:rPr>
                      <w:rFonts w:hint="default" w:ascii="Times New Roman" w:hAnsi="Times New Roman" w:cs="Times New Roman"/>
                      <w:color w:val="000000" w:themeColor="text1"/>
                      <w:highlight w:val="none"/>
                      <w14:textFill>
                        <w14:solidFill>
                          <w14:schemeClr w14:val="tx1"/>
                        </w14:solidFill>
                      </w14:textFill>
                    </w:rPr>
                  </w:pPr>
                </w:p>
              </w:tc>
            </w:tr>
          </w:tbl>
          <w:p w14:paraId="31E09D37">
            <w:pPr>
              <w:pStyle w:val="5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08CBA1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5" w:type="dxa"/>
            <w:tcBorders>
              <w:tl2br w:val="nil"/>
              <w:tr2bl w:val="nil"/>
            </w:tcBorders>
            <w:noWrap w:val="0"/>
            <w:vAlign w:val="center"/>
          </w:tcPr>
          <w:p w14:paraId="2BC605A3">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项目组成及规模</w:t>
            </w:r>
          </w:p>
        </w:tc>
        <w:tc>
          <w:tcPr>
            <w:tcW w:w="8097" w:type="dxa"/>
            <w:tcBorders>
              <w:tl2br w:val="nil"/>
              <w:tr2bl w:val="nil"/>
            </w:tcBorders>
            <w:noWrap w:val="0"/>
            <w:vAlign w:val="center"/>
          </w:tcPr>
          <w:p w14:paraId="4E8D9219">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1项目基本情况</w:t>
            </w:r>
          </w:p>
          <w:p w14:paraId="51ECD1F0">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项目名称：</w:t>
            </w:r>
          </w:p>
          <w:p w14:paraId="32E9E330">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项目性质：新建；</w:t>
            </w:r>
          </w:p>
          <w:p w14:paraId="0197A104">
            <w:pPr>
              <w:pStyle w:val="53"/>
              <w:bidi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建设单位</w:t>
            </w:r>
            <w:r>
              <w:rPr>
                <w:rFonts w:hint="eastAsia"/>
                <w:color w:val="000000" w:themeColor="text1"/>
                <w:highlight w:val="none"/>
                <w:lang w:eastAsia="zh-CN"/>
                <w14:textFill>
                  <w14:solidFill>
                    <w14:schemeClr w14:val="tx1"/>
                  </w14:solidFill>
                </w14:textFill>
              </w:rPr>
              <w:t>：</w:t>
            </w:r>
          </w:p>
          <w:p w14:paraId="6943C03A">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建设地点</w:t>
            </w:r>
            <w:r>
              <w:rPr>
                <w:rFonts w:hint="default" w:ascii="Times New Roman" w:hAnsi="Times New Roman" w:cs="Times New Roman"/>
                <w:color w:val="000000" w:themeColor="text1"/>
                <w:highlight w:val="none"/>
                <w:lang w:val="en-US" w:eastAsia="zh-CN"/>
                <w14:textFill>
                  <w14:solidFill>
                    <w14:schemeClr w14:val="tx1"/>
                  </w14:solidFill>
                </w14:textFill>
              </w:rPr>
              <w:t>：新疆维吾尔自治区巴音郭楞蒙古自治州</w:t>
            </w:r>
            <w:r>
              <w:rPr>
                <w:rFonts w:hint="eastAsia" w:cs="Times New Roman"/>
                <w:color w:val="000000" w:themeColor="text1"/>
                <w:highlight w:val="none"/>
                <w:lang w:val="en-US" w:eastAsia="zh-CN"/>
                <w14:textFill>
                  <w14:solidFill>
                    <w14:schemeClr w14:val="tx1"/>
                  </w14:solidFill>
                </w14:textFill>
              </w:rPr>
              <w:t>和静县</w:t>
            </w:r>
            <w:r>
              <w:rPr>
                <w:rFonts w:hint="default" w:ascii="Times New Roman" w:hAnsi="Times New Roman" w:cs="Times New Roman"/>
                <w:color w:val="000000" w:themeColor="text1"/>
                <w:highlight w:val="none"/>
                <w:lang w:val="en-US" w:eastAsia="zh-CN"/>
                <w14:textFill>
                  <w14:solidFill>
                    <w14:schemeClr w14:val="tx1"/>
                  </w14:solidFill>
                </w14:textFill>
              </w:rPr>
              <w:t>城</w:t>
            </w:r>
            <w:r>
              <w:rPr>
                <w:rFonts w:hint="eastAsia" w:cs="Times New Roman"/>
                <w:color w:val="000000" w:themeColor="text1"/>
                <w:highlight w:val="none"/>
                <w:lang w:val="en-US" w:eastAsia="zh-CN"/>
                <w14:textFill>
                  <w14:solidFill>
                    <w14:schemeClr w14:val="tx1"/>
                  </w14:solidFill>
                </w14:textFill>
              </w:rPr>
              <w:t>正北方向</w:t>
            </w:r>
            <w:r>
              <w:rPr>
                <w:rFonts w:hint="default" w:ascii="Times New Roman" w:hAnsi="Times New Roman" w:cs="Times New Roman"/>
                <w:color w:val="000000" w:themeColor="text1"/>
                <w:highlight w:val="none"/>
                <w:lang w:val="en-US" w:eastAsia="zh-CN"/>
                <w14:textFill>
                  <w14:solidFill>
                    <w14:schemeClr w14:val="tx1"/>
                  </w14:solidFill>
                </w14:textFill>
              </w:rPr>
              <w:t>，直线距离</w:t>
            </w:r>
            <w:r>
              <w:rPr>
                <w:rFonts w:hint="eastAsia" w:cs="Times New Roman"/>
                <w:color w:val="000000" w:themeColor="text1"/>
                <w:highlight w:val="none"/>
                <w:lang w:val="en-US" w:eastAsia="zh-CN"/>
                <w14:textFill>
                  <w14:solidFill>
                    <w14:schemeClr w14:val="tx1"/>
                  </w14:solidFill>
                </w14:textFill>
              </w:rPr>
              <w:t>69千米。</w:t>
            </w:r>
          </w:p>
          <w:p w14:paraId="7D3F2AED">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工程投资：550万元</w:t>
            </w:r>
          </w:p>
          <w:p w14:paraId="2AE75547">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探矿</w:t>
            </w:r>
            <w:r>
              <w:rPr>
                <w:rFonts w:hint="eastAsia" w:cs="Times New Roman"/>
                <w:color w:val="000000" w:themeColor="text1"/>
                <w:highlight w:val="none"/>
                <w:lang w:val="en-US" w:eastAsia="zh-CN"/>
                <w14:textFill>
                  <w14:solidFill>
                    <w14:schemeClr w14:val="tx1"/>
                  </w14:solidFill>
                </w14:textFill>
              </w:rPr>
              <w:t>许可证号：</w:t>
            </w:r>
          </w:p>
          <w:p w14:paraId="15753E0A">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勘查面积：</w:t>
            </w:r>
            <w:r>
              <w:rPr>
                <w:rFonts w:hint="eastAsia" w:cs="Times New Roman"/>
                <w:color w:val="000000" w:themeColor="text1"/>
                <w:highlight w:val="none"/>
                <w:lang w:val="en-US" w:eastAsia="zh-CN"/>
                <w14:textFill>
                  <w14:solidFill>
                    <w14:schemeClr w14:val="tx1"/>
                  </w14:solidFill>
                </w14:textFill>
              </w:rPr>
              <w:t>11.47平方公里</w:t>
            </w:r>
          </w:p>
          <w:p w14:paraId="41720DEB">
            <w:pPr>
              <w:pStyle w:val="53"/>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探矿权</w:t>
            </w:r>
            <w:r>
              <w:rPr>
                <w:rFonts w:hint="default" w:ascii="Times New Roman" w:hAnsi="Times New Roman" w:cs="Times New Roman"/>
                <w:color w:val="000000" w:themeColor="text1"/>
                <w:highlight w:val="none"/>
                <w:lang w:val="en-US" w:eastAsia="zh-CN"/>
                <w14:textFill>
                  <w14:solidFill>
                    <w14:schemeClr w14:val="tx1"/>
                  </w14:solidFill>
                </w14:textFill>
              </w:rPr>
              <w:t>有效期：202</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val="en-US" w:eastAsia="zh-CN"/>
                <w14:textFill>
                  <w14:solidFill>
                    <w14:schemeClr w14:val="tx1"/>
                  </w14:solidFill>
                </w14:textFill>
              </w:rPr>
              <w:t>年10月</w:t>
            </w:r>
            <w:r>
              <w:rPr>
                <w:rFonts w:hint="eastAsia" w:cs="Times New Roman"/>
                <w:color w:val="000000" w:themeColor="text1"/>
                <w:highlight w:val="none"/>
                <w:lang w:val="en-US" w:eastAsia="zh-CN"/>
                <w14:textFill>
                  <w14:solidFill>
                    <w14:schemeClr w14:val="tx1"/>
                  </w14:solidFill>
                </w14:textFill>
              </w:rPr>
              <w:t>21</w:t>
            </w:r>
            <w:r>
              <w:rPr>
                <w:rFonts w:hint="default" w:ascii="Times New Roman" w:hAnsi="Times New Roman" w:cs="Times New Roman"/>
                <w:color w:val="000000" w:themeColor="text1"/>
                <w:highlight w:val="none"/>
                <w:lang w:val="en-US" w:eastAsia="zh-CN"/>
                <w14:textFill>
                  <w14:solidFill>
                    <w14:schemeClr w14:val="tx1"/>
                  </w14:solidFill>
                </w14:textFill>
              </w:rPr>
              <w:t>日至20</w:t>
            </w:r>
            <w:r>
              <w:rPr>
                <w:rFonts w:hint="eastAsia" w:cs="Times New Roman"/>
                <w:color w:val="000000" w:themeColor="text1"/>
                <w:highlight w:val="none"/>
                <w:lang w:val="en-US" w:eastAsia="zh-CN"/>
                <w14:textFill>
                  <w14:solidFill>
                    <w14:schemeClr w14:val="tx1"/>
                  </w14:solidFill>
                </w14:textFill>
              </w:rPr>
              <w:t>30</w:t>
            </w:r>
            <w:r>
              <w:rPr>
                <w:rFonts w:hint="default" w:ascii="Times New Roman" w:hAnsi="Times New Roman" w:cs="Times New Roman"/>
                <w:color w:val="000000" w:themeColor="text1"/>
                <w:highlight w:val="none"/>
                <w:lang w:val="en-US" w:eastAsia="zh-CN"/>
                <w14:textFill>
                  <w14:solidFill>
                    <w14:schemeClr w14:val="tx1"/>
                  </w14:solidFill>
                </w14:textFill>
              </w:rPr>
              <w:t>年10月</w:t>
            </w:r>
            <w:r>
              <w:rPr>
                <w:rFonts w:hint="eastAsia" w:cs="Times New Roman"/>
                <w:color w:val="000000" w:themeColor="text1"/>
                <w:highlight w:val="none"/>
                <w:lang w:val="en-US" w:eastAsia="zh-CN"/>
                <w14:textFill>
                  <w14:solidFill>
                    <w14:schemeClr w14:val="tx1"/>
                  </w14:solidFill>
                </w14:textFill>
              </w:rPr>
              <w:t>21</w:t>
            </w:r>
            <w:r>
              <w:rPr>
                <w:rFonts w:hint="default" w:ascii="Times New Roman" w:hAnsi="Times New Roman" w:cs="Times New Roman"/>
                <w:color w:val="000000" w:themeColor="text1"/>
                <w:highlight w:val="none"/>
                <w:lang w:val="en-US" w:eastAsia="zh-CN"/>
                <w14:textFill>
                  <w14:solidFill>
                    <w14:schemeClr w14:val="tx1"/>
                  </w14:solidFill>
                </w14:textFill>
              </w:rPr>
              <w:t>日</w:t>
            </w:r>
          </w:p>
          <w:p w14:paraId="2FC21894">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2项目主要建设内容</w:t>
            </w:r>
          </w:p>
          <w:p w14:paraId="443AB958">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本项目工作内容主要包括钻探</w:t>
            </w:r>
            <w:r>
              <w:rPr>
                <w:rFonts w:hint="default" w:ascii="Times New Roman" w:hAnsi="Times New Roman" w:eastAsia="华文中宋"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槽探</w:t>
            </w:r>
            <w:r>
              <w:rPr>
                <w:rFonts w:hint="default" w:ascii="Times New Roman" w:hAnsi="Times New Roman" w:eastAsia="华文中宋"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地质测量、</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采样</w:t>
            </w:r>
            <w:r>
              <w:rPr>
                <w:rFonts w:hint="eastAsia"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与分析</w:t>
            </w:r>
            <w:r>
              <w:rPr>
                <w:rFonts w:hint="default" w:ascii="Times New Roman" w:hAnsi="Times New Roman" w:eastAsia="华文中宋" w:cs="Times New Roman"/>
                <w:color w:val="000000" w:themeColor="text1"/>
                <w:kern w:val="0"/>
                <w:sz w:val="24"/>
                <w:szCs w:val="24"/>
                <w:highlight w:val="none"/>
                <w14:textFill>
                  <w14:solidFill>
                    <w14:schemeClr w14:val="tx1"/>
                  </w14:solidFill>
                </w14:textFill>
              </w:rPr>
              <w:t>等工作。</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项目组成包括主体工程、</w:t>
            </w:r>
            <w:r>
              <w:rPr>
                <w:rFonts w:hint="eastAsia" w:eastAsia="华文中宋" w:cs="Times New Roman"/>
                <w:color w:val="000000" w:themeColor="text1"/>
                <w:kern w:val="0"/>
                <w:sz w:val="24"/>
                <w:szCs w:val="24"/>
                <w:highlight w:val="none"/>
                <w:lang w:val="en-US" w:eastAsia="zh-CN"/>
                <w14:textFill>
                  <w14:solidFill>
                    <w14:schemeClr w14:val="tx1"/>
                  </w14:solidFill>
                </w14:textFill>
              </w:rPr>
              <w:t>辅助工程、储运工程、</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公用工程、环保工程等，</w:t>
            </w:r>
            <w:r>
              <w:rPr>
                <w:rFonts w:hint="default" w:ascii="Times New Roman" w:hAnsi="Times New Roman" w:eastAsia="华文中宋" w:cs="Times New Roman"/>
                <w:color w:val="000000" w:themeColor="text1"/>
                <w:highlight w:val="none"/>
                <w14:textFill>
                  <w14:solidFill>
                    <w14:schemeClr w14:val="tx1"/>
                  </w14:solidFill>
                </w14:textFill>
              </w:rPr>
              <w:t>工程组成详见表</w:t>
            </w:r>
            <w:r>
              <w:rPr>
                <w:rFonts w:hint="default" w:ascii="Times New Roman" w:hAnsi="Times New Roman" w:eastAsia="华文中宋" w:cs="Times New Roman"/>
                <w:color w:val="000000" w:themeColor="text1"/>
                <w:highlight w:val="none"/>
                <w:lang w:val="en-US" w:eastAsia="zh-CN"/>
                <w14:textFill>
                  <w14:solidFill>
                    <w14:schemeClr w14:val="tx1"/>
                  </w14:solidFill>
                </w14:textFill>
              </w:rPr>
              <w:t>2-2</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40C1EE28">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项目主要建设内容见表2-2。</w:t>
            </w:r>
          </w:p>
          <w:p w14:paraId="14944D1D">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 xml:space="preserve">表2-2    </w:t>
            </w:r>
            <w:r>
              <w:rPr>
                <w:rFonts w:hint="eastAsia" w:cs="Times New Roman"/>
                <w:color w:val="000000" w:themeColor="text1"/>
                <w:highlight w:val="none"/>
                <w:lang w:val="en-US" w:eastAsia="zh-CN"/>
                <w14:textFill>
                  <w14:solidFill>
                    <w14:schemeClr w14:val="tx1"/>
                  </w14:solidFill>
                </w14:textFill>
              </w:rPr>
              <w:t>建设项目组成一览</w:t>
            </w:r>
            <w:r>
              <w:rPr>
                <w:rFonts w:hint="default" w:ascii="Times New Roman" w:hAnsi="Times New Roman" w:cs="Times New Roman"/>
                <w:color w:val="000000" w:themeColor="text1"/>
                <w:highlight w:val="none"/>
                <w:lang w:val="en-US" w:eastAsia="zh-CN"/>
                <w14:textFill>
                  <w14:solidFill>
                    <w14:schemeClr w14:val="tx1"/>
                  </w14:solidFill>
                </w14:textFill>
              </w:rPr>
              <w:t>表</w:t>
            </w:r>
          </w:p>
          <w:tbl>
            <w:tblPr>
              <w:tblStyle w:val="29"/>
              <w:tblW w:w="483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1299"/>
              <w:gridCol w:w="6"/>
              <w:gridCol w:w="1233"/>
              <w:gridCol w:w="1823"/>
              <w:gridCol w:w="1076"/>
              <w:gridCol w:w="1533"/>
            </w:tblGrid>
            <w:tr w14:paraId="788C1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gridSpan w:val="3"/>
                  <w:tcBorders>
                    <w:tl2br w:val="nil"/>
                    <w:tr2bl w:val="nil"/>
                  </w:tcBorders>
                  <w:noWrap w:val="0"/>
                  <w:vAlign w:val="center"/>
                </w:tcPr>
                <w:p w14:paraId="3D5BBFBD">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类别</w:t>
                  </w:r>
                </w:p>
              </w:tc>
              <w:tc>
                <w:tcPr>
                  <w:tcW w:w="3717" w:type="pct"/>
                  <w:gridSpan w:val="4"/>
                  <w:tcBorders>
                    <w:tl2br w:val="nil"/>
                    <w:tr2bl w:val="nil"/>
                  </w:tcBorders>
                  <w:noWrap w:val="0"/>
                  <w:vAlign w:val="center"/>
                </w:tcPr>
                <w:p w14:paraId="344F5EE5">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建设内容</w:t>
                  </w:r>
                </w:p>
              </w:tc>
            </w:tr>
            <w:tr w14:paraId="0B49CC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426" w:type="pct"/>
                  <w:vMerge w:val="restart"/>
                  <w:tcBorders>
                    <w:tl2br w:val="nil"/>
                    <w:tr2bl w:val="nil"/>
                  </w:tcBorders>
                  <w:noWrap w:val="0"/>
                  <w:vAlign w:val="center"/>
                </w:tcPr>
                <w:p w14:paraId="3CEC6EDF">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主体工程</w:t>
                  </w:r>
                </w:p>
              </w:tc>
              <w:tc>
                <w:tcPr>
                  <w:tcW w:w="855" w:type="pct"/>
                  <w:gridSpan w:val="2"/>
                  <w:vMerge w:val="restart"/>
                  <w:tcBorders>
                    <w:tl2br w:val="nil"/>
                    <w:tr2bl w:val="nil"/>
                  </w:tcBorders>
                  <w:noWrap w:val="0"/>
                  <w:vAlign w:val="center"/>
                </w:tcPr>
                <w:p w14:paraId="2CF47B08">
                  <w:pPr>
                    <w:pStyle w:val="63"/>
                    <w:bidi w:val="0"/>
                    <w:ind w:left="0" w:leftChars="0" w:right="0" w:rightChars="0"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地质测量</w:t>
                  </w:r>
                </w:p>
              </w:tc>
              <w:tc>
                <w:tcPr>
                  <w:tcW w:w="3717" w:type="pct"/>
                  <w:gridSpan w:val="4"/>
                  <w:tcBorders>
                    <w:tl2br w:val="nil"/>
                    <w:tr2bl w:val="nil"/>
                  </w:tcBorders>
                  <w:shd w:val="clear" w:color="auto" w:fill="auto"/>
                  <w:noWrap w:val="0"/>
                  <w:vAlign w:val="center"/>
                </w:tcPr>
                <w:p w14:paraId="031A555F">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万</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地质测量（草测）</w:t>
                  </w:r>
                  <w:r>
                    <w:rPr>
                      <w:rFonts w:hint="eastAsia" w:cs="Times New Roman"/>
                      <w:color w:val="000000" w:themeColor="text1"/>
                      <w:sz w:val="21"/>
                      <w:szCs w:val="21"/>
                      <w:highlight w:val="none"/>
                      <w:lang w:val="en-US" w:eastAsia="zh-CN"/>
                      <w14:textFill>
                        <w14:solidFill>
                          <w14:schemeClr w14:val="tx1"/>
                        </w14:solidFill>
                      </w14:textFill>
                    </w:rPr>
                    <w:t>，11.47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km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p>
              </w:tc>
            </w:tr>
            <w:tr w14:paraId="718BF6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426" w:type="pct"/>
                  <w:vMerge w:val="continue"/>
                  <w:tcBorders>
                    <w:tl2br w:val="nil"/>
                    <w:tr2bl w:val="nil"/>
                  </w:tcBorders>
                  <w:noWrap w:val="0"/>
                  <w:vAlign w:val="center"/>
                </w:tcPr>
                <w:p w14:paraId="48500CA2">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16B1C653">
                  <w:pPr>
                    <w:pStyle w:val="63"/>
                    <w:bidi w:val="0"/>
                    <w:ind w:left="0" w:leftChars="0" w:right="0" w:rightChars="0"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717" w:type="pct"/>
                  <w:gridSpan w:val="4"/>
                  <w:tcBorders>
                    <w:tl2br w:val="nil"/>
                    <w:tr2bl w:val="nil"/>
                  </w:tcBorders>
                  <w:shd w:val="clear" w:color="auto" w:fill="auto"/>
                  <w:noWrap w:val="0"/>
                  <w:vAlign w:val="center"/>
                </w:tcPr>
                <w:p w14:paraId="67856ACE">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1:5000地质剖面测量</w:t>
                  </w:r>
                  <w:r>
                    <w:rPr>
                      <w:rFonts w:hint="eastAsia" w:cs="Times New Roman"/>
                      <w:color w:val="000000" w:themeColor="text1"/>
                      <w:sz w:val="21"/>
                      <w:szCs w:val="21"/>
                      <w:highlight w:val="none"/>
                      <w:lang w:val="en-US" w:eastAsia="zh-CN"/>
                      <w14:textFill>
                        <w14:solidFill>
                          <w14:schemeClr w14:val="tx1"/>
                        </w14:solidFill>
                      </w14:textFill>
                    </w:rPr>
                    <w:t>，19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km</w:t>
                  </w:r>
                </w:p>
              </w:tc>
            </w:tr>
            <w:tr w14:paraId="3FD5ED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426" w:type="pct"/>
                  <w:vMerge w:val="continue"/>
                  <w:tcBorders>
                    <w:tl2br w:val="nil"/>
                    <w:tr2bl w:val="nil"/>
                  </w:tcBorders>
                  <w:noWrap w:val="0"/>
                  <w:vAlign w:val="center"/>
                </w:tcPr>
                <w:p w14:paraId="2F06E22F">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7FEDBAA1">
                  <w:pPr>
                    <w:pStyle w:val="63"/>
                    <w:bidi w:val="0"/>
                    <w:ind w:left="0" w:leftChars="0" w:right="0" w:rightChars="0"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717" w:type="pct"/>
                  <w:gridSpan w:val="4"/>
                  <w:tcBorders>
                    <w:tl2br w:val="nil"/>
                    <w:tr2bl w:val="nil"/>
                  </w:tcBorders>
                  <w:shd w:val="clear" w:color="auto" w:fill="auto"/>
                  <w:noWrap w:val="0"/>
                  <w:vAlign w:val="center"/>
                </w:tcPr>
                <w:p w14:paraId="0FC2DB65">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1:2.5万化探扫面</w:t>
                  </w:r>
                  <w:r>
                    <w:rPr>
                      <w:rFonts w:hint="eastAsia" w:cs="Times New Roman"/>
                      <w:color w:val="000000" w:themeColor="text1"/>
                      <w:sz w:val="21"/>
                      <w:szCs w:val="21"/>
                      <w:highlight w:val="none"/>
                      <w:lang w:val="en-US" w:eastAsia="zh-CN"/>
                      <w14:textFill>
                        <w14:solidFill>
                          <w14:schemeClr w14:val="tx1"/>
                        </w14:solidFill>
                      </w14:textFill>
                    </w:rPr>
                    <w:t>，11.47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km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p>
              </w:tc>
            </w:tr>
            <w:tr w14:paraId="042BDB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426" w:type="pct"/>
                  <w:vMerge w:val="continue"/>
                  <w:tcBorders>
                    <w:tl2br w:val="nil"/>
                    <w:tr2bl w:val="nil"/>
                  </w:tcBorders>
                  <w:noWrap w:val="0"/>
                  <w:vAlign w:val="center"/>
                </w:tcPr>
                <w:p w14:paraId="3C5FC277">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152819F2">
                  <w:pPr>
                    <w:pStyle w:val="63"/>
                    <w:bidi w:val="0"/>
                    <w:ind w:left="0" w:leftChars="0" w:right="0" w:rightChars="0"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717" w:type="pct"/>
                  <w:gridSpan w:val="4"/>
                  <w:tcBorders>
                    <w:tl2br w:val="nil"/>
                    <w:tr2bl w:val="nil"/>
                  </w:tcBorders>
                  <w:shd w:val="clear" w:color="auto" w:fill="auto"/>
                  <w:noWrap w:val="0"/>
                  <w:vAlign w:val="center"/>
                </w:tcPr>
                <w:p w14:paraId="208551EE">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1:5000岩石剖面测量</w:t>
                  </w:r>
                  <w:r>
                    <w:rPr>
                      <w:rFonts w:hint="eastAsia" w:cs="Times New Roman"/>
                      <w:color w:val="000000" w:themeColor="text1"/>
                      <w:sz w:val="21"/>
                      <w:szCs w:val="21"/>
                      <w:highlight w:val="none"/>
                      <w:lang w:val="en-US" w:eastAsia="zh-CN"/>
                      <w14:textFill>
                        <w14:solidFill>
                          <w14:schemeClr w14:val="tx1"/>
                        </w14:solidFill>
                      </w14:textFill>
                    </w:rPr>
                    <w:t>，19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km</w:t>
                  </w:r>
                </w:p>
              </w:tc>
            </w:tr>
            <w:tr w14:paraId="46783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426" w:type="pct"/>
                  <w:vMerge w:val="continue"/>
                  <w:tcBorders>
                    <w:tl2br w:val="nil"/>
                    <w:tr2bl w:val="nil"/>
                  </w:tcBorders>
                  <w:noWrap w:val="0"/>
                  <w:vAlign w:val="center"/>
                </w:tcPr>
                <w:p w14:paraId="2387F99A">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47FA139D">
                  <w:pPr>
                    <w:pStyle w:val="63"/>
                    <w:bidi w:val="0"/>
                    <w:ind w:left="0" w:leftChars="0" w:right="0" w:rightChars="0"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717" w:type="pct"/>
                  <w:gridSpan w:val="4"/>
                  <w:tcBorders>
                    <w:tl2br w:val="nil"/>
                    <w:tr2bl w:val="nil"/>
                  </w:tcBorders>
                  <w:shd w:val="clear" w:color="auto" w:fill="auto"/>
                  <w:noWrap w:val="0"/>
                  <w:vAlign w:val="center"/>
                </w:tcPr>
                <w:p w14:paraId="3F0D8B05">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激电中梯短导线</w:t>
                  </w:r>
                  <w:r>
                    <w:rPr>
                      <w:rFonts w:hint="eastAsia" w:cs="Times New Roman"/>
                      <w:color w:val="000000" w:themeColor="text1"/>
                      <w:sz w:val="21"/>
                      <w:szCs w:val="21"/>
                      <w:highlight w:val="none"/>
                      <w:lang w:val="en-US" w:eastAsia="zh-CN"/>
                      <w14:textFill>
                        <w14:solidFill>
                          <w14:schemeClr w14:val="tx1"/>
                        </w14:solidFill>
                      </w14:textFill>
                    </w:rPr>
                    <w:t>，9.5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km</w:t>
                  </w:r>
                </w:p>
              </w:tc>
            </w:tr>
            <w:tr w14:paraId="793F7D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426" w:type="pct"/>
                  <w:vMerge w:val="continue"/>
                  <w:tcBorders>
                    <w:tl2br w:val="nil"/>
                    <w:tr2bl w:val="nil"/>
                  </w:tcBorders>
                  <w:noWrap w:val="0"/>
                  <w:vAlign w:val="center"/>
                </w:tcPr>
                <w:p w14:paraId="49F7D75A">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6AA66D09">
                  <w:pPr>
                    <w:pStyle w:val="63"/>
                    <w:bidi w:val="0"/>
                    <w:ind w:left="0" w:leftChars="0" w:right="0" w:rightChars="0"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槽探工程区</w:t>
                  </w:r>
                </w:p>
              </w:tc>
              <w:tc>
                <w:tcPr>
                  <w:tcW w:w="3717" w:type="pct"/>
                  <w:gridSpan w:val="4"/>
                  <w:tcBorders>
                    <w:tl2br w:val="nil"/>
                    <w:tr2bl w:val="nil"/>
                  </w:tcBorders>
                  <w:shd w:val="clear" w:color="auto" w:fill="auto"/>
                  <w:noWrap w:val="0"/>
                  <w:vAlign w:val="center"/>
                </w:tcPr>
                <w:p w14:paraId="55FAD298">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槽探工程量</w:t>
                  </w:r>
                  <w:r>
                    <w:rPr>
                      <w:rFonts w:hint="eastAsia" w:eastAsia="华文中宋" w:cs="Times New Roman"/>
                      <w:color w:val="000000" w:themeColor="text1"/>
                      <w:sz w:val="21"/>
                      <w:szCs w:val="21"/>
                      <w:highlight w:val="none"/>
                      <w:lang w:val="en-US" w:eastAsia="zh-CN"/>
                      <w14:textFill>
                        <w14:solidFill>
                          <w14:schemeClr w14:val="tx1"/>
                        </w14:solidFill>
                      </w14:textFill>
                    </w:rPr>
                    <w:t>4700</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立方米，共</w:t>
                  </w:r>
                  <w:r>
                    <w:rPr>
                      <w:rFonts w:hint="eastAsia" w:eastAsia="华文中宋" w:cs="Times New Roman"/>
                      <w:color w:val="000000" w:themeColor="text1"/>
                      <w:sz w:val="21"/>
                      <w:szCs w:val="21"/>
                      <w:highlight w:val="none"/>
                      <w:lang w:val="en-US" w:eastAsia="zh-CN"/>
                      <w14:textFill>
                        <w14:solidFill>
                          <w14:schemeClr w14:val="tx1"/>
                        </w14:solidFill>
                      </w14:textFill>
                    </w:rPr>
                    <w:t>35</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条槽探。槽口平均宽1.</w:t>
                  </w:r>
                  <w:r>
                    <w:rPr>
                      <w:rFonts w:hint="eastAsia" w:eastAsia="华文中宋"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米～</w:t>
                  </w:r>
                  <w:r>
                    <w:rPr>
                      <w:rFonts w:hint="eastAsia" w:eastAsia="华文中宋"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米，底平均宽1.</w:t>
                  </w:r>
                  <w:r>
                    <w:rPr>
                      <w:rFonts w:hint="eastAsia" w:eastAsia="华文中宋"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米，平均深</w:t>
                  </w:r>
                  <w:r>
                    <w:rPr>
                      <w:rFonts w:hint="eastAsia" w:eastAsia="华文中宋"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米</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槽探工程根据实际矿化蚀变带采用</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00</w:t>
                  </w:r>
                  <w:r>
                    <w:rPr>
                      <w:rFonts w:hint="eastAsia" w:eastAsia="华文中宋"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00m的工程间距对矿化体进行揭露控制</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w:t>
                  </w:r>
                </w:p>
              </w:tc>
            </w:tr>
            <w:tr w14:paraId="783C9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426" w:type="pct"/>
                  <w:vMerge w:val="continue"/>
                  <w:tcBorders>
                    <w:tl2br w:val="nil"/>
                    <w:tr2bl w:val="nil"/>
                  </w:tcBorders>
                  <w:noWrap w:val="0"/>
                  <w:vAlign w:val="center"/>
                </w:tcPr>
                <w:p w14:paraId="7E68E89F">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776C9C95">
                  <w:pPr>
                    <w:pStyle w:val="63"/>
                    <w:bidi w:val="0"/>
                    <w:ind w:left="0" w:leftChars="0" w:right="0" w:rightChars="0" w:firstLine="0" w:firstLineChars="0"/>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钻探工程区</w:t>
                  </w:r>
                </w:p>
              </w:tc>
              <w:tc>
                <w:tcPr>
                  <w:tcW w:w="3717" w:type="pct"/>
                  <w:gridSpan w:val="4"/>
                  <w:tcBorders>
                    <w:tl2br w:val="nil"/>
                    <w:tr2bl w:val="nil"/>
                  </w:tcBorders>
                  <w:shd w:val="clear" w:color="auto" w:fill="auto"/>
                  <w:noWrap w:val="0"/>
                  <w:vAlign w:val="center"/>
                </w:tcPr>
                <w:p w14:paraId="6FE24F89">
                  <w:pPr>
                    <w:pStyle w:val="63"/>
                    <w:bidi w:val="0"/>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共钻探</w:t>
                  </w:r>
                  <w:r>
                    <w:rPr>
                      <w:rFonts w:hint="eastAsia" w:eastAsia="华文中宋" w:cs="Times New Roman"/>
                      <w:color w:val="000000" w:themeColor="text1"/>
                      <w:sz w:val="21"/>
                      <w:szCs w:val="21"/>
                      <w:highlight w:val="none"/>
                      <w:lang w:val="en-US" w:eastAsia="zh-CN"/>
                      <w14:textFill>
                        <w14:solidFill>
                          <w14:schemeClr w14:val="tx1"/>
                        </w14:solidFill>
                      </w14:textFill>
                    </w:rPr>
                    <w:t>4200</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米，共2</w:t>
                  </w:r>
                  <w:r>
                    <w:rPr>
                      <w:rFonts w:hint="eastAsia" w:eastAsia="华文中宋"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个孔，钻孔平均孔深</w:t>
                  </w:r>
                  <w:r>
                    <w:rPr>
                      <w:rFonts w:hint="eastAsia" w:eastAsia="华文中宋" w:cs="Times New Roman"/>
                      <w:color w:val="000000" w:themeColor="text1"/>
                      <w:sz w:val="21"/>
                      <w:szCs w:val="21"/>
                      <w:highlight w:val="none"/>
                      <w:lang w:val="en-US" w:eastAsia="zh-CN"/>
                      <w14:textFill>
                        <w14:solidFill>
                          <w14:schemeClr w14:val="tx1"/>
                        </w14:solidFill>
                      </w14:textFill>
                    </w:rPr>
                    <w:t>100—300</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米，设计倾角85</w:t>
                  </w:r>
                  <w:r>
                    <w:rPr>
                      <w:rFonts w:hint="eastAsia" w:eastAsia="华文中宋"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，目的是验证物探异常，对矿体进行深部控制，对主要矿</w:t>
                  </w:r>
                  <w:r>
                    <w:rPr>
                      <w:rFonts w:hint="eastAsia" w:eastAsia="华文中宋"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化</w:t>
                  </w:r>
                  <w:r>
                    <w:rPr>
                      <w:rFonts w:hint="eastAsia" w:eastAsia="华文中宋"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体成矿远景进行初步查明。钻孔间距</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按</w:t>
                  </w:r>
                  <w:r>
                    <w:rPr>
                      <w:rFonts w:hint="eastAsia" w:eastAsia="华文中宋" w:cs="Times New Roman"/>
                      <w:color w:val="000000" w:themeColor="text1"/>
                      <w:sz w:val="21"/>
                      <w:szCs w:val="21"/>
                      <w:highlight w:val="none"/>
                      <w:lang w:val="en-US" w:eastAsia="zh-CN"/>
                      <w14:textFill>
                        <w14:solidFill>
                          <w14:schemeClr w14:val="tx1"/>
                        </w14:solidFill>
                      </w14:textFill>
                    </w:rPr>
                    <w:t>50—500</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米工程间距施工钻探</w:t>
                  </w:r>
                  <w:r>
                    <w:rPr>
                      <w:rFonts w:hint="eastAsia" w:ascii="Times New Roman" w:hAnsi="Times New Roman" w:eastAsia="华文中宋" w:cs="Times New Roman"/>
                      <w:color w:val="000000" w:themeColor="text1"/>
                      <w:sz w:val="21"/>
                      <w:szCs w:val="21"/>
                      <w:highlight w:val="none"/>
                      <w:lang w:val="en-US" w:eastAsia="zh-CN"/>
                      <w14:textFill>
                        <w14:solidFill>
                          <w14:schemeClr w14:val="tx1"/>
                        </w14:solidFill>
                      </w14:textFill>
                    </w:rPr>
                    <w:t>。</w:t>
                  </w:r>
                </w:p>
              </w:tc>
            </w:tr>
            <w:tr w14:paraId="754F7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26" w:type="pct"/>
                  <w:vMerge w:val="continue"/>
                  <w:tcBorders>
                    <w:tl2br w:val="nil"/>
                    <w:tr2bl w:val="nil"/>
                  </w:tcBorders>
                  <w:noWrap w:val="0"/>
                  <w:vAlign w:val="center"/>
                </w:tcPr>
                <w:p w14:paraId="66886B96">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4E5E3C42">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采样与分析</w:t>
                  </w:r>
                </w:p>
              </w:tc>
              <w:tc>
                <w:tcPr>
                  <w:tcW w:w="2005" w:type="pct"/>
                  <w:gridSpan w:val="2"/>
                  <w:tcBorders>
                    <w:tl2br w:val="nil"/>
                    <w:tr2bl w:val="nil"/>
                  </w:tcBorders>
                  <w:noWrap w:val="0"/>
                  <w:vAlign w:val="center"/>
                </w:tcPr>
                <w:p w14:paraId="7458185C">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各类样品</w:t>
                  </w:r>
                </w:p>
              </w:tc>
              <w:tc>
                <w:tcPr>
                  <w:tcW w:w="706" w:type="pct"/>
                  <w:tcBorders>
                    <w:tl2br w:val="nil"/>
                    <w:tr2bl w:val="nil"/>
                  </w:tcBorders>
                  <w:noWrap w:val="0"/>
                  <w:vAlign w:val="center"/>
                </w:tcPr>
                <w:p w14:paraId="11F6214F">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件</w:t>
                  </w:r>
                </w:p>
              </w:tc>
              <w:tc>
                <w:tcPr>
                  <w:tcW w:w="1006" w:type="pct"/>
                  <w:tcBorders>
                    <w:tl2br w:val="nil"/>
                    <w:tr2bl w:val="nil"/>
                  </w:tcBorders>
                  <w:noWrap w:val="0"/>
                  <w:vAlign w:val="center"/>
                </w:tcPr>
                <w:p w14:paraId="1B5ECC45">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4350</w:t>
                  </w:r>
                </w:p>
              </w:tc>
            </w:tr>
            <w:tr w14:paraId="62971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26" w:type="pct"/>
                  <w:vMerge w:val="continue"/>
                  <w:tcBorders>
                    <w:tl2br w:val="nil"/>
                    <w:tr2bl w:val="nil"/>
                  </w:tcBorders>
                  <w:noWrap w:val="0"/>
                  <w:vAlign w:val="center"/>
                </w:tcPr>
                <w:p w14:paraId="4003C41E">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202A77D2">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样品加工</w:t>
                  </w:r>
                </w:p>
              </w:tc>
              <w:tc>
                <w:tcPr>
                  <w:tcW w:w="2005" w:type="pct"/>
                  <w:gridSpan w:val="2"/>
                  <w:tcBorders>
                    <w:tl2br w:val="nil"/>
                    <w:tr2bl w:val="nil"/>
                  </w:tcBorders>
                  <w:noWrap w:val="0"/>
                  <w:vAlign w:val="center"/>
                </w:tcPr>
                <w:p w14:paraId="30DED324">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各类样品</w:t>
                  </w:r>
                </w:p>
              </w:tc>
              <w:tc>
                <w:tcPr>
                  <w:tcW w:w="706" w:type="pct"/>
                  <w:tcBorders>
                    <w:tl2br w:val="nil"/>
                    <w:tr2bl w:val="nil"/>
                  </w:tcBorders>
                  <w:noWrap w:val="0"/>
                  <w:vAlign w:val="center"/>
                </w:tcPr>
                <w:p w14:paraId="7CEB9889">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件</w:t>
                  </w:r>
                </w:p>
              </w:tc>
              <w:tc>
                <w:tcPr>
                  <w:tcW w:w="1006" w:type="pct"/>
                  <w:tcBorders>
                    <w:tl2br w:val="nil"/>
                    <w:tr2bl w:val="nil"/>
                  </w:tcBorders>
                  <w:noWrap w:val="0"/>
                  <w:vAlign w:val="center"/>
                </w:tcPr>
                <w:p w14:paraId="5A2E3096">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1420</w:t>
                  </w:r>
                </w:p>
              </w:tc>
            </w:tr>
            <w:tr w14:paraId="330465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26" w:type="pct"/>
                  <w:vMerge w:val="continue"/>
                  <w:tcBorders>
                    <w:tl2br w:val="nil"/>
                    <w:tr2bl w:val="nil"/>
                  </w:tcBorders>
                  <w:noWrap w:val="0"/>
                  <w:vAlign w:val="center"/>
                </w:tcPr>
                <w:p w14:paraId="64612A49">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restart"/>
                  <w:tcBorders>
                    <w:tl2br w:val="nil"/>
                    <w:tr2bl w:val="nil"/>
                  </w:tcBorders>
                  <w:noWrap w:val="0"/>
                  <w:vAlign w:val="center"/>
                </w:tcPr>
                <w:p w14:paraId="5405A883">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岩矿鉴定与实验</w:t>
                  </w:r>
                </w:p>
              </w:tc>
              <w:tc>
                <w:tcPr>
                  <w:tcW w:w="2005" w:type="pct"/>
                  <w:gridSpan w:val="2"/>
                  <w:tcBorders>
                    <w:tl2br w:val="nil"/>
                    <w:tr2bl w:val="nil"/>
                  </w:tcBorders>
                  <w:noWrap w:val="0"/>
                  <w:vAlign w:val="center"/>
                </w:tcPr>
                <w:p w14:paraId="055C5C32">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薄片制片与鉴定</w:t>
                  </w:r>
                </w:p>
              </w:tc>
              <w:tc>
                <w:tcPr>
                  <w:tcW w:w="706" w:type="pct"/>
                  <w:tcBorders>
                    <w:tl2br w:val="nil"/>
                    <w:tr2bl w:val="nil"/>
                  </w:tcBorders>
                  <w:noWrap w:val="0"/>
                  <w:vAlign w:val="center"/>
                </w:tcPr>
                <w:p w14:paraId="45C180F8">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片</w:t>
                  </w:r>
                </w:p>
              </w:tc>
              <w:tc>
                <w:tcPr>
                  <w:tcW w:w="1006" w:type="pct"/>
                  <w:tcBorders>
                    <w:tl2br w:val="nil"/>
                    <w:tr2bl w:val="nil"/>
                  </w:tcBorders>
                  <w:noWrap w:val="0"/>
                  <w:vAlign w:val="center"/>
                </w:tcPr>
                <w:p w14:paraId="30553C8C">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38</w:t>
                  </w:r>
                </w:p>
              </w:tc>
            </w:tr>
            <w:tr w14:paraId="2E54A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26" w:type="pct"/>
                  <w:vMerge w:val="continue"/>
                  <w:tcBorders>
                    <w:tl2br w:val="nil"/>
                    <w:tr2bl w:val="nil"/>
                  </w:tcBorders>
                  <w:noWrap w:val="0"/>
                  <w:vAlign w:val="center"/>
                </w:tcPr>
                <w:p w14:paraId="04D3FF92">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7EB47390">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005" w:type="pct"/>
                  <w:gridSpan w:val="2"/>
                  <w:tcBorders>
                    <w:tl2br w:val="nil"/>
                    <w:tr2bl w:val="nil"/>
                  </w:tcBorders>
                  <w:noWrap w:val="0"/>
                  <w:vAlign w:val="center"/>
                </w:tcPr>
                <w:p w14:paraId="36A05911">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光片制片与鉴定</w:t>
                  </w:r>
                </w:p>
              </w:tc>
              <w:tc>
                <w:tcPr>
                  <w:tcW w:w="706" w:type="pct"/>
                  <w:tcBorders>
                    <w:tl2br w:val="nil"/>
                    <w:tr2bl w:val="nil"/>
                  </w:tcBorders>
                  <w:noWrap w:val="0"/>
                  <w:vAlign w:val="center"/>
                </w:tcPr>
                <w:p w14:paraId="47D197F4">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片</w:t>
                  </w:r>
                </w:p>
              </w:tc>
              <w:tc>
                <w:tcPr>
                  <w:tcW w:w="1006" w:type="pct"/>
                  <w:tcBorders>
                    <w:tl2br w:val="nil"/>
                    <w:tr2bl w:val="nil"/>
                  </w:tcBorders>
                  <w:noWrap w:val="0"/>
                  <w:vAlign w:val="center"/>
                </w:tcPr>
                <w:p w14:paraId="23876759">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38</w:t>
                  </w:r>
                </w:p>
              </w:tc>
            </w:tr>
            <w:tr w14:paraId="5AA86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26" w:type="pct"/>
                  <w:vMerge w:val="continue"/>
                  <w:tcBorders>
                    <w:tl2br w:val="nil"/>
                    <w:tr2bl w:val="nil"/>
                  </w:tcBorders>
                  <w:noWrap w:val="0"/>
                  <w:vAlign w:val="center"/>
                </w:tcPr>
                <w:p w14:paraId="62F7DE19">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449AF13E">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005" w:type="pct"/>
                  <w:gridSpan w:val="2"/>
                  <w:tcBorders>
                    <w:tl2br w:val="nil"/>
                    <w:tr2bl w:val="nil"/>
                  </w:tcBorders>
                  <w:noWrap w:val="0"/>
                  <w:vAlign w:val="center"/>
                </w:tcPr>
                <w:p w14:paraId="4A7C5559">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小体重</w:t>
                  </w:r>
                </w:p>
              </w:tc>
              <w:tc>
                <w:tcPr>
                  <w:tcW w:w="706" w:type="pct"/>
                  <w:tcBorders>
                    <w:tl2br w:val="nil"/>
                    <w:tr2bl w:val="nil"/>
                  </w:tcBorders>
                  <w:noWrap w:val="0"/>
                  <w:vAlign w:val="center"/>
                </w:tcPr>
                <w:p w14:paraId="472F4EBE">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件</w:t>
                  </w:r>
                </w:p>
              </w:tc>
              <w:tc>
                <w:tcPr>
                  <w:tcW w:w="1006" w:type="pct"/>
                  <w:tcBorders>
                    <w:tl2br w:val="nil"/>
                    <w:tr2bl w:val="nil"/>
                  </w:tcBorders>
                  <w:noWrap w:val="0"/>
                  <w:vAlign w:val="center"/>
                </w:tcPr>
                <w:p w14:paraId="01F26920">
                  <w:pPr>
                    <w:keepNext w:val="0"/>
                    <w:keepLines w:val="0"/>
                    <w:pageBreakBefore w:val="0"/>
                    <w:widowControl/>
                    <w:kinsoku/>
                    <w:wordWrap/>
                    <w:overflowPunct/>
                    <w:topLinePunct w:val="0"/>
                    <w:autoSpaceDE/>
                    <w:autoSpaceDN/>
                    <w:bidi w:val="0"/>
                    <w:adjustRightInd w:val="0"/>
                    <w:snapToGrid w:val="0"/>
                    <w:spacing w:line="216" w:lineRule="auto"/>
                    <w:jc w:val="center"/>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19</w:t>
                  </w:r>
                </w:p>
              </w:tc>
            </w:tr>
            <w:tr w14:paraId="17FE60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26" w:type="pct"/>
                  <w:vMerge w:val="restart"/>
                  <w:tcBorders>
                    <w:tl2br w:val="nil"/>
                    <w:tr2bl w:val="nil"/>
                  </w:tcBorders>
                  <w:noWrap w:val="0"/>
                  <w:vAlign w:val="center"/>
                </w:tcPr>
                <w:p w14:paraId="027DCE8A">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辅助工程</w:t>
                  </w:r>
                </w:p>
              </w:tc>
              <w:tc>
                <w:tcPr>
                  <w:tcW w:w="855" w:type="pct"/>
                  <w:gridSpan w:val="2"/>
                  <w:tcBorders>
                    <w:tl2br w:val="nil"/>
                    <w:tr2bl w:val="nil"/>
                  </w:tcBorders>
                  <w:noWrap w:val="0"/>
                  <w:vAlign w:val="center"/>
                </w:tcPr>
                <w:p w14:paraId="303F5D6C">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施工便道</w:t>
                  </w:r>
                </w:p>
              </w:tc>
              <w:tc>
                <w:tcPr>
                  <w:tcW w:w="3717" w:type="pct"/>
                  <w:gridSpan w:val="4"/>
                  <w:tcBorders>
                    <w:tl2br w:val="nil"/>
                    <w:tr2bl w:val="nil"/>
                  </w:tcBorders>
                  <w:noWrap w:val="0"/>
                  <w:vAlign w:val="center"/>
                </w:tcPr>
                <w:p w14:paraId="19E41602">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本项目设置施工便道，长3550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eastAsia" w:cs="Times New Roman"/>
                      <w:color w:val="000000" w:themeColor="text1"/>
                      <w:sz w:val="21"/>
                      <w:szCs w:val="21"/>
                      <w:highlight w:val="none"/>
                      <w:lang w:val="en-US" w:eastAsia="zh-CN"/>
                      <w14:textFill>
                        <w14:solidFill>
                          <w14:schemeClr w14:val="tx1"/>
                        </w14:solidFill>
                      </w14:textFill>
                    </w:rPr>
                    <w:t>，宽3.5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eastAsia" w:cs="Times New Roman"/>
                      <w:color w:val="000000" w:themeColor="text1"/>
                      <w:sz w:val="21"/>
                      <w:szCs w:val="21"/>
                      <w:highlight w:val="none"/>
                      <w:lang w:val="en-US" w:eastAsia="zh-CN"/>
                      <w14:textFill>
                        <w14:solidFill>
                          <w14:schemeClr w14:val="tx1"/>
                        </w14:solidFill>
                      </w14:textFill>
                    </w:rPr>
                    <w:t>，施工便道均设在探矿区内。</w:t>
                  </w:r>
                </w:p>
              </w:tc>
            </w:tr>
            <w:tr w14:paraId="212D72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26" w:type="pct"/>
                  <w:vMerge w:val="continue"/>
                  <w:tcBorders>
                    <w:tl2br w:val="nil"/>
                    <w:tr2bl w:val="nil"/>
                  </w:tcBorders>
                  <w:noWrap w:val="0"/>
                  <w:vAlign w:val="center"/>
                </w:tcPr>
                <w:p w14:paraId="72A66758">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692281D3">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生活营地</w:t>
                  </w:r>
                </w:p>
              </w:tc>
              <w:tc>
                <w:tcPr>
                  <w:tcW w:w="3717" w:type="pct"/>
                  <w:gridSpan w:val="4"/>
                  <w:tcBorders>
                    <w:tl2br w:val="nil"/>
                    <w:tr2bl w:val="nil"/>
                  </w:tcBorders>
                  <w:noWrap w:val="0"/>
                  <w:vAlign w:val="center"/>
                </w:tcPr>
                <w:p w14:paraId="02A620BA">
                  <w:pPr>
                    <w:pStyle w:val="63"/>
                    <w:bidi w:val="0"/>
                    <w:ind w:firstLine="420" w:firstLineChars="200"/>
                    <w:jc w:val="both"/>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设置一个生活营地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，包含设备存放区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，占地</w:t>
                  </w:r>
                  <w:r>
                    <w:rPr>
                      <w:rFonts w:hint="eastAsia" w:cs="Times New Roman"/>
                      <w:color w:val="000000" w:themeColor="text1"/>
                      <w:sz w:val="21"/>
                      <w:szCs w:val="21"/>
                      <w:highlight w:val="none"/>
                      <w:lang w:val="en-US" w:eastAsia="zh-CN"/>
                      <w14:textFill>
                        <w14:solidFill>
                          <w14:schemeClr w14:val="tx1"/>
                        </w14:solidFill>
                      </w14:textFill>
                    </w:rPr>
                    <w:t>面积200m²</w:t>
                  </w: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，待勘探工作完成后，拆除生活营地。</w:t>
                  </w:r>
                </w:p>
              </w:tc>
            </w:tr>
            <w:tr w14:paraId="295BFA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426" w:type="pct"/>
                  <w:vMerge w:val="restart"/>
                  <w:tcBorders>
                    <w:tl2br w:val="nil"/>
                    <w:tr2bl w:val="nil"/>
                  </w:tcBorders>
                  <w:noWrap w:val="0"/>
                  <w:vAlign w:val="center"/>
                </w:tcPr>
                <w:p w14:paraId="6313FA12">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储运</w:t>
                  </w:r>
                  <w:r>
                    <w:rPr>
                      <w:rFonts w:hint="default" w:ascii="Times New Roman" w:hAnsi="Times New Roman" w:eastAsia="宋体" w:cs="Times New Roman"/>
                      <w:color w:val="000000" w:themeColor="text1"/>
                      <w:sz w:val="21"/>
                      <w:szCs w:val="21"/>
                      <w:highlight w:val="none"/>
                      <w14:textFill>
                        <w14:solidFill>
                          <w14:schemeClr w14:val="tx1"/>
                        </w14:solidFill>
                      </w14:textFill>
                    </w:rPr>
                    <w:t>工程</w:t>
                  </w:r>
                </w:p>
              </w:tc>
              <w:tc>
                <w:tcPr>
                  <w:tcW w:w="855" w:type="pct"/>
                  <w:gridSpan w:val="2"/>
                  <w:tcBorders>
                    <w:tl2br w:val="nil"/>
                    <w:tr2bl w:val="nil"/>
                  </w:tcBorders>
                  <w:noWrap w:val="0"/>
                  <w:vAlign w:val="center"/>
                </w:tcPr>
                <w:p w14:paraId="593972C5">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临时堆场</w:t>
                  </w:r>
                </w:p>
              </w:tc>
              <w:tc>
                <w:tcPr>
                  <w:tcW w:w="3717" w:type="pct"/>
                  <w:gridSpan w:val="4"/>
                  <w:tcBorders>
                    <w:tl2br w:val="nil"/>
                    <w:tr2bl w:val="nil"/>
                  </w:tcBorders>
                  <w:noWrap w:val="0"/>
                  <w:vAlign w:val="center"/>
                </w:tcPr>
                <w:p w14:paraId="329FE05A">
                  <w:pPr>
                    <w:pStyle w:val="63"/>
                    <w:bidi w:val="0"/>
                    <w:ind w:firstLine="420" w:firstLineChars="200"/>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w:t>
                  </w:r>
                  <w:r>
                    <w:rPr>
                      <w:rFonts w:hint="eastAsia" w:cs="Times New Roman"/>
                      <w:color w:val="000000" w:themeColor="text1"/>
                      <w:sz w:val="21"/>
                      <w:szCs w:val="21"/>
                      <w:highlight w:val="none"/>
                      <w:lang w:val="en-US" w:eastAsia="zh-CN"/>
                      <w14:textFill>
                        <w14:solidFill>
                          <w14:schemeClr w14:val="tx1"/>
                        </w14:solidFill>
                      </w14:textFill>
                    </w:rPr>
                    <w:t>2500m²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临时堆场</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临时堆放槽探及钻探开挖</w:t>
                  </w:r>
                  <w:r>
                    <w:rPr>
                      <w:rFonts w:hint="eastAsia" w:cs="Times New Roman"/>
                      <w:color w:val="000000" w:themeColor="text1"/>
                      <w:sz w:val="21"/>
                      <w:szCs w:val="21"/>
                      <w:highlight w:val="none"/>
                      <w:lang w:val="en-US" w:eastAsia="zh-CN"/>
                      <w14:textFill>
                        <w14:solidFill>
                          <w14:schemeClr w14:val="tx1"/>
                        </w14:solidFill>
                      </w14:textFill>
                    </w:rPr>
                    <w:t>的土石方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、钻探岩屑、沉淀池沉渣、钻探泥浆。</w:t>
                  </w:r>
                </w:p>
              </w:tc>
            </w:tr>
            <w:tr w14:paraId="61750B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26" w:type="pct"/>
                  <w:vMerge w:val="continue"/>
                  <w:tcBorders>
                    <w:tl2br w:val="nil"/>
                    <w:tr2bl w:val="nil"/>
                  </w:tcBorders>
                  <w:noWrap w:val="0"/>
                  <w:vAlign w:val="center"/>
                </w:tcPr>
                <w:p w14:paraId="0AF764FE">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4A8F8166">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柴油贮存点</w:t>
                  </w:r>
                </w:p>
              </w:tc>
              <w:tc>
                <w:tcPr>
                  <w:tcW w:w="3717" w:type="pct"/>
                  <w:gridSpan w:val="4"/>
                  <w:tcBorders>
                    <w:tl2br w:val="nil"/>
                    <w:tr2bl w:val="nil"/>
                  </w:tcBorders>
                  <w:noWrap w:val="0"/>
                  <w:vAlign w:val="center"/>
                </w:tcPr>
                <w:p w14:paraId="180A2997">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生活营地内设有</w:t>
                  </w:r>
                  <w:r>
                    <w:rPr>
                      <w:rFonts w:hint="eastAsia" w:cs="Times New Roman"/>
                      <w:color w:val="000000" w:themeColor="text1"/>
                      <w:sz w:val="21"/>
                      <w:szCs w:val="21"/>
                      <w:highlight w:val="none"/>
                      <w:lang w:val="en-US" w:eastAsia="zh-CN"/>
                      <w14:textFill>
                        <w14:solidFill>
                          <w14:schemeClr w14:val="tx1"/>
                        </w14:solidFill>
                      </w14:textFill>
                    </w:rPr>
                    <w:t>10m²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铺有防渗地膜的柴油贮存点，</w:t>
                  </w:r>
                  <w:r>
                    <w:rPr>
                      <w:rFonts w:hint="eastAsia" w:cs="Times New Roman"/>
                      <w:color w:val="000000" w:themeColor="text1"/>
                      <w:sz w:val="21"/>
                      <w:szCs w:val="21"/>
                      <w:highlight w:val="none"/>
                      <w:lang w:val="en-US" w:eastAsia="zh-CN"/>
                      <w14:textFill>
                        <w14:solidFill>
                          <w14:schemeClr w14:val="tx1"/>
                        </w14:solidFill>
                      </w14:textFill>
                    </w:rPr>
                    <w:t>柴油最大储存量为2t，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采用不锈钢油桶盛装柴油堆放在柴油贮存点</w:t>
                  </w:r>
                  <w:r>
                    <w:rPr>
                      <w:rFonts w:hint="eastAsia" w:cs="Times New Roman"/>
                      <w:color w:val="000000" w:themeColor="text1"/>
                      <w:sz w:val="21"/>
                      <w:szCs w:val="21"/>
                      <w:highlight w:val="none"/>
                      <w:lang w:val="en-US" w:eastAsia="zh-CN"/>
                      <w14:textFill>
                        <w14:solidFill>
                          <w14:schemeClr w14:val="tx1"/>
                        </w14:solidFill>
                      </w14:textFill>
                    </w:rPr>
                    <w:t>，油桶下方设置专用防渗托盘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，贮存点做好防日晒、防雨淋、防渗漏措施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6F7BD5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426" w:type="pct"/>
                  <w:vMerge w:val="restart"/>
                  <w:tcBorders>
                    <w:tl2br w:val="nil"/>
                    <w:tr2bl w:val="nil"/>
                  </w:tcBorders>
                  <w:noWrap w:val="0"/>
                  <w:vAlign w:val="center"/>
                </w:tcPr>
                <w:p w14:paraId="4CDA23A4">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公用工程</w:t>
                  </w:r>
                </w:p>
              </w:tc>
              <w:tc>
                <w:tcPr>
                  <w:tcW w:w="855" w:type="pct"/>
                  <w:gridSpan w:val="2"/>
                  <w:tcBorders>
                    <w:tl2br w:val="nil"/>
                    <w:tr2bl w:val="nil"/>
                  </w:tcBorders>
                  <w:noWrap w:val="0"/>
                  <w:vAlign w:val="center"/>
                </w:tcPr>
                <w:p w14:paraId="1513D8C9">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供水</w:t>
                  </w:r>
                </w:p>
              </w:tc>
              <w:tc>
                <w:tcPr>
                  <w:tcW w:w="3717" w:type="pct"/>
                  <w:gridSpan w:val="4"/>
                  <w:tcBorders>
                    <w:tl2br w:val="nil"/>
                    <w:tr2bl w:val="nil"/>
                  </w:tcBorders>
                  <w:noWrap w:val="0"/>
                  <w:vAlign w:val="center"/>
                </w:tcPr>
                <w:p w14:paraId="4B74E310">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本项目生活用水、施工用水均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定期从附近乡镇拉运至生活营地内储水箱储存</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4444E4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26" w:type="pct"/>
                  <w:vMerge w:val="continue"/>
                  <w:tcBorders>
                    <w:tl2br w:val="nil"/>
                    <w:tr2bl w:val="nil"/>
                  </w:tcBorders>
                  <w:noWrap w:val="0"/>
                  <w:vAlign w:val="center"/>
                </w:tcPr>
                <w:p w14:paraId="2DEFB9E4">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1D97E825">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排水</w:t>
                  </w:r>
                </w:p>
              </w:tc>
              <w:tc>
                <w:tcPr>
                  <w:tcW w:w="3717" w:type="pct"/>
                  <w:gridSpan w:val="4"/>
                  <w:tcBorders>
                    <w:tl2br w:val="nil"/>
                    <w:tr2bl w:val="nil"/>
                  </w:tcBorders>
                  <w:noWrap w:val="0"/>
                  <w:vAlign w:val="center"/>
                </w:tcPr>
                <w:p w14:paraId="11A3873D">
                  <w:pPr>
                    <w:pStyle w:val="63"/>
                    <w:bidi w:val="0"/>
                    <w:ind w:firstLine="420" w:firstLineChars="200"/>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生活污水排入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一体化污水处理设施</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处理达标后，用于</w:t>
                  </w:r>
                  <w:r>
                    <w:rPr>
                      <w:rFonts w:hint="eastAsia"/>
                      <w:color w:val="000000" w:themeColor="text1"/>
                      <w:highlight w:val="none"/>
                      <w:lang w:val="en-US" w:eastAsia="zh-CN"/>
                      <w14:textFill>
                        <w14:solidFill>
                          <w14:schemeClr w14:val="tx1"/>
                        </w14:solidFill>
                      </w14:textFill>
                    </w:rPr>
                    <w:t>草地生态恢复回用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，不外排</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生产废水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排入沉淀池后</w:t>
                  </w:r>
                  <w:r>
                    <w:rPr>
                      <w:rFonts w:hint="default" w:ascii="Times New Roman" w:hAnsi="Times New Roman" w:cs="Times New Roman"/>
                      <w:color w:val="000000" w:themeColor="text1"/>
                      <w:highlight w:val="none"/>
                      <w:lang w:val="en-US" w:eastAsia="zh-CN"/>
                      <w14:textFill>
                        <w14:solidFill>
                          <w14:schemeClr w14:val="tx1"/>
                        </w14:solidFill>
                      </w14:textFill>
                    </w:rPr>
                    <w:t>循环使用，不外排</w:t>
                  </w:r>
                  <w:r>
                    <w:rPr>
                      <w:rFonts w:hint="eastAsia"/>
                      <w:color w:val="000000" w:themeColor="text1"/>
                      <w:highlight w:val="none"/>
                      <w:lang w:eastAsia="zh-CN"/>
                      <w14:textFill>
                        <w14:solidFill>
                          <w14:schemeClr w14:val="tx1"/>
                        </w14:solidFill>
                      </w14:textFill>
                    </w:rPr>
                    <w:t>。</w:t>
                  </w:r>
                </w:p>
              </w:tc>
            </w:tr>
            <w:tr w14:paraId="450296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426" w:type="pct"/>
                  <w:vMerge w:val="continue"/>
                  <w:tcBorders>
                    <w:tl2br w:val="nil"/>
                    <w:tr2bl w:val="nil"/>
                  </w:tcBorders>
                  <w:noWrap w:val="0"/>
                  <w:vAlign w:val="center"/>
                </w:tcPr>
                <w:p w14:paraId="27BEBC5C">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6B17DA46">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供电</w:t>
                  </w:r>
                </w:p>
              </w:tc>
              <w:tc>
                <w:tcPr>
                  <w:tcW w:w="3717" w:type="pct"/>
                  <w:gridSpan w:val="4"/>
                  <w:tcBorders>
                    <w:tl2br w:val="nil"/>
                    <w:tr2bl w:val="nil"/>
                  </w:tcBorders>
                  <w:noWrap w:val="0"/>
                  <w:vAlign w:val="center"/>
                </w:tcPr>
                <w:p w14:paraId="793CA421">
                  <w:pPr>
                    <w:pStyle w:val="63"/>
                    <w:bidi w:val="0"/>
                    <w:ind w:firstLine="420" w:firstLineChars="200"/>
                    <w:jc w:val="both"/>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1台35kW</w:t>
                  </w:r>
                  <w:r>
                    <w:rPr>
                      <w:rFonts w:hint="default" w:ascii="Times New Roman" w:hAnsi="Times New Roman" w:eastAsia="宋体" w:cs="Times New Roman"/>
                      <w:color w:val="000000" w:themeColor="text1"/>
                      <w:sz w:val="21"/>
                      <w:szCs w:val="21"/>
                      <w:highlight w:val="none"/>
                      <w14:textFill>
                        <w14:solidFill>
                          <w14:schemeClr w14:val="tx1"/>
                        </w14:solidFill>
                      </w14:textFill>
                    </w:rPr>
                    <w:t>柴油发电机发电</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r>
            <w:tr w14:paraId="461448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26" w:type="pct"/>
                  <w:vMerge w:val="restart"/>
                  <w:tcBorders>
                    <w:tl2br w:val="nil"/>
                    <w:tr2bl w:val="nil"/>
                  </w:tcBorders>
                  <w:noWrap w:val="0"/>
                  <w:vAlign w:val="center"/>
                </w:tcPr>
                <w:p w14:paraId="38C09698">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环保工程</w:t>
                  </w:r>
                </w:p>
              </w:tc>
              <w:tc>
                <w:tcPr>
                  <w:tcW w:w="855" w:type="pct"/>
                  <w:gridSpan w:val="2"/>
                  <w:vMerge w:val="restart"/>
                  <w:tcBorders>
                    <w:tl2br w:val="nil"/>
                    <w:tr2bl w:val="nil"/>
                  </w:tcBorders>
                  <w:noWrap w:val="0"/>
                  <w:vAlign w:val="center"/>
                </w:tcPr>
                <w:p w14:paraId="6029FA3B">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废气治理</w:t>
                  </w:r>
                </w:p>
              </w:tc>
              <w:tc>
                <w:tcPr>
                  <w:tcW w:w="809" w:type="pct"/>
                  <w:tcBorders>
                    <w:tl2br w:val="nil"/>
                    <w:tr2bl w:val="nil"/>
                  </w:tcBorders>
                  <w:noWrap w:val="0"/>
                  <w:vAlign w:val="center"/>
                </w:tcPr>
                <w:p w14:paraId="4D3394D9">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扬尘</w:t>
                  </w:r>
                </w:p>
              </w:tc>
              <w:tc>
                <w:tcPr>
                  <w:tcW w:w="2908" w:type="pct"/>
                  <w:gridSpan w:val="3"/>
                  <w:tcBorders>
                    <w:tl2br w:val="nil"/>
                    <w:tr2bl w:val="nil"/>
                  </w:tcBorders>
                  <w:noWrap w:val="0"/>
                  <w:vAlign w:val="center"/>
                </w:tcPr>
                <w:p w14:paraId="35C30F3E">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槽探、钻探过程中采用洒水抑尘，开挖</w:t>
                  </w:r>
                  <w:r>
                    <w:rPr>
                      <w:rFonts w:hint="eastAsia"/>
                      <w:color w:val="000000" w:themeColor="text1"/>
                      <w:highlight w:val="none"/>
                      <w14:textFill>
                        <w14:solidFill>
                          <w14:schemeClr w14:val="tx1"/>
                        </w14:solidFill>
                      </w14:textFill>
                    </w:rPr>
                    <w:t>土石方采用</w:t>
                  </w:r>
                  <w:r>
                    <w:rPr>
                      <w:rFonts w:hint="eastAsia"/>
                      <w:color w:val="000000" w:themeColor="text1"/>
                      <w:highlight w:val="none"/>
                      <w:lang w:val="en-US" w:eastAsia="zh-CN"/>
                      <w14:textFill>
                        <w14:solidFill>
                          <w14:schemeClr w14:val="tx1"/>
                        </w14:solidFill>
                      </w14:textFill>
                    </w:rPr>
                    <w:t>彩条布</w:t>
                  </w:r>
                  <w:r>
                    <w:rPr>
                      <w:rFonts w:hint="eastAsia"/>
                      <w:color w:val="000000" w:themeColor="text1"/>
                      <w:highlight w:val="none"/>
                      <w14:textFill>
                        <w14:solidFill>
                          <w14:schemeClr w14:val="tx1"/>
                        </w14:solidFill>
                      </w14:textFill>
                    </w:rPr>
                    <w:t>或篷布覆盖，运输车辆限速行驶，并洒水降尘</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730E2E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426" w:type="pct"/>
                  <w:vMerge w:val="continue"/>
                  <w:tcBorders>
                    <w:tl2br w:val="nil"/>
                    <w:tr2bl w:val="nil"/>
                  </w:tcBorders>
                  <w:noWrap w:val="0"/>
                  <w:vAlign w:val="center"/>
                </w:tcPr>
                <w:p w14:paraId="793384AD">
                  <w:pPr>
                    <w:pStyle w:val="63"/>
                    <w:bidi w:val="0"/>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55" w:type="pct"/>
                  <w:gridSpan w:val="2"/>
                  <w:vMerge w:val="continue"/>
                  <w:tcBorders>
                    <w:tl2br w:val="nil"/>
                    <w:tr2bl w:val="nil"/>
                  </w:tcBorders>
                  <w:noWrap w:val="0"/>
                  <w:vAlign w:val="center"/>
                </w:tcPr>
                <w:p w14:paraId="4D9C03B3">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9" w:type="pct"/>
                  <w:tcBorders>
                    <w:tl2br w:val="nil"/>
                    <w:tr2bl w:val="nil"/>
                  </w:tcBorders>
                  <w:noWrap w:val="0"/>
                  <w:vAlign w:val="center"/>
                </w:tcPr>
                <w:p w14:paraId="5C30189E">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燃油废气</w:t>
                  </w:r>
                </w:p>
              </w:tc>
              <w:tc>
                <w:tcPr>
                  <w:tcW w:w="2908" w:type="pct"/>
                  <w:gridSpan w:val="3"/>
                  <w:tcBorders>
                    <w:tl2br w:val="nil"/>
                    <w:tr2bl w:val="nil"/>
                  </w:tcBorders>
                  <w:noWrap w:val="0"/>
                  <w:vAlign w:val="center"/>
                </w:tcPr>
                <w:p w14:paraId="2BBF1945">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对柴油发电机及运输车辆定期维护保养，使用正品燃油，减少尾气排放</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72DD6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426" w:type="pct"/>
                  <w:vMerge w:val="continue"/>
                  <w:tcBorders>
                    <w:tl2br w:val="nil"/>
                    <w:tr2bl w:val="nil"/>
                  </w:tcBorders>
                  <w:noWrap w:val="0"/>
                  <w:vAlign w:val="center"/>
                </w:tcPr>
                <w:p w14:paraId="7291CB4C">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restart"/>
                  <w:tcBorders>
                    <w:tl2br w:val="nil"/>
                    <w:tr2bl w:val="nil"/>
                  </w:tcBorders>
                  <w:noWrap w:val="0"/>
                  <w:vAlign w:val="center"/>
                </w:tcPr>
                <w:p w14:paraId="14B34425">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废水治理</w:t>
                  </w:r>
                </w:p>
              </w:tc>
              <w:tc>
                <w:tcPr>
                  <w:tcW w:w="809" w:type="pct"/>
                  <w:tcBorders>
                    <w:tl2br w:val="nil"/>
                    <w:tr2bl w:val="nil"/>
                  </w:tcBorders>
                  <w:noWrap w:val="0"/>
                  <w:vAlign w:val="center"/>
                </w:tcPr>
                <w:p w14:paraId="14B5E7EC">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生活污水</w:t>
                  </w:r>
                </w:p>
              </w:tc>
              <w:tc>
                <w:tcPr>
                  <w:tcW w:w="2908" w:type="pct"/>
                  <w:gridSpan w:val="3"/>
                  <w:tcBorders>
                    <w:tl2br w:val="nil"/>
                    <w:tr2bl w:val="nil"/>
                  </w:tcBorders>
                  <w:noWrap w:val="0"/>
                  <w:vAlign w:val="center"/>
                </w:tcPr>
                <w:p w14:paraId="6A2DFECF">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一体化污水处理设施</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处理达标后，用于</w:t>
                  </w:r>
                  <w:r>
                    <w:rPr>
                      <w:rFonts w:hint="eastAsia" w:cs="Times New Roman"/>
                      <w:color w:val="000000" w:themeColor="text1"/>
                      <w:sz w:val="21"/>
                      <w:szCs w:val="21"/>
                      <w:highlight w:val="none"/>
                      <w:lang w:val="en-US" w:eastAsia="zh-CN"/>
                      <w14:textFill>
                        <w14:solidFill>
                          <w14:schemeClr w14:val="tx1"/>
                        </w14:solidFill>
                      </w14:textFill>
                    </w:rPr>
                    <w:t>草地生态恢复回用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，不外排</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。处理能力</w:t>
                  </w:r>
                  <w:r>
                    <w:rPr>
                      <w:rFonts w:hint="eastAsia" w:cs="Times New Roman"/>
                      <w:color w:val="000000" w:themeColor="text1"/>
                      <w:sz w:val="21"/>
                      <w:szCs w:val="21"/>
                      <w:highlight w:val="none"/>
                      <w:lang w:val="en-US" w:eastAsia="zh-CN"/>
                      <w14:textFill>
                        <w14:solidFill>
                          <w14:schemeClr w14:val="tx1"/>
                        </w14:solidFill>
                      </w14:textFill>
                    </w:rPr>
                    <w:t>0.5m³</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w:t>
                  </w:r>
                </w:p>
              </w:tc>
            </w:tr>
            <w:tr w14:paraId="3AD707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426" w:type="pct"/>
                  <w:vMerge w:val="continue"/>
                  <w:tcBorders>
                    <w:tl2br w:val="nil"/>
                    <w:tr2bl w:val="nil"/>
                  </w:tcBorders>
                  <w:noWrap w:val="0"/>
                  <w:vAlign w:val="center"/>
                </w:tcPr>
                <w:p w14:paraId="2F44FB56">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2D73E055">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9" w:type="pct"/>
                  <w:tcBorders>
                    <w:tl2br w:val="nil"/>
                    <w:tr2bl w:val="nil"/>
                  </w:tcBorders>
                  <w:shd w:val="clear" w:color="auto" w:fill="auto"/>
                  <w:noWrap w:val="0"/>
                  <w:vAlign w:val="center"/>
                </w:tcPr>
                <w:p w14:paraId="00619C98">
                  <w:pPr>
                    <w:pStyle w:val="59"/>
                    <w:bidi w:val="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钻井</w:t>
                  </w:r>
                  <w:r>
                    <w:rPr>
                      <w:rFonts w:hint="default" w:ascii="Times New Roman" w:hAnsi="Times New Roman" w:cs="Times New Roman"/>
                      <w:color w:val="000000" w:themeColor="text1"/>
                      <w:highlight w:val="none"/>
                      <w:lang w:eastAsia="zh-CN"/>
                      <w14:textFill>
                        <w14:solidFill>
                          <w14:schemeClr w14:val="tx1"/>
                        </w14:solidFill>
                      </w14:textFill>
                    </w:rPr>
                    <w:t>设备冲洗水</w:t>
                  </w:r>
                </w:p>
              </w:tc>
              <w:tc>
                <w:tcPr>
                  <w:tcW w:w="2908" w:type="pct"/>
                  <w:gridSpan w:val="3"/>
                  <w:tcBorders>
                    <w:tl2br w:val="nil"/>
                    <w:tr2bl w:val="nil"/>
                  </w:tcBorders>
                  <w:shd w:val="clear" w:color="auto" w:fill="auto"/>
                  <w:noWrap w:val="0"/>
                  <w:vAlign w:val="center"/>
                </w:tcPr>
                <w:p w14:paraId="1F8ADE75">
                  <w:pPr>
                    <w:pStyle w:val="59"/>
                    <w:bidi w:val="0"/>
                    <w:ind w:firstLine="420" w:firstLineChars="200"/>
                    <w:jc w:val="both"/>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防渗</w:t>
                  </w:r>
                  <w:r>
                    <w:rPr>
                      <w:rFonts w:hint="default" w:ascii="Times New Roman" w:hAnsi="Times New Roman" w:cs="Times New Roman"/>
                      <w:color w:val="000000" w:themeColor="text1"/>
                      <w:highlight w:val="none"/>
                      <w:lang w:eastAsia="zh-CN"/>
                      <w14:textFill>
                        <w14:solidFill>
                          <w14:schemeClr w14:val="tx1"/>
                        </w14:solidFill>
                      </w14:textFill>
                    </w:rPr>
                    <w:t>沉淀池收集</w:t>
                  </w:r>
                  <w:r>
                    <w:rPr>
                      <w:rFonts w:hint="default" w:ascii="Times New Roman" w:hAnsi="Times New Roman" w:cs="Times New Roman"/>
                      <w:color w:val="000000" w:themeColor="text1"/>
                      <w:highlight w:val="none"/>
                      <w:lang w:val="en-US" w:eastAsia="zh-CN"/>
                      <w14:textFill>
                        <w14:solidFill>
                          <w14:schemeClr w14:val="tx1"/>
                        </w14:solidFill>
                      </w14:textFill>
                    </w:rPr>
                    <w:t>后循环使用，不外排。容积1</w:t>
                  </w:r>
                  <w:r>
                    <w:rPr>
                      <w:rFonts w:hint="eastAsia" w:cs="Times New Roman"/>
                      <w:color w:val="000000" w:themeColor="text1"/>
                      <w:highlight w:val="none"/>
                      <w:lang w:val="en-US" w:eastAsia="zh-CN"/>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w:t>
                  </w:r>
                </w:p>
              </w:tc>
            </w:tr>
            <w:tr w14:paraId="407EE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26" w:type="pct"/>
                  <w:vMerge w:val="continue"/>
                  <w:tcBorders>
                    <w:tl2br w:val="nil"/>
                    <w:tr2bl w:val="nil"/>
                  </w:tcBorders>
                  <w:noWrap w:val="0"/>
                  <w:vAlign w:val="center"/>
                </w:tcPr>
                <w:p w14:paraId="0C12052D">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31C51BEE">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9" w:type="pct"/>
                  <w:tcBorders>
                    <w:tl2br w:val="nil"/>
                    <w:tr2bl w:val="nil"/>
                  </w:tcBorders>
                  <w:shd w:val="clear" w:color="auto" w:fill="auto"/>
                  <w:noWrap w:val="0"/>
                  <w:vAlign w:val="center"/>
                </w:tcPr>
                <w:p w14:paraId="758257A4">
                  <w:pPr>
                    <w:pStyle w:val="59"/>
                    <w:bidi w:val="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泥浆废水</w:t>
                  </w:r>
                </w:p>
              </w:tc>
              <w:tc>
                <w:tcPr>
                  <w:tcW w:w="2908" w:type="pct"/>
                  <w:gridSpan w:val="3"/>
                  <w:tcBorders>
                    <w:tl2br w:val="nil"/>
                    <w:tr2bl w:val="nil"/>
                  </w:tcBorders>
                  <w:shd w:val="clear" w:color="auto" w:fill="auto"/>
                  <w:noWrap w:val="0"/>
                  <w:vAlign w:val="center"/>
                </w:tcPr>
                <w:p w14:paraId="7D6938F2">
                  <w:pPr>
                    <w:pStyle w:val="59"/>
                    <w:bidi w:val="0"/>
                    <w:ind w:firstLine="420" w:firstLineChars="200"/>
                    <w:jc w:val="both"/>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排入移动式泥浆沉淀池（</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0m³，沉淀池采用防渗混凝土硬化，满足等效黏土防渗层Mb≥1.5m，渗透系数K≤1×10</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-7</w:t>
                  </w:r>
                  <w:r>
                    <w:rPr>
                      <w:rFonts w:hint="default" w:ascii="Times New Roman" w:hAnsi="Times New Roman" w:cs="Times New Roman"/>
                      <w:color w:val="000000" w:themeColor="text1"/>
                      <w:highlight w:val="none"/>
                      <w:lang w:val="en-US" w:eastAsia="zh-CN"/>
                      <w14:textFill>
                        <w14:solidFill>
                          <w14:schemeClr w14:val="tx1"/>
                        </w14:solidFill>
                      </w14:textFill>
                    </w:rPr>
                    <w:t>cm/s），处理后全部回用于泥浆配制，循环使用，不外排。</w:t>
                  </w:r>
                </w:p>
              </w:tc>
            </w:tr>
            <w:tr w14:paraId="0539DC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426" w:type="pct"/>
                  <w:vMerge w:val="continue"/>
                  <w:tcBorders>
                    <w:tl2br w:val="nil"/>
                    <w:tr2bl w:val="nil"/>
                  </w:tcBorders>
                  <w:noWrap w:val="0"/>
                  <w:vAlign w:val="center"/>
                </w:tcPr>
                <w:p w14:paraId="05760D52">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restart"/>
                  <w:tcBorders>
                    <w:tl2br w:val="nil"/>
                    <w:tr2bl w:val="nil"/>
                  </w:tcBorders>
                  <w:noWrap w:val="0"/>
                  <w:vAlign w:val="center"/>
                </w:tcPr>
                <w:p w14:paraId="61F5D66F">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固废治理</w:t>
                  </w:r>
                </w:p>
              </w:tc>
              <w:tc>
                <w:tcPr>
                  <w:tcW w:w="809" w:type="pct"/>
                  <w:tcBorders>
                    <w:tl2br w:val="nil"/>
                    <w:tr2bl w:val="nil"/>
                  </w:tcBorders>
                  <w:noWrap w:val="0"/>
                  <w:vAlign w:val="center"/>
                </w:tcPr>
                <w:p w14:paraId="1378E690">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生活垃圾</w:t>
                  </w:r>
                </w:p>
              </w:tc>
              <w:tc>
                <w:tcPr>
                  <w:tcW w:w="2908" w:type="pct"/>
                  <w:gridSpan w:val="3"/>
                  <w:tcBorders>
                    <w:tl2br w:val="nil"/>
                    <w:tr2bl w:val="nil"/>
                  </w:tcBorders>
                  <w:noWrap w:val="0"/>
                  <w:vAlign w:val="center"/>
                </w:tcPr>
                <w:p w14:paraId="1881F3B1">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集中收集后送至</w:t>
                  </w:r>
                  <w:r>
                    <w:rPr>
                      <w:rFonts w:hint="eastAsia" w:cs="Times New Roman"/>
                      <w:color w:val="000000" w:themeColor="text1"/>
                      <w:sz w:val="21"/>
                      <w:szCs w:val="21"/>
                      <w:highlight w:val="none"/>
                      <w:lang w:val="en-US" w:eastAsia="zh-CN"/>
                      <w14:textFill>
                        <w14:solidFill>
                          <w14:schemeClr w14:val="tx1"/>
                        </w14:solidFill>
                      </w14:textFill>
                    </w:rPr>
                    <w:t>和静县市容环卫中心</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71BD0F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26" w:type="pct"/>
                  <w:vMerge w:val="continue"/>
                  <w:tcBorders>
                    <w:tl2br w:val="nil"/>
                    <w:tr2bl w:val="nil"/>
                  </w:tcBorders>
                  <w:noWrap w:val="0"/>
                  <w:vAlign w:val="center"/>
                </w:tcPr>
                <w:p w14:paraId="26E8295E">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3F78A0CE">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9" w:type="pct"/>
                  <w:vMerge w:val="restart"/>
                  <w:tcBorders>
                    <w:tl2br w:val="nil"/>
                    <w:tr2bl w:val="nil"/>
                  </w:tcBorders>
                  <w:noWrap w:val="0"/>
                  <w:vAlign w:val="center"/>
                </w:tcPr>
                <w:p w14:paraId="2BF02E63">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一般工业固废</w:t>
                  </w:r>
                </w:p>
              </w:tc>
              <w:tc>
                <w:tcPr>
                  <w:tcW w:w="2908" w:type="pct"/>
                  <w:gridSpan w:val="3"/>
                  <w:tcBorders>
                    <w:tl2br w:val="nil"/>
                    <w:tr2bl w:val="nil"/>
                  </w:tcBorders>
                  <w:shd w:val="clear" w:color="auto" w:fill="auto"/>
                  <w:noWrap w:val="0"/>
                  <w:vAlign w:val="center"/>
                </w:tcPr>
                <w:p w14:paraId="487CC049">
                  <w:pPr>
                    <w:pStyle w:val="63"/>
                    <w:bidi w:val="0"/>
                    <w:ind w:firstLine="420" w:firstLineChars="200"/>
                    <w:jc w:val="both"/>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探槽、钻孔平台建设产生的剥离表土于临时堆放场暂存，探槽、钻探结束后用于探槽、平台区域覆土，恢复地貌。岩芯样收集后送检测分析。</w:t>
                  </w:r>
                </w:p>
              </w:tc>
            </w:tr>
            <w:tr w14:paraId="056B1E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26" w:type="pct"/>
                  <w:vMerge w:val="continue"/>
                  <w:tcBorders>
                    <w:tl2br w:val="nil"/>
                    <w:tr2bl w:val="nil"/>
                  </w:tcBorders>
                  <w:noWrap w:val="0"/>
                  <w:vAlign w:val="center"/>
                </w:tcPr>
                <w:p w14:paraId="6125120E">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2218C25F">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9" w:type="pct"/>
                  <w:vMerge w:val="continue"/>
                  <w:tcBorders>
                    <w:tl2br w:val="nil"/>
                    <w:tr2bl w:val="nil"/>
                  </w:tcBorders>
                  <w:noWrap w:val="0"/>
                  <w:vAlign w:val="center"/>
                </w:tcPr>
                <w:p w14:paraId="58EC15D3">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908" w:type="pct"/>
                  <w:gridSpan w:val="3"/>
                  <w:tcBorders>
                    <w:tl2br w:val="nil"/>
                    <w:tr2bl w:val="nil"/>
                  </w:tcBorders>
                  <w:shd w:val="clear" w:color="auto" w:fill="auto"/>
                  <w:noWrap w:val="0"/>
                  <w:vAlign w:val="center"/>
                </w:tcPr>
                <w:p w14:paraId="2820DDEC">
                  <w:pPr>
                    <w:pStyle w:val="63"/>
                    <w:bidi w:val="0"/>
                    <w:ind w:firstLine="420" w:firstLineChars="200"/>
                    <w:jc w:val="both"/>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沉淀池沉渣、钻井泥浆固化后</w:t>
                  </w:r>
                  <w:r>
                    <w:rPr>
                      <w:rFonts w:hint="eastAsia" w:cs="Times New Roman"/>
                      <w:color w:val="000000" w:themeColor="text1"/>
                      <w:highlight w:val="none"/>
                      <w:lang w:val="en-US" w:eastAsia="zh-CN"/>
                      <w14:textFill>
                        <w14:solidFill>
                          <w14:schemeClr w14:val="tx1"/>
                        </w14:solidFill>
                      </w14:textFill>
                    </w:rPr>
                    <w:t>就地填埋</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w:t>
                  </w:r>
                </w:p>
              </w:tc>
            </w:tr>
            <w:tr w14:paraId="445E7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26" w:type="pct"/>
                  <w:vMerge w:val="continue"/>
                  <w:tcBorders>
                    <w:tl2br w:val="nil"/>
                    <w:tr2bl w:val="nil"/>
                  </w:tcBorders>
                  <w:noWrap w:val="0"/>
                  <w:vAlign w:val="center"/>
                </w:tcPr>
                <w:p w14:paraId="5614CED0">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vMerge w:val="continue"/>
                  <w:tcBorders>
                    <w:tl2br w:val="nil"/>
                    <w:tr2bl w:val="nil"/>
                  </w:tcBorders>
                  <w:noWrap w:val="0"/>
                  <w:vAlign w:val="center"/>
                </w:tcPr>
                <w:p w14:paraId="00579F05">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09" w:type="pct"/>
                  <w:vMerge w:val="continue"/>
                  <w:tcBorders>
                    <w:tl2br w:val="nil"/>
                    <w:tr2bl w:val="nil"/>
                  </w:tcBorders>
                  <w:noWrap w:val="0"/>
                  <w:vAlign w:val="center"/>
                </w:tcPr>
                <w:p w14:paraId="0CE708B4">
                  <w:pPr>
                    <w:pStyle w:val="63"/>
                    <w:bidi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908" w:type="pct"/>
                  <w:gridSpan w:val="3"/>
                  <w:tcBorders>
                    <w:tl2br w:val="nil"/>
                    <w:tr2bl w:val="nil"/>
                  </w:tcBorders>
                  <w:shd w:val="clear" w:color="auto" w:fill="auto"/>
                  <w:noWrap w:val="0"/>
                  <w:vAlign w:val="center"/>
                </w:tcPr>
                <w:p w14:paraId="253CB0BA">
                  <w:pPr>
                    <w:pStyle w:val="63"/>
                    <w:bidi w:val="0"/>
                    <w:ind w:firstLine="420" w:firstLineChars="200"/>
                    <w:jc w:val="both"/>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废机油采用完好的铁质油桶存储，暂存至</w:t>
                  </w:r>
                  <w:r>
                    <w:rPr>
                      <w:rFonts w:hint="eastAsia" w:eastAsia="华文中宋" w:cs="Times New Roman"/>
                      <w:color w:val="000000" w:themeColor="text1"/>
                      <w:sz w:val="21"/>
                      <w:szCs w:val="21"/>
                      <w:highlight w:val="none"/>
                      <w:lang w:val="en-US" w:eastAsia="zh-CN"/>
                      <w14:textFill>
                        <w14:solidFill>
                          <w14:schemeClr w14:val="tx1"/>
                        </w14:solidFill>
                      </w14:textFill>
                    </w:rPr>
                    <w:t>危险废物贮存点</w:t>
                  </w: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，交由具有相应危废处置资质的单位负责接收、转运、处置。</w:t>
                  </w:r>
                </w:p>
              </w:tc>
            </w:tr>
            <w:tr w14:paraId="4A351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26" w:type="pct"/>
                  <w:vMerge w:val="continue"/>
                  <w:tcBorders>
                    <w:tl2br w:val="nil"/>
                    <w:tr2bl w:val="nil"/>
                  </w:tcBorders>
                  <w:noWrap w:val="0"/>
                  <w:vAlign w:val="center"/>
                </w:tcPr>
                <w:p w14:paraId="22CF3FDC">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55" w:type="pct"/>
                  <w:gridSpan w:val="2"/>
                  <w:tcBorders>
                    <w:tl2br w:val="nil"/>
                    <w:tr2bl w:val="nil"/>
                  </w:tcBorders>
                  <w:noWrap w:val="0"/>
                  <w:vAlign w:val="center"/>
                </w:tcPr>
                <w:p w14:paraId="07887630">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噪声治理</w:t>
                  </w:r>
                </w:p>
              </w:tc>
              <w:tc>
                <w:tcPr>
                  <w:tcW w:w="809" w:type="pct"/>
                  <w:tcBorders>
                    <w:tl2br w:val="nil"/>
                    <w:tr2bl w:val="nil"/>
                  </w:tcBorders>
                  <w:noWrap w:val="0"/>
                  <w:vAlign w:val="center"/>
                </w:tcPr>
                <w:p w14:paraId="5E4A749A">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施工设备噪声</w:t>
                  </w:r>
                </w:p>
              </w:tc>
              <w:tc>
                <w:tcPr>
                  <w:tcW w:w="2908" w:type="pct"/>
                  <w:gridSpan w:val="3"/>
                  <w:tcBorders>
                    <w:tl2br w:val="nil"/>
                    <w:tr2bl w:val="nil"/>
                  </w:tcBorders>
                  <w:noWrap w:val="0"/>
                  <w:vAlign w:val="center"/>
                </w:tcPr>
                <w:p w14:paraId="1B819EF1">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对连续接触高噪声源的操作人员，佩戴个人防护装备</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10562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8" w:type="pct"/>
                  <w:gridSpan w:val="2"/>
                  <w:tcBorders>
                    <w:tl2br w:val="nil"/>
                    <w:tr2bl w:val="nil"/>
                  </w:tcBorders>
                  <w:noWrap w:val="0"/>
                  <w:vAlign w:val="center"/>
                </w:tcPr>
                <w:p w14:paraId="71B0232C">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生态保护与恢复工程</w:t>
                  </w:r>
                </w:p>
              </w:tc>
              <w:tc>
                <w:tcPr>
                  <w:tcW w:w="3721" w:type="pct"/>
                  <w:gridSpan w:val="5"/>
                  <w:tcBorders>
                    <w:tl2br w:val="nil"/>
                    <w:tr2bl w:val="nil"/>
                  </w:tcBorders>
                  <w:noWrap w:val="0"/>
                  <w:vAlign w:val="center"/>
                </w:tcPr>
                <w:p w14:paraId="77724B09">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勘探工作完成后，拆除临时设施，及时回填并恢复原有地貌，后期采取自然恢复</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20217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278" w:type="pct"/>
                  <w:gridSpan w:val="2"/>
                  <w:tcBorders>
                    <w:tl2br w:val="nil"/>
                    <w:tr2bl w:val="nil"/>
                  </w:tcBorders>
                  <w:noWrap w:val="0"/>
                  <w:vAlign w:val="center"/>
                </w:tcPr>
                <w:p w14:paraId="1778A6F8">
                  <w:pPr>
                    <w:pStyle w:val="63"/>
                    <w:bidi w:val="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环境风险防范工程</w:t>
                  </w:r>
                </w:p>
              </w:tc>
              <w:tc>
                <w:tcPr>
                  <w:tcW w:w="3721" w:type="pct"/>
                  <w:gridSpan w:val="5"/>
                  <w:tcBorders>
                    <w:tl2br w:val="nil"/>
                    <w:tr2bl w:val="nil"/>
                  </w:tcBorders>
                  <w:noWrap w:val="0"/>
                  <w:vAlign w:val="center"/>
                </w:tcPr>
                <w:p w14:paraId="54E58B6C">
                  <w:pPr>
                    <w:pStyle w:val="63"/>
                    <w:bidi w:val="0"/>
                    <w:ind w:firstLine="420" w:firstLineChars="20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制定环境风险管理制度</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bl>
          <w:p w14:paraId="191CEC0F">
            <w:pPr>
              <w:pStyle w:val="55"/>
              <w:numPr>
                <w:ilvl w:val="0"/>
                <w:numId w:val="0"/>
              </w:numPr>
              <w:bidi w:val="0"/>
              <w:ind w:firstLine="482" w:firstLineChars="200"/>
              <w:rPr>
                <w:rFonts w:hint="default" w:ascii="Times New Roman" w:hAnsi="Times New Roman"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eastAsia="zh-CN"/>
                <w14:textFill>
                  <w14:solidFill>
                    <w14:schemeClr w14:val="tx1"/>
                  </w14:solidFill>
                </w14:textFill>
              </w:rPr>
              <w:t>主要勘探设备及原、辅材料</w:t>
            </w:r>
          </w:p>
          <w:p w14:paraId="0990541C">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本项目所需主要勘探设备见</w:t>
            </w:r>
            <w:r>
              <w:rPr>
                <w:rFonts w:hint="default" w:ascii="Times New Roman" w:hAnsi="Times New Roman" w:cs="Times New Roman"/>
                <w:color w:val="000000" w:themeColor="text1"/>
                <w:highlight w:val="none"/>
                <w:lang w:val="en-US" w:eastAsia="zh-CN"/>
                <w14:textFill>
                  <w14:solidFill>
                    <w14:schemeClr w14:val="tx1"/>
                  </w14:solidFill>
                </w14:textFill>
              </w:rPr>
              <w:t>表2-3</w:t>
            </w:r>
            <w:r>
              <w:rPr>
                <w:rFonts w:hint="default" w:ascii="Times New Roman" w:hAnsi="Times New Roman" w:cs="Times New Roman"/>
                <w:color w:val="000000" w:themeColor="text1"/>
                <w:highlight w:val="none"/>
                <w14:textFill>
                  <w14:solidFill>
                    <w14:schemeClr w14:val="tx1"/>
                  </w14:solidFill>
                </w14:textFill>
              </w:rPr>
              <w:t>，原辅材料消耗见</w:t>
            </w:r>
            <w:r>
              <w:rPr>
                <w:rFonts w:hint="default" w:ascii="Times New Roman" w:hAnsi="Times New Roman" w:cs="Times New Roman"/>
                <w:color w:val="000000" w:themeColor="text1"/>
                <w:highlight w:val="none"/>
                <w:lang w:val="en-US" w:eastAsia="zh-CN"/>
                <w14:textFill>
                  <w14:solidFill>
                    <w14:schemeClr w14:val="tx1"/>
                  </w14:solidFill>
                </w14:textFill>
              </w:rPr>
              <w:t>表2-4</w:t>
            </w:r>
            <w:r>
              <w:rPr>
                <w:rFonts w:hint="default" w:ascii="Times New Roman" w:hAnsi="Times New Roman" w:cs="Times New Roman"/>
                <w:color w:val="000000" w:themeColor="text1"/>
                <w:highlight w:val="none"/>
                <w14:textFill>
                  <w14:solidFill>
                    <w14:schemeClr w14:val="tx1"/>
                  </w14:solidFill>
                </w14:textFill>
              </w:rPr>
              <w:t>。</w:t>
            </w:r>
          </w:p>
          <w:p w14:paraId="7DD51F94">
            <w:pPr>
              <w:pStyle w:val="57"/>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 xml:space="preserve">表2-3    </w:t>
            </w:r>
            <w:r>
              <w:rPr>
                <w:rFonts w:hint="default" w:ascii="Times New Roman" w:hAnsi="Times New Roman" w:cs="Times New Roman"/>
                <w:color w:val="000000" w:themeColor="text1"/>
                <w:highlight w:val="none"/>
                <w14:textFill>
                  <w14:solidFill>
                    <w14:schemeClr w14:val="tx1"/>
                  </w14:solidFill>
                </w14:textFill>
              </w:rPr>
              <w:t>工程主要设备一览表</w:t>
            </w:r>
          </w:p>
          <w:tbl>
            <w:tblPr>
              <w:tblStyle w:val="28"/>
              <w:tblW w:w="495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750"/>
              <w:gridCol w:w="2494"/>
              <w:gridCol w:w="882"/>
              <w:gridCol w:w="760"/>
              <w:gridCol w:w="2917"/>
            </w:tblGrid>
            <w:tr w14:paraId="2F1548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blHeader/>
              </w:trPr>
              <w:tc>
                <w:tcPr>
                  <w:tcW w:w="480" w:type="pct"/>
                  <w:tcBorders>
                    <w:tl2br w:val="nil"/>
                    <w:tr2bl w:val="nil"/>
                  </w:tcBorders>
                  <w:shd w:val="clear" w:color="auto" w:fill="auto"/>
                  <w:tcMar>
                    <w:top w:w="120" w:type="dxa"/>
                    <w:left w:w="120" w:type="dxa"/>
                    <w:bottom w:w="120" w:type="dxa"/>
                    <w:right w:w="120" w:type="dxa"/>
                  </w:tcMar>
                  <w:vAlign w:val="top"/>
                </w:tcPr>
                <w:p w14:paraId="31AFAC0A">
                  <w:pPr>
                    <w:pStyle w:val="63"/>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序号</w:t>
                  </w:r>
                </w:p>
              </w:tc>
              <w:tc>
                <w:tcPr>
                  <w:tcW w:w="1597" w:type="pct"/>
                  <w:tcBorders>
                    <w:tl2br w:val="nil"/>
                    <w:tr2bl w:val="nil"/>
                  </w:tcBorders>
                  <w:shd w:val="clear" w:color="auto" w:fill="auto"/>
                  <w:tcMar>
                    <w:top w:w="120" w:type="dxa"/>
                    <w:left w:w="120" w:type="dxa"/>
                    <w:bottom w:w="120" w:type="dxa"/>
                    <w:right w:w="120" w:type="dxa"/>
                  </w:tcMar>
                  <w:vAlign w:val="top"/>
                </w:tcPr>
                <w:p w14:paraId="08AE8B0C">
                  <w:pPr>
                    <w:pStyle w:val="63"/>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设备名称</w:t>
                  </w:r>
                </w:p>
              </w:tc>
              <w:tc>
                <w:tcPr>
                  <w:tcW w:w="565" w:type="pct"/>
                  <w:tcBorders>
                    <w:tl2br w:val="nil"/>
                    <w:tr2bl w:val="nil"/>
                  </w:tcBorders>
                  <w:shd w:val="clear" w:color="auto" w:fill="auto"/>
                  <w:tcMar>
                    <w:top w:w="120" w:type="dxa"/>
                    <w:left w:w="120" w:type="dxa"/>
                    <w:bottom w:w="120" w:type="dxa"/>
                    <w:right w:w="120" w:type="dxa"/>
                  </w:tcMar>
                  <w:vAlign w:val="top"/>
                </w:tcPr>
                <w:p w14:paraId="75D83E12">
                  <w:pPr>
                    <w:pStyle w:val="63"/>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单位</w:t>
                  </w:r>
                </w:p>
              </w:tc>
              <w:tc>
                <w:tcPr>
                  <w:tcW w:w="487" w:type="pct"/>
                  <w:tcBorders>
                    <w:tl2br w:val="nil"/>
                    <w:tr2bl w:val="nil"/>
                  </w:tcBorders>
                  <w:shd w:val="clear" w:color="auto" w:fill="auto"/>
                  <w:tcMar>
                    <w:top w:w="120" w:type="dxa"/>
                    <w:left w:w="120" w:type="dxa"/>
                    <w:bottom w:w="120" w:type="dxa"/>
                    <w:right w:w="120" w:type="dxa"/>
                  </w:tcMar>
                  <w:vAlign w:val="top"/>
                </w:tcPr>
                <w:p w14:paraId="10B344EA">
                  <w:pPr>
                    <w:pStyle w:val="63"/>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数量</w:t>
                  </w:r>
                </w:p>
              </w:tc>
              <w:tc>
                <w:tcPr>
                  <w:tcW w:w="1868" w:type="pct"/>
                  <w:tcBorders>
                    <w:tl2br w:val="nil"/>
                    <w:tr2bl w:val="nil"/>
                  </w:tcBorders>
                  <w:shd w:val="clear" w:color="auto" w:fill="auto"/>
                  <w:tcMar>
                    <w:top w:w="120" w:type="dxa"/>
                    <w:left w:w="120" w:type="dxa"/>
                    <w:bottom w:w="120" w:type="dxa"/>
                    <w:right w:w="120" w:type="dxa"/>
                  </w:tcMar>
                  <w:vAlign w:val="top"/>
                </w:tcPr>
                <w:p w14:paraId="375DC0C0">
                  <w:pPr>
                    <w:pStyle w:val="63"/>
                    <w:rPr>
                      <w:rFonts w:hint="default" w:ascii="Times New Roman" w:hAnsi="Times New Roman" w:eastAsia="宋体" w:cs="Times New Roman"/>
                      <w:b w:val="0"/>
                      <w:bCs w:val="0"/>
                      <w:color w:val="000000" w:themeColor="text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用途说明</w:t>
                  </w:r>
                </w:p>
              </w:tc>
            </w:tr>
            <w:tr w14:paraId="04ACD1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40348FF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597" w:type="pct"/>
                  <w:tcBorders>
                    <w:tl2br w:val="nil"/>
                    <w:tr2bl w:val="nil"/>
                  </w:tcBorders>
                  <w:shd w:val="clear" w:color="auto" w:fill="auto"/>
                  <w:tcMar>
                    <w:top w:w="120" w:type="dxa"/>
                    <w:left w:w="120" w:type="dxa"/>
                    <w:bottom w:w="120" w:type="dxa"/>
                    <w:right w:w="120" w:type="dxa"/>
                  </w:tcMar>
                  <w:vAlign w:val="top"/>
                </w:tcPr>
                <w:p w14:paraId="1B9C728F">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GPS测量仪</w:t>
                  </w:r>
                </w:p>
              </w:tc>
              <w:tc>
                <w:tcPr>
                  <w:tcW w:w="565" w:type="pct"/>
                  <w:tcBorders>
                    <w:tl2br w:val="nil"/>
                    <w:tr2bl w:val="nil"/>
                  </w:tcBorders>
                  <w:shd w:val="clear" w:color="auto" w:fill="auto"/>
                  <w:tcMar>
                    <w:top w:w="120" w:type="dxa"/>
                    <w:left w:w="120" w:type="dxa"/>
                    <w:bottom w:w="120" w:type="dxa"/>
                    <w:right w:w="120" w:type="dxa"/>
                  </w:tcMar>
                  <w:vAlign w:val="top"/>
                </w:tcPr>
                <w:p w14:paraId="47B57B4A">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部</w:t>
                  </w:r>
                </w:p>
              </w:tc>
              <w:tc>
                <w:tcPr>
                  <w:tcW w:w="487" w:type="pct"/>
                  <w:tcBorders>
                    <w:tl2br w:val="nil"/>
                    <w:tr2bl w:val="nil"/>
                  </w:tcBorders>
                  <w:shd w:val="clear" w:color="auto" w:fill="auto"/>
                  <w:tcMar>
                    <w:top w:w="120" w:type="dxa"/>
                    <w:left w:w="120" w:type="dxa"/>
                    <w:bottom w:w="120" w:type="dxa"/>
                    <w:right w:w="120" w:type="dxa"/>
                  </w:tcMar>
                  <w:vAlign w:val="top"/>
                </w:tcPr>
                <w:p w14:paraId="219EDFB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8</w:t>
                  </w:r>
                </w:p>
              </w:tc>
              <w:tc>
                <w:tcPr>
                  <w:tcW w:w="1868" w:type="pct"/>
                  <w:tcBorders>
                    <w:tl2br w:val="nil"/>
                    <w:tr2bl w:val="nil"/>
                  </w:tcBorders>
                  <w:shd w:val="clear" w:color="auto" w:fill="auto"/>
                  <w:tcMar>
                    <w:top w:w="120" w:type="dxa"/>
                    <w:left w:w="120" w:type="dxa"/>
                    <w:bottom w:w="120" w:type="dxa"/>
                    <w:right w:w="120" w:type="dxa"/>
                  </w:tcMar>
                  <w:vAlign w:val="top"/>
                </w:tcPr>
                <w:p w14:paraId="5B3B888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定位测量</w:t>
                  </w:r>
                </w:p>
              </w:tc>
            </w:tr>
            <w:tr w14:paraId="647F1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50E6CD5F">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1597" w:type="pct"/>
                  <w:tcBorders>
                    <w:tl2br w:val="nil"/>
                    <w:tr2bl w:val="nil"/>
                  </w:tcBorders>
                  <w:shd w:val="clear" w:color="auto" w:fill="auto"/>
                  <w:tcMar>
                    <w:top w:w="120" w:type="dxa"/>
                    <w:left w:w="120" w:type="dxa"/>
                    <w:bottom w:w="120" w:type="dxa"/>
                    <w:right w:w="120" w:type="dxa"/>
                  </w:tcMar>
                  <w:vAlign w:val="top"/>
                </w:tcPr>
                <w:p w14:paraId="306BDFC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数码相机</w:t>
                  </w:r>
                </w:p>
              </w:tc>
              <w:tc>
                <w:tcPr>
                  <w:tcW w:w="565" w:type="pct"/>
                  <w:tcBorders>
                    <w:tl2br w:val="nil"/>
                    <w:tr2bl w:val="nil"/>
                  </w:tcBorders>
                  <w:shd w:val="clear" w:color="auto" w:fill="auto"/>
                  <w:tcMar>
                    <w:top w:w="120" w:type="dxa"/>
                    <w:left w:w="120" w:type="dxa"/>
                    <w:bottom w:w="120" w:type="dxa"/>
                    <w:right w:w="120" w:type="dxa"/>
                  </w:tcMar>
                  <w:vAlign w:val="top"/>
                </w:tcPr>
                <w:p w14:paraId="51A1B75F">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部</w:t>
                  </w:r>
                </w:p>
              </w:tc>
              <w:tc>
                <w:tcPr>
                  <w:tcW w:w="487" w:type="pct"/>
                  <w:tcBorders>
                    <w:tl2br w:val="nil"/>
                    <w:tr2bl w:val="nil"/>
                  </w:tcBorders>
                  <w:shd w:val="clear" w:color="auto" w:fill="auto"/>
                  <w:tcMar>
                    <w:top w:w="120" w:type="dxa"/>
                    <w:left w:w="120" w:type="dxa"/>
                    <w:bottom w:w="120" w:type="dxa"/>
                    <w:right w:w="120" w:type="dxa"/>
                  </w:tcMar>
                  <w:vAlign w:val="top"/>
                </w:tcPr>
                <w:p w14:paraId="5094135C">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8</w:t>
                  </w:r>
                </w:p>
              </w:tc>
              <w:tc>
                <w:tcPr>
                  <w:tcW w:w="1868" w:type="pct"/>
                  <w:tcBorders>
                    <w:tl2br w:val="nil"/>
                    <w:tr2bl w:val="nil"/>
                  </w:tcBorders>
                  <w:shd w:val="clear" w:color="auto" w:fill="auto"/>
                  <w:tcMar>
                    <w:top w:w="120" w:type="dxa"/>
                    <w:left w:w="120" w:type="dxa"/>
                    <w:bottom w:w="120" w:type="dxa"/>
                    <w:right w:w="120" w:type="dxa"/>
                  </w:tcMar>
                  <w:vAlign w:val="top"/>
                </w:tcPr>
                <w:p w14:paraId="29A1D67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外业调查拍照</w:t>
                  </w:r>
                </w:p>
              </w:tc>
            </w:tr>
            <w:tr w14:paraId="475643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533DC3CB">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w:t>
                  </w:r>
                </w:p>
              </w:tc>
              <w:tc>
                <w:tcPr>
                  <w:tcW w:w="1597" w:type="pct"/>
                  <w:tcBorders>
                    <w:tl2br w:val="nil"/>
                    <w:tr2bl w:val="nil"/>
                  </w:tcBorders>
                  <w:shd w:val="clear" w:color="auto" w:fill="auto"/>
                  <w:tcMar>
                    <w:top w:w="120" w:type="dxa"/>
                    <w:left w:w="120" w:type="dxa"/>
                    <w:bottom w:w="120" w:type="dxa"/>
                    <w:right w:w="120" w:type="dxa"/>
                  </w:tcMar>
                  <w:vAlign w:val="top"/>
                </w:tcPr>
                <w:p w14:paraId="4343179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笔记本电脑</w:t>
                  </w:r>
                </w:p>
              </w:tc>
              <w:tc>
                <w:tcPr>
                  <w:tcW w:w="565" w:type="pct"/>
                  <w:tcBorders>
                    <w:tl2br w:val="nil"/>
                    <w:tr2bl w:val="nil"/>
                  </w:tcBorders>
                  <w:shd w:val="clear" w:color="auto" w:fill="auto"/>
                  <w:tcMar>
                    <w:top w:w="120" w:type="dxa"/>
                    <w:left w:w="120" w:type="dxa"/>
                    <w:bottom w:w="120" w:type="dxa"/>
                    <w:right w:w="120" w:type="dxa"/>
                  </w:tcMar>
                  <w:vAlign w:val="top"/>
                </w:tcPr>
                <w:p w14:paraId="684CA2C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7FF08BB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w:t>
                  </w:r>
                </w:p>
              </w:tc>
              <w:tc>
                <w:tcPr>
                  <w:tcW w:w="1868" w:type="pct"/>
                  <w:tcBorders>
                    <w:tl2br w:val="nil"/>
                    <w:tr2bl w:val="nil"/>
                  </w:tcBorders>
                  <w:shd w:val="clear" w:color="auto" w:fill="auto"/>
                  <w:tcMar>
                    <w:top w:w="120" w:type="dxa"/>
                    <w:left w:w="120" w:type="dxa"/>
                    <w:bottom w:w="120" w:type="dxa"/>
                    <w:right w:w="120" w:type="dxa"/>
                  </w:tcMar>
                  <w:vAlign w:val="top"/>
                </w:tcPr>
                <w:p w14:paraId="7323B4C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文本编制、数据整理</w:t>
                  </w:r>
                </w:p>
              </w:tc>
            </w:tr>
            <w:tr w14:paraId="7DE0F6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5FBA08C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w:t>
                  </w:r>
                </w:p>
              </w:tc>
              <w:tc>
                <w:tcPr>
                  <w:tcW w:w="1597" w:type="pct"/>
                  <w:tcBorders>
                    <w:tl2br w:val="nil"/>
                    <w:tr2bl w:val="nil"/>
                  </w:tcBorders>
                  <w:shd w:val="clear" w:color="auto" w:fill="auto"/>
                  <w:tcMar>
                    <w:top w:w="120" w:type="dxa"/>
                    <w:left w:w="120" w:type="dxa"/>
                    <w:bottom w:w="120" w:type="dxa"/>
                    <w:right w:w="120" w:type="dxa"/>
                  </w:tcMar>
                  <w:vAlign w:val="top"/>
                </w:tcPr>
                <w:p w14:paraId="19FF43C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EP600全液压</w:t>
                  </w:r>
                  <w:r>
                    <w:rPr>
                      <w:rFonts w:hint="default" w:cs="Times New Roman"/>
                      <w:color w:val="000000" w:themeColor="text1"/>
                      <w:kern w:val="2"/>
                      <w:sz w:val="21"/>
                      <w:szCs w:val="21"/>
                      <w:highlight w:val="none"/>
                      <w:lang w:val="en-US" w:eastAsia="zh-CN" w:bidi="ar"/>
                      <w14:textFill>
                        <w14:solidFill>
                          <w14:schemeClr w14:val="tx1"/>
                        </w14:solidFill>
                      </w14:textFill>
                    </w:rPr>
                    <w:t>岩芯</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w:t>
                  </w:r>
                </w:p>
              </w:tc>
              <w:tc>
                <w:tcPr>
                  <w:tcW w:w="565" w:type="pct"/>
                  <w:tcBorders>
                    <w:tl2br w:val="nil"/>
                    <w:tr2bl w:val="nil"/>
                  </w:tcBorders>
                  <w:shd w:val="clear" w:color="auto" w:fill="auto"/>
                  <w:tcMar>
                    <w:top w:w="120" w:type="dxa"/>
                    <w:left w:w="120" w:type="dxa"/>
                    <w:bottom w:w="120" w:type="dxa"/>
                    <w:right w:w="120" w:type="dxa"/>
                  </w:tcMar>
                  <w:vAlign w:val="top"/>
                </w:tcPr>
                <w:p w14:paraId="36E0B1A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6DFF20D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868" w:type="pct"/>
                  <w:tcBorders>
                    <w:tl2br w:val="nil"/>
                    <w:tr2bl w:val="nil"/>
                  </w:tcBorders>
                  <w:shd w:val="clear" w:color="auto" w:fill="auto"/>
                  <w:tcMar>
                    <w:top w:w="120" w:type="dxa"/>
                    <w:left w:w="120" w:type="dxa"/>
                    <w:bottom w:w="120" w:type="dxa"/>
                    <w:right w:w="120" w:type="dxa"/>
                  </w:tcMar>
                  <w:vAlign w:val="top"/>
                </w:tcPr>
                <w:p w14:paraId="0F75AF8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钻探施工</w:t>
                  </w:r>
                </w:p>
              </w:tc>
            </w:tr>
            <w:tr w14:paraId="215E59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54A3711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w:t>
                  </w:r>
                </w:p>
              </w:tc>
              <w:tc>
                <w:tcPr>
                  <w:tcW w:w="1597" w:type="pct"/>
                  <w:tcBorders>
                    <w:tl2br w:val="nil"/>
                    <w:tr2bl w:val="nil"/>
                  </w:tcBorders>
                  <w:shd w:val="clear" w:color="auto" w:fill="auto"/>
                  <w:tcMar>
                    <w:top w:w="120" w:type="dxa"/>
                    <w:left w:w="120" w:type="dxa"/>
                    <w:bottom w:w="120" w:type="dxa"/>
                    <w:right w:w="120" w:type="dxa"/>
                  </w:tcMar>
                  <w:vAlign w:val="top"/>
                </w:tcPr>
                <w:p w14:paraId="04B2E1E8">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TY800全液压</w:t>
                  </w:r>
                  <w:r>
                    <w:rPr>
                      <w:rFonts w:hint="default" w:cs="Times New Roman"/>
                      <w:color w:val="000000" w:themeColor="text1"/>
                      <w:kern w:val="2"/>
                      <w:sz w:val="21"/>
                      <w:szCs w:val="21"/>
                      <w:highlight w:val="none"/>
                      <w:lang w:val="en-US" w:eastAsia="zh-CN" w:bidi="ar"/>
                      <w14:textFill>
                        <w14:solidFill>
                          <w14:schemeClr w14:val="tx1"/>
                        </w14:solidFill>
                      </w14:textFill>
                    </w:rPr>
                    <w:t>岩芯</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w:t>
                  </w:r>
                </w:p>
              </w:tc>
              <w:tc>
                <w:tcPr>
                  <w:tcW w:w="565" w:type="pct"/>
                  <w:tcBorders>
                    <w:tl2br w:val="nil"/>
                    <w:tr2bl w:val="nil"/>
                  </w:tcBorders>
                  <w:shd w:val="clear" w:color="auto" w:fill="auto"/>
                  <w:tcMar>
                    <w:top w:w="120" w:type="dxa"/>
                    <w:left w:w="120" w:type="dxa"/>
                    <w:bottom w:w="120" w:type="dxa"/>
                    <w:right w:w="120" w:type="dxa"/>
                  </w:tcMar>
                  <w:vAlign w:val="top"/>
                </w:tcPr>
                <w:p w14:paraId="1493134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1B57232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868" w:type="pct"/>
                  <w:tcBorders>
                    <w:tl2br w:val="nil"/>
                    <w:tr2bl w:val="nil"/>
                  </w:tcBorders>
                  <w:shd w:val="clear" w:color="auto" w:fill="auto"/>
                  <w:tcMar>
                    <w:top w:w="120" w:type="dxa"/>
                    <w:left w:w="120" w:type="dxa"/>
                    <w:bottom w:w="120" w:type="dxa"/>
                    <w:right w:w="120" w:type="dxa"/>
                  </w:tcMar>
                  <w:vAlign w:val="top"/>
                </w:tcPr>
                <w:p w14:paraId="111D161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钻探施工</w:t>
                  </w:r>
                </w:p>
              </w:tc>
            </w:tr>
            <w:tr w14:paraId="667EB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19E090CC">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6</w:t>
                  </w:r>
                </w:p>
              </w:tc>
              <w:tc>
                <w:tcPr>
                  <w:tcW w:w="1597" w:type="pct"/>
                  <w:tcBorders>
                    <w:tl2br w:val="nil"/>
                    <w:tr2bl w:val="nil"/>
                  </w:tcBorders>
                  <w:shd w:val="clear" w:color="auto" w:fill="auto"/>
                  <w:tcMar>
                    <w:top w:w="120" w:type="dxa"/>
                    <w:left w:w="120" w:type="dxa"/>
                    <w:bottom w:w="120" w:type="dxa"/>
                    <w:right w:w="120" w:type="dxa"/>
                  </w:tcMar>
                  <w:vAlign w:val="top"/>
                </w:tcPr>
                <w:p w14:paraId="4CB2552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XDX-3A全液压</w:t>
                  </w:r>
                  <w:r>
                    <w:rPr>
                      <w:rFonts w:hint="default" w:cs="Times New Roman"/>
                      <w:color w:val="000000" w:themeColor="text1"/>
                      <w:kern w:val="2"/>
                      <w:sz w:val="21"/>
                      <w:szCs w:val="21"/>
                      <w:highlight w:val="none"/>
                      <w:lang w:val="en-US" w:eastAsia="zh-CN" w:bidi="ar"/>
                      <w14:textFill>
                        <w14:solidFill>
                          <w14:schemeClr w14:val="tx1"/>
                        </w14:solidFill>
                      </w14:textFill>
                    </w:rPr>
                    <w:t>岩芯</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w:t>
                  </w:r>
                </w:p>
              </w:tc>
              <w:tc>
                <w:tcPr>
                  <w:tcW w:w="565" w:type="pct"/>
                  <w:tcBorders>
                    <w:tl2br w:val="nil"/>
                    <w:tr2bl w:val="nil"/>
                  </w:tcBorders>
                  <w:shd w:val="clear" w:color="auto" w:fill="auto"/>
                  <w:tcMar>
                    <w:top w:w="120" w:type="dxa"/>
                    <w:left w:w="120" w:type="dxa"/>
                    <w:bottom w:w="120" w:type="dxa"/>
                    <w:right w:w="120" w:type="dxa"/>
                  </w:tcMar>
                  <w:vAlign w:val="top"/>
                </w:tcPr>
                <w:p w14:paraId="6DF655F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65ED4FB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868" w:type="pct"/>
                  <w:tcBorders>
                    <w:tl2br w:val="nil"/>
                    <w:tr2bl w:val="nil"/>
                  </w:tcBorders>
                  <w:shd w:val="clear" w:color="auto" w:fill="auto"/>
                  <w:tcMar>
                    <w:top w:w="120" w:type="dxa"/>
                    <w:left w:w="120" w:type="dxa"/>
                    <w:bottom w:w="120" w:type="dxa"/>
                    <w:right w:w="120" w:type="dxa"/>
                  </w:tcMar>
                  <w:vAlign w:val="top"/>
                </w:tcPr>
                <w:p w14:paraId="48F2053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钻探施工</w:t>
                  </w:r>
                </w:p>
              </w:tc>
            </w:tr>
            <w:tr w14:paraId="6C5C5E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242F0B7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7</w:t>
                  </w:r>
                </w:p>
              </w:tc>
              <w:tc>
                <w:tcPr>
                  <w:tcW w:w="1597" w:type="pct"/>
                  <w:tcBorders>
                    <w:tl2br w:val="nil"/>
                    <w:tr2bl w:val="nil"/>
                  </w:tcBorders>
                  <w:shd w:val="clear" w:color="auto" w:fill="auto"/>
                  <w:tcMar>
                    <w:top w:w="120" w:type="dxa"/>
                    <w:left w:w="120" w:type="dxa"/>
                    <w:bottom w:w="120" w:type="dxa"/>
                    <w:right w:w="120" w:type="dxa"/>
                  </w:tcMar>
                  <w:vAlign w:val="top"/>
                </w:tcPr>
                <w:p w14:paraId="5CF2291F">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泥浆泵</w:t>
                  </w:r>
                </w:p>
              </w:tc>
              <w:tc>
                <w:tcPr>
                  <w:tcW w:w="565" w:type="pct"/>
                  <w:tcBorders>
                    <w:tl2br w:val="nil"/>
                    <w:tr2bl w:val="nil"/>
                  </w:tcBorders>
                  <w:shd w:val="clear" w:color="auto" w:fill="auto"/>
                  <w:tcMar>
                    <w:top w:w="120" w:type="dxa"/>
                    <w:left w:w="120" w:type="dxa"/>
                    <w:bottom w:w="120" w:type="dxa"/>
                    <w:right w:w="120" w:type="dxa"/>
                  </w:tcMar>
                  <w:vAlign w:val="top"/>
                </w:tcPr>
                <w:p w14:paraId="5EBD968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3FEBEDC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w:t>
                  </w:r>
                </w:p>
              </w:tc>
              <w:tc>
                <w:tcPr>
                  <w:tcW w:w="1868" w:type="pct"/>
                  <w:tcBorders>
                    <w:tl2br w:val="nil"/>
                    <w:tr2bl w:val="nil"/>
                  </w:tcBorders>
                  <w:shd w:val="clear" w:color="auto" w:fill="auto"/>
                  <w:tcMar>
                    <w:top w:w="120" w:type="dxa"/>
                    <w:left w:w="120" w:type="dxa"/>
                    <w:bottom w:w="120" w:type="dxa"/>
                    <w:right w:w="120" w:type="dxa"/>
                  </w:tcMar>
                  <w:vAlign w:val="top"/>
                </w:tcPr>
                <w:p w14:paraId="7260831C">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钻探施工配套（泥浆循环）</w:t>
                  </w:r>
                </w:p>
              </w:tc>
            </w:tr>
            <w:tr w14:paraId="705A53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120C336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8</w:t>
                  </w:r>
                </w:p>
              </w:tc>
              <w:tc>
                <w:tcPr>
                  <w:tcW w:w="1597" w:type="pct"/>
                  <w:tcBorders>
                    <w:tl2br w:val="nil"/>
                    <w:tr2bl w:val="nil"/>
                  </w:tcBorders>
                  <w:shd w:val="clear" w:color="auto" w:fill="auto"/>
                  <w:tcMar>
                    <w:top w:w="120" w:type="dxa"/>
                    <w:left w:w="120" w:type="dxa"/>
                    <w:bottom w:w="120" w:type="dxa"/>
                    <w:right w:w="120" w:type="dxa"/>
                  </w:tcMar>
                  <w:vAlign w:val="top"/>
                </w:tcPr>
                <w:p w14:paraId="69179C8C">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水泵</w:t>
                  </w:r>
                </w:p>
              </w:tc>
              <w:tc>
                <w:tcPr>
                  <w:tcW w:w="565" w:type="pct"/>
                  <w:tcBorders>
                    <w:tl2br w:val="nil"/>
                    <w:tr2bl w:val="nil"/>
                  </w:tcBorders>
                  <w:shd w:val="clear" w:color="auto" w:fill="auto"/>
                  <w:tcMar>
                    <w:top w:w="120" w:type="dxa"/>
                    <w:left w:w="120" w:type="dxa"/>
                    <w:bottom w:w="120" w:type="dxa"/>
                    <w:right w:w="120" w:type="dxa"/>
                  </w:tcMar>
                  <w:vAlign w:val="top"/>
                </w:tcPr>
                <w:p w14:paraId="5F6CDE7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1D1C033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w:t>
                  </w:r>
                </w:p>
              </w:tc>
              <w:tc>
                <w:tcPr>
                  <w:tcW w:w="1868" w:type="pct"/>
                  <w:tcBorders>
                    <w:tl2br w:val="nil"/>
                    <w:tr2bl w:val="nil"/>
                  </w:tcBorders>
                  <w:shd w:val="clear" w:color="auto" w:fill="auto"/>
                  <w:tcMar>
                    <w:top w:w="120" w:type="dxa"/>
                    <w:left w:w="120" w:type="dxa"/>
                    <w:bottom w:w="120" w:type="dxa"/>
                    <w:right w:w="120" w:type="dxa"/>
                  </w:tcMar>
                  <w:vAlign w:val="top"/>
                </w:tcPr>
                <w:p w14:paraId="12BFB87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钻探施工配套（供水）</w:t>
                  </w:r>
                </w:p>
              </w:tc>
            </w:tr>
            <w:tr w14:paraId="7D704D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0980EAB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9</w:t>
                  </w:r>
                </w:p>
              </w:tc>
              <w:tc>
                <w:tcPr>
                  <w:tcW w:w="1597" w:type="pct"/>
                  <w:tcBorders>
                    <w:tl2br w:val="nil"/>
                    <w:tr2bl w:val="nil"/>
                  </w:tcBorders>
                  <w:shd w:val="clear" w:color="auto" w:fill="auto"/>
                  <w:tcMar>
                    <w:top w:w="120" w:type="dxa"/>
                    <w:left w:w="120" w:type="dxa"/>
                    <w:bottom w:w="120" w:type="dxa"/>
                    <w:right w:w="120" w:type="dxa"/>
                  </w:tcMar>
                  <w:vAlign w:val="top"/>
                </w:tcPr>
                <w:p w14:paraId="769B493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测斜仪</w:t>
                  </w:r>
                </w:p>
              </w:tc>
              <w:tc>
                <w:tcPr>
                  <w:tcW w:w="565" w:type="pct"/>
                  <w:tcBorders>
                    <w:tl2br w:val="nil"/>
                    <w:tr2bl w:val="nil"/>
                  </w:tcBorders>
                  <w:shd w:val="clear" w:color="auto" w:fill="auto"/>
                  <w:tcMar>
                    <w:top w:w="120" w:type="dxa"/>
                    <w:left w:w="120" w:type="dxa"/>
                    <w:bottom w:w="120" w:type="dxa"/>
                    <w:right w:w="120" w:type="dxa"/>
                  </w:tcMar>
                  <w:vAlign w:val="top"/>
                </w:tcPr>
                <w:p w14:paraId="03799E5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部</w:t>
                  </w:r>
                </w:p>
              </w:tc>
              <w:tc>
                <w:tcPr>
                  <w:tcW w:w="487" w:type="pct"/>
                  <w:tcBorders>
                    <w:tl2br w:val="nil"/>
                    <w:tr2bl w:val="nil"/>
                  </w:tcBorders>
                  <w:shd w:val="clear" w:color="auto" w:fill="auto"/>
                  <w:tcMar>
                    <w:top w:w="120" w:type="dxa"/>
                    <w:left w:w="120" w:type="dxa"/>
                    <w:bottom w:w="120" w:type="dxa"/>
                    <w:right w:w="120" w:type="dxa"/>
                  </w:tcMar>
                  <w:vAlign w:val="top"/>
                </w:tcPr>
                <w:p w14:paraId="6B1B767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w:t>
                  </w:r>
                </w:p>
              </w:tc>
              <w:tc>
                <w:tcPr>
                  <w:tcW w:w="1868" w:type="pct"/>
                  <w:tcBorders>
                    <w:tl2br w:val="nil"/>
                    <w:tr2bl w:val="nil"/>
                  </w:tcBorders>
                  <w:shd w:val="clear" w:color="auto" w:fill="auto"/>
                  <w:tcMar>
                    <w:top w:w="120" w:type="dxa"/>
                    <w:left w:w="120" w:type="dxa"/>
                    <w:bottom w:w="120" w:type="dxa"/>
                    <w:right w:w="120" w:type="dxa"/>
                  </w:tcMar>
                  <w:vAlign w:val="top"/>
                </w:tcPr>
                <w:p w14:paraId="42E4ABE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钻孔测斜（控制钻孔偏斜度）</w:t>
                  </w:r>
                </w:p>
              </w:tc>
            </w:tr>
            <w:tr w14:paraId="2BCA5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67B80EF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w:t>
                  </w:r>
                </w:p>
              </w:tc>
              <w:tc>
                <w:tcPr>
                  <w:tcW w:w="1597" w:type="pct"/>
                  <w:tcBorders>
                    <w:tl2br w:val="nil"/>
                    <w:tr2bl w:val="nil"/>
                  </w:tcBorders>
                  <w:shd w:val="clear" w:color="auto" w:fill="auto"/>
                  <w:tcMar>
                    <w:top w:w="120" w:type="dxa"/>
                    <w:left w:w="120" w:type="dxa"/>
                    <w:bottom w:w="120" w:type="dxa"/>
                    <w:right w:w="120" w:type="dxa"/>
                  </w:tcMar>
                  <w:vAlign w:val="top"/>
                </w:tcPr>
                <w:p w14:paraId="07413A5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刻槽样切割机</w:t>
                  </w:r>
                </w:p>
              </w:tc>
              <w:tc>
                <w:tcPr>
                  <w:tcW w:w="565" w:type="pct"/>
                  <w:tcBorders>
                    <w:tl2br w:val="nil"/>
                    <w:tr2bl w:val="nil"/>
                  </w:tcBorders>
                  <w:shd w:val="clear" w:color="auto" w:fill="auto"/>
                  <w:tcMar>
                    <w:top w:w="120" w:type="dxa"/>
                    <w:left w:w="120" w:type="dxa"/>
                    <w:bottom w:w="120" w:type="dxa"/>
                    <w:right w:w="120" w:type="dxa"/>
                  </w:tcMar>
                  <w:vAlign w:val="top"/>
                </w:tcPr>
                <w:p w14:paraId="0E73906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0EBB20F8">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1868" w:type="pct"/>
                  <w:tcBorders>
                    <w:tl2br w:val="nil"/>
                    <w:tr2bl w:val="nil"/>
                  </w:tcBorders>
                  <w:shd w:val="clear" w:color="auto" w:fill="auto"/>
                  <w:tcMar>
                    <w:top w:w="120" w:type="dxa"/>
                    <w:left w:w="120" w:type="dxa"/>
                    <w:bottom w:w="120" w:type="dxa"/>
                    <w:right w:w="120" w:type="dxa"/>
                  </w:tcMar>
                  <w:vAlign w:val="top"/>
                </w:tcPr>
                <w:p w14:paraId="4973681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采集刻槽样（地表/浅部样品）</w:t>
                  </w:r>
                </w:p>
              </w:tc>
            </w:tr>
            <w:tr w14:paraId="4CB15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62E1797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11</w:t>
                  </w:r>
                </w:p>
              </w:tc>
              <w:tc>
                <w:tcPr>
                  <w:tcW w:w="1597" w:type="pct"/>
                  <w:tcBorders>
                    <w:tl2br w:val="nil"/>
                    <w:tr2bl w:val="nil"/>
                  </w:tcBorders>
                  <w:shd w:val="clear" w:color="auto" w:fill="auto"/>
                  <w:tcMar>
                    <w:top w:w="120" w:type="dxa"/>
                    <w:left w:w="120" w:type="dxa"/>
                    <w:bottom w:w="120" w:type="dxa"/>
                    <w:right w:w="120" w:type="dxa"/>
                  </w:tcMar>
                  <w:vAlign w:val="top"/>
                </w:tcPr>
                <w:p w14:paraId="0BC95E4A">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岩芯切割机</w:t>
                  </w:r>
                </w:p>
              </w:tc>
              <w:tc>
                <w:tcPr>
                  <w:tcW w:w="565" w:type="pct"/>
                  <w:tcBorders>
                    <w:tl2br w:val="nil"/>
                    <w:tr2bl w:val="nil"/>
                  </w:tcBorders>
                  <w:shd w:val="clear" w:color="auto" w:fill="auto"/>
                  <w:tcMar>
                    <w:top w:w="120" w:type="dxa"/>
                    <w:left w:w="120" w:type="dxa"/>
                    <w:bottom w:w="120" w:type="dxa"/>
                    <w:right w:w="120" w:type="dxa"/>
                  </w:tcMar>
                  <w:vAlign w:val="top"/>
                </w:tcPr>
                <w:p w14:paraId="2FF673A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2285DF6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1868" w:type="pct"/>
                  <w:tcBorders>
                    <w:tl2br w:val="nil"/>
                    <w:tr2bl w:val="nil"/>
                  </w:tcBorders>
                  <w:shd w:val="clear" w:color="auto" w:fill="auto"/>
                  <w:tcMar>
                    <w:top w:w="120" w:type="dxa"/>
                    <w:left w:w="120" w:type="dxa"/>
                    <w:bottom w:w="120" w:type="dxa"/>
                    <w:right w:w="120" w:type="dxa"/>
                  </w:tcMar>
                  <w:vAlign w:val="top"/>
                </w:tcPr>
                <w:p w14:paraId="7A82E69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采集劈芯样（钻探岩芯样品）</w:t>
                  </w:r>
                </w:p>
              </w:tc>
            </w:tr>
            <w:tr w14:paraId="33AC18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2693BC61">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12</w:t>
                  </w:r>
                </w:p>
              </w:tc>
              <w:tc>
                <w:tcPr>
                  <w:tcW w:w="1597" w:type="pct"/>
                  <w:tcBorders>
                    <w:tl2br w:val="nil"/>
                    <w:tr2bl w:val="nil"/>
                  </w:tcBorders>
                  <w:shd w:val="clear" w:color="auto" w:fill="auto"/>
                  <w:tcMar>
                    <w:top w:w="120" w:type="dxa"/>
                    <w:left w:w="120" w:type="dxa"/>
                    <w:bottom w:w="120" w:type="dxa"/>
                    <w:right w:w="120" w:type="dxa"/>
                  </w:tcMar>
                  <w:vAlign w:val="top"/>
                </w:tcPr>
                <w:p w14:paraId="6F3A1E4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长城越野炮（皮卡）</w:t>
                  </w:r>
                </w:p>
              </w:tc>
              <w:tc>
                <w:tcPr>
                  <w:tcW w:w="565" w:type="pct"/>
                  <w:tcBorders>
                    <w:tl2br w:val="nil"/>
                    <w:tr2bl w:val="nil"/>
                  </w:tcBorders>
                  <w:shd w:val="clear" w:color="auto" w:fill="auto"/>
                  <w:tcMar>
                    <w:top w:w="120" w:type="dxa"/>
                    <w:left w:w="120" w:type="dxa"/>
                    <w:bottom w:w="120" w:type="dxa"/>
                    <w:right w:w="120" w:type="dxa"/>
                  </w:tcMar>
                  <w:vAlign w:val="top"/>
                </w:tcPr>
                <w:p w14:paraId="2F9310E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辆</w:t>
                  </w:r>
                </w:p>
              </w:tc>
              <w:tc>
                <w:tcPr>
                  <w:tcW w:w="487" w:type="pct"/>
                  <w:tcBorders>
                    <w:tl2br w:val="nil"/>
                    <w:tr2bl w:val="nil"/>
                  </w:tcBorders>
                  <w:shd w:val="clear" w:color="auto" w:fill="auto"/>
                  <w:tcMar>
                    <w:top w:w="120" w:type="dxa"/>
                    <w:left w:w="120" w:type="dxa"/>
                    <w:bottom w:w="120" w:type="dxa"/>
                    <w:right w:w="120" w:type="dxa"/>
                  </w:tcMar>
                  <w:vAlign w:val="top"/>
                </w:tcPr>
                <w:p w14:paraId="65F679B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w:t>
                  </w:r>
                </w:p>
              </w:tc>
              <w:tc>
                <w:tcPr>
                  <w:tcW w:w="1868" w:type="pct"/>
                  <w:tcBorders>
                    <w:tl2br w:val="nil"/>
                    <w:tr2bl w:val="nil"/>
                  </w:tcBorders>
                  <w:shd w:val="clear" w:color="auto" w:fill="auto"/>
                  <w:tcMar>
                    <w:top w:w="120" w:type="dxa"/>
                    <w:left w:w="120" w:type="dxa"/>
                    <w:bottom w:w="120" w:type="dxa"/>
                    <w:right w:w="120" w:type="dxa"/>
                  </w:tcMar>
                  <w:vAlign w:val="top"/>
                </w:tcPr>
                <w:p w14:paraId="521A1C6A">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外业调查、物资运输</w:t>
                  </w:r>
                </w:p>
              </w:tc>
            </w:tr>
            <w:tr w14:paraId="06924E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634BAA1A">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13</w:t>
                  </w:r>
                </w:p>
              </w:tc>
              <w:tc>
                <w:tcPr>
                  <w:tcW w:w="1597" w:type="pct"/>
                  <w:tcBorders>
                    <w:tl2br w:val="nil"/>
                    <w:tr2bl w:val="nil"/>
                  </w:tcBorders>
                  <w:shd w:val="clear" w:color="auto" w:fill="auto"/>
                  <w:tcMar>
                    <w:top w:w="120" w:type="dxa"/>
                    <w:left w:w="120" w:type="dxa"/>
                    <w:bottom w:w="120" w:type="dxa"/>
                    <w:right w:w="120" w:type="dxa"/>
                  </w:tcMar>
                  <w:vAlign w:val="top"/>
                </w:tcPr>
                <w:p w14:paraId="427DD4A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打印机</w:t>
                  </w:r>
                </w:p>
              </w:tc>
              <w:tc>
                <w:tcPr>
                  <w:tcW w:w="565" w:type="pct"/>
                  <w:tcBorders>
                    <w:tl2br w:val="nil"/>
                    <w:tr2bl w:val="nil"/>
                  </w:tcBorders>
                  <w:shd w:val="clear" w:color="auto" w:fill="auto"/>
                  <w:tcMar>
                    <w:top w:w="120" w:type="dxa"/>
                    <w:left w:w="120" w:type="dxa"/>
                    <w:bottom w:w="120" w:type="dxa"/>
                    <w:right w:w="120" w:type="dxa"/>
                  </w:tcMar>
                  <w:vAlign w:val="top"/>
                </w:tcPr>
                <w:p w14:paraId="4AC0746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0C3C62D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1868" w:type="pct"/>
                  <w:tcBorders>
                    <w:tl2br w:val="nil"/>
                    <w:tr2bl w:val="nil"/>
                  </w:tcBorders>
                  <w:shd w:val="clear" w:color="auto" w:fill="auto"/>
                  <w:tcMar>
                    <w:top w:w="120" w:type="dxa"/>
                    <w:left w:w="120" w:type="dxa"/>
                    <w:bottom w:w="120" w:type="dxa"/>
                    <w:right w:w="120" w:type="dxa"/>
                  </w:tcMar>
                  <w:vAlign w:val="top"/>
                </w:tcPr>
                <w:p w14:paraId="5E99461F">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日常文件打印</w:t>
                  </w:r>
                </w:p>
              </w:tc>
            </w:tr>
            <w:tr w14:paraId="2BC3C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4407C26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14</w:t>
                  </w:r>
                </w:p>
              </w:tc>
              <w:tc>
                <w:tcPr>
                  <w:tcW w:w="1597" w:type="pct"/>
                  <w:tcBorders>
                    <w:tl2br w:val="nil"/>
                    <w:tr2bl w:val="nil"/>
                  </w:tcBorders>
                  <w:shd w:val="clear" w:color="auto" w:fill="auto"/>
                  <w:tcMar>
                    <w:top w:w="120" w:type="dxa"/>
                    <w:left w:w="120" w:type="dxa"/>
                    <w:bottom w:w="120" w:type="dxa"/>
                    <w:right w:w="120" w:type="dxa"/>
                  </w:tcMar>
                  <w:vAlign w:val="top"/>
                </w:tcPr>
                <w:p w14:paraId="3596DAD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扫描仪</w:t>
                  </w:r>
                </w:p>
              </w:tc>
              <w:tc>
                <w:tcPr>
                  <w:tcW w:w="565" w:type="pct"/>
                  <w:tcBorders>
                    <w:tl2br w:val="nil"/>
                    <w:tr2bl w:val="nil"/>
                  </w:tcBorders>
                  <w:shd w:val="clear" w:color="auto" w:fill="auto"/>
                  <w:tcMar>
                    <w:top w:w="120" w:type="dxa"/>
                    <w:left w:w="120" w:type="dxa"/>
                    <w:bottom w:w="120" w:type="dxa"/>
                    <w:right w:w="120" w:type="dxa"/>
                  </w:tcMar>
                  <w:vAlign w:val="top"/>
                </w:tcPr>
                <w:p w14:paraId="6538D0DA">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53F4AB3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868" w:type="pct"/>
                  <w:tcBorders>
                    <w:tl2br w:val="nil"/>
                    <w:tr2bl w:val="nil"/>
                  </w:tcBorders>
                  <w:shd w:val="clear" w:color="auto" w:fill="auto"/>
                  <w:tcMar>
                    <w:top w:w="120" w:type="dxa"/>
                    <w:left w:w="120" w:type="dxa"/>
                    <w:bottom w:w="120" w:type="dxa"/>
                    <w:right w:w="120" w:type="dxa"/>
                  </w:tcMar>
                  <w:vAlign w:val="top"/>
                </w:tcPr>
                <w:p w14:paraId="3F4A2E4F">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扫描、绘图资料数字化</w:t>
                  </w:r>
                </w:p>
              </w:tc>
            </w:tr>
            <w:tr w14:paraId="2660AB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55E7D2D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15</w:t>
                  </w:r>
                </w:p>
              </w:tc>
              <w:tc>
                <w:tcPr>
                  <w:tcW w:w="1597" w:type="pct"/>
                  <w:tcBorders>
                    <w:tl2br w:val="nil"/>
                    <w:tr2bl w:val="nil"/>
                  </w:tcBorders>
                  <w:shd w:val="clear" w:color="auto" w:fill="auto"/>
                  <w:tcMar>
                    <w:top w:w="120" w:type="dxa"/>
                    <w:left w:w="120" w:type="dxa"/>
                    <w:bottom w:w="120" w:type="dxa"/>
                    <w:right w:w="120" w:type="dxa"/>
                  </w:tcMar>
                  <w:vAlign w:val="top"/>
                </w:tcPr>
                <w:p w14:paraId="2223E8E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台式计算机</w:t>
                  </w:r>
                </w:p>
              </w:tc>
              <w:tc>
                <w:tcPr>
                  <w:tcW w:w="565" w:type="pct"/>
                  <w:tcBorders>
                    <w:tl2br w:val="nil"/>
                    <w:tr2bl w:val="nil"/>
                  </w:tcBorders>
                  <w:shd w:val="clear" w:color="auto" w:fill="auto"/>
                  <w:tcMar>
                    <w:top w:w="120" w:type="dxa"/>
                    <w:left w:w="120" w:type="dxa"/>
                    <w:bottom w:w="120" w:type="dxa"/>
                    <w:right w:w="120" w:type="dxa"/>
                  </w:tcMar>
                  <w:vAlign w:val="top"/>
                </w:tcPr>
                <w:p w14:paraId="0424D35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14FF46E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1868" w:type="pct"/>
                  <w:tcBorders>
                    <w:tl2br w:val="nil"/>
                    <w:tr2bl w:val="nil"/>
                  </w:tcBorders>
                  <w:shd w:val="clear" w:color="auto" w:fill="auto"/>
                  <w:tcMar>
                    <w:top w:w="120" w:type="dxa"/>
                    <w:left w:w="120" w:type="dxa"/>
                    <w:bottom w:w="120" w:type="dxa"/>
                    <w:right w:w="120" w:type="dxa"/>
                  </w:tcMar>
                  <w:vAlign w:val="top"/>
                </w:tcPr>
                <w:p w14:paraId="31E728F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大数据处理、数据存储</w:t>
                  </w:r>
                </w:p>
              </w:tc>
            </w:tr>
            <w:tr w14:paraId="195E5A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7421EE2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16</w:t>
                  </w:r>
                </w:p>
              </w:tc>
              <w:tc>
                <w:tcPr>
                  <w:tcW w:w="1597" w:type="pct"/>
                  <w:tcBorders>
                    <w:tl2br w:val="nil"/>
                    <w:tr2bl w:val="nil"/>
                  </w:tcBorders>
                  <w:shd w:val="clear" w:color="auto" w:fill="auto"/>
                  <w:tcMar>
                    <w:top w:w="120" w:type="dxa"/>
                    <w:left w:w="120" w:type="dxa"/>
                    <w:bottom w:w="120" w:type="dxa"/>
                    <w:right w:w="120" w:type="dxa"/>
                  </w:tcMar>
                  <w:vAlign w:val="top"/>
                </w:tcPr>
                <w:p w14:paraId="2195360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全站仪</w:t>
                  </w:r>
                </w:p>
              </w:tc>
              <w:tc>
                <w:tcPr>
                  <w:tcW w:w="565" w:type="pct"/>
                  <w:tcBorders>
                    <w:tl2br w:val="nil"/>
                    <w:tr2bl w:val="nil"/>
                  </w:tcBorders>
                  <w:shd w:val="clear" w:color="auto" w:fill="auto"/>
                  <w:tcMar>
                    <w:top w:w="120" w:type="dxa"/>
                    <w:left w:w="120" w:type="dxa"/>
                    <w:bottom w:w="120" w:type="dxa"/>
                    <w:right w:w="120" w:type="dxa"/>
                  </w:tcMar>
                  <w:vAlign w:val="top"/>
                </w:tcPr>
                <w:p w14:paraId="0BB35A2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5A66E5D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1868" w:type="pct"/>
                  <w:tcBorders>
                    <w:tl2br w:val="nil"/>
                    <w:tr2bl w:val="nil"/>
                  </w:tcBorders>
                  <w:shd w:val="clear" w:color="auto" w:fill="auto"/>
                  <w:tcMar>
                    <w:top w:w="120" w:type="dxa"/>
                    <w:left w:w="120" w:type="dxa"/>
                    <w:bottom w:w="120" w:type="dxa"/>
                    <w:right w:w="120" w:type="dxa"/>
                  </w:tcMar>
                  <w:vAlign w:val="top"/>
                </w:tcPr>
                <w:p w14:paraId="5D6B3C6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工程测量、孔位放样</w:t>
                  </w:r>
                </w:p>
              </w:tc>
            </w:tr>
            <w:tr w14:paraId="68DE32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6E8F7514">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17</w:t>
                  </w:r>
                </w:p>
              </w:tc>
              <w:tc>
                <w:tcPr>
                  <w:tcW w:w="1597" w:type="pct"/>
                  <w:tcBorders>
                    <w:tl2br w:val="nil"/>
                    <w:tr2bl w:val="nil"/>
                  </w:tcBorders>
                  <w:shd w:val="clear" w:color="auto" w:fill="auto"/>
                  <w:tcMar>
                    <w:top w:w="120" w:type="dxa"/>
                    <w:left w:w="120" w:type="dxa"/>
                    <w:bottom w:w="120" w:type="dxa"/>
                    <w:right w:w="120" w:type="dxa"/>
                  </w:tcMar>
                  <w:vAlign w:val="top"/>
                </w:tcPr>
                <w:p w14:paraId="588A821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雅马哈发电机</w:t>
                  </w:r>
                </w:p>
              </w:tc>
              <w:tc>
                <w:tcPr>
                  <w:tcW w:w="565" w:type="pct"/>
                  <w:tcBorders>
                    <w:tl2br w:val="nil"/>
                    <w:tr2bl w:val="nil"/>
                  </w:tcBorders>
                  <w:shd w:val="clear" w:color="auto" w:fill="auto"/>
                  <w:tcMar>
                    <w:top w:w="120" w:type="dxa"/>
                    <w:left w:w="120" w:type="dxa"/>
                    <w:bottom w:w="120" w:type="dxa"/>
                    <w:right w:w="120" w:type="dxa"/>
                  </w:tcMar>
                  <w:vAlign w:val="top"/>
                </w:tcPr>
                <w:p w14:paraId="7D9E2A2A">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3DCD2B8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1868" w:type="pct"/>
                  <w:tcBorders>
                    <w:tl2br w:val="nil"/>
                    <w:tr2bl w:val="nil"/>
                  </w:tcBorders>
                  <w:shd w:val="clear" w:color="auto" w:fill="auto"/>
                  <w:tcMar>
                    <w:top w:w="120" w:type="dxa"/>
                    <w:left w:w="120" w:type="dxa"/>
                    <w:bottom w:w="120" w:type="dxa"/>
                    <w:right w:w="120" w:type="dxa"/>
                  </w:tcMar>
                  <w:vAlign w:val="top"/>
                </w:tcPr>
                <w:p w14:paraId="2BB687FB">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营地、设备供电</w:t>
                  </w:r>
                </w:p>
              </w:tc>
            </w:tr>
            <w:tr w14:paraId="788AF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57F12A3F">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18</w:t>
                  </w:r>
                </w:p>
              </w:tc>
              <w:tc>
                <w:tcPr>
                  <w:tcW w:w="1597" w:type="pct"/>
                  <w:tcBorders>
                    <w:tl2br w:val="nil"/>
                    <w:tr2bl w:val="nil"/>
                  </w:tcBorders>
                  <w:shd w:val="clear" w:color="auto" w:fill="auto"/>
                  <w:tcMar>
                    <w:top w:w="120" w:type="dxa"/>
                    <w:left w:w="120" w:type="dxa"/>
                    <w:bottom w:w="120" w:type="dxa"/>
                    <w:right w:w="120" w:type="dxa"/>
                  </w:tcMar>
                  <w:vAlign w:val="top"/>
                </w:tcPr>
                <w:p w14:paraId="612B13C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无人机及配套软件</w:t>
                  </w:r>
                </w:p>
              </w:tc>
              <w:tc>
                <w:tcPr>
                  <w:tcW w:w="565" w:type="pct"/>
                  <w:tcBorders>
                    <w:tl2br w:val="nil"/>
                    <w:tr2bl w:val="nil"/>
                  </w:tcBorders>
                  <w:shd w:val="clear" w:color="auto" w:fill="auto"/>
                  <w:tcMar>
                    <w:top w:w="120" w:type="dxa"/>
                    <w:left w:w="120" w:type="dxa"/>
                    <w:bottom w:w="120" w:type="dxa"/>
                    <w:right w:w="120" w:type="dxa"/>
                  </w:tcMar>
                  <w:vAlign w:val="top"/>
                </w:tcPr>
                <w:p w14:paraId="427AE8F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7889397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w:t>
                  </w:r>
                </w:p>
              </w:tc>
              <w:tc>
                <w:tcPr>
                  <w:tcW w:w="1868" w:type="pct"/>
                  <w:tcBorders>
                    <w:tl2br w:val="nil"/>
                    <w:tr2bl w:val="nil"/>
                  </w:tcBorders>
                  <w:shd w:val="clear" w:color="auto" w:fill="auto"/>
                  <w:tcMar>
                    <w:top w:w="120" w:type="dxa"/>
                    <w:left w:w="120" w:type="dxa"/>
                    <w:bottom w:w="120" w:type="dxa"/>
                    <w:right w:w="120" w:type="dxa"/>
                  </w:tcMar>
                  <w:vAlign w:val="top"/>
                </w:tcPr>
                <w:p w14:paraId="39D5B31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外业调查、地形航拍</w:t>
                  </w:r>
                </w:p>
              </w:tc>
            </w:tr>
            <w:tr w14:paraId="649750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410071C1">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19</w:t>
                  </w:r>
                </w:p>
              </w:tc>
              <w:tc>
                <w:tcPr>
                  <w:tcW w:w="1597" w:type="pct"/>
                  <w:tcBorders>
                    <w:tl2br w:val="nil"/>
                    <w:tr2bl w:val="nil"/>
                  </w:tcBorders>
                  <w:shd w:val="clear" w:color="auto" w:fill="auto"/>
                  <w:tcMar>
                    <w:top w:w="120" w:type="dxa"/>
                    <w:left w:w="120" w:type="dxa"/>
                    <w:bottom w:w="120" w:type="dxa"/>
                    <w:right w:w="120" w:type="dxa"/>
                  </w:tcMar>
                  <w:vAlign w:val="top"/>
                </w:tcPr>
                <w:p w14:paraId="79C7CB28">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高精度GPS接收机</w:t>
                  </w:r>
                </w:p>
              </w:tc>
              <w:tc>
                <w:tcPr>
                  <w:tcW w:w="565" w:type="pct"/>
                  <w:tcBorders>
                    <w:tl2br w:val="nil"/>
                    <w:tr2bl w:val="nil"/>
                  </w:tcBorders>
                  <w:shd w:val="clear" w:color="auto" w:fill="auto"/>
                  <w:tcMar>
                    <w:top w:w="120" w:type="dxa"/>
                    <w:left w:w="120" w:type="dxa"/>
                    <w:bottom w:w="120" w:type="dxa"/>
                    <w:right w:w="120" w:type="dxa"/>
                  </w:tcMar>
                  <w:vAlign w:val="top"/>
                </w:tcPr>
                <w:p w14:paraId="27BED05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2E5E591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w:t>
                  </w:r>
                </w:p>
              </w:tc>
              <w:tc>
                <w:tcPr>
                  <w:tcW w:w="1868" w:type="pct"/>
                  <w:tcBorders>
                    <w:tl2br w:val="nil"/>
                    <w:tr2bl w:val="nil"/>
                  </w:tcBorders>
                  <w:shd w:val="clear" w:color="auto" w:fill="auto"/>
                  <w:tcMar>
                    <w:top w:w="120" w:type="dxa"/>
                    <w:left w:w="120" w:type="dxa"/>
                    <w:bottom w:w="120" w:type="dxa"/>
                    <w:right w:w="120" w:type="dxa"/>
                  </w:tcMar>
                  <w:vAlign w:val="top"/>
                </w:tcPr>
                <w:p w14:paraId="4FE18D4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测量（含静态/动态定位）</w:t>
                  </w:r>
                </w:p>
              </w:tc>
            </w:tr>
            <w:tr w14:paraId="47FF16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63DCF83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w:t>
                  </w:r>
                </w:p>
              </w:tc>
              <w:tc>
                <w:tcPr>
                  <w:tcW w:w="1597" w:type="pct"/>
                  <w:tcBorders>
                    <w:tl2br w:val="nil"/>
                    <w:tr2bl w:val="nil"/>
                  </w:tcBorders>
                  <w:shd w:val="clear" w:color="auto" w:fill="auto"/>
                  <w:tcMar>
                    <w:top w:w="120" w:type="dxa"/>
                    <w:left w:w="120" w:type="dxa"/>
                    <w:bottom w:w="120" w:type="dxa"/>
                    <w:right w:w="120" w:type="dxa"/>
                  </w:tcMar>
                  <w:vAlign w:val="top"/>
                </w:tcPr>
                <w:p w14:paraId="0F15BF4B">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罗盘</w:t>
                  </w:r>
                </w:p>
              </w:tc>
              <w:tc>
                <w:tcPr>
                  <w:tcW w:w="565" w:type="pct"/>
                  <w:tcBorders>
                    <w:tl2br w:val="nil"/>
                    <w:tr2bl w:val="nil"/>
                  </w:tcBorders>
                  <w:shd w:val="clear" w:color="auto" w:fill="auto"/>
                  <w:tcMar>
                    <w:top w:w="120" w:type="dxa"/>
                    <w:left w:w="120" w:type="dxa"/>
                    <w:bottom w:w="120" w:type="dxa"/>
                    <w:right w:w="120" w:type="dxa"/>
                  </w:tcMar>
                  <w:vAlign w:val="top"/>
                </w:tcPr>
                <w:p w14:paraId="4DDA3AF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个</w:t>
                  </w:r>
                </w:p>
              </w:tc>
              <w:tc>
                <w:tcPr>
                  <w:tcW w:w="487" w:type="pct"/>
                  <w:tcBorders>
                    <w:tl2br w:val="nil"/>
                    <w:tr2bl w:val="nil"/>
                  </w:tcBorders>
                  <w:shd w:val="clear" w:color="auto" w:fill="auto"/>
                  <w:tcMar>
                    <w:top w:w="120" w:type="dxa"/>
                    <w:left w:w="120" w:type="dxa"/>
                    <w:bottom w:w="120" w:type="dxa"/>
                    <w:right w:w="120" w:type="dxa"/>
                  </w:tcMar>
                  <w:vAlign w:val="top"/>
                </w:tcPr>
                <w:p w14:paraId="5B5A67A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w:t>
                  </w:r>
                </w:p>
              </w:tc>
              <w:tc>
                <w:tcPr>
                  <w:tcW w:w="1868" w:type="pct"/>
                  <w:tcBorders>
                    <w:tl2br w:val="nil"/>
                    <w:tr2bl w:val="nil"/>
                  </w:tcBorders>
                  <w:shd w:val="clear" w:color="auto" w:fill="auto"/>
                  <w:tcMar>
                    <w:top w:w="120" w:type="dxa"/>
                    <w:left w:w="120" w:type="dxa"/>
                    <w:bottom w:w="120" w:type="dxa"/>
                    <w:right w:w="120" w:type="dxa"/>
                  </w:tcMar>
                  <w:vAlign w:val="top"/>
                </w:tcPr>
                <w:p w14:paraId="1157DB6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野外地质点定位、产状测量</w:t>
                  </w:r>
                </w:p>
              </w:tc>
            </w:tr>
            <w:tr w14:paraId="52669D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7AE3EA5A">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21</w:t>
                  </w:r>
                </w:p>
              </w:tc>
              <w:tc>
                <w:tcPr>
                  <w:tcW w:w="1597" w:type="pct"/>
                  <w:tcBorders>
                    <w:tl2br w:val="nil"/>
                    <w:tr2bl w:val="nil"/>
                  </w:tcBorders>
                  <w:shd w:val="clear" w:color="auto" w:fill="auto"/>
                  <w:tcMar>
                    <w:top w:w="120" w:type="dxa"/>
                    <w:left w:w="120" w:type="dxa"/>
                    <w:bottom w:w="120" w:type="dxa"/>
                    <w:right w:w="120" w:type="dxa"/>
                  </w:tcMar>
                  <w:vAlign w:val="top"/>
                </w:tcPr>
                <w:p w14:paraId="3C29403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绘图仪</w:t>
                  </w:r>
                </w:p>
              </w:tc>
              <w:tc>
                <w:tcPr>
                  <w:tcW w:w="565" w:type="pct"/>
                  <w:tcBorders>
                    <w:tl2br w:val="nil"/>
                    <w:tr2bl w:val="nil"/>
                  </w:tcBorders>
                  <w:shd w:val="clear" w:color="auto" w:fill="auto"/>
                  <w:tcMar>
                    <w:top w:w="120" w:type="dxa"/>
                    <w:left w:w="120" w:type="dxa"/>
                    <w:bottom w:w="120" w:type="dxa"/>
                    <w:right w:w="120" w:type="dxa"/>
                  </w:tcMar>
                  <w:vAlign w:val="top"/>
                </w:tcPr>
                <w:p w14:paraId="7AA0BA7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60DF1AEB">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868" w:type="pct"/>
                  <w:tcBorders>
                    <w:tl2br w:val="nil"/>
                    <w:tr2bl w:val="nil"/>
                  </w:tcBorders>
                  <w:shd w:val="clear" w:color="auto" w:fill="auto"/>
                  <w:tcMar>
                    <w:top w:w="120" w:type="dxa"/>
                    <w:left w:w="120" w:type="dxa"/>
                    <w:bottom w:w="120" w:type="dxa"/>
                    <w:right w:w="120" w:type="dxa"/>
                  </w:tcMar>
                  <w:vAlign w:val="top"/>
                </w:tcPr>
                <w:p w14:paraId="1EED5A6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地质图件出图</w:t>
                  </w:r>
                </w:p>
              </w:tc>
            </w:tr>
            <w:tr w14:paraId="7C7A2F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57806AE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22</w:t>
                  </w:r>
                </w:p>
              </w:tc>
              <w:tc>
                <w:tcPr>
                  <w:tcW w:w="1597" w:type="pct"/>
                  <w:tcBorders>
                    <w:tl2br w:val="nil"/>
                    <w:tr2bl w:val="nil"/>
                  </w:tcBorders>
                  <w:shd w:val="clear" w:color="auto" w:fill="auto"/>
                  <w:tcMar>
                    <w:top w:w="120" w:type="dxa"/>
                    <w:left w:w="120" w:type="dxa"/>
                    <w:bottom w:w="120" w:type="dxa"/>
                    <w:right w:w="120" w:type="dxa"/>
                  </w:tcMar>
                  <w:vAlign w:val="top"/>
                </w:tcPr>
                <w:p w14:paraId="0EE78E9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大型打印机</w:t>
                  </w:r>
                </w:p>
              </w:tc>
              <w:tc>
                <w:tcPr>
                  <w:tcW w:w="565" w:type="pct"/>
                  <w:tcBorders>
                    <w:tl2br w:val="nil"/>
                    <w:tr2bl w:val="nil"/>
                  </w:tcBorders>
                  <w:shd w:val="clear" w:color="auto" w:fill="auto"/>
                  <w:tcMar>
                    <w:top w:w="120" w:type="dxa"/>
                    <w:left w:w="120" w:type="dxa"/>
                    <w:bottom w:w="120" w:type="dxa"/>
                    <w:right w:w="120" w:type="dxa"/>
                  </w:tcMar>
                  <w:vAlign w:val="top"/>
                </w:tcPr>
                <w:p w14:paraId="7A955A2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03B21A8F">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868" w:type="pct"/>
                  <w:tcBorders>
                    <w:tl2br w:val="nil"/>
                    <w:tr2bl w:val="nil"/>
                  </w:tcBorders>
                  <w:shd w:val="clear" w:color="auto" w:fill="auto"/>
                  <w:tcMar>
                    <w:top w:w="120" w:type="dxa"/>
                    <w:left w:w="120" w:type="dxa"/>
                    <w:bottom w:w="120" w:type="dxa"/>
                    <w:right w:w="120" w:type="dxa"/>
                  </w:tcMar>
                  <w:vAlign w:val="top"/>
                </w:tcPr>
                <w:p w14:paraId="7FC7A6B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大幅面图纸打印</w:t>
                  </w:r>
                </w:p>
              </w:tc>
            </w:tr>
            <w:tr w14:paraId="1D419D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399F8BDC">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23</w:t>
                  </w:r>
                </w:p>
              </w:tc>
              <w:tc>
                <w:tcPr>
                  <w:tcW w:w="1597" w:type="pct"/>
                  <w:tcBorders>
                    <w:tl2br w:val="nil"/>
                    <w:tr2bl w:val="nil"/>
                  </w:tcBorders>
                  <w:shd w:val="clear" w:color="auto" w:fill="auto"/>
                  <w:tcMar>
                    <w:top w:w="120" w:type="dxa"/>
                    <w:left w:w="120" w:type="dxa"/>
                    <w:bottom w:w="120" w:type="dxa"/>
                    <w:right w:w="120" w:type="dxa"/>
                  </w:tcMar>
                  <w:vAlign w:val="top"/>
                </w:tcPr>
                <w:p w14:paraId="61AF2C5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地质锤</w:t>
                  </w:r>
                </w:p>
              </w:tc>
              <w:tc>
                <w:tcPr>
                  <w:tcW w:w="565" w:type="pct"/>
                  <w:tcBorders>
                    <w:tl2br w:val="nil"/>
                    <w:tr2bl w:val="nil"/>
                  </w:tcBorders>
                  <w:shd w:val="clear" w:color="auto" w:fill="auto"/>
                  <w:tcMar>
                    <w:top w:w="120" w:type="dxa"/>
                    <w:left w:w="120" w:type="dxa"/>
                    <w:bottom w:w="120" w:type="dxa"/>
                    <w:right w:w="120" w:type="dxa"/>
                  </w:tcMar>
                  <w:vAlign w:val="top"/>
                </w:tcPr>
                <w:p w14:paraId="32CC28B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把</w:t>
                  </w:r>
                </w:p>
              </w:tc>
              <w:tc>
                <w:tcPr>
                  <w:tcW w:w="487" w:type="pct"/>
                  <w:tcBorders>
                    <w:tl2br w:val="nil"/>
                    <w:tr2bl w:val="nil"/>
                  </w:tcBorders>
                  <w:shd w:val="clear" w:color="auto" w:fill="auto"/>
                  <w:tcMar>
                    <w:top w:w="120" w:type="dxa"/>
                    <w:left w:w="120" w:type="dxa"/>
                    <w:bottom w:w="120" w:type="dxa"/>
                    <w:right w:w="120" w:type="dxa"/>
                  </w:tcMar>
                  <w:vAlign w:val="top"/>
                </w:tcPr>
                <w:p w14:paraId="2CC7371C">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30</w:t>
                  </w:r>
                </w:p>
              </w:tc>
              <w:tc>
                <w:tcPr>
                  <w:tcW w:w="1868" w:type="pct"/>
                  <w:tcBorders>
                    <w:tl2br w:val="nil"/>
                    <w:tr2bl w:val="nil"/>
                  </w:tcBorders>
                  <w:shd w:val="clear" w:color="auto" w:fill="auto"/>
                  <w:tcMar>
                    <w:top w:w="120" w:type="dxa"/>
                    <w:left w:w="120" w:type="dxa"/>
                    <w:bottom w:w="120" w:type="dxa"/>
                    <w:right w:w="120" w:type="dxa"/>
                  </w:tcMar>
                  <w:vAlign w:val="top"/>
                </w:tcPr>
                <w:p w14:paraId="3DF5B7F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外业调查、岩石敲取</w:t>
                  </w:r>
                </w:p>
              </w:tc>
            </w:tr>
            <w:tr w14:paraId="4911C0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7F07602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24</w:t>
                  </w:r>
                </w:p>
              </w:tc>
              <w:tc>
                <w:tcPr>
                  <w:tcW w:w="1597" w:type="pct"/>
                  <w:tcBorders>
                    <w:tl2br w:val="nil"/>
                    <w:tr2bl w:val="nil"/>
                  </w:tcBorders>
                  <w:shd w:val="clear" w:color="auto" w:fill="auto"/>
                  <w:tcMar>
                    <w:top w:w="120" w:type="dxa"/>
                    <w:left w:w="120" w:type="dxa"/>
                    <w:bottom w:w="120" w:type="dxa"/>
                    <w:right w:w="120" w:type="dxa"/>
                  </w:tcMar>
                  <w:vAlign w:val="top"/>
                </w:tcPr>
                <w:p w14:paraId="50C84F9C">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放大镜</w:t>
                  </w:r>
                </w:p>
              </w:tc>
              <w:tc>
                <w:tcPr>
                  <w:tcW w:w="565" w:type="pct"/>
                  <w:tcBorders>
                    <w:tl2br w:val="nil"/>
                    <w:tr2bl w:val="nil"/>
                  </w:tcBorders>
                  <w:shd w:val="clear" w:color="auto" w:fill="auto"/>
                  <w:tcMar>
                    <w:top w:w="120" w:type="dxa"/>
                    <w:left w:w="120" w:type="dxa"/>
                    <w:bottom w:w="120" w:type="dxa"/>
                    <w:right w:w="120" w:type="dxa"/>
                  </w:tcMar>
                  <w:vAlign w:val="top"/>
                </w:tcPr>
                <w:p w14:paraId="46DA75B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个</w:t>
                  </w:r>
                </w:p>
              </w:tc>
              <w:tc>
                <w:tcPr>
                  <w:tcW w:w="487" w:type="pct"/>
                  <w:tcBorders>
                    <w:tl2br w:val="nil"/>
                    <w:tr2bl w:val="nil"/>
                  </w:tcBorders>
                  <w:shd w:val="clear" w:color="auto" w:fill="auto"/>
                  <w:tcMar>
                    <w:top w:w="120" w:type="dxa"/>
                    <w:left w:w="120" w:type="dxa"/>
                    <w:bottom w:w="120" w:type="dxa"/>
                    <w:right w:w="120" w:type="dxa"/>
                  </w:tcMar>
                  <w:vAlign w:val="top"/>
                </w:tcPr>
                <w:p w14:paraId="2B089DCD">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w:t>
                  </w:r>
                </w:p>
              </w:tc>
              <w:tc>
                <w:tcPr>
                  <w:tcW w:w="1868" w:type="pct"/>
                  <w:tcBorders>
                    <w:tl2br w:val="nil"/>
                    <w:tr2bl w:val="nil"/>
                  </w:tcBorders>
                  <w:shd w:val="clear" w:color="auto" w:fill="auto"/>
                  <w:tcMar>
                    <w:top w:w="120" w:type="dxa"/>
                    <w:left w:w="120" w:type="dxa"/>
                    <w:bottom w:w="120" w:type="dxa"/>
                    <w:right w:w="120" w:type="dxa"/>
                  </w:tcMar>
                  <w:vAlign w:val="top"/>
                </w:tcPr>
                <w:p w14:paraId="3FDFBE0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外业调查、矿物观察</w:t>
                  </w:r>
                </w:p>
              </w:tc>
            </w:tr>
            <w:tr w14:paraId="0FB6D9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707F7E77">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25</w:t>
                  </w:r>
                </w:p>
              </w:tc>
              <w:tc>
                <w:tcPr>
                  <w:tcW w:w="1597" w:type="pct"/>
                  <w:tcBorders>
                    <w:tl2br w:val="nil"/>
                    <w:tr2bl w:val="nil"/>
                  </w:tcBorders>
                  <w:shd w:val="clear" w:color="auto" w:fill="auto"/>
                  <w:tcMar>
                    <w:top w:w="120" w:type="dxa"/>
                    <w:left w:w="120" w:type="dxa"/>
                    <w:bottom w:w="120" w:type="dxa"/>
                    <w:right w:w="120" w:type="dxa"/>
                  </w:tcMar>
                  <w:vAlign w:val="top"/>
                </w:tcPr>
                <w:p w14:paraId="43FA18E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小型打印机</w:t>
                  </w:r>
                </w:p>
              </w:tc>
              <w:tc>
                <w:tcPr>
                  <w:tcW w:w="565" w:type="pct"/>
                  <w:tcBorders>
                    <w:tl2br w:val="nil"/>
                    <w:tr2bl w:val="nil"/>
                  </w:tcBorders>
                  <w:shd w:val="clear" w:color="auto" w:fill="auto"/>
                  <w:tcMar>
                    <w:top w:w="120" w:type="dxa"/>
                    <w:left w:w="120" w:type="dxa"/>
                    <w:bottom w:w="120" w:type="dxa"/>
                    <w:right w:w="120" w:type="dxa"/>
                  </w:tcMar>
                  <w:vAlign w:val="top"/>
                </w:tcPr>
                <w:p w14:paraId="296DCC9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0F8D21B3">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868" w:type="pct"/>
                  <w:tcBorders>
                    <w:tl2br w:val="nil"/>
                    <w:tr2bl w:val="nil"/>
                  </w:tcBorders>
                  <w:shd w:val="clear" w:color="auto" w:fill="auto"/>
                  <w:tcMar>
                    <w:top w:w="120" w:type="dxa"/>
                    <w:left w:w="120" w:type="dxa"/>
                    <w:bottom w:w="120" w:type="dxa"/>
                    <w:right w:w="120" w:type="dxa"/>
                  </w:tcMar>
                  <w:vAlign w:val="top"/>
                </w:tcPr>
                <w:p w14:paraId="4E8CA49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便携打印（外业/营地）</w:t>
                  </w:r>
                </w:p>
              </w:tc>
            </w:tr>
            <w:tr w14:paraId="5F8AB4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00AB00C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26</w:t>
                  </w:r>
                </w:p>
              </w:tc>
              <w:tc>
                <w:tcPr>
                  <w:tcW w:w="1597" w:type="pct"/>
                  <w:tcBorders>
                    <w:tl2br w:val="nil"/>
                    <w:tr2bl w:val="nil"/>
                  </w:tcBorders>
                  <w:shd w:val="clear" w:color="auto" w:fill="auto"/>
                  <w:tcMar>
                    <w:top w:w="120" w:type="dxa"/>
                    <w:left w:w="120" w:type="dxa"/>
                    <w:bottom w:w="120" w:type="dxa"/>
                    <w:right w:w="120" w:type="dxa"/>
                  </w:tcMar>
                  <w:vAlign w:val="top"/>
                </w:tcPr>
                <w:p w14:paraId="7616C4A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卫星电话</w:t>
                  </w:r>
                </w:p>
              </w:tc>
              <w:tc>
                <w:tcPr>
                  <w:tcW w:w="565" w:type="pct"/>
                  <w:tcBorders>
                    <w:tl2br w:val="nil"/>
                    <w:tr2bl w:val="nil"/>
                  </w:tcBorders>
                  <w:shd w:val="clear" w:color="auto" w:fill="auto"/>
                  <w:tcMar>
                    <w:top w:w="120" w:type="dxa"/>
                    <w:left w:w="120" w:type="dxa"/>
                    <w:bottom w:w="120" w:type="dxa"/>
                    <w:right w:w="120" w:type="dxa"/>
                  </w:tcMar>
                  <w:vAlign w:val="top"/>
                </w:tcPr>
                <w:p w14:paraId="1023DEF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部</w:t>
                  </w:r>
                </w:p>
              </w:tc>
              <w:tc>
                <w:tcPr>
                  <w:tcW w:w="487" w:type="pct"/>
                  <w:tcBorders>
                    <w:tl2br w:val="nil"/>
                    <w:tr2bl w:val="nil"/>
                  </w:tcBorders>
                  <w:shd w:val="clear" w:color="auto" w:fill="auto"/>
                  <w:tcMar>
                    <w:top w:w="120" w:type="dxa"/>
                    <w:left w:w="120" w:type="dxa"/>
                    <w:bottom w:w="120" w:type="dxa"/>
                    <w:right w:w="120" w:type="dxa"/>
                  </w:tcMar>
                  <w:vAlign w:val="top"/>
                </w:tcPr>
                <w:p w14:paraId="028FB81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5</w:t>
                  </w:r>
                </w:p>
              </w:tc>
              <w:tc>
                <w:tcPr>
                  <w:tcW w:w="1868" w:type="pct"/>
                  <w:tcBorders>
                    <w:tl2br w:val="nil"/>
                    <w:tr2bl w:val="nil"/>
                  </w:tcBorders>
                  <w:shd w:val="clear" w:color="auto" w:fill="auto"/>
                  <w:tcMar>
                    <w:top w:w="120" w:type="dxa"/>
                    <w:left w:w="120" w:type="dxa"/>
                    <w:bottom w:w="120" w:type="dxa"/>
                    <w:right w:w="120" w:type="dxa"/>
                  </w:tcMar>
                  <w:vAlign w:val="top"/>
                </w:tcPr>
                <w:p w14:paraId="5D21B6E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偏远地区通信保障</w:t>
                  </w:r>
                </w:p>
              </w:tc>
            </w:tr>
            <w:tr w14:paraId="39E86E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3EC694C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27</w:t>
                  </w:r>
                </w:p>
              </w:tc>
              <w:tc>
                <w:tcPr>
                  <w:tcW w:w="1597" w:type="pct"/>
                  <w:tcBorders>
                    <w:tl2br w:val="nil"/>
                    <w:tr2bl w:val="nil"/>
                  </w:tcBorders>
                  <w:shd w:val="clear" w:color="auto" w:fill="auto"/>
                  <w:tcMar>
                    <w:top w:w="120" w:type="dxa"/>
                    <w:left w:w="120" w:type="dxa"/>
                    <w:bottom w:w="120" w:type="dxa"/>
                    <w:right w:w="120" w:type="dxa"/>
                  </w:tcMar>
                  <w:vAlign w:val="top"/>
                </w:tcPr>
                <w:p w14:paraId="53ADFF58">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制氧机（7L）</w:t>
                  </w:r>
                </w:p>
              </w:tc>
              <w:tc>
                <w:tcPr>
                  <w:tcW w:w="565" w:type="pct"/>
                  <w:tcBorders>
                    <w:tl2br w:val="nil"/>
                    <w:tr2bl w:val="nil"/>
                  </w:tcBorders>
                  <w:shd w:val="clear" w:color="auto" w:fill="auto"/>
                  <w:tcMar>
                    <w:top w:w="120" w:type="dxa"/>
                    <w:left w:w="120" w:type="dxa"/>
                    <w:bottom w:w="120" w:type="dxa"/>
                    <w:right w:w="120" w:type="dxa"/>
                  </w:tcMar>
                  <w:vAlign w:val="top"/>
                </w:tcPr>
                <w:p w14:paraId="131E61F0">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59E5FCBE">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4</w:t>
                  </w:r>
                </w:p>
              </w:tc>
              <w:tc>
                <w:tcPr>
                  <w:tcW w:w="1868" w:type="pct"/>
                  <w:tcBorders>
                    <w:tl2br w:val="nil"/>
                    <w:tr2bl w:val="nil"/>
                  </w:tcBorders>
                  <w:shd w:val="clear" w:color="auto" w:fill="auto"/>
                  <w:tcMar>
                    <w:top w:w="120" w:type="dxa"/>
                    <w:left w:w="120" w:type="dxa"/>
                    <w:bottom w:w="120" w:type="dxa"/>
                    <w:right w:w="120" w:type="dxa"/>
                  </w:tcMar>
                  <w:vAlign w:val="top"/>
                </w:tcPr>
                <w:p w14:paraId="7DBF1E2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高海拔地区作业人员供氧</w:t>
                  </w:r>
                </w:p>
              </w:tc>
            </w:tr>
            <w:tr w14:paraId="3633A3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exact"/>
              </w:trPr>
              <w:tc>
                <w:tcPr>
                  <w:tcW w:w="480" w:type="pct"/>
                  <w:tcBorders>
                    <w:tl2br w:val="nil"/>
                    <w:tr2bl w:val="nil"/>
                  </w:tcBorders>
                  <w:shd w:val="clear" w:color="auto" w:fill="auto"/>
                  <w:tcMar>
                    <w:top w:w="120" w:type="dxa"/>
                    <w:left w:w="120" w:type="dxa"/>
                    <w:bottom w:w="120" w:type="dxa"/>
                    <w:right w:w="120" w:type="dxa"/>
                  </w:tcMar>
                  <w:vAlign w:val="top"/>
                </w:tcPr>
                <w:p w14:paraId="759382F5">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28</w:t>
                  </w:r>
                </w:p>
              </w:tc>
              <w:tc>
                <w:tcPr>
                  <w:tcW w:w="1597" w:type="pct"/>
                  <w:tcBorders>
                    <w:tl2br w:val="nil"/>
                    <w:tr2bl w:val="nil"/>
                  </w:tcBorders>
                  <w:shd w:val="clear" w:color="auto" w:fill="auto"/>
                  <w:tcMar>
                    <w:top w:w="120" w:type="dxa"/>
                    <w:left w:w="120" w:type="dxa"/>
                    <w:bottom w:w="120" w:type="dxa"/>
                    <w:right w:w="120" w:type="dxa"/>
                  </w:tcMar>
                  <w:vAlign w:val="top"/>
                </w:tcPr>
                <w:p w14:paraId="23061AAB">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柴油发电机（35千瓦）</w:t>
                  </w:r>
                </w:p>
              </w:tc>
              <w:tc>
                <w:tcPr>
                  <w:tcW w:w="565" w:type="pct"/>
                  <w:tcBorders>
                    <w:tl2br w:val="nil"/>
                    <w:tr2bl w:val="nil"/>
                  </w:tcBorders>
                  <w:shd w:val="clear" w:color="auto" w:fill="auto"/>
                  <w:tcMar>
                    <w:top w:w="120" w:type="dxa"/>
                    <w:left w:w="120" w:type="dxa"/>
                    <w:bottom w:w="120" w:type="dxa"/>
                    <w:right w:w="120" w:type="dxa"/>
                  </w:tcMar>
                  <w:vAlign w:val="top"/>
                </w:tcPr>
                <w:p w14:paraId="63056812">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台</w:t>
                  </w:r>
                </w:p>
              </w:tc>
              <w:tc>
                <w:tcPr>
                  <w:tcW w:w="487" w:type="pct"/>
                  <w:tcBorders>
                    <w:tl2br w:val="nil"/>
                    <w:tr2bl w:val="nil"/>
                  </w:tcBorders>
                  <w:shd w:val="clear" w:color="auto" w:fill="auto"/>
                  <w:tcMar>
                    <w:top w:w="120" w:type="dxa"/>
                    <w:left w:w="120" w:type="dxa"/>
                    <w:bottom w:w="120" w:type="dxa"/>
                    <w:right w:w="120" w:type="dxa"/>
                  </w:tcMar>
                  <w:vAlign w:val="top"/>
                </w:tcPr>
                <w:p w14:paraId="5C445AC6">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w:t>
                  </w:r>
                </w:p>
              </w:tc>
              <w:tc>
                <w:tcPr>
                  <w:tcW w:w="1868" w:type="pct"/>
                  <w:tcBorders>
                    <w:tl2br w:val="nil"/>
                    <w:tr2bl w:val="nil"/>
                  </w:tcBorders>
                  <w:shd w:val="clear" w:color="auto" w:fill="auto"/>
                  <w:tcMar>
                    <w:top w:w="120" w:type="dxa"/>
                    <w:left w:w="120" w:type="dxa"/>
                    <w:bottom w:w="120" w:type="dxa"/>
                    <w:right w:w="120" w:type="dxa"/>
                  </w:tcMar>
                  <w:vAlign w:val="top"/>
                </w:tcPr>
                <w:p w14:paraId="680E58A9">
                  <w:pPr>
                    <w:pStyle w:val="63"/>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大功率设备供电（钻探/营地）</w:t>
                  </w:r>
                </w:p>
              </w:tc>
            </w:tr>
          </w:tbl>
          <w:p w14:paraId="051CF467">
            <w:pPr>
              <w:pStyle w:val="57"/>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 xml:space="preserve">表2-4    </w:t>
            </w:r>
            <w:r>
              <w:rPr>
                <w:rFonts w:hint="default" w:ascii="Times New Roman" w:hAnsi="Times New Roman" w:cs="Times New Roman"/>
                <w:color w:val="000000" w:themeColor="text1"/>
                <w:highlight w:val="none"/>
                <w14:textFill>
                  <w14:solidFill>
                    <w14:schemeClr w14:val="tx1"/>
                  </w14:solidFill>
                </w14:textFill>
              </w:rPr>
              <w:t>工程主要原、辅材料一览表</w:t>
            </w:r>
          </w:p>
          <w:tbl>
            <w:tblPr>
              <w:tblStyle w:val="28"/>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824"/>
              <w:gridCol w:w="1168"/>
              <w:gridCol w:w="999"/>
              <w:gridCol w:w="4234"/>
            </w:tblGrid>
            <w:tr w14:paraId="31C04F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415" w:type="pct"/>
                  <w:tcBorders>
                    <w:tl2br w:val="nil"/>
                    <w:tr2bl w:val="nil"/>
                  </w:tcBorders>
                  <w:noWrap w:val="0"/>
                  <w:vAlign w:val="center"/>
                </w:tcPr>
                <w:p w14:paraId="57E70175">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序号</w:t>
                  </w:r>
                </w:p>
              </w:tc>
              <w:tc>
                <w:tcPr>
                  <w:tcW w:w="523" w:type="pct"/>
                  <w:tcBorders>
                    <w:tl2br w:val="nil"/>
                    <w:tr2bl w:val="nil"/>
                  </w:tcBorders>
                  <w:noWrap w:val="0"/>
                  <w:vAlign w:val="center"/>
                </w:tcPr>
                <w:p w14:paraId="1B6EDD8C">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类别</w:t>
                  </w:r>
                </w:p>
              </w:tc>
              <w:tc>
                <w:tcPr>
                  <w:tcW w:w="741" w:type="pct"/>
                  <w:tcBorders>
                    <w:tl2br w:val="nil"/>
                    <w:tr2bl w:val="nil"/>
                  </w:tcBorders>
                  <w:noWrap w:val="0"/>
                  <w:vAlign w:val="center"/>
                </w:tcPr>
                <w:p w14:paraId="1A37FC6D">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名称</w:t>
                  </w:r>
                </w:p>
              </w:tc>
              <w:tc>
                <w:tcPr>
                  <w:tcW w:w="634" w:type="pct"/>
                  <w:tcBorders>
                    <w:tl2br w:val="nil"/>
                    <w:tr2bl w:val="nil"/>
                  </w:tcBorders>
                  <w:noWrap w:val="0"/>
                  <w:vAlign w:val="center"/>
                </w:tcPr>
                <w:p w14:paraId="2D55D8DF">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用量</w:t>
                  </w:r>
                </w:p>
              </w:tc>
              <w:tc>
                <w:tcPr>
                  <w:tcW w:w="2685" w:type="pct"/>
                  <w:tcBorders>
                    <w:tl2br w:val="nil"/>
                    <w:tr2bl w:val="nil"/>
                  </w:tcBorders>
                  <w:noWrap w:val="0"/>
                  <w:vAlign w:val="center"/>
                </w:tcPr>
                <w:p w14:paraId="095AB373">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备注</w:t>
                  </w:r>
                </w:p>
              </w:tc>
            </w:tr>
            <w:tr w14:paraId="073555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415" w:type="pct"/>
                  <w:tcBorders>
                    <w:tl2br w:val="nil"/>
                    <w:tr2bl w:val="nil"/>
                  </w:tcBorders>
                  <w:shd w:val="clear" w:color="auto" w:fill="auto"/>
                  <w:noWrap w:val="0"/>
                  <w:vAlign w:val="center"/>
                </w:tcPr>
                <w:p w14:paraId="120F08DA">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w:t>
                  </w:r>
                </w:p>
              </w:tc>
              <w:tc>
                <w:tcPr>
                  <w:tcW w:w="523" w:type="pct"/>
                  <w:vMerge w:val="restart"/>
                  <w:tcBorders>
                    <w:tl2br w:val="nil"/>
                    <w:tr2bl w:val="nil"/>
                  </w:tcBorders>
                  <w:noWrap w:val="0"/>
                  <w:vAlign w:val="center"/>
                </w:tcPr>
                <w:p w14:paraId="1DC0F13E">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资源、能源</w:t>
                  </w:r>
                </w:p>
              </w:tc>
              <w:tc>
                <w:tcPr>
                  <w:tcW w:w="741" w:type="pct"/>
                  <w:tcBorders>
                    <w:tl2br w:val="nil"/>
                    <w:tr2bl w:val="nil"/>
                  </w:tcBorders>
                  <w:noWrap w:val="0"/>
                  <w:vAlign w:val="center"/>
                </w:tcPr>
                <w:p w14:paraId="1C46F3C7">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水</w:t>
                  </w:r>
                </w:p>
              </w:tc>
              <w:tc>
                <w:tcPr>
                  <w:tcW w:w="634" w:type="pct"/>
                  <w:tcBorders>
                    <w:tl2br w:val="nil"/>
                    <w:tr2bl w:val="nil"/>
                  </w:tcBorders>
                  <w:noWrap w:val="0"/>
                  <w:vAlign w:val="center"/>
                </w:tcPr>
                <w:p w14:paraId="250A82F1">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222</w:t>
                  </w:r>
                  <w:r>
                    <w:rPr>
                      <w:rFonts w:hint="default" w:ascii="Times New Roman" w:hAnsi="Times New Roman" w:cs="Times New Roman"/>
                      <w:color w:val="000000" w:themeColor="text1"/>
                      <w:highlight w:val="none"/>
                      <w:lang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探矿期</w:t>
                  </w:r>
                </w:p>
              </w:tc>
              <w:tc>
                <w:tcPr>
                  <w:tcW w:w="2685" w:type="pct"/>
                  <w:tcBorders>
                    <w:tl2br w:val="nil"/>
                    <w:tr2bl w:val="nil"/>
                  </w:tcBorders>
                  <w:noWrap w:val="0"/>
                  <w:vAlign w:val="center"/>
                </w:tcPr>
                <w:p w14:paraId="5F083F90">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定期从附近乡镇拉运至生活营地内储水箱储存。</w:t>
                  </w:r>
                </w:p>
              </w:tc>
            </w:tr>
            <w:tr w14:paraId="021DB7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5" w:type="pct"/>
                  <w:tcBorders>
                    <w:tl2br w:val="nil"/>
                    <w:tr2bl w:val="nil"/>
                  </w:tcBorders>
                  <w:shd w:val="clear" w:color="auto" w:fill="auto"/>
                  <w:noWrap w:val="0"/>
                  <w:vAlign w:val="center"/>
                </w:tcPr>
                <w:p w14:paraId="21168ECC">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523" w:type="pct"/>
                  <w:vMerge w:val="continue"/>
                  <w:tcBorders>
                    <w:tl2br w:val="nil"/>
                    <w:tr2bl w:val="nil"/>
                  </w:tcBorders>
                  <w:noWrap w:val="0"/>
                  <w:vAlign w:val="center"/>
                </w:tcPr>
                <w:p w14:paraId="52929BA1">
                  <w:pPr>
                    <w:pStyle w:val="63"/>
                    <w:bidi w:val="0"/>
                    <w:rPr>
                      <w:rFonts w:hint="default" w:ascii="Times New Roman" w:hAnsi="Times New Roman" w:cs="Times New Roman"/>
                      <w:color w:val="000000" w:themeColor="text1"/>
                      <w:highlight w:val="none"/>
                      <w14:textFill>
                        <w14:solidFill>
                          <w14:schemeClr w14:val="tx1"/>
                        </w14:solidFill>
                      </w14:textFill>
                    </w:rPr>
                  </w:pPr>
                </w:p>
              </w:tc>
              <w:tc>
                <w:tcPr>
                  <w:tcW w:w="741" w:type="pct"/>
                  <w:tcBorders>
                    <w:tl2br w:val="nil"/>
                    <w:tr2bl w:val="nil"/>
                  </w:tcBorders>
                  <w:noWrap w:val="0"/>
                  <w:vAlign w:val="center"/>
                </w:tcPr>
                <w:p w14:paraId="66C7BA87">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柴油</w:t>
                  </w:r>
                </w:p>
              </w:tc>
              <w:tc>
                <w:tcPr>
                  <w:tcW w:w="634" w:type="pct"/>
                  <w:tcBorders>
                    <w:tl2br w:val="nil"/>
                    <w:tr2bl w:val="nil"/>
                  </w:tcBorders>
                  <w:noWrap w:val="0"/>
                  <w:vAlign w:val="center"/>
                </w:tcPr>
                <w:p w14:paraId="2B1C1CFC">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5t/</w:t>
                  </w:r>
                  <w:r>
                    <w:rPr>
                      <w:rFonts w:hint="eastAsia" w:cs="Times New Roman"/>
                      <w:color w:val="000000" w:themeColor="text1"/>
                      <w:highlight w:val="none"/>
                      <w:lang w:val="en-US" w:eastAsia="zh-CN"/>
                      <w14:textFill>
                        <w14:solidFill>
                          <w14:schemeClr w14:val="tx1"/>
                        </w14:solidFill>
                      </w14:textFill>
                    </w:rPr>
                    <w:t>探矿期</w:t>
                  </w:r>
                </w:p>
              </w:tc>
              <w:tc>
                <w:tcPr>
                  <w:tcW w:w="2685" w:type="pct"/>
                  <w:tcBorders>
                    <w:tl2br w:val="nil"/>
                    <w:tr2bl w:val="nil"/>
                  </w:tcBorders>
                  <w:noWrap w:val="0"/>
                  <w:vAlign w:val="center"/>
                </w:tcPr>
                <w:p w14:paraId="707BA16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油桶储存，最大储存量为2t，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设置铺有防渗地膜的柴油贮存区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6666A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5" w:type="pct"/>
                  <w:tcBorders>
                    <w:tl2br w:val="nil"/>
                    <w:tr2bl w:val="nil"/>
                  </w:tcBorders>
                  <w:shd w:val="clear" w:color="auto" w:fill="auto"/>
                  <w:noWrap w:val="0"/>
                  <w:vAlign w:val="center"/>
                </w:tcPr>
                <w:p w14:paraId="1A00AC44">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523" w:type="pct"/>
                  <w:vMerge w:val="restart"/>
                  <w:tcBorders>
                    <w:tl2br w:val="nil"/>
                    <w:tr2bl w:val="nil"/>
                  </w:tcBorders>
                  <w:noWrap w:val="0"/>
                  <w:vAlign w:val="center"/>
                </w:tcPr>
                <w:p w14:paraId="6379C411">
                  <w:pPr>
                    <w:pStyle w:val="6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其他</w:t>
                  </w:r>
                </w:p>
              </w:tc>
              <w:tc>
                <w:tcPr>
                  <w:tcW w:w="741" w:type="pct"/>
                  <w:tcBorders>
                    <w:tl2br w:val="nil"/>
                    <w:tr2bl w:val="nil"/>
                  </w:tcBorders>
                  <w:noWrap w:val="0"/>
                  <w:vAlign w:val="center"/>
                </w:tcPr>
                <w:p w14:paraId="25E8572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彩条布</w:t>
                  </w:r>
                </w:p>
              </w:tc>
              <w:tc>
                <w:tcPr>
                  <w:tcW w:w="634" w:type="pct"/>
                  <w:tcBorders>
                    <w:tl2br w:val="nil"/>
                    <w:tr2bl w:val="nil"/>
                  </w:tcBorders>
                  <w:noWrap w:val="0"/>
                  <w:vAlign w:val="center"/>
                </w:tcPr>
                <w:p w14:paraId="24DDF831">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400m</w:t>
                  </w:r>
                </w:p>
              </w:tc>
              <w:tc>
                <w:tcPr>
                  <w:tcW w:w="2685" w:type="pct"/>
                  <w:tcBorders>
                    <w:tl2br w:val="nil"/>
                    <w:tr2bl w:val="nil"/>
                  </w:tcBorders>
                  <w:noWrap w:val="0"/>
                  <w:vAlign w:val="center"/>
                </w:tcPr>
                <w:p w14:paraId="0F6ABAAC">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外购</w:t>
                  </w:r>
                  <w:r>
                    <w:rPr>
                      <w:rFonts w:hint="eastAsia" w:cs="Times New Roman"/>
                      <w:color w:val="000000" w:themeColor="text1"/>
                      <w:highlight w:val="none"/>
                      <w:lang w:val="en-US" w:eastAsia="zh-CN"/>
                      <w14:textFill>
                        <w14:solidFill>
                          <w14:schemeClr w14:val="tx1"/>
                        </w14:solidFill>
                      </w14:textFill>
                    </w:rPr>
                    <w:t>的</w:t>
                  </w:r>
                  <w:r>
                    <w:rPr>
                      <w:rFonts w:hint="default" w:ascii="Times New Roman" w:hAnsi="Times New Roman" w:cs="Times New Roman"/>
                      <w:color w:val="000000" w:themeColor="text1"/>
                      <w:highlight w:val="none"/>
                      <w:lang w:val="en-US" w:eastAsia="zh-CN"/>
                      <w14:textFill>
                        <w14:solidFill>
                          <w14:schemeClr w14:val="tx1"/>
                        </w14:solidFill>
                      </w14:textFill>
                    </w:rPr>
                    <w:t>暂时露天放置的设备、槽探开挖石料进行苫盖</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使用后回收并无害化处理。</w:t>
                  </w:r>
                </w:p>
              </w:tc>
            </w:tr>
            <w:tr w14:paraId="7860DA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5" w:type="pct"/>
                  <w:tcBorders>
                    <w:tl2br w:val="nil"/>
                    <w:tr2bl w:val="nil"/>
                  </w:tcBorders>
                  <w:shd w:val="clear" w:color="auto" w:fill="auto"/>
                  <w:noWrap w:val="0"/>
                  <w:vAlign w:val="center"/>
                </w:tcPr>
                <w:p w14:paraId="0A38D747">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523" w:type="pct"/>
                  <w:vMerge w:val="continue"/>
                  <w:tcBorders>
                    <w:tl2br w:val="nil"/>
                    <w:tr2bl w:val="nil"/>
                  </w:tcBorders>
                  <w:noWrap w:val="0"/>
                  <w:vAlign w:val="center"/>
                </w:tcPr>
                <w:p w14:paraId="5EB35906">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741" w:type="pct"/>
                  <w:tcBorders>
                    <w:tl2br w:val="nil"/>
                    <w:tr2bl w:val="nil"/>
                  </w:tcBorders>
                  <w:noWrap w:val="0"/>
                  <w:vAlign w:val="center"/>
                </w:tcPr>
                <w:p w14:paraId="267C083A">
                  <w:pPr>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水基泥浆材料</w:t>
                  </w:r>
                </w:p>
              </w:tc>
              <w:tc>
                <w:tcPr>
                  <w:tcW w:w="634" w:type="pct"/>
                  <w:tcBorders>
                    <w:tl2br w:val="nil"/>
                    <w:tr2bl w:val="nil"/>
                  </w:tcBorders>
                  <w:noWrap w:val="0"/>
                  <w:vAlign w:val="center"/>
                </w:tcPr>
                <w:p w14:paraId="448BAE58">
                  <w:pPr>
                    <w:pStyle w:val="63"/>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5</w:t>
                  </w:r>
                  <w:r>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sz w:val="2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探矿期</w:t>
                  </w:r>
                </w:p>
              </w:tc>
              <w:tc>
                <w:tcPr>
                  <w:tcW w:w="2685" w:type="pct"/>
                  <w:tcBorders>
                    <w:tl2br w:val="nil"/>
                    <w:tr2bl w:val="nil"/>
                  </w:tcBorders>
                  <w:noWrap w:val="0"/>
                  <w:vAlign w:val="center"/>
                </w:tcPr>
                <w:p w14:paraId="6C79B943">
                  <w:pPr>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主要成分：</w:t>
                  </w:r>
                  <w:r>
                    <w:rPr>
                      <w:rFonts w:hint="default" w:ascii="Times New Roman" w:hAnsi="Times New Roman" w:eastAsia="Arial" w:cs="Times New Roman"/>
                      <w:color w:val="000000" w:themeColor="text1"/>
                      <w:sz w:val="21"/>
                      <w:szCs w:val="21"/>
                      <w:highlight w:val="none"/>
                      <w14:textFill>
                        <w14:solidFill>
                          <w14:schemeClr w14:val="tx1"/>
                        </w14:solidFill>
                      </w14:textFill>
                    </w:rPr>
                    <w:t>膨润土、聚合物、氯化钠等</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Arial" w:cs="Times New Roman"/>
                      <w:color w:val="000000" w:themeColor="text1"/>
                      <w:sz w:val="21"/>
                      <w:szCs w:val="21"/>
                      <w:highlight w:val="none"/>
                      <w14:textFill>
                        <w14:solidFill>
                          <w14:schemeClr w14:val="tx1"/>
                        </w14:solidFill>
                      </w14:textFill>
                    </w:rPr>
                    <w:t>无毒无害、可自然降解，用于钻探泥浆配制</w:t>
                  </w:r>
                  <w:r>
                    <w:rPr>
                      <w:rFonts w:hint="eastAsia" w:eastAsia="宋体" w:cs="Times New Roman"/>
                      <w:color w:val="000000" w:themeColor="text1"/>
                      <w:sz w:val="21"/>
                      <w:szCs w:val="21"/>
                      <w:highlight w:val="none"/>
                      <w:lang w:eastAsia="zh-CN"/>
                      <w14:textFill>
                        <w14:solidFill>
                          <w14:schemeClr w14:val="tx1"/>
                        </w14:solidFill>
                      </w14:textFill>
                    </w:rPr>
                    <w:t>。</w:t>
                  </w:r>
                </w:p>
              </w:tc>
            </w:tr>
          </w:tbl>
          <w:p w14:paraId="598D3014">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4.公用工程</w:t>
            </w:r>
          </w:p>
          <w:p w14:paraId="4F373E60">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4.1给水</w:t>
            </w:r>
          </w:p>
          <w:p w14:paraId="328070A4">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本项目用水定期从附近乡镇拉运至生活营地内储水箱储存</w:t>
            </w:r>
            <w:r>
              <w:rPr>
                <w:rFonts w:hint="eastAsia" w:cs="Times New Roman"/>
                <w:color w:val="000000" w:themeColor="text1"/>
                <w:highlight w:val="none"/>
                <w:lang w:val="en-US" w:eastAsia="zh-CN"/>
                <w14:textFill>
                  <w14:solidFill>
                    <w14:schemeClr w14:val="tx1"/>
                  </w14:solidFill>
                </w14:textFill>
              </w:rPr>
              <w:t>，勘探期总用水量为798m</w:t>
            </w:r>
            <w:r>
              <w:rPr>
                <w:rFonts w:hint="eastAsia"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3BB919B2">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（1）生活用水</w:t>
            </w:r>
          </w:p>
          <w:p w14:paraId="30E86DE6">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本项目勘探过程中，劳动定员约为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人</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，职工均在矿区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临时生活营地</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食宿，</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活用水量根据《新疆维吾尔自治区生活用水定额》为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L/</w:t>
            </w:r>
            <w:r>
              <w:rPr>
                <w:rFonts w:hint="eastAsia" w:cs="Times New Roman"/>
                <w:color w:val="000000" w:themeColor="text1"/>
                <w:sz w:val="24"/>
                <w:szCs w:val="24"/>
                <w:highlight w:val="none"/>
                <w:lang w:eastAsia="zh-CN"/>
                <w14:textFill>
                  <w14:solidFill>
                    <w14:schemeClr w14:val="tx1"/>
                  </w14:solidFill>
                </w14:textFill>
              </w:rPr>
              <w:t>（人·d）</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施工期和勘探期共计</w:t>
            </w:r>
            <w:r>
              <w:rPr>
                <w:rFonts w:hint="eastAsia" w:cs="Times New Roman"/>
                <w:color w:val="000000" w:themeColor="text1"/>
                <w:sz w:val="24"/>
                <w:szCs w:val="24"/>
                <w:highlight w:val="none"/>
                <w:lang w:val="en-US" w:eastAsia="zh-CN"/>
                <w14:textFill>
                  <w14:solidFill>
                    <w14:schemeClr w14:val="tx1"/>
                  </w14:solidFill>
                </w14:textFill>
              </w:rPr>
              <w:t>700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d，则可知本项目生活用水量为</w:t>
            </w:r>
            <w:r>
              <w:rPr>
                <w:rFonts w:hint="eastAsia" w:cs="Times New Roman"/>
                <w:color w:val="000000" w:themeColor="text1"/>
                <w:sz w:val="24"/>
                <w:szCs w:val="24"/>
                <w:highlight w:val="none"/>
                <w:lang w:val="en-US" w:eastAsia="zh-CN"/>
                <w14:textFill>
                  <w14:solidFill>
                    <w14:schemeClr w14:val="tx1"/>
                  </w14:solidFill>
                </w14:textFill>
              </w:rPr>
              <w:t>0.3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m³/d</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生活用水总量为</w:t>
            </w:r>
            <w:r>
              <w:rPr>
                <w:rFonts w:hint="eastAsia" w:cs="Times New Roman"/>
                <w:color w:val="000000" w:themeColor="text1"/>
                <w:sz w:val="24"/>
                <w:szCs w:val="24"/>
                <w:highlight w:val="none"/>
                <w:lang w:val="en-US" w:eastAsia="zh-CN"/>
                <w14:textFill>
                  <w14:solidFill>
                    <w14:schemeClr w14:val="tx1"/>
                  </w14:solidFill>
                </w14:textFill>
              </w:rPr>
              <w:t>210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m³。</w:t>
            </w:r>
          </w:p>
          <w:p w14:paraId="39758523">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（2）生产用水</w:t>
            </w:r>
          </w:p>
          <w:p w14:paraId="55A36EF1">
            <w:pPr>
              <w:pStyle w:val="53"/>
              <w:bidi w:val="0"/>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本项目钻探采用垂直地面钻探，泥浆用量0.3m</w:t>
            </w:r>
            <w:r>
              <w:rPr>
                <w:rFonts w:hint="default" w:ascii="Times New Roman" w:hAnsi="Times New Roman" w:eastAsia="华文中宋"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/m，泥浆配比以水、絮凝剂/粘土为主，主要起到保护钻机及护壁</w:t>
            </w:r>
            <w:r>
              <w:rPr>
                <w:rFonts w:hint="eastAsia" w:eastAsia="华文中宋" w:cs="Times New Roman"/>
                <w:color w:val="000000" w:themeColor="text1"/>
                <w:kern w:val="0"/>
                <w:sz w:val="24"/>
                <w:szCs w:val="24"/>
                <w:highlight w:val="none"/>
                <w:lang w:val="en-US" w:eastAsia="zh-CN"/>
                <w14:textFill>
                  <w14:solidFill>
                    <w14:schemeClr w14:val="tx1"/>
                  </w14:solidFill>
                </w14:textFill>
              </w:rPr>
              <w:t>的作用。</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钻探总工作量</w:t>
            </w:r>
            <w:r>
              <w:rPr>
                <w:rFonts w:hint="eastAsia" w:eastAsia="华文中宋" w:cs="Times New Roman"/>
                <w:color w:val="000000" w:themeColor="text1"/>
                <w:kern w:val="0"/>
                <w:sz w:val="24"/>
                <w:szCs w:val="24"/>
                <w:highlight w:val="none"/>
                <w:lang w:val="en-US" w:eastAsia="zh-CN"/>
                <w14:textFill>
                  <w14:solidFill>
                    <w14:schemeClr w14:val="tx1"/>
                  </w14:solidFill>
                </w14:textFill>
              </w:rPr>
              <w:t>4200</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m计，则工作量需用泥浆量</w:t>
            </w:r>
            <w:r>
              <w:rPr>
                <w:rFonts w:hint="eastAsia" w:eastAsia="华文中宋" w:cs="Times New Roman"/>
                <w:color w:val="000000" w:themeColor="text1"/>
                <w:kern w:val="0"/>
                <w:sz w:val="24"/>
                <w:szCs w:val="24"/>
                <w:highlight w:val="none"/>
                <w:lang w:val="en-US" w:eastAsia="zh-CN"/>
                <w14:textFill>
                  <w14:solidFill>
                    <w14:schemeClr w14:val="tx1"/>
                  </w14:solidFill>
                </w14:textFill>
              </w:rPr>
              <w:t>1260</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eastAsia="华文中宋"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，泥浆含水率按75%计，则钻探过程用水量总量为</w:t>
            </w:r>
            <w:r>
              <w:rPr>
                <w:rFonts w:hint="eastAsia" w:eastAsia="华文中宋" w:cs="Times New Roman"/>
                <w:color w:val="000000" w:themeColor="text1"/>
                <w:kern w:val="0"/>
                <w:sz w:val="24"/>
                <w:szCs w:val="24"/>
                <w:highlight w:val="none"/>
                <w:lang w:val="en-US" w:eastAsia="zh-CN"/>
                <w14:textFill>
                  <w14:solidFill>
                    <w14:schemeClr w14:val="tx1"/>
                  </w14:solidFill>
                </w14:textFill>
              </w:rPr>
              <w:t>945</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eastAsia="华文中宋"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。用水来源包括泥浆池上清液循环用水和新鲜水补水，其中泥浆池上清液循环利用量约60%，水量</w:t>
            </w:r>
            <w:r>
              <w:rPr>
                <w:rFonts w:hint="eastAsia" w:eastAsia="华文中宋" w:cs="Times New Roman"/>
                <w:color w:val="000000" w:themeColor="text1"/>
                <w:kern w:val="0"/>
                <w:sz w:val="24"/>
                <w:szCs w:val="24"/>
                <w:highlight w:val="none"/>
                <w:lang w:val="en-US" w:eastAsia="zh-CN"/>
                <w14:textFill>
                  <w14:solidFill>
                    <w14:schemeClr w14:val="tx1"/>
                  </w14:solidFill>
                </w14:textFill>
              </w:rPr>
              <w:t>567</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eastAsia="华文中宋"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，补充新鲜水量合计约</w:t>
            </w:r>
            <w:r>
              <w:rPr>
                <w:rFonts w:hint="eastAsia" w:eastAsia="华文中宋" w:cs="Times New Roman"/>
                <w:color w:val="000000" w:themeColor="text1"/>
                <w:kern w:val="0"/>
                <w:sz w:val="24"/>
                <w:szCs w:val="24"/>
                <w:highlight w:val="none"/>
                <w:lang w:val="en-US" w:eastAsia="zh-CN"/>
                <w14:textFill>
                  <w14:solidFill>
                    <w14:schemeClr w14:val="tx1"/>
                  </w14:solidFill>
                </w14:textFill>
              </w:rPr>
              <w:t>378</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eastAsia="华文中宋"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p>
          <w:p w14:paraId="4A52721F">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设备冷却水：钻探过程中钻机需定期冷却，用水约为0.2m</w:t>
            </w:r>
            <w:r>
              <w:rPr>
                <w:rFonts w:hint="default" w:ascii="Times New Roman" w:hAnsi="Times New Roman" w:eastAsia="华文中宋"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/d，共计</w:t>
            </w:r>
            <w:r>
              <w:rPr>
                <w:rFonts w:hint="eastAsia" w:eastAsia="华文中宋" w:cs="Times New Roman"/>
                <w:color w:val="000000" w:themeColor="text1"/>
                <w:kern w:val="0"/>
                <w:sz w:val="24"/>
                <w:szCs w:val="24"/>
                <w:highlight w:val="none"/>
                <w:lang w:val="en-US" w:eastAsia="zh-CN"/>
                <w14:textFill>
                  <w14:solidFill>
                    <w14:schemeClr w14:val="tx1"/>
                  </w14:solidFill>
                </w14:textFill>
              </w:rPr>
              <w:t>140</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eastAsia="华文中宋"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，为新鲜水补水</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44A0603F">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r>
              <w:rPr>
                <w:rFonts w:hint="eastAsia" w:eastAsia="华文中宋" w:cs="Times New Roman"/>
                <w:color w:val="000000" w:themeColor="text1"/>
                <w:kern w:val="0"/>
                <w:sz w:val="24"/>
                <w:szCs w:val="24"/>
                <w:highlight w:val="none"/>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降尘用水</w:t>
            </w:r>
          </w:p>
          <w:p w14:paraId="72189E01">
            <w:pPr>
              <w:pStyle w:val="55"/>
              <w:bidi w:val="0"/>
              <w:ind w:firstLine="480" w:firstLineChars="200"/>
              <w:rPr>
                <w:rFonts w:hint="default" w:ascii="Times New Roman" w:hAnsi="Times New Roman" w:cs="Times New Roman"/>
                <w:b w:val="0"/>
                <w:bCs/>
                <w:color w:val="000000" w:themeColor="text1"/>
                <w:highlight w:val="none"/>
                <w:lang w:val="en-US" w:eastAsia="zh-CN"/>
                <w14:textFill>
                  <w14:solidFill>
                    <w14:schemeClr w14:val="tx1"/>
                  </w14:solidFill>
                </w14:textFill>
              </w:rPr>
            </w:pPr>
            <w:r>
              <w:rPr>
                <w:rFonts w:hint="default" w:ascii="Times New Roman" w:hAnsi="Times New Roman" w:eastAsia="华文中宋" w:cs="Times New Roman"/>
                <w:b w:val="0"/>
                <w:bCs/>
                <w:color w:val="000000" w:themeColor="text1"/>
                <w:kern w:val="0"/>
                <w:sz w:val="24"/>
                <w:szCs w:val="24"/>
                <w:highlight w:val="none"/>
                <w:lang w:val="en-US" w:eastAsia="zh-CN"/>
                <w14:textFill>
                  <w14:solidFill>
                    <w14:schemeClr w14:val="tx1"/>
                  </w14:solidFill>
                </w14:textFill>
              </w:rPr>
              <w:t>项目勘探期间抑尘洒水过程用水量约为0.1m</w:t>
            </w:r>
            <w:r>
              <w:rPr>
                <w:rFonts w:hint="default" w:ascii="Times New Roman" w:hAnsi="Times New Roman" w:eastAsia="华文中宋" w:cs="Times New Roman"/>
                <w:b w:val="0"/>
                <w:bCs/>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华文中宋" w:cs="Times New Roman"/>
                <w:b w:val="0"/>
                <w:bCs/>
                <w:color w:val="000000" w:themeColor="text1"/>
                <w:kern w:val="0"/>
                <w:sz w:val="24"/>
                <w:szCs w:val="24"/>
                <w:highlight w:val="none"/>
                <w:lang w:val="en-US" w:eastAsia="zh-CN"/>
                <w14:textFill>
                  <w14:solidFill>
                    <w14:schemeClr w14:val="tx1"/>
                  </w14:solidFill>
                </w14:textFill>
              </w:rPr>
              <w:t>/d</w:t>
            </w:r>
            <w:r>
              <w:rPr>
                <w:rFonts w:hint="eastAsia" w:eastAsia="华文中宋" w:cs="Times New Roman"/>
                <w:b w:val="0"/>
                <w:bCs/>
                <w:color w:val="000000" w:themeColor="text1"/>
                <w:kern w:val="0"/>
                <w:sz w:val="24"/>
                <w:szCs w:val="24"/>
                <w:highlight w:val="none"/>
                <w:lang w:val="en-US" w:eastAsia="zh-CN"/>
                <w14:textFill>
                  <w14:solidFill>
                    <w14:schemeClr w14:val="tx1"/>
                  </w14:solidFill>
                </w14:textFill>
              </w:rPr>
              <w:t>，共计</w:t>
            </w:r>
            <w:r>
              <w:rPr>
                <w:rFonts w:hint="default" w:ascii="Times New Roman" w:hAnsi="Times New Roman" w:eastAsia="华文中宋" w:cs="Times New Roman"/>
                <w:b w:val="0"/>
                <w:bCs/>
                <w:color w:val="000000" w:themeColor="text1"/>
                <w:kern w:val="0"/>
                <w:sz w:val="24"/>
                <w:szCs w:val="24"/>
                <w:highlight w:val="none"/>
                <w:lang w:val="en-US" w:eastAsia="zh-CN"/>
                <w14:textFill>
                  <w14:solidFill>
                    <w14:schemeClr w14:val="tx1"/>
                  </w14:solidFill>
                </w14:textFill>
              </w:rPr>
              <w:t>。降尘用水大部分由洒水地面吸收、少部分自然蒸发，无废水产生。</w:t>
            </w:r>
          </w:p>
          <w:p w14:paraId="499576CE">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4.2排水</w:t>
            </w:r>
          </w:p>
          <w:p w14:paraId="1A594022">
            <w:pPr>
              <w:pStyle w:val="53"/>
              <w:numPr>
                <w:ilvl w:val="0"/>
                <w:numId w:val="0"/>
              </w:numPr>
              <w:bidi w:val="0"/>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生活污水</w:t>
            </w:r>
          </w:p>
          <w:p w14:paraId="6ED21FB5">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生活污水产生量较少，生活污水排入一体化污水处理设施后，其出水标准可达到《农村生活污水处理排放标准》（DB654275-2019）表2中</w:t>
            </w:r>
            <w:r>
              <w:rPr>
                <w:rFonts w:hint="eastAsia" w:cs="Times New Roman"/>
                <w:color w:val="000000" w:themeColor="text1"/>
                <w:highlight w:val="none"/>
                <w:lang w:val="en-US" w:eastAsia="zh-CN"/>
                <w14:textFill>
                  <w14:solidFill>
                    <w14:schemeClr w14:val="tx1"/>
                  </w14:solidFill>
                </w14:textFill>
              </w:rPr>
              <w:t>A</w:t>
            </w:r>
            <w:r>
              <w:rPr>
                <w:rFonts w:hint="default" w:ascii="Times New Roman" w:hAnsi="Times New Roman" w:cs="Times New Roman"/>
                <w:color w:val="000000" w:themeColor="text1"/>
                <w:highlight w:val="none"/>
                <w:lang w:val="en-US" w:eastAsia="zh-CN"/>
                <w14:textFill>
                  <w14:solidFill>
                    <w14:schemeClr w14:val="tx1"/>
                  </w14:solidFill>
                </w14:textFill>
              </w:rPr>
              <w:t>级标准，用于</w:t>
            </w:r>
            <w:r>
              <w:rPr>
                <w:rFonts w:hint="eastAsia" w:cs="Times New Roman"/>
                <w:color w:val="000000" w:themeColor="text1"/>
                <w:highlight w:val="none"/>
                <w:lang w:val="en-US" w:eastAsia="zh-CN"/>
                <w14:textFill>
                  <w14:solidFill>
                    <w14:schemeClr w14:val="tx1"/>
                  </w14:solidFill>
                </w14:textFill>
              </w:rPr>
              <w:t>草地</w:t>
            </w:r>
            <w:r>
              <w:rPr>
                <w:rFonts w:hint="default" w:ascii="Times New Roman" w:hAnsi="Times New Roman" w:cs="Times New Roman"/>
                <w:color w:val="000000" w:themeColor="text1"/>
                <w:highlight w:val="none"/>
                <w:lang w:val="en-US" w:eastAsia="zh-CN"/>
                <w14:textFill>
                  <w14:solidFill>
                    <w14:schemeClr w14:val="tx1"/>
                  </w14:solidFill>
                </w14:textFill>
              </w:rPr>
              <w:t>生态恢复的灌溉，不外排。生活污水量以生活用水量的80%计，则可知本项目生活污水产生量为</w:t>
            </w:r>
            <w:r>
              <w:rPr>
                <w:rFonts w:hint="eastAsia" w:cs="Times New Roman"/>
                <w:color w:val="000000" w:themeColor="text1"/>
                <w:highlight w:val="none"/>
                <w:lang w:val="en-US" w:eastAsia="zh-CN"/>
                <w14:textFill>
                  <w14:solidFill>
                    <w14:schemeClr w14:val="tx1"/>
                  </w14:solidFill>
                </w14:textFill>
              </w:rPr>
              <w:t>168</w:t>
            </w:r>
            <w:r>
              <w:rPr>
                <w:rFonts w:hint="default" w:ascii="Times New Roman" w:hAnsi="Times New Roman" w:cs="Times New Roman"/>
                <w:color w:val="000000" w:themeColor="text1"/>
                <w:highlight w:val="none"/>
                <w:lang w:val="en-US" w:eastAsia="zh-CN"/>
                <w14:textFill>
                  <w14:solidFill>
                    <w14:schemeClr w14:val="tx1"/>
                  </w14:solidFill>
                </w14:textFill>
              </w:rPr>
              <w:t>m³</w:t>
            </w:r>
            <w:r>
              <w:rPr>
                <w:rFonts w:hint="eastAsia" w:cs="Times New Roman"/>
                <w:color w:val="000000" w:themeColor="text1"/>
                <w:highlight w:val="none"/>
                <w:lang w:val="en-US" w:eastAsia="zh-CN"/>
                <w14:textFill>
                  <w14:solidFill>
                    <w14:schemeClr w14:val="tx1"/>
                  </w14:solidFill>
                </w14:textFill>
              </w:rPr>
              <w:t>/探矿期</w:t>
            </w:r>
            <w:r>
              <w:rPr>
                <w:rFonts w:hint="default" w:ascii="Times New Roman" w:hAnsi="Times New Roman" w:cs="Times New Roman"/>
                <w:color w:val="000000" w:themeColor="text1"/>
                <w:highlight w:val="none"/>
                <w:lang w:val="en-US" w:eastAsia="zh-CN"/>
                <w14:textFill>
                  <w14:solidFill>
                    <w14:schemeClr w14:val="tx1"/>
                  </w14:solidFill>
                </w14:textFill>
              </w:rPr>
              <w:t>（0.24m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p>
          <w:p w14:paraId="44141AA9">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（2）生产废水</w:t>
            </w:r>
          </w:p>
          <w:p w14:paraId="2DC25454">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本项目钻探过程会有泥浆水外流，为此提前在钻孔处做</w:t>
            </w:r>
            <w:r>
              <w:rPr>
                <w:rFonts w:hint="eastAsia" w:eastAsia="华文中宋" w:cs="Times New Roman"/>
                <w:color w:val="000000" w:themeColor="text1"/>
                <w:kern w:val="0"/>
                <w:sz w:val="24"/>
                <w:szCs w:val="24"/>
                <w:highlight w:val="none"/>
                <w:lang w:val="en-US" w:eastAsia="zh-CN"/>
                <w14:textFill>
                  <w14:solidFill>
                    <w14:schemeClr w14:val="tx1"/>
                  </w14:solidFill>
                </w14:textFill>
              </w:rPr>
              <w:t>一道流水槽</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，流水槽上铺设一层塑料膜，连接钻孔与</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临时沉淀池</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，废水经沉淀后回用不排放；上清液回用率按60%计，即回用水量为</w:t>
            </w:r>
            <w:r>
              <w:rPr>
                <w:rFonts w:hint="eastAsia" w:eastAsia="华文中宋" w:cs="Times New Roman"/>
                <w:color w:val="000000" w:themeColor="text1"/>
                <w:kern w:val="0"/>
                <w:sz w:val="24"/>
                <w:szCs w:val="24"/>
                <w:highlight w:val="none"/>
                <w:lang w:val="en-US" w:eastAsia="zh-CN"/>
                <w14:textFill>
                  <w14:solidFill>
                    <w14:schemeClr w14:val="tx1"/>
                  </w14:solidFill>
                </w14:textFill>
              </w:rPr>
              <w:t>567</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eastAsia="华文中宋"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t>。</w:t>
            </w:r>
          </w:p>
          <w:p w14:paraId="5B0D6829">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07234EFB">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17BEA626">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7E749FD2">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4B16AACB">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59264" behindDoc="1" locked="0" layoutInCell="1" allowOverlap="1">
                  <wp:simplePos x="0" y="0"/>
                  <wp:positionH relativeFrom="column">
                    <wp:posOffset>-102235</wp:posOffset>
                  </wp:positionH>
                  <wp:positionV relativeFrom="paragraph">
                    <wp:posOffset>22225</wp:posOffset>
                  </wp:positionV>
                  <wp:extent cx="5055870" cy="2113915"/>
                  <wp:effectExtent l="0" t="0" r="11430" b="63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5055870" cy="2113915"/>
                          </a:xfrm>
                          <a:prstGeom prst="rect">
                            <a:avLst/>
                          </a:prstGeom>
                          <a:noFill/>
                          <a:ln>
                            <a:noFill/>
                          </a:ln>
                        </pic:spPr>
                      </pic:pic>
                    </a:graphicData>
                  </a:graphic>
                </wp:anchor>
              </w:drawing>
            </w:r>
          </w:p>
          <w:p w14:paraId="5122F3CF">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0DB9D68C">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1BD96E04">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7469DE30">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2BD48F98">
            <w:pPr>
              <w:pStyle w:val="53"/>
              <w:bidi w:val="0"/>
              <w:rPr>
                <w:rFonts w:hint="default" w:ascii="Times New Roman" w:hAnsi="Times New Roman" w:eastAsia="华文中宋" w:cs="Times New Roman"/>
                <w:color w:val="000000" w:themeColor="text1"/>
                <w:kern w:val="0"/>
                <w:sz w:val="24"/>
                <w:szCs w:val="24"/>
                <w:highlight w:val="none"/>
                <w:lang w:val="en-US" w:eastAsia="zh-CN"/>
                <w14:textFill>
                  <w14:solidFill>
                    <w14:schemeClr w14:val="tx1"/>
                  </w14:solidFill>
                </w14:textFill>
              </w:rPr>
            </w:pPr>
          </w:p>
          <w:p w14:paraId="630F6FCD">
            <w:pPr>
              <w:pStyle w:val="53"/>
              <w:bidi w:val="0"/>
              <w:ind w:left="0" w:leftChars="0" w:firstLine="0" w:firstLineChars="0"/>
              <w:jc w:val="center"/>
              <w:rPr>
                <w:rFonts w:hint="default" w:ascii="Times New Roman" w:hAnsi="Times New Roman" w:eastAsia="华文中宋" w:cs="Times New Roman"/>
                <w:b/>
                <w:bCs/>
                <w:color w:val="000000" w:themeColor="text1"/>
                <w:kern w:val="0"/>
                <w:sz w:val="24"/>
                <w:szCs w:val="24"/>
                <w:highlight w:val="none"/>
                <w:lang w:val="en-US" w:eastAsia="zh-CN"/>
                <w14:textFill>
                  <w14:solidFill>
                    <w14:schemeClr w14:val="tx1"/>
                  </w14:solidFill>
                </w14:textFill>
              </w:rPr>
            </w:pPr>
            <w:r>
              <w:rPr>
                <w:rFonts w:hint="eastAsia" w:eastAsia="华文中宋" w:cs="Times New Roman"/>
                <w:b/>
                <w:bCs/>
                <w:color w:val="000000" w:themeColor="text1"/>
                <w:kern w:val="0"/>
                <w:sz w:val="24"/>
                <w:szCs w:val="24"/>
                <w:highlight w:val="none"/>
                <w:lang w:val="en-US" w:eastAsia="zh-CN"/>
                <w14:textFill>
                  <w14:solidFill>
                    <w14:schemeClr w14:val="tx1"/>
                  </w14:solidFill>
                </w14:textFill>
              </w:rPr>
              <w:t>图2-1   本项目水平衡图</w:t>
            </w:r>
          </w:p>
          <w:p w14:paraId="527A6CB6">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4.3供电</w:t>
            </w:r>
          </w:p>
          <w:p w14:paraId="0CAD630F">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使用</w:t>
            </w:r>
            <w:r>
              <w:rPr>
                <w:rFonts w:hint="default" w:ascii="Times New Roman" w:hAnsi="Times New Roman" w:cs="Times New Roman"/>
                <w:color w:val="000000" w:themeColor="text1"/>
                <w:highlight w:val="none"/>
                <w:lang w:val="en-US" w:eastAsia="zh-CN"/>
                <w14:textFill>
                  <w14:solidFill>
                    <w14:schemeClr w14:val="tx1"/>
                  </w14:solidFill>
                </w14:textFill>
              </w:rPr>
              <w:t>柴油</w:t>
            </w:r>
            <w:r>
              <w:rPr>
                <w:rFonts w:hint="default" w:ascii="Times New Roman" w:hAnsi="Times New Roman" w:cs="Times New Roman"/>
                <w:color w:val="000000" w:themeColor="text1"/>
                <w:highlight w:val="none"/>
                <w:lang w:eastAsia="zh-CN"/>
                <w14:textFill>
                  <w14:solidFill>
                    <w14:schemeClr w14:val="tx1"/>
                  </w14:solidFill>
                </w14:textFill>
              </w:rPr>
              <w:t>发电机供电。</w:t>
            </w:r>
            <w:r>
              <w:rPr>
                <w:rFonts w:hint="default" w:ascii="Times New Roman" w:hAnsi="Times New Roman" w:cs="Times New Roman"/>
                <w:color w:val="000000" w:themeColor="text1"/>
                <w:highlight w:val="none"/>
                <w:lang w:val="en-US" w:eastAsia="zh-CN"/>
                <w14:textFill>
                  <w14:solidFill>
                    <w14:schemeClr w14:val="tx1"/>
                  </w14:solidFill>
                </w14:textFill>
              </w:rPr>
              <w:t>柴油使用油桶储存，存放于铺有防渗地膜（高密度聚乙烯土工膜，厚度≥1.5mm）的柴油贮存点</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采用200L铁质密封油桶盛装柴油，油桶下方设置防渗托盘。</w:t>
            </w:r>
          </w:p>
          <w:p w14:paraId="5C27CF28">
            <w:pPr>
              <w:pStyle w:val="55"/>
              <w:bidi w:val="0"/>
              <w:ind w:firstLine="482" w:firstLineChars="20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5劳动定员及工作</w:t>
            </w:r>
            <w:r>
              <w:rPr>
                <w:rFonts w:hint="default" w:ascii="Times New Roman" w:hAnsi="Times New Roman" w:cs="Times New Roman"/>
                <w:color w:val="000000" w:themeColor="text1"/>
                <w:highlight w:val="none"/>
                <w14:textFill>
                  <w14:solidFill>
                    <w14:schemeClr w14:val="tx1"/>
                  </w14:solidFill>
                </w14:textFill>
              </w:rPr>
              <w:t>制度</w:t>
            </w:r>
          </w:p>
          <w:p w14:paraId="496605B5">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本项目劳动定员为10人，施工期主要是在</w:t>
            </w:r>
            <w:r>
              <w:rPr>
                <w:rFonts w:hint="eastAsia" w:cs="Times New Roman"/>
                <w:color w:val="000000" w:themeColor="text1"/>
                <w:highlight w:val="none"/>
                <w:lang w:val="en-US" w:eastAsia="zh-CN"/>
                <w14:textFill>
                  <w14:solidFill>
                    <w14:schemeClr w14:val="tx1"/>
                  </w14:solidFill>
                </w14:textFill>
              </w:rPr>
              <w:t>7</w:t>
            </w:r>
            <w:r>
              <w:rPr>
                <w:rFonts w:hint="default" w:ascii="Times New Roman" w:hAnsi="Times New Roman" w:cs="Times New Roman"/>
                <w:color w:val="000000" w:themeColor="text1"/>
                <w:highlight w:val="none"/>
                <w:lang w:val="en-US"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初</w:t>
            </w:r>
            <w:r>
              <w:rPr>
                <w:rFonts w:hint="default" w:ascii="Times New Roman" w:hAnsi="Times New Roman" w:cs="Times New Roman"/>
                <w:color w:val="000000" w:themeColor="text1"/>
                <w:highlight w:val="none"/>
                <w:lang w:val="en-US" w:eastAsia="zh-CN"/>
                <w14:textFill>
                  <w14:solidFill>
                    <w14:schemeClr w14:val="tx1"/>
                  </w14:solidFill>
                </w14:textFill>
              </w:rPr>
              <w:t>进行临时营地建设及设备进场；勘查期主要是在2026年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—2028年9</w:t>
            </w:r>
            <w:r>
              <w:rPr>
                <w:rFonts w:hint="default" w:ascii="Times New Roman" w:hAnsi="Times New Roman" w:cs="Times New Roman"/>
                <w:color w:val="000000" w:themeColor="text1"/>
                <w:highlight w:val="none"/>
                <w:lang w:val="en-US" w:eastAsia="zh-CN"/>
                <w14:textFill>
                  <w14:solidFill>
                    <w14:schemeClr w14:val="tx1"/>
                  </w14:solidFill>
                </w14:textFill>
              </w:rPr>
              <w:t>月进行野外地质测量、槽探、钻探等主体工作，</w:t>
            </w:r>
            <w:r>
              <w:rPr>
                <w:rFonts w:hint="eastAsia" w:cs="Times New Roman"/>
                <w:color w:val="000000" w:themeColor="text1"/>
                <w:highlight w:val="none"/>
                <w:lang w:val="en-US" w:eastAsia="zh-CN"/>
                <w14:textFill>
                  <w14:solidFill>
                    <w14:schemeClr w14:val="tx1"/>
                  </w14:solidFill>
                </w14:textFill>
              </w:rPr>
              <w:t>施工期和</w:t>
            </w:r>
            <w:r>
              <w:rPr>
                <w:rFonts w:hint="default" w:ascii="Times New Roman" w:hAnsi="Times New Roman" w:cs="Times New Roman"/>
                <w:color w:val="000000" w:themeColor="text1"/>
                <w:highlight w:val="none"/>
                <w:lang w:val="en-US" w:eastAsia="zh-CN"/>
                <w14:textFill>
                  <w14:solidFill>
                    <w14:schemeClr w14:val="tx1"/>
                  </w14:solidFill>
                </w14:textFill>
              </w:rPr>
              <w:t>勘查期</w:t>
            </w:r>
            <w:r>
              <w:rPr>
                <w:rFonts w:hint="eastAsia" w:cs="Times New Roman"/>
                <w:color w:val="000000" w:themeColor="text1"/>
                <w:highlight w:val="none"/>
                <w:lang w:val="en-US" w:eastAsia="zh-CN"/>
                <w14:textFill>
                  <w14:solidFill>
                    <w14:schemeClr w14:val="tx1"/>
                  </w14:solidFill>
                </w14:textFill>
              </w:rPr>
              <w:t>共计700d</w:t>
            </w:r>
            <w:r>
              <w:rPr>
                <w:rFonts w:hint="default" w:ascii="Times New Roman" w:hAnsi="Times New Roman" w:cs="Times New Roman"/>
                <w:color w:val="000000" w:themeColor="text1"/>
                <w:highlight w:val="none"/>
                <w:lang w:val="en-US" w:eastAsia="zh-CN"/>
                <w14:textFill>
                  <w14:solidFill>
                    <w14:schemeClr w14:val="tx1"/>
                  </w14:solidFill>
                </w14:textFill>
              </w:rPr>
              <w:t>，属于间断性野外作业，并非批次性生产活动</w:t>
            </w:r>
            <w:r>
              <w:rPr>
                <w:rFonts w:hint="default" w:ascii="Times New Roman" w:hAnsi="Times New Roman" w:cs="Times New Roman"/>
                <w:color w:val="000000" w:themeColor="text1"/>
                <w:highlight w:val="none"/>
                <w14:textFill>
                  <w14:solidFill>
                    <w14:schemeClr w14:val="tx1"/>
                  </w14:solidFill>
                </w14:textFill>
              </w:rPr>
              <w:t>。</w:t>
            </w:r>
          </w:p>
        </w:tc>
      </w:tr>
      <w:tr w14:paraId="5D4FA2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noWrap w:val="0"/>
            <w:vAlign w:val="center"/>
          </w:tcPr>
          <w:p w14:paraId="1CACA73B">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总平面及现场布置</w:t>
            </w:r>
          </w:p>
        </w:tc>
        <w:tc>
          <w:tcPr>
            <w:tcW w:w="8097" w:type="dxa"/>
            <w:tcBorders>
              <w:tl2br w:val="nil"/>
              <w:tr2bl w:val="nil"/>
            </w:tcBorders>
            <w:noWrap w:val="0"/>
            <w:vAlign w:val="center"/>
          </w:tcPr>
          <w:p w14:paraId="292505F4">
            <w:pPr>
              <w:pStyle w:val="53"/>
              <w:bidi w:val="0"/>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2.6</w:t>
            </w:r>
            <w:r>
              <w:rPr>
                <w:rFonts w:hint="default" w:ascii="Times New Roman" w:hAnsi="Times New Roman" w:cs="Times New Roman"/>
                <w:b/>
                <w:bCs/>
                <w:color w:val="000000" w:themeColor="text1"/>
                <w:highlight w:val="none"/>
                <w:lang w:val="en-US" w:eastAsia="zh-CN"/>
                <w14:textFill>
                  <w14:solidFill>
                    <w14:schemeClr w14:val="tx1"/>
                  </w14:solidFill>
                </w14:textFill>
              </w:rPr>
              <w:t>总平面布置</w:t>
            </w:r>
          </w:p>
          <w:p w14:paraId="23961CC6">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矿区布局包括测量勘探场地、临时生活营地等，</w:t>
            </w:r>
            <w:r>
              <w:rPr>
                <w:rFonts w:hint="eastAsia" w:cs="Times New Roman"/>
                <w:color w:val="000000" w:themeColor="text1"/>
                <w:highlight w:val="none"/>
                <w:lang w:val="en-US" w:eastAsia="zh-CN"/>
                <w14:textFill>
                  <w14:solidFill>
                    <w14:schemeClr w14:val="tx1"/>
                  </w14:solidFill>
                </w14:textFill>
              </w:rPr>
              <w:t>总平面布置图见附图6</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76CBB92A">
            <w:pPr>
              <w:pStyle w:val="53"/>
              <w:bidi w:val="0"/>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2.6.1</w:t>
            </w:r>
            <w:r>
              <w:rPr>
                <w:rFonts w:hint="default" w:ascii="Times New Roman" w:hAnsi="Times New Roman" w:cs="Times New Roman"/>
                <w:b/>
                <w:bCs/>
                <w:color w:val="000000" w:themeColor="text1"/>
                <w:highlight w:val="none"/>
                <w:lang w:val="en-US" w:eastAsia="zh-CN"/>
                <w14:textFill>
                  <w14:solidFill>
                    <w14:schemeClr w14:val="tx1"/>
                  </w14:solidFill>
                </w14:textFill>
              </w:rPr>
              <w:t>现场布置</w:t>
            </w:r>
          </w:p>
          <w:p w14:paraId="268D0A75">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工程布置应综合考虑工程规模、施工方案及工期、造价等因素，按照因地制宜、因时制宜、有利生产、方便生活、易于管理、安全可靠的原则，在满足环保与水保要求的条件下布置施工场地。</w:t>
            </w:r>
          </w:p>
          <w:p w14:paraId="4405A24A">
            <w:pPr>
              <w:pStyle w:val="53"/>
              <w:bidi w:val="0"/>
              <w:rPr>
                <w:rFonts w:hint="default" w:ascii="Times New Roman" w:hAnsi="Times New Roman" w:cs="Times New Roman"/>
                <w:b/>
                <w:color w:val="000000" w:themeColor="text1"/>
                <w:highlight w:val="none"/>
                <w:lang w:val="en-US" w:eastAsia="zh-CN"/>
                <w14:textFill>
                  <w14:solidFill>
                    <w14:schemeClr w14:val="tx1"/>
                  </w14:solidFill>
                </w14:textFill>
              </w:rPr>
            </w:pPr>
            <w:r>
              <w:rPr>
                <w:rFonts w:hint="eastAsia" w:cs="Times New Roman"/>
                <w:b/>
                <w:bCs w:val="0"/>
                <w:color w:val="000000" w:themeColor="text1"/>
                <w:kern w:val="0"/>
                <w:sz w:val="24"/>
                <w:szCs w:val="24"/>
                <w:highlight w:val="none"/>
                <w:lang w:val="en-US" w:eastAsia="zh-CN" w:bidi="ar-SA"/>
                <w14:textFill>
                  <w14:solidFill>
                    <w14:schemeClr w14:val="tx1"/>
                  </w14:solidFill>
                </w14:textFill>
              </w:rPr>
              <w:t>2.6.2</w:t>
            </w:r>
            <w:r>
              <w:rPr>
                <w:rFonts w:hint="default" w:ascii="Times New Roman" w:hAnsi="Times New Roman" w:cs="Times New Roman"/>
                <w:b/>
                <w:color w:val="000000" w:themeColor="text1"/>
                <w:highlight w:val="none"/>
                <w:lang w:val="en-US" w:eastAsia="zh-CN"/>
                <w14:textFill>
                  <w14:solidFill>
                    <w14:schemeClr w14:val="tx1"/>
                  </w14:solidFill>
                </w14:textFill>
              </w:rPr>
              <w:t>临时营地</w:t>
            </w:r>
          </w:p>
          <w:p w14:paraId="6720889A">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项目在矿区内设置一个临时生活营地，占地面积共200m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，布置在地势平缓植被稀疏处，探矿工作结束后对临时生活营地进行拆除。</w:t>
            </w:r>
          </w:p>
          <w:p w14:paraId="49033D71">
            <w:pPr>
              <w:pStyle w:val="53"/>
              <w:bidi w:val="0"/>
              <w:rPr>
                <w:rFonts w:hint="eastAsia"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2.6.3临时堆场</w:t>
            </w:r>
          </w:p>
          <w:p w14:paraId="030E98F4">
            <w:pPr>
              <w:pStyle w:val="53"/>
              <w:bidi w:val="0"/>
              <w:rPr>
                <w:rFonts w:hint="default"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在</w:t>
            </w:r>
            <w:r>
              <w:rPr>
                <w:rFonts w:hint="default" w:ascii="Times New Roman" w:hAnsi="Times New Roman" w:cs="Times New Roman"/>
                <w:color w:val="000000" w:themeColor="text1"/>
                <w:highlight w:val="none"/>
                <w14:textFill>
                  <w14:solidFill>
                    <w14:schemeClr w14:val="tx1"/>
                  </w14:solidFill>
                </w14:textFill>
              </w:rPr>
              <w:t>位于</w:t>
            </w:r>
            <w:r>
              <w:rPr>
                <w:rFonts w:hint="default" w:ascii="Times New Roman" w:hAnsi="Times New Roman" w:cs="Times New Roman"/>
                <w:color w:val="000000" w:themeColor="text1"/>
                <w:highlight w:val="none"/>
                <w:lang w:val="en-US" w:eastAsia="zh-CN"/>
                <w14:textFill>
                  <w14:solidFill>
                    <w14:schemeClr w14:val="tx1"/>
                  </w14:solidFill>
                </w14:textFill>
              </w:rPr>
              <w:t>槽探探坑</w:t>
            </w:r>
            <w:r>
              <w:rPr>
                <w:rFonts w:hint="default" w:ascii="Times New Roman" w:hAnsi="Times New Roman" w:cs="Times New Roman"/>
                <w:color w:val="000000" w:themeColor="text1"/>
                <w:highlight w:val="none"/>
                <w14:textFill>
                  <w14:solidFill>
                    <w14:schemeClr w14:val="tx1"/>
                  </w14:solidFill>
                </w14:textFill>
              </w:rPr>
              <w:t>一侧</w:t>
            </w:r>
            <w:r>
              <w:rPr>
                <w:rFonts w:hint="eastAsia" w:cs="Times New Roman"/>
                <w:color w:val="000000" w:themeColor="text1"/>
                <w:highlight w:val="none"/>
                <w:lang w:val="en-US" w:eastAsia="zh-CN"/>
                <w14:textFill>
                  <w14:solidFill>
                    <w14:schemeClr w14:val="tx1"/>
                  </w14:solidFill>
                </w14:textFill>
              </w:rPr>
              <w:t>布置一个临时堆场，</w:t>
            </w:r>
            <w:r>
              <w:rPr>
                <w:rFonts w:hint="default" w:ascii="Times New Roman" w:hAnsi="Times New Roman" w:cs="Times New Roman"/>
                <w:color w:val="000000" w:themeColor="text1"/>
                <w:highlight w:val="none"/>
                <w:lang w:val="en-US" w:eastAsia="zh-CN"/>
                <w14:textFill>
                  <w14:solidFill>
                    <w14:schemeClr w14:val="tx1"/>
                  </w14:solidFill>
                </w14:textFill>
              </w:rPr>
              <w:t>占地面积共</w:t>
            </w:r>
            <w:r>
              <w:rPr>
                <w:rFonts w:hint="eastAsia" w:cs="Times New Roman"/>
                <w:color w:val="000000" w:themeColor="text1"/>
                <w:highlight w:val="none"/>
                <w:lang w:val="en-US" w:eastAsia="zh-CN"/>
                <w14:textFill>
                  <w14:solidFill>
                    <w14:schemeClr w14:val="tx1"/>
                  </w14:solidFill>
                </w14:textFill>
              </w:rPr>
              <w:t>25</w:t>
            </w:r>
            <w:r>
              <w:rPr>
                <w:rFonts w:hint="default" w:ascii="Times New Roman" w:hAnsi="Times New Roman" w:cs="Times New Roman"/>
                <w:color w:val="000000" w:themeColor="text1"/>
                <w:highlight w:val="none"/>
                <w:lang w:val="en-US" w:eastAsia="zh-CN"/>
                <w14:textFill>
                  <w14:solidFill>
                    <w14:schemeClr w14:val="tx1"/>
                  </w14:solidFill>
                </w14:textFill>
              </w:rPr>
              <w:t>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，布置在地势平缓植被稀疏处，探矿工作结束后对</w:t>
            </w:r>
            <w:r>
              <w:rPr>
                <w:rFonts w:hint="eastAsia" w:cs="Times New Roman"/>
                <w:color w:val="000000" w:themeColor="text1"/>
                <w:highlight w:val="none"/>
                <w:lang w:val="en-US" w:eastAsia="zh-CN"/>
                <w14:textFill>
                  <w14:solidFill>
                    <w14:schemeClr w14:val="tx1"/>
                  </w14:solidFill>
                </w14:textFill>
              </w:rPr>
              <w:t>临时堆场</w:t>
            </w:r>
            <w:r>
              <w:rPr>
                <w:rFonts w:hint="default" w:ascii="Times New Roman" w:hAnsi="Times New Roman" w:cs="Times New Roman"/>
                <w:color w:val="000000" w:themeColor="text1"/>
                <w:highlight w:val="none"/>
                <w:lang w:val="en-US" w:eastAsia="zh-CN"/>
                <w14:textFill>
                  <w14:solidFill>
                    <w14:schemeClr w14:val="tx1"/>
                  </w14:solidFill>
                </w14:textFill>
              </w:rPr>
              <w:t>进行拆除</w:t>
            </w:r>
            <w:r>
              <w:rPr>
                <w:rFonts w:hint="eastAsia" w:cs="Times New Roman"/>
                <w:color w:val="000000" w:themeColor="text1"/>
                <w:highlight w:val="none"/>
                <w:lang w:val="en-US" w:eastAsia="zh-CN"/>
                <w14:textFill>
                  <w14:solidFill>
                    <w14:schemeClr w14:val="tx1"/>
                  </w14:solidFill>
                </w14:textFill>
              </w:rPr>
              <w:t>。</w:t>
            </w:r>
          </w:p>
          <w:p w14:paraId="6F97588B">
            <w:pPr>
              <w:pStyle w:val="53"/>
              <w:bidi w:val="0"/>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2.7</w:t>
            </w:r>
            <w:r>
              <w:rPr>
                <w:rFonts w:hint="default" w:ascii="Times New Roman" w:hAnsi="Times New Roman" w:cs="Times New Roman"/>
                <w:b/>
                <w:bCs/>
                <w:color w:val="000000" w:themeColor="text1"/>
                <w:highlight w:val="none"/>
                <w:lang w:val="en-US" w:eastAsia="zh-CN"/>
                <w14:textFill>
                  <w14:solidFill>
                    <w14:schemeClr w14:val="tx1"/>
                  </w14:solidFill>
                </w14:textFill>
              </w:rPr>
              <w:t>勘探工程</w:t>
            </w:r>
          </w:p>
          <w:p w14:paraId="5623E2BE">
            <w:pPr>
              <w:pStyle w:val="53"/>
              <w:bidi w:val="0"/>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本项目勘查工作</w:t>
            </w:r>
            <w:r>
              <w:rPr>
                <w:rFonts w:hint="eastAsia" w:cs="Times New Roman"/>
                <w:color w:val="000000" w:themeColor="text1"/>
                <w:highlight w:val="none"/>
                <w:lang w:val="en-US" w:eastAsia="zh-CN"/>
                <w14:textFill>
                  <w14:solidFill>
                    <w14:schemeClr w14:val="tx1"/>
                  </w14:solidFill>
                </w14:textFill>
              </w:rPr>
              <w:t>主要分为</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槽探、钻探。</w:t>
            </w:r>
          </w:p>
          <w:p w14:paraId="00104D06">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槽探工程量</w:t>
            </w:r>
            <w:r>
              <w:rPr>
                <w:rFonts w:hint="eastAsia" w:ascii="Times New Roman" w:hAnsi="Times New Roman" w:cs="Times New Roman"/>
                <w:color w:val="000000" w:themeColor="text1"/>
                <w:highlight w:val="none"/>
                <w:lang w:val="en-US" w:eastAsia="zh-CN"/>
                <w14:textFill>
                  <w14:solidFill>
                    <w14:schemeClr w14:val="tx1"/>
                  </w14:solidFill>
                </w14:textFill>
              </w:rPr>
              <w:t>4700</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eastAsia"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，共</w:t>
            </w:r>
            <w:r>
              <w:rPr>
                <w:rFonts w:hint="eastAsia" w:ascii="Times New Roman" w:hAnsi="Times New Roman" w:cs="Times New Roman"/>
                <w:color w:val="000000" w:themeColor="text1"/>
                <w:highlight w:val="none"/>
                <w:lang w:val="en-US" w:eastAsia="zh-CN"/>
                <w14:textFill>
                  <w14:solidFill>
                    <w14:schemeClr w14:val="tx1"/>
                  </w14:solidFill>
                </w14:textFill>
              </w:rPr>
              <w:t>35</w:t>
            </w:r>
            <w:r>
              <w:rPr>
                <w:rFonts w:hint="default" w:ascii="Times New Roman" w:hAnsi="Times New Roman" w:cs="Times New Roman"/>
                <w:color w:val="000000" w:themeColor="text1"/>
                <w:highlight w:val="none"/>
                <w:lang w:val="en-US" w:eastAsia="zh-CN"/>
                <w14:textFill>
                  <w14:solidFill>
                    <w14:schemeClr w14:val="tx1"/>
                  </w14:solidFill>
                </w14:textFill>
              </w:rPr>
              <w:t>条槽探。槽口平均宽1.</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米～</w:t>
            </w:r>
            <w:r>
              <w:rPr>
                <w:rFonts w:hint="eastAsia" w:cs="Times New Roman"/>
                <w:color w:val="000000" w:themeColor="text1"/>
                <w:highlight w:val="none"/>
                <w:lang w:val="en-US" w:eastAsia="zh-CN"/>
                <w14:textFill>
                  <w14:solidFill>
                    <w14:schemeClr w14:val="tx1"/>
                  </w14:solidFill>
                </w14:textFill>
              </w:rPr>
              <w:t>1.5</w:t>
            </w:r>
            <w:r>
              <w:rPr>
                <w:rFonts w:hint="default" w:ascii="Times New Roman" w:hAnsi="Times New Roman" w:cs="Times New Roman"/>
                <w:color w:val="000000" w:themeColor="text1"/>
                <w:highlight w:val="none"/>
                <w:lang w:val="en-US" w:eastAsia="zh-CN"/>
                <w14:textFill>
                  <w14:solidFill>
                    <w14:schemeClr w14:val="tx1"/>
                  </w14:solidFill>
                </w14:textFill>
              </w:rPr>
              <w:t>米，</w:t>
            </w:r>
            <w:r>
              <w:rPr>
                <w:rFonts w:hint="eastAsia" w:cs="Times New Roman"/>
                <w:color w:val="000000" w:themeColor="text1"/>
                <w:highlight w:val="none"/>
                <w:lang w:val="en-US" w:eastAsia="zh-CN"/>
                <w14:textFill>
                  <w14:solidFill>
                    <w14:schemeClr w14:val="tx1"/>
                  </w14:solidFill>
                </w14:textFill>
              </w:rPr>
              <w:t>占地约3133</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勘探</w:t>
            </w:r>
            <w:r>
              <w:rPr>
                <w:rFonts w:hint="default" w:ascii="Times New Roman" w:hAnsi="Times New Roman" w:cs="Times New Roman"/>
                <w:color w:val="000000" w:themeColor="text1"/>
                <w:highlight w:val="none"/>
                <w:lang w:val="en-US" w:eastAsia="zh-CN"/>
                <w14:textFill>
                  <w14:solidFill>
                    <w14:schemeClr w14:val="tx1"/>
                  </w14:solidFill>
                </w14:textFill>
              </w:rPr>
              <w:t>产生少量</w:t>
            </w:r>
            <w:r>
              <w:rPr>
                <w:rFonts w:hint="eastAsia" w:ascii="Times New Roman" w:hAnsi="Times New Roman" w:cs="Times New Roman"/>
                <w:color w:val="000000" w:themeColor="text1"/>
                <w:highlight w:val="none"/>
                <w:lang w:val="en-US" w:eastAsia="zh-CN"/>
                <w14:textFill>
                  <w14:solidFill>
                    <w14:schemeClr w14:val="tx1"/>
                  </w14:solidFill>
                </w14:textFill>
              </w:rPr>
              <w:t>土石方</w:t>
            </w:r>
            <w:r>
              <w:rPr>
                <w:rFonts w:hint="default" w:ascii="Times New Roman" w:hAnsi="Times New Roman" w:cs="Times New Roman"/>
                <w:color w:val="000000" w:themeColor="text1"/>
                <w:highlight w:val="none"/>
                <w:lang w:val="en-US" w:eastAsia="zh-CN"/>
                <w14:textFill>
                  <w14:solidFill>
                    <w14:schemeClr w14:val="tx1"/>
                  </w14:solidFill>
                </w14:textFill>
              </w:rPr>
              <w:t>、岩屑，临时堆放，勘探结束就近回填平整，不外运。临时占地面积合计</w:t>
            </w:r>
            <w:r>
              <w:rPr>
                <w:rFonts w:hint="eastAsia" w:cs="Times New Roman"/>
                <w:color w:val="000000" w:themeColor="text1"/>
                <w:highlight w:val="none"/>
                <w:lang w:val="en-US" w:eastAsia="zh-CN"/>
                <w14:textFill>
                  <w14:solidFill>
                    <w14:schemeClr w14:val="tx1"/>
                  </w14:solidFill>
                </w14:textFill>
              </w:rPr>
              <w:t>25</w:t>
            </w:r>
            <w:r>
              <w:rPr>
                <w:rFonts w:hint="default" w:ascii="Times New Roman" w:hAnsi="Times New Roman" w:cs="Times New Roman"/>
                <w:color w:val="000000" w:themeColor="text1"/>
                <w:highlight w:val="none"/>
                <w:lang w:val="en-US" w:eastAsia="zh-CN"/>
                <w14:textFill>
                  <w14:solidFill>
                    <w14:schemeClr w14:val="tx1"/>
                  </w14:solidFill>
                </w14:textFill>
              </w:rPr>
              <w:t>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7B05F45E">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钻孔位于探槽倾斜坡面，</w:t>
            </w:r>
            <w:r>
              <w:rPr>
                <w:rFonts w:hint="eastAsia" w:cs="Times New Roman"/>
                <w:color w:val="000000" w:themeColor="text1"/>
                <w:highlight w:val="none"/>
                <w:lang w:val="en-US" w:eastAsia="zh-CN"/>
                <w14:textFill>
                  <w14:solidFill>
                    <w14:schemeClr w14:val="tx1"/>
                  </w14:solidFill>
                </w14:textFill>
              </w:rPr>
              <w:t>钻探过程</w:t>
            </w:r>
            <w:r>
              <w:rPr>
                <w:rFonts w:hint="default" w:ascii="Times New Roman" w:hAnsi="Times New Roman" w:cs="Times New Roman"/>
                <w:color w:val="000000" w:themeColor="text1"/>
                <w:highlight w:val="none"/>
                <w:lang w:val="en-US" w:eastAsia="zh-CN"/>
                <w14:textFill>
                  <w14:solidFill>
                    <w14:schemeClr w14:val="tx1"/>
                  </w14:solidFill>
                </w14:textFill>
              </w:rPr>
              <w:t>设置1座</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泥浆沉淀池</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占地</w:t>
            </w:r>
            <w:r>
              <w:rPr>
                <w:rFonts w:hint="eastAsia" w:cs="Times New Roman"/>
                <w:color w:val="000000" w:themeColor="text1"/>
                <w:highlight w:val="none"/>
                <w:lang w:val="en-US" w:eastAsia="zh-CN"/>
                <w14:textFill>
                  <w14:solidFill>
                    <w14:schemeClr w14:val="tx1"/>
                  </w14:solidFill>
                </w14:textFill>
              </w:rPr>
              <w:t>30</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）和</w:t>
            </w:r>
            <w:r>
              <w:rPr>
                <w:rFonts w:hint="default" w:ascii="Times New Roman" w:hAnsi="Times New Roman" w:cs="Times New Roman"/>
                <w:color w:val="000000" w:themeColor="text1"/>
                <w:highlight w:val="none"/>
                <w:lang w:val="en-US" w:eastAsia="zh-CN"/>
                <w14:textFill>
                  <w14:solidFill>
                    <w14:schemeClr w14:val="tx1"/>
                  </w14:solidFill>
                </w14:textFill>
              </w:rPr>
              <w:t>1座设备清洗沉淀池</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占地</w:t>
            </w:r>
            <w:r>
              <w:rPr>
                <w:rFonts w:hint="eastAsia" w:cs="Times New Roman"/>
                <w:color w:val="000000" w:themeColor="text1"/>
                <w:highlight w:val="none"/>
                <w:lang w:val="en-US" w:eastAsia="zh-CN"/>
                <w14:textFill>
                  <w14:solidFill>
                    <w14:schemeClr w14:val="tx1"/>
                  </w14:solidFill>
                </w14:textFill>
              </w:rPr>
              <w:t>10</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沉淀池</w:t>
            </w:r>
            <w:r>
              <w:rPr>
                <w:rFonts w:hint="default" w:ascii="Times New Roman" w:hAnsi="Times New Roman" w:cs="Times New Roman"/>
                <w:color w:val="000000" w:themeColor="text1"/>
                <w:highlight w:val="none"/>
                <w:lang w:val="en-US" w:eastAsia="zh-CN"/>
                <w14:textFill>
                  <w14:solidFill>
                    <w14:schemeClr w14:val="tx1"/>
                  </w14:solidFill>
                </w14:textFill>
              </w:rPr>
              <w:t>临时占地</w:t>
            </w:r>
            <w:r>
              <w:rPr>
                <w:rFonts w:hint="eastAsia" w:cs="Times New Roman"/>
                <w:color w:val="000000" w:themeColor="text1"/>
                <w:highlight w:val="none"/>
                <w:lang w:val="en-US" w:eastAsia="zh-CN"/>
                <w14:textFill>
                  <w14:solidFill>
                    <w14:schemeClr w14:val="tx1"/>
                  </w14:solidFill>
                </w14:textFill>
              </w:rPr>
              <w:t>合计40</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037771C6">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勘查范围主要涉及土地类型大部分是</w:t>
            </w:r>
            <w:r>
              <w:rPr>
                <w:rFonts w:hint="eastAsia" w:cs="Times New Roman"/>
                <w:color w:val="000000" w:themeColor="text1"/>
                <w:highlight w:val="none"/>
                <w:lang w:val="en-US" w:eastAsia="zh-CN"/>
                <w14:textFill>
                  <w14:solidFill>
                    <w14:schemeClr w14:val="tx1"/>
                  </w14:solidFill>
                </w14:textFill>
              </w:rPr>
              <w:t>天然牧草地</w:t>
            </w:r>
            <w:r>
              <w:rPr>
                <w:rFonts w:hint="default" w:ascii="Times New Roman" w:hAnsi="Times New Roman" w:cs="Times New Roman"/>
                <w:color w:val="000000" w:themeColor="text1"/>
                <w:highlight w:val="none"/>
                <w:lang w:val="en-US" w:eastAsia="zh-CN"/>
                <w14:textFill>
                  <w14:solidFill>
                    <w14:schemeClr w14:val="tx1"/>
                  </w14:solidFill>
                </w14:textFill>
              </w:rPr>
              <w:t>、其他草地。本项目占地类型一览表见下表</w:t>
            </w:r>
            <w:r>
              <w:rPr>
                <w:rFonts w:hint="eastAsia" w:cs="Times New Roman"/>
                <w:color w:val="000000" w:themeColor="text1"/>
                <w:highlight w:val="none"/>
                <w:lang w:val="en-US" w:eastAsia="zh-CN"/>
                <w14:textFill>
                  <w14:solidFill>
                    <w14:schemeClr w14:val="tx1"/>
                  </w14:solidFill>
                </w14:textFill>
              </w:rPr>
              <w:t>：</w:t>
            </w:r>
          </w:p>
          <w:p w14:paraId="70646A5D">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表2-5    项目占地类型一览表</w:t>
            </w:r>
          </w:p>
          <w:tbl>
            <w:tblPr>
              <w:tblStyle w:val="28"/>
              <w:tblW w:w="492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26"/>
              <w:gridCol w:w="1529"/>
              <w:gridCol w:w="1284"/>
              <w:gridCol w:w="1484"/>
              <w:gridCol w:w="1178"/>
              <w:gridCol w:w="1866"/>
            </w:tblGrid>
            <w:tr w14:paraId="1B3EF9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8" w:type="pct"/>
                  <w:gridSpan w:val="2"/>
                  <w:tcBorders>
                    <w:tl2br w:val="nil"/>
                    <w:tr2bl w:val="nil"/>
                  </w:tcBorders>
                  <w:noWrap w:val="0"/>
                  <w:vAlign w:val="center"/>
                </w:tcPr>
                <w:p w14:paraId="0A00192D">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名称</w:t>
                  </w:r>
                </w:p>
              </w:tc>
              <w:tc>
                <w:tcPr>
                  <w:tcW w:w="826" w:type="pct"/>
                  <w:tcBorders>
                    <w:tl2br w:val="nil"/>
                    <w:tr2bl w:val="nil"/>
                  </w:tcBorders>
                  <w:noWrap w:val="0"/>
                  <w:vAlign w:val="center"/>
                </w:tcPr>
                <w:p w14:paraId="4E173CE2">
                  <w:pPr>
                    <w:widowControl/>
                    <w:spacing w:line="320" w:lineRule="exact"/>
                    <w:jc w:val="cente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占地面积</w:t>
                  </w:r>
                  <w:r>
                    <w:rPr>
                      <w:rFonts w:hint="default" w:ascii="Times New Roman" w:hAnsi="Times New Roman"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m</w:t>
                  </w:r>
                  <w:r>
                    <w:rPr>
                      <w:rFonts w:hint="default" w:ascii="Times New Roman" w:hAnsi="Times New Roman" w:cs="Times New Roman"/>
                      <w:color w:val="000000" w:themeColor="text1"/>
                      <w:kern w:val="0"/>
                      <w:szCs w:val="2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Cs w:val="21"/>
                      <w:highlight w:val="none"/>
                      <w:lang w:eastAsia="zh-CN"/>
                      <w14:textFill>
                        <w14:solidFill>
                          <w14:schemeClr w14:val="tx1"/>
                        </w14:solidFill>
                      </w14:textFill>
                    </w:rPr>
                    <w:t>）</w:t>
                  </w:r>
                </w:p>
              </w:tc>
              <w:tc>
                <w:tcPr>
                  <w:tcW w:w="955" w:type="pct"/>
                  <w:tcBorders>
                    <w:tl2br w:val="nil"/>
                    <w:tr2bl w:val="nil"/>
                  </w:tcBorders>
                  <w:noWrap w:val="0"/>
                  <w:vAlign w:val="center"/>
                </w:tcPr>
                <w:p w14:paraId="267604E8">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占地类型</w:t>
                  </w:r>
                </w:p>
              </w:tc>
              <w:tc>
                <w:tcPr>
                  <w:tcW w:w="758" w:type="pct"/>
                  <w:tcBorders>
                    <w:tl2br w:val="nil"/>
                    <w:tr2bl w:val="nil"/>
                  </w:tcBorders>
                  <w:noWrap w:val="0"/>
                  <w:vAlign w:val="center"/>
                </w:tcPr>
                <w:p w14:paraId="4A9DE112">
                  <w:pPr>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占地性质</w:t>
                  </w:r>
                </w:p>
              </w:tc>
              <w:tc>
                <w:tcPr>
                  <w:tcW w:w="1201" w:type="pct"/>
                  <w:tcBorders>
                    <w:tl2br w:val="nil"/>
                    <w:tr2bl w:val="nil"/>
                  </w:tcBorders>
                  <w:noWrap w:val="0"/>
                  <w:vAlign w:val="center"/>
                </w:tcPr>
                <w:p w14:paraId="58C435BD">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备注</w:t>
                  </w:r>
                </w:p>
              </w:tc>
            </w:tr>
            <w:tr w14:paraId="7630DB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258" w:type="pct"/>
                  <w:gridSpan w:val="2"/>
                  <w:tcBorders>
                    <w:tl2br w:val="nil"/>
                    <w:tr2bl w:val="nil"/>
                  </w:tcBorders>
                  <w:noWrap w:val="0"/>
                  <w:vAlign w:val="center"/>
                </w:tcPr>
                <w:p w14:paraId="75F94043">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探矿权</w:t>
                  </w:r>
                  <w:r>
                    <w:rPr>
                      <w:rFonts w:hint="default" w:ascii="Times New Roman" w:hAnsi="Times New Roman" w:cs="Times New Roman"/>
                      <w:color w:val="000000" w:themeColor="text1"/>
                      <w:kern w:val="0"/>
                      <w:szCs w:val="21"/>
                      <w:highlight w:val="none"/>
                      <w14:textFill>
                        <w14:solidFill>
                          <w14:schemeClr w14:val="tx1"/>
                        </w14:solidFill>
                      </w14:textFill>
                    </w:rPr>
                    <w:t>范围</w:t>
                  </w:r>
                </w:p>
              </w:tc>
              <w:tc>
                <w:tcPr>
                  <w:tcW w:w="826" w:type="pct"/>
                  <w:tcBorders>
                    <w:tl2br w:val="nil"/>
                    <w:tr2bl w:val="nil"/>
                  </w:tcBorders>
                  <w:noWrap w:val="0"/>
                  <w:vAlign w:val="center"/>
                </w:tcPr>
                <w:p w14:paraId="0897900F">
                  <w:pPr>
                    <w:widowControl/>
                    <w:spacing w:line="32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11.47</w:t>
                  </w:r>
                  <w:r>
                    <w:rPr>
                      <w:rFonts w:hint="default" w:ascii="Times New Roman" w:hAnsi="Times New Roman" w:cs="Times New Roman"/>
                      <w:color w:val="000000" w:themeColor="text1"/>
                      <w:highlight w:val="none"/>
                      <w:lang w:val="en-US" w:eastAsia="zh-CN"/>
                      <w14:textFill>
                        <w14:solidFill>
                          <w14:schemeClr w14:val="tx1"/>
                        </w14:solidFill>
                      </w14:textFill>
                    </w:rPr>
                    <w:t>km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p>
              </w:tc>
              <w:tc>
                <w:tcPr>
                  <w:tcW w:w="955" w:type="pct"/>
                  <w:tcBorders>
                    <w:tl2br w:val="nil"/>
                    <w:tr2bl w:val="nil"/>
                  </w:tcBorders>
                  <w:noWrap w:val="0"/>
                  <w:vAlign w:val="center"/>
                </w:tcPr>
                <w:p w14:paraId="7AAAE862">
                  <w:pPr>
                    <w:spacing w:line="32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天然牧草地</w:t>
                  </w:r>
                  <w:r>
                    <w:rPr>
                      <w:rFonts w:hint="eastAsia" w:cs="Times New Roman"/>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其他草地</w:t>
                  </w:r>
                </w:p>
              </w:tc>
              <w:tc>
                <w:tcPr>
                  <w:tcW w:w="758" w:type="pct"/>
                  <w:tcBorders>
                    <w:tl2br w:val="nil"/>
                    <w:tr2bl w:val="nil"/>
                  </w:tcBorders>
                  <w:noWrap w:val="0"/>
                  <w:vAlign w:val="center"/>
                </w:tcPr>
                <w:p w14:paraId="3A39DB24">
                  <w:pPr>
                    <w:jc w:val="center"/>
                    <w:rPr>
                      <w:rFonts w:hint="default" w:ascii="Times New Roman" w:hAnsi="Times New Roman" w:cs="Times New Roman"/>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临时占地</w:t>
                  </w:r>
                </w:p>
              </w:tc>
              <w:tc>
                <w:tcPr>
                  <w:tcW w:w="1201" w:type="pct"/>
                  <w:tcBorders>
                    <w:tl2br w:val="nil"/>
                    <w:tr2bl w:val="nil"/>
                  </w:tcBorders>
                  <w:noWrap w:val="0"/>
                  <w:vAlign w:val="center"/>
                </w:tcPr>
                <w:p w14:paraId="2DC74F62">
                  <w:pPr>
                    <w:widowControl/>
                    <w:spacing w:line="32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w:t>
                  </w:r>
                </w:p>
              </w:tc>
            </w:tr>
            <w:tr w14:paraId="648B96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74" w:type="pct"/>
                  <w:vMerge w:val="restart"/>
                  <w:tcBorders>
                    <w:tl2br w:val="nil"/>
                    <w:tr2bl w:val="nil"/>
                  </w:tcBorders>
                  <w:noWrap w:val="0"/>
                  <w:vAlign w:val="center"/>
                </w:tcPr>
                <w:p w14:paraId="77C65B07">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其中</w:t>
                  </w:r>
                </w:p>
              </w:tc>
              <w:tc>
                <w:tcPr>
                  <w:tcW w:w="984" w:type="pct"/>
                  <w:tcBorders>
                    <w:tl2br w:val="nil"/>
                    <w:tr2bl w:val="nil"/>
                  </w:tcBorders>
                  <w:noWrap w:val="0"/>
                  <w:vAlign w:val="center"/>
                </w:tcPr>
                <w:p w14:paraId="43FC6D12">
                  <w:pPr>
                    <w:widowControl/>
                    <w:spacing w:line="320" w:lineRule="exact"/>
                    <w:jc w:val="cente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槽探区</w:t>
                  </w:r>
                </w:p>
              </w:tc>
              <w:tc>
                <w:tcPr>
                  <w:tcW w:w="826" w:type="pct"/>
                  <w:tcBorders>
                    <w:tl2br w:val="nil"/>
                    <w:tr2bl w:val="nil"/>
                  </w:tcBorders>
                  <w:noWrap w:val="0"/>
                  <w:vAlign w:val="center"/>
                </w:tcPr>
                <w:p w14:paraId="3C8AEE9E">
                  <w:pPr>
                    <w:widowControl/>
                    <w:spacing w:line="32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3133</w:t>
                  </w:r>
                </w:p>
              </w:tc>
              <w:tc>
                <w:tcPr>
                  <w:tcW w:w="955" w:type="pct"/>
                  <w:tcBorders>
                    <w:tl2br w:val="nil"/>
                    <w:tr2bl w:val="nil"/>
                  </w:tcBorders>
                  <w:noWrap w:val="0"/>
                  <w:vAlign w:val="center"/>
                </w:tcPr>
                <w:p w14:paraId="4E31BAC3">
                  <w:pPr>
                    <w:spacing w:line="320" w:lineRule="exact"/>
                    <w:jc w:val="center"/>
                    <w:rPr>
                      <w:rFonts w:hint="default" w:ascii="Times New Roman" w:hAnsi="Times New Roman" w:cs="Times New Roman"/>
                      <w:color w:val="000000" w:themeColor="text1"/>
                      <w:kern w:val="0"/>
                      <w:szCs w:val="2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天然牧草地</w:t>
                  </w:r>
                  <w:r>
                    <w:rPr>
                      <w:rFonts w:hint="eastAsia" w:cs="Times New Roman"/>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其他草地</w:t>
                  </w:r>
                </w:p>
              </w:tc>
              <w:tc>
                <w:tcPr>
                  <w:tcW w:w="758" w:type="pct"/>
                  <w:tcBorders>
                    <w:tl2br w:val="nil"/>
                    <w:tr2bl w:val="nil"/>
                  </w:tcBorders>
                  <w:noWrap w:val="0"/>
                  <w:vAlign w:val="center"/>
                </w:tcPr>
                <w:p w14:paraId="4923B35E">
                  <w:pPr>
                    <w:jc w:val="center"/>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天然牧草地</w:t>
                  </w:r>
                  <w:r>
                    <w:rPr>
                      <w:rFonts w:hint="eastAsia" w:cs="Times New Roman"/>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其他草地</w:t>
                  </w:r>
                </w:p>
              </w:tc>
              <w:tc>
                <w:tcPr>
                  <w:tcW w:w="1201" w:type="pct"/>
                  <w:tcBorders>
                    <w:tl2br w:val="nil"/>
                    <w:tr2bl w:val="nil"/>
                  </w:tcBorders>
                  <w:noWrap w:val="0"/>
                  <w:vAlign w:val="center"/>
                </w:tcPr>
                <w:p w14:paraId="7AE93514">
                  <w:pPr>
                    <w:spacing w:line="320" w:lineRule="exact"/>
                    <w:jc w:val="cente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探矿区范围内</w:t>
                  </w:r>
                </w:p>
              </w:tc>
            </w:tr>
            <w:tr w14:paraId="0BF1CC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274" w:type="pct"/>
                  <w:vMerge w:val="continue"/>
                  <w:tcBorders>
                    <w:tl2br w:val="nil"/>
                    <w:tr2bl w:val="nil"/>
                  </w:tcBorders>
                  <w:noWrap w:val="0"/>
                  <w:vAlign w:val="center"/>
                </w:tcPr>
                <w:p w14:paraId="285B644F">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p>
              </w:tc>
              <w:tc>
                <w:tcPr>
                  <w:tcW w:w="984" w:type="pct"/>
                  <w:tcBorders>
                    <w:tl2br w:val="nil"/>
                    <w:tr2bl w:val="nil"/>
                  </w:tcBorders>
                  <w:noWrap w:val="0"/>
                  <w:vAlign w:val="center"/>
                </w:tcPr>
                <w:p w14:paraId="623EEA80">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钻探区</w:t>
                  </w:r>
                </w:p>
              </w:tc>
              <w:tc>
                <w:tcPr>
                  <w:tcW w:w="826" w:type="pct"/>
                  <w:tcBorders>
                    <w:tl2br w:val="nil"/>
                    <w:tr2bl w:val="nil"/>
                  </w:tcBorders>
                  <w:noWrap w:val="0"/>
                  <w:vAlign w:val="center"/>
                </w:tcPr>
                <w:p w14:paraId="560CBF01">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0</w:t>
                  </w:r>
                </w:p>
              </w:tc>
              <w:tc>
                <w:tcPr>
                  <w:tcW w:w="955" w:type="pct"/>
                  <w:tcBorders>
                    <w:tl2br w:val="nil"/>
                    <w:tr2bl w:val="nil"/>
                  </w:tcBorders>
                  <w:noWrap w:val="0"/>
                  <w:vAlign w:val="center"/>
                </w:tcPr>
                <w:p w14:paraId="0745A52D">
                  <w:pPr>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天然牧草地</w:t>
                  </w:r>
                  <w:r>
                    <w:rPr>
                      <w:rFonts w:hint="eastAsia" w:cs="Times New Roman"/>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其他草地</w:t>
                  </w:r>
                </w:p>
              </w:tc>
              <w:tc>
                <w:tcPr>
                  <w:tcW w:w="758" w:type="pct"/>
                  <w:tcBorders>
                    <w:tl2br w:val="nil"/>
                    <w:tr2bl w:val="nil"/>
                  </w:tcBorders>
                  <w:noWrap w:val="0"/>
                  <w:vAlign w:val="center"/>
                </w:tcPr>
                <w:p w14:paraId="7BF91BE3">
                  <w:pPr>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临时占地</w:t>
                  </w:r>
                </w:p>
              </w:tc>
              <w:tc>
                <w:tcPr>
                  <w:tcW w:w="1201" w:type="pct"/>
                  <w:tcBorders>
                    <w:tl2br w:val="nil"/>
                    <w:tr2bl w:val="nil"/>
                  </w:tcBorders>
                  <w:noWrap w:val="0"/>
                  <w:vAlign w:val="center"/>
                </w:tcPr>
                <w:p w14:paraId="1FADA365">
                  <w:pPr>
                    <w:spacing w:line="32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探矿区范围内</w:t>
                  </w:r>
                </w:p>
              </w:tc>
            </w:tr>
            <w:tr w14:paraId="7E5718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274" w:type="pct"/>
                  <w:vMerge w:val="continue"/>
                  <w:tcBorders>
                    <w:tl2br w:val="nil"/>
                    <w:tr2bl w:val="nil"/>
                  </w:tcBorders>
                  <w:noWrap w:val="0"/>
                  <w:vAlign w:val="center"/>
                </w:tcPr>
                <w:p w14:paraId="1333CF0E">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p>
              </w:tc>
              <w:tc>
                <w:tcPr>
                  <w:tcW w:w="984" w:type="pct"/>
                  <w:tcBorders>
                    <w:tl2br w:val="nil"/>
                    <w:tr2bl w:val="nil"/>
                  </w:tcBorders>
                  <w:noWrap w:val="0"/>
                  <w:vAlign w:val="center"/>
                </w:tcPr>
                <w:p w14:paraId="62E51081">
                  <w:pPr>
                    <w:widowControl/>
                    <w:spacing w:line="32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施工区域（设备清洗沉淀池、泥浆池）</w:t>
                  </w:r>
                </w:p>
              </w:tc>
              <w:tc>
                <w:tcPr>
                  <w:tcW w:w="826" w:type="pct"/>
                  <w:tcBorders>
                    <w:tl2br w:val="nil"/>
                    <w:tr2bl w:val="nil"/>
                  </w:tcBorders>
                  <w:noWrap w:val="0"/>
                  <w:vAlign w:val="center"/>
                </w:tcPr>
                <w:p w14:paraId="25E75808">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40</w:t>
                  </w:r>
                </w:p>
              </w:tc>
              <w:tc>
                <w:tcPr>
                  <w:tcW w:w="955" w:type="pct"/>
                  <w:tcBorders>
                    <w:tl2br w:val="nil"/>
                    <w:tr2bl w:val="nil"/>
                  </w:tcBorders>
                  <w:noWrap w:val="0"/>
                  <w:vAlign w:val="center"/>
                </w:tcPr>
                <w:p w14:paraId="26FDA756">
                  <w:pPr>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天然牧草地</w:t>
                  </w:r>
                </w:p>
              </w:tc>
              <w:tc>
                <w:tcPr>
                  <w:tcW w:w="758" w:type="pct"/>
                  <w:tcBorders>
                    <w:tl2br w:val="nil"/>
                    <w:tr2bl w:val="nil"/>
                  </w:tcBorders>
                  <w:noWrap w:val="0"/>
                  <w:vAlign w:val="center"/>
                </w:tcPr>
                <w:p w14:paraId="1AABAB73">
                  <w:pPr>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临时占地</w:t>
                  </w:r>
                </w:p>
              </w:tc>
              <w:tc>
                <w:tcPr>
                  <w:tcW w:w="1201" w:type="pct"/>
                  <w:tcBorders>
                    <w:tl2br w:val="nil"/>
                    <w:tr2bl w:val="nil"/>
                  </w:tcBorders>
                  <w:noWrap w:val="0"/>
                  <w:vAlign w:val="center"/>
                </w:tcPr>
                <w:p w14:paraId="2263B104">
                  <w:pPr>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探矿区范围内</w:t>
                  </w:r>
                </w:p>
              </w:tc>
            </w:tr>
            <w:tr w14:paraId="2D97F0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74" w:type="pct"/>
                  <w:vMerge w:val="continue"/>
                  <w:tcBorders>
                    <w:tl2br w:val="nil"/>
                    <w:tr2bl w:val="nil"/>
                  </w:tcBorders>
                  <w:noWrap w:val="0"/>
                  <w:vAlign w:val="center"/>
                </w:tcPr>
                <w:p w14:paraId="744C6311">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p>
              </w:tc>
              <w:tc>
                <w:tcPr>
                  <w:tcW w:w="984" w:type="pct"/>
                  <w:tcBorders>
                    <w:tl2br w:val="nil"/>
                    <w:tr2bl w:val="nil"/>
                  </w:tcBorders>
                  <w:noWrap w:val="0"/>
                  <w:vAlign w:val="center"/>
                </w:tcPr>
                <w:p w14:paraId="39614980">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临时</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堆场</w:t>
                  </w:r>
                </w:p>
              </w:tc>
              <w:tc>
                <w:tcPr>
                  <w:tcW w:w="826" w:type="pct"/>
                  <w:tcBorders>
                    <w:tl2br w:val="nil"/>
                    <w:tr2bl w:val="nil"/>
                  </w:tcBorders>
                  <w:noWrap w:val="0"/>
                  <w:vAlign w:val="center"/>
                </w:tcPr>
                <w:p w14:paraId="05D133B0">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2</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500</w:t>
                  </w:r>
                </w:p>
              </w:tc>
              <w:tc>
                <w:tcPr>
                  <w:tcW w:w="955" w:type="pct"/>
                  <w:tcBorders>
                    <w:tl2br w:val="nil"/>
                    <w:tr2bl w:val="nil"/>
                  </w:tcBorders>
                  <w:noWrap w:val="0"/>
                  <w:vAlign w:val="center"/>
                </w:tcPr>
                <w:p w14:paraId="4512C1CB">
                  <w:pPr>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天然牧草地</w:t>
                  </w:r>
                </w:p>
              </w:tc>
              <w:tc>
                <w:tcPr>
                  <w:tcW w:w="758" w:type="pct"/>
                  <w:tcBorders>
                    <w:tl2br w:val="nil"/>
                    <w:tr2bl w:val="nil"/>
                  </w:tcBorders>
                  <w:noWrap w:val="0"/>
                  <w:vAlign w:val="center"/>
                </w:tcPr>
                <w:p w14:paraId="72E10924">
                  <w:pPr>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临时占地</w:t>
                  </w:r>
                </w:p>
              </w:tc>
              <w:tc>
                <w:tcPr>
                  <w:tcW w:w="1201" w:type="pct"/>
                  <w:tcBorders>
                    <w:tl2br w:val="nil"/>
                    <w:tr2bl w:val="nil"/>
                  </w:tcBorders>
                  <w:noWrap w:val="0"/>
                  <w:vAlign w:val="center"/>
                </w:tcPr>
                <w:p w14:paraId="32F3A07D">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位于</w:t>
                  </w:r>
                  <w:r>
                    <w:rPr>
                      <w:rFonts w:hint="default" w:ascii="Times New Roman" w:hAnsi="Times New Roman" w:cs="Times New Roman"/>
                      <w:color w:val="000000" w:themeColor="text1"/>
                      <w:highlight w:val="none"/>
                      <w:lang w:val="en-US" w:eastAsia="zh-CN"/>
                      <w14:textFill>
                        <w14:solidFill>
                          <w14:schemeClr w14:val="tx1"/>
                        </w14:solidFill>
                      </w14:textFill>
                    </w:rPr>
                    <w:t>槽探探坑</w:t>
                  </w:r>
                  <w:r>
                    <w:rPr>
                      <w:rFonts w:hint="default" w:ascii="Times New Roman" w:hAnsi="Times New Roman" w:cs="Times New Roman"/>
                      <w:color w:val="000000" w:themeColor="text1"/>
                      <w:highlight w:val="none"/>
                      <w14:textFill>
                        <w14:solidFill>
                          <w14:schemeClr w14:val="tx1"/>
                        </w14:solidFill>
                      </w14:textFill>
                    </w:rPr>
                    <w:t>一侧</w:t>
                  </w:r>
                </w:p>
              </w:tc>
            </w:tr>
            <w:tr w14:paraId="31E157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274" w:type="pct"/>
                  <w:vMerge w:val="continue"/>
                  <w:tcBorders>
                    <w:tl2br w:val="nil"/>
                    <w:tr2bl w:val="nil"/>
                  </w:tcBorders>
                  <w:noWrap w:val="0"/>
                  <w:vAlign w:val="center"/>
                </w:tcPr>
                <w:p w14:paraId="562CB677">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p>
              </w:tc>
              <w:tc>
                <w:tcPr>
                  <w:tcW w:w="984" w:type="pct"/>
                  <w:tcBorders>
                    <w:tl2br w:val="nil"/>
                    <w:tr2bl w:val="nil"/>
                  </w:tcBorders>
                  <w:noWrap w:val="0"/>
                  <w:vAlign w:val="center"/>
                </w:tcPr>
                <w:p w14:paraId="44E279BF">
                  <w:pPr>
                    <w:widowControl/>
                    <w:spacing w:line="320" w:lineRule="exact"/>
                    <w:jc w:val="cente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生活营地</w:t>
                  </w:r>
                </w:p>
              </w:tc>
              <w:tc>
                <w:tcPr>
                  <w:tcW w:w="826" w:type="pct"/>
                  <w:tcBorders>
                    <w:tl2br w:val="nil"/>
                    <w:tr2bl w:val="nil"/>
                  </w:tcBorders>
                  <w:noWrap w:val="0"/>
                  <w:vAlign w:val="center"/>
                </w:tcPr>
                <w:p w14:paraId="34D51389">
                  <w:pPr>
                    <w:widowControl/>
                    <w:spacing w:line="320" w:lineRule="exact"/>
                    <w:jc w:val="cente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200</w:t>
                  </w:r>
                </w:p>
              </w:tc>
              <w:tc>
                <w:tcPr>
                  <w:tcW w:w="955" w:type="pct"/>
                  <w:tcBorders>
                    <w:tl2br w:val="nil"/>
                    <w:tr2bl w:val="nil"/>
                  </w:tcBorders>
                  <w:noWrap w:val="0"/>
                  <w:vAlign w:val="center"/>
                </w:tcPr>
                <w:p w14:paraId="5198C52A">
                  <w:pPr>
                    <w:spacing w:line="320" w:lineRule="exact"/>
                    <w:jc w:val="cente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天然牧草地</w:t>
                  </w:r>
                </w:p>
              </w:tc>
              <w:tc>
                <w:tcPr>
                  <w:tcW w:w="758" w:type="pct"/>
                  <w:tcBorders>
                    <w:tl2br w:val="nil"/>
                    <w:tr2bl w:val="nil"/>
                  </w:tcBorders>
                  <w:noWrap w:val="0"/>
                  <w:vAlign w:val="center"/>
                </w:tcPr>
                <w:p w14:paraId="2D6CB78A">
                  <w:pPr>
                    <w:jc w:val="cente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临时占地</w:t>
                  </w:r>
                </w:p>
              </w:tc>
              <w:tc>
                <w:tcPr>
                  <w:tcW w:w="1201" w:type="pct"/>
                  <w:tcBorders>
                    <w:tl2br w:val="nil"/>
                    <w:tr2bl w:val="nil"/>
                  </w:tcBorders>
                  <w:noWrap w:val="0"/>
                  <w:vAlign w:val="center"/>
                </w:tcPr>
                <w:p w14:paraId="7D908E21">
                  <w:pPr>
                    <w:jc w:val="cente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探矿区范围内</w:t>
                  </w:r>
                </w:p>
              </w:tc>
            </w:tr>
            <w:tr w14:paraId="585997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274" w:type="pct"/>
                  <w:vMerge w:val="continue"/>
                  <w:tcBorders>
                    <w:tl2br w:val="nil"/>
                    <w:tr2bl w:val="nil"/>
                  </w:tcBorders>
                  <w:noWrap w:val="0"/>
                  <w:vAlign w:val="center"/>
                </w:tcPr>
                <w:p w14:paraId="762A3ED1">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p>
              </w:tc>
              <w:tc>
                <w:tcPr>
                  <w:tcW w:w="984" w:type="pct"/>
                  <w:tcBorders>
                    <w:tl2br w:val="nil"/>
                    <w:tr2bl w:val="nil"/>
                  </w:tcBorders>
                  <w:noWrap w:val="0"/>
                  <w:vAlign w:val="center"/>
                </w:tcPr>
                <w:p w14:paraId="50DB2490">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临时施工便道</w:t>
                  </w:r>
                </w:p>
              </w:tc>
              <w:tc>
                <w:tcPr>
                  <w:tcW w:w="826" w:type="pct"/>
                  <w:tcBorders>
                    <w:tl2br w:val="nil"/>
                    <w:tr2bl w:val="nil"/>
                  </w:tcBorders>
                  <w:noWrap w:val="0"/>
                  <w:vAlign w:val="center"/>
                </w:tcPr>
                <w:p w14:paraId="53615866">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12425</w:t>
                  </w:r>
                </w:p>
              </w:tc>
              <w:tc>
                <w:tcPr>
                  <w:tcW w:w="955" w:type="pct"/>
                  <w:tcBorders>
                    <w:tl2br w:val="nil"/>
                    <w:tr2bl w:val="nil"/>
                  </w:tcBorders>
                  <w:shd w:val="clear" w:color="auto" w:fill="auto"/>
                  <w:noWrap w:val="0"/>
                  <w:vAlign w:val="center"/>
                </w:tcPr>
                <w:p w14:paraId="09A358A0">
                  <w:pPr>
                    <w:spacing w:line="320" w:lineRule="exact"/>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天然牧草地</w:t>
                  </w:r>
                </w:p>
              </w:tc>
              <w:tc>
                <w:tcPr>
                  <w:tcW w:w="758" w:type="pct"/>
                  <w:tcBorders>
                    <w:tl2br w:val="nil"/>
                    <w:tr2bl w:val="nil"/>
                  </w:tcBorders>
                  <w:shd w:val="clear" w:color="auto" w:fill="auto"/>
                  <w:noWrap w:val="0"/>
                  <w:vAlign w:val="center"/>
                </w:tcPr>
                <w:p w14:paraId="0293E203">
                  <w:pPr>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临时占地</w:t>
                  </w:r>
                </w:p>
              </w:tc>
              <w:tc>
                <w:tcPr>
                  <w:tcW w:w="1201" w:type="pct"/>
                  <w:tcBorders>
                    <w:tl2br w:val="nil"/>
                    <w:tr2bl w:val="nil"/>
                  </w:tcBorders>
                  <w:shd w:val="clear" w:color="auto" w:fill="auto"/>
                  <w:noWrap w:val="0"/>
                  <w:vAlign w:val="center"/>
                </w:tcPr>
                <w:p w14:paraId="734458E1">
                  <w:pPr>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探矿区范围内</w:t>
                  </w:r>
                </w:p>
              </w:tc>
            </w:tr>
            <w:tr w14:paraId="1F826B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274" w:type="pct"/>
                  <w:vMerge w:val="continue"/>
                  <w:tcBorders>
                    <w:tl2br w:val="nil"/>
                    <w:tr2bl w:val="nil"/>
                  </w:tcBorders>
                  <w:noWrap w:val="0"/>
                  <w:vAlign w:val="center"/>
                </w:tcPr>
                <w:p w14:paraId="32341641">
                  <w:pPr>
                    <w:widowControl/>
                    <w:spacing w:line="32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p>
              </w:tc>
              <w:tc>
                <w:tcPr>
                  <w:tcW w:w="984" w:type="pct"/>
                  <w:tcBorders>
                    <w:tl2br w:val="nil"/>
                    <w:tr2bl w:val="nil"/>
                  </w:tcBorders>
                  <w:noWrap w:val="0"/>
                  <w:vAlign w:val="center"/>
                </w:tcPr>
                <w:p w14:paraId="0692D7A6">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合计</w:t>
                  </w:r>
                </w:p>
              </w:tc>
              <w:tc>
                <w:tcPr>
                  <w:tcW w:w="826" w:type="pct"/>
                  <w:tcBorders>
                    <w:tl2br w:val="nil"/>
                    <w:tr2bl w:val="nil"/>
                  </w:tcBorders>
                  <w:noWrap w:val="0"/>
                  <w:vAlign w:val="center"/>
                </w:tcPr>
                <w:p w14:paraId="128B4303">
                  <w:pPr>
                    <w:widowControl/>
                    <w:spacing w:line="32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18298</w:t>
                  </w:r>
                </w:p>
              </w:tc>
              <w:tc>
                <w:tcPr>
                  <w:tcW w:w="955" w:type="pct"/>
                  <w:tcBorders>
                    <w:tl2br w:val="nil"/>
                    <w:tr2bl w:val="nil"/>
                  </w:tcBorders>
                  <w:noWrap w:val="0"/>
                  <w:vAlign w:val="center"/>
                </w:tcPr>
                <w:p w14:paraId="34718F3F">
                  <w:pPr>
                    <w:spacing w:line="32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w:t>
                  </w:r>
                </w:p>
              </w:tc>
              <w:tc>
                <w:tcPr>
                  <w:tcW w:w="758" w:type="pct"/>
                  <w:tcBorders>
                    <w:tl2br w:val="nil"/>
                    <w:tr2bl w:val="nil"/>
                  </w:tcBorders>
                  <w:noWrap w:val="0"/>
                  <w:vAlign w:val="center"/>
                </w:tcPr>
                <w:p w14:paraId="3C0268CB">
                  <w:pPr>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w:t>
                  </w:r>
                </w:p>
              </w:tc>
              <w:tc>
                <w:tcPr>
                  <w:tcW w:w="1201" w:type="pct"/>
                  <w:tcBorders>
                    <w:tl2br w:val="nil"/>
                    <w:tr2bl w:val="nil"/>
                  </w:tcBorders>
                  <w:noWrap w:val="0"/>
                  <w:vAlign w:val="center"/>
                </w:tcPr>
                <w:p w14:paraId="04121CBB">
                  <w:pPr>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w:t>
                  </w:r>
                </w:p>
              </w:tc>
            </w:tr>
          </w:tbl>
          <w:p w14:paraId="22F3DAB2">
            <w:pPr>
              <w:pStyle w:val="53"/>
              <w:bidi w:val="0"/>
              <w:ind w:left="0" w:leftChars="0"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65175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noWrap w:val="0"/>
            <w:vAlign w:val="center"/>
          </w:tcPr>
          <w:p w14:paraId="7D700C21">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施工方案</w:t>
            </w:r>
          </w:p>
        </w:tc>
        <w:tc>
          <w:tcPr>
            <w:tcW w:w="8097" w:type="dxa"/>
            <w:tcBorders>
              <w:tl2br w:val="nil"/>
              <w:tr2bl w:val="nil"/>
            </w:tcBorders>
            <w:noWrap w:val="0"/>
            <w:vAlign w:val="center"/>
          </w:tcPr>
          <w:p w14:paraId="76BECE23">
            <w:pPr>
              <w:pStyle w:val="53"/>
              <w:bidi w:val="0"/>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2</w:t>
            </w:r>
            <w:r>
              <w:rPr>
                <w:rFonts w:hint="eastAsia" w:cs="Times New Roman"/>
                <w:b/>
                <w:bCs/>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8</w:t>
            </w:r>
            <w:r>
              <w:rPr>
                <w:rFonts w:hint="eastAsia" w:cs="Times New Roman"/>
                <w:b/>
                <w:bCs/>
                <w:color w:val="000000" w:themeColor="text1"/>
                <w:highlight w:val="none"/>
                <w:lang w:val="en-US" w:eastAsia="zh-CN"/>
                <w14:textFill>
                  <w14:solidFill>
                    <w14:schemeClr w14:val="tx1"/>
                  </w14:solidFill>
                </w14:textFill>
              </w:rPr>
              <w:t>总体</w:t>
            </w: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工作部署</w:t>
            </w:r>
          </w:p>
          <w:p w14:paraId="1D6935F0">
            <w:pPr>
              <w:pStyle w:val="55"/>
              <w:bidi w:val="0"/>
              <w:ind w:firstLine="482"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2.8.1地质勘查工作</w:t>
            </w:r>
          </w:p>
          <w:p w14:paraId="0BFFCD7A">
            <w:pPr>
              <w:pStyle w:val="53"/>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（1）1︰10000地质草测</w:t>
            </w:r>
          </w:p>
          <w:p w14:paraId="31655FF1">
            <w:pPr>
              <w:pStyle w:val="5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jc w:val="both"/>
              <w:textAlignment w:val="auto"/>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针对整个</w:t>
            </w:r>
            <w:r>
              <w:rPr>
                <w:rFonts w:hint="eastAsia"/>
                <w:color w:val="000000" w:themeColor="text1"/>
                <w:highlight w:val="none"/>
                <w:lang w:val="en-US" w:eastAsia="zh-CN"/>
                <w14:textFill>
                  <w14:solidFill>
                    <w14:schemeClr w14:val="tx1"/>
                  </w14:solidFill>
                </w14:textFill>
              </w:rPr>
              <w:t>调查范围开展1︰10000地质草测，测量面积为11.47km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p>
          <w:p w14:paraId="1E331ACA">
            <w:pPr>
              <w:pStyle w:val="53"/>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（2）1:5000地化剖面测量</w:t>
            </w:r>
          </w:p>
          <w:p w14:paraId="4BEF768E">
            <w:pPr>
              <w:pStyle w:val="53"/>
              <w:keepNext w:val="0"/>
              <w:keepLines w:val="0"/>
              <w:suppressLineNumbers w:val="0"/>
              <w:bidi w:val="0"/>
              <w:spacing w:before="0" w:beforeAutospacing="0" w:after="0" w:afterAutospacing="0"/>
              <w:ind w:left="0" w:right="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精确获取地质信息，详细记录岩石矿物成分、地层产状及构造细节，为构建精准地质模型提供支撑。作用主要体现在矿化特征研究上，可细致剖析矿化与地质体关联，精准识别矿化蚀变带与矿脉，总结矿化规律。在勘探工程指导方面，能精准规划探槽等工程位置与方向，提升勘探效率，降低成本。</w:t>
            </w:r>
          </w:p>
          <w:p w14:paraId="09DBB93C">
            <w:pPr>
              <w:pStyle w:val="53"/>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（3）1:25000化探测量</w:t>
            </w:r>
          </w:p>
          <w:p w14:paraId="131C21C4">
            <w:pPr>
              <w:pStyle w:val="53"/>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在探矿权工作范围内部署1:25000化探测量，为了大致了解成矿及伴生元素含量及地球化学分布特征，圈定地球化学异常，优选找矿靶区。</w:t>
            </w:r>
          </w:p>
          <w:p w14:paraId="05985903">
            <w:pPr>
              <w:pStyle w:val="53"/>
              <w:keepNext w:val="0"/>
              <w:keepLines w:val="0"/>
              <w:suppressLineNumbers w:val="0"/>
              <w:bidi w:val="0"/>
              <w:spacing w:before="0" w:beforeAutospacing="0" w:after="0" w:afterAutospacing="0"/>
              <w:ind w:left="0" w:right="0"/>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4</w:t>
            </w:r>
            <w:r>
              <w:rPr>
                <w:rFonts w:hint="default"/>
                <w:color w:val="000000" w:themeColor="text1"/>
                <w:sz w:val="24"/>
                <w:szCs w:val="24"/>
                <w:highlight w:val="none"/>
                <w:lang w:val="en-US" w:eastAsia="zh-CN"/>
                <w14:textFill>
                  <w14:solidFill>
                    <w14:schemeClr w14:val="tx1"/>
                  </w14:solidFill>
                </w14:textFill>
              </w:rPr>
              <w:t>）槽探</w:t>
            </w:r>
          </w:p>
          <w:p w14:paraId="6976D829">
            <w:pPr>
              <w:pStyle w:val="53"/>
              <w:keepNext w:val="0"/>
              <w:keepLines w:val="0"/>
              <w:suppressLineNumbers w:val="0"/>
              <w:bidi w:val="0"/>
              <w:spacing w:before="0" w:beforeAutospacing="0" w:after="0" w:afterAutospacing="0"/>
              <w:ind w:left="0" w:right="0"/>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本次设计槽探工作量</w:t>
            </w:r>
            <w:r>
              <w:rPr>
                <w:rFonts w:hint="eastAsia"/>
                <w:color w:val="000000" w:themeColor="text1"/>
                <w:sz w:val="24"/>
                <w:szCs w:val="24"/>
                <w:highlight w:val="none"/>
                <w:lang w:val="en-US" w:eastAsia="zh-CN"/>
                <w14:textFill>
                  <w14:solidFill>
                    <w14:schemeClr w14:val="tx1"/>
                  </w14:solidFill>
                </w14:textFill>
              </w:rPr>
              <w:t>4700</w:t>
            </w:r>
            <w:r>
              <w:rPr>
                <w:rFonts w:hint="default"/>
                <w:color w:val="000000" w:themeColor="text1"/>
                <w:sz w:val="24"/>
                <w:szCs w:val="24"/>
                <w:highlight w:val="none"/>
                <w:lang w:val="en-US" w:eastAsia="zh-CN"/>
                <w14:textFill>
                  <w14:solidFill>
                    <w14:schemeClr w14:val="tx1"/>
                  </w14:solidFill>
                </w14:textFill>
              </w:rPr>
              <w:t>立方米</w:t>
            </w:r>
            <w:r>
              <w:rPr>
                <w:rFonts w:hint="eastAsia"/>
                <w:color w:val="000000" w:themeColor="text1"/>
                <w:sz w:val="24"/>
                <w:szCs w:val="24"/>
                <w:highlight w:val="none"/>
                <w:lang w:val="en-US" w:eastAsia="zh-CN"/>
                <w14:textFill>
                  <w14:solidFill>
                    <w14:schemeClr w14:val="tx1"/>
                  </w14:solidFill>
                </w14:textFill>
              </w:rPr>
              <w:t>，共计35处探槽</w:t>
            </w:r>
            <w:r>
              <w:rPr>
                <w:rFonts w:hint="default"/>
                <w:color w:val="000000" w:themeColor="text1"/>
                <w:sz w:val="24"/>
                <w:szCs w:val="24"/>
                <w:highlight w:val="none"/>
                <w:lang w:val="en-US" w:eastAsia="zh-CN"/>
                <w14:textFill>
                  <w14:solidFill>
                    <w14:schemeClr w14:val="tx1"/>
                  </w14:solidFill>
                </w14:textFill>
              </w:rPr>
              <w:t>。用于揭露地表矿体、构造、重要地质界线，为深部钻探工程提供地质依据。</w:t>
            </w:r>
          </w:p>
          <w:p w14:paraId="69794076">
            <w:pPr>
              <w:pStyle w:val="53"/>
              <w:keepNext w:val="0"/>
              <w:keepLines w:val="0"/>
              <w:suppressLineNumbers w:val="0"/>
              <w:bidi w:val="0"/>
              <w:spacing w:before="0" w:beforeAutospacing="0" w:after="0" w:afterAutospacing="0"/>
              <w:ind w:left="0" w:right="0"/>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槽口平均宽1.</w:t>
            </w:r>
            <w:r>
              <w:rPr>
                <w:rFonts w:hint="eastAsia"/>
                <w:color w:val="000000" w:themeColor="text1"/>
                <w:sz w:val="24"/>
                <w:szCs w:val="24"/>
                <w:highlight w:val="none"/>
                <w:lang w:val="en-US" w:eastAsia="zh-CN"/>
                <w14:textFill>
                  <w14:solidFill>
                    <w14:schemeClr w14:val="tx1"/>
                  </w14:solidFill>
                </w14:textFill>
              </w:rPr>
              <w:t>5</w:t>
            </w:r>
            <w:r>
              <w:rPr>
                <w:rFonts w:hint="default"/>
                <w:color w:val="000000" w:themeColor="text1"/>
                <w:sz w:val="24"/>
                <w:szCs w:val="24"/>
                <w:highlight w:val="none"/>
                <w:lang w:val="en-US" w:eastAsia="zh-CN"/>
                <w14:textFill>
                  <w14:solidFill>
                    <w14:schemeClr w14:val="tx1"/>
                  </w14:solidFill>
                </w14:textFill>
              </w:rPr>
              <w:t>米～</w:t>
            </w:r>
            <w:r>
              <w:rPr>
                <w:rFonts w:hint="eastAsia"/>
                <w:color w:val="000000" w:themeColor="text1"/>
                <w:sz w:val="24"/>
                <w:szCs w:val="24"/>
                <w:highlight w:val="none"/>
                <w:lang w:val="en-US" w:eastAsia="zh-CN"/>
                <w14:textFill>
                  <w14:solidFill>
                    <w14:schemeClr w14:val="tx1"/>
                  </w14:solidFill>
                </w14:textFill>
              </w:rPr>
              <w:t>2.0</w:t>
            </w:r>
            <w:r>
              <w:rPr>
                <w:rFonts w:hint="default"/>
                <w:color w:val="000000" w:themeColor="text1"/>
                <w:sz w:val="24"/>
                <w:szCs w:val="24"/>
                <w:highlight w:val="none"/>
                <w:lang w:val="en-US" w:eastAsia="zh-CN"/>
                <w14:textFill>
                  <w14:solidFill>
                    <w14:schemeClr w14:val="tx1"/>
                  </w14:solidFill>
                </w14:textFill>
              </w:rPr>
              <w:t>米，底平均宽1.</w:t>
            </w:r>
            <w:r>
              <w:rPr>
                <w:rFonts w:hint="eastAsia"/>
                <w:color w:val="000000" w:themeColor="text1"/>
                <w:sz w:val="24"/>
                <w:szCs w:val="24"/>
                <w:highlight w:val="none"/>
                <w:lang w:val="en-US" w:eastAsia="zh-CN"/>
                <w14:textFill>
                  <w14:solidFill>
                    <w14:schemeClr w14:val="tx1"/>
                  </w14:solidFill>
                </w14:textFill>
              </w:rPr>
              <w:t>5</w:t>
            </w:r>
            <w:r>
              <w:rPr>
                <w:rFonts w:hint="default"/>
                <w:color w:val="000000" w:themeColor="text1"/>
                <w:sz w:val="24"/>
                <w:szCs w:val="24"/>
                <w:highlight w:val="none"/>
                <w:lang w:val="en-US" w:eastAsia="zh-CN"/>
                <w14:textFill>
                  <w14:solidFill>
                    <w14:schemeClr w14:val="tx1"/>
                  </w14:solidFill>
                </w14:textFill>
              </w:rPr>
              <w:t>米，平均深</w:t>
            </w:r>
            <w:r>
              <w:rPr>
                <w:rFonts w:hint="eastAsia"/>
                <w:color w:val="000000" w:themeColor="text1"/>
                <w:sz w:val="24"/>
                <w:szCs w:val="24"/>
                <w:highlight w:val="none"/>
                <w:lang w:val="en-US" w:eastAsia="zh-CN"/>
                <w14:textFill>
                  <w14:solidFill>
                    <w14:schemeClr w14:val="tx1"/>
                  </w14:solidFill>
                </w14:textFill>
              </w:rPr>
              <w:t>2</w:t>
            </w:r>
            <w:r>
              <w:rPr>
                <w:rFonts w:hint="default"/>
                <w:color w:val="000000" w:themeColor="text1"/>
                <w:sz w:val="24"/>
                <w:szCs w:val="24"/>
                <w:highlight w:val="none"/>
                <w:lang w:val="en-US" w:eastAsia="zh-CN"/>
                <w14:textFill>
                  <w14:solidFill>
                    <w14:schemeClr w14:val="tx1"/>
                  </w14:solidFill>
                </w14:textFill>
              </w:rPr>
              <w:t>米</w:t>
            </w:r>
            <w:r>
              <w:rPr>
                <w:rFonts w:hint="eastAsia"/>
                <w:color w:val="000000" w:themeColor="text1"/>
                <w:sz w:val="24"/>
                <w:szCs w:val="24"/>
                <w:highlight w:val="none"/>
                <w:lang w:val="en-US" w:eastAsia="zh-CN"/>
                <w14:textFill>
                  <w14:solidFill>
                    <w14:schemeClr w14:val="tx1"/>
                  </w14:solidFill>
                </w14:textFill>
              </w:rPr>
              <w:t>，</w:t>
            </w:r>
            <w:r>
              <w:rPr>
                <w:rFonts w:hint="default"/>
                <w:color w:val="000000" w:themeColor="text1"/>
                <w:sz w:val="24"/>
                <w:szCs w:val="24"/>
                <w:highlight w:val="none"/>
                <w:lang w:val="en-US" w:eastAsia="zh-CN"/>
                <w14:textFill>
                  <w14:solidFill>
                    <w14:schemeClr w14:val="tx1"/>
                  </w14:solidFill>
                </w14:textFill>
              </w:rPr>
              <w:t>槽探工程根据实际矿化蚀变带采用</w:t>
            </w:r>
            <w:r>
              <w:rPr>
                <w:rFonts w:hint="eastAsia"/>
                <w:color w:val="000000" w:themeColor="text1"/>
                <w:sz w:val="24"/>
                <w:szCs w:val="24"/>
                <w:highlight w:val="none"/>
                <w:lang w:val="en-US" w:eastAsia="zh-CN"/>
                <w14:textFill>
                  <w14:solidFill>
                    <w14:schemeClr w14:val="tx1"/>
                  </w14:solidFill>
                </w14:textFill>
              </w:rPr>
              <w:t>2</w:t>
            </w:r>
            <w:r>
              <w:rPr>
                <w:rFonts w:hint="default"/>
                <w:color w:val="000000" w:themeColor="text1"/>
                <w:sz w:val="24"/>
                <w:szCs w:val="24"/>
                <w:highlight w:val="none"/>
                <w:lang w:val="en-US" w:eastAsia="zh-CN"/>
                <w14:textFill>
                  <w14:solidFill>
                    <w14:schemeClr w14:val="tx1"/>
                  </w14:solidFill>
                </w14:textFill>
              </w:rPr>
              <w:t>00</w:t>
            </w:r>
            <w:r>
              <w:rPr>
                <w:rFonts w:hint="eastAsia"/>
                <w:color w:val="000000" w:themeColor="text1"/>
                <w:sz w:val="24"/>
                <w:szCs w:val="24"/>
                <w:highlight w:val="none"/>
                <w:lang w:val="en-US" w:eastAsia="zh-CN"/>
                <w14:textFill>
                  <w14:solidFill>
                    <w14:schemeClr w14:val="tx1"/>
                  </w14:solidFill>
                </w14:textFill>
              </w:rPr>
              <w:t>—3</w:t>
            </w:r>
            <w:r>
              <w:rPr>
                <w:rFonts w:hint="default"/>
                <w:color w:val="000000" w:themeColor="text1"/>
                <w:sz w:val="24"/>
                <w:szCs w:val="24"/>
                <w:highlight w:val="none"/>
                <w:lang w:val="en-US" w:eastAsia="zh-CN"/>
                <w14:textFill>
                  <w14:solidFill>
                    <w14:schemeClr w14:val="tx1"/>
                  </w14:solidFill>
                </w14:textFill>
              </w:rPr>
              <w:t>00m的工程间距对矿化体进行揭露控制。</w:t>
            </w:r>
          </w:p>
          <w:p w14:paraId="703BDA07">
            <w:pPr>
              <w:pStyle w:val="53"/>
              <w:keepNext w:val="0"/>
              <w:keepLines w:val="0"/>
              <w:suppressLineNumbers w:val="0"/>
              <w:bidi w:val="0"/>
              <w:spacing w:before="0" w:beforeAutospacing="0" w:after="0" w:afterAutospacing="0"/>
              <w:ind w:left="0" w:right="0"/>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（5）</w:t>
            </w:r>
            <w:r>
              <w:rPr>
                <w:rFonts w:hint="default"/>
                <w:color w:val="000000" w:themeColor="text1"/>
                <w:sz w:val="24"/>
                <w:szCs w:val="24"/>
                <w:highlight w:val="none"/>
                <w:lang w:val="en-US" w:eastAsia="zh-CN"/>
                <w14:textFill>
                  <w14:solidFill>
                    <w14:schemeClr w14:val="tx1"/>
                  </w14:solidFill>
                </w14:textFill>
              </w:rPr>
              <w:t>钻探</w:t>
            </w:r>
          </w:p>
          <w:p w14:paraId="6AF3CEDA">
            <w:pPr>
              <w:pStyle w:val="53"/>
              <w:keepNext w:val="0"/>
              <w:keepLines w:val="0"/>
              <w:suppressLineNumbers w:val="0"/>
              <w:bidi w:val="0"/>
              <w:spacing w:before="0" w:beforeAutospacing="0" w:after="0" w:afterAutospacing="0"/>
              <w:ind w:left="0" w:right="0"/>
              <w:rPr>
                <w:rFonts w:hint="default"/>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共钻探</w:t>
            </w:r>
            <w:r>
              <w:rPr>
                <w:rFonts w:hint="eastAsia" w:eastAsia="华文中宋" w:cs="Times New Roman"/>
                <w:color w:val="000000" w:themeColor="text1"/>
                <w:sz w:val="24"/>
                <w:szCs w:val="24"/>
                <w:highlight w:val="none"/>
                <w:lang w:val="en-US" w:eastAsia="zh-CN"/>
                <w14:textFill>
                  <w14:solidFill>
                    <w14:schemeClr w14:val="tx1"/>
                  </w14:solidFill>
                </w14:textFill>
              </w:rPr>
              <w:t>4200</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米，共2</w:t>
            </w:r>
            <w:r>
              <w:rPr>
                <w:rFonts w:hint="eastAsia" w:eastAsia="华文中宋"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个孔，钻孔平均孔深</w:t>
            </w:r>
            <w:r>
              <w:rPr>
                <w:rFonts w:hint="eastAsia" w:eastAsia="华文中宋" w:cs="Times New Roman"/>
                <w:color w:val="000000" w:themeColor="text1"/>
                <w:sz w:val="24"/>
                <w:szCs w:val="24"/>
                <w:highlight w:val="none"/>
                <w:lang w:val="en-US" w:eastAsia="zh-CN"/>
                <w14:textFill>
                  <w14:solidFill>
                    <w14:schemeClr w14:val="tx1"/>
                  </w14:solidFill>
                </w14:textFill>
              </w:rPr>
              <w:t>100—300</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米，</w:t>
            </w:r>
            <w:r>
              <w:rPr>
                <w:rFonts w:hint="eastAsia" w:eastAsia="华文中宋" w:cs="Times New Roman"/>
                <w:color w:val="000000" w:themeColor="text1"/>
                <w:sz w:val="24"/>
                <w:szCs w:val="24"/>
                <w:highlight w:val="none"/>
                <w:lang w:val="en-US" w:eastAsia="zh-CN"/>
                <w14:textFill>
                  <w14:solidFill>
                    <w14:schemeClr w14:val="tx1"/>
                  </w14:solidFill>
                </w14:textFill>
              </w:rPr>
              <w:t>设计钻孔孔径75mm，</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倾角85</w:t>
            </w:r>
            <w:r>
              <w:rPr>
                <w:rFonts w:hint="eastAsia" w:eastAsia="华文中宋"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，目的是验证物探异常，对矿体进行深部控制，对主要矿</w:t>
            </w:r>
            <w:r>
              <w:rPr>
                <w:rFonts w:hint="eastAsia" w:eastAsia="华文中宋"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化</w:t>
            </w:r>
            <w:r>
              <w:rPr>
                <w:rFonts w:hint="eastAsia" w:eastAsia="华文中宋"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体成矿远景进行初步查明。钻孔间距</w:t>
            </w:r>
            <w:r>
              <w:rPr>
                <w:rFonts w:hint="eastAsia" w:ascii="Times New Roman" w:hAnsi="Times New Roman" w:eastAsia="华文中宋" w:cs="Times New Roman"/>
                <w:color w:val="000000" w:themeColor="text1"/>
                <w:sz w:val="24"/>
                <w:szCs w:val="24"/>
                <w:highlight w:val="none"/>
                <w:lang w:val="en-US" w:eastAsia="zh-CN"/>
                <w14:textFill>
                  <w14:solidFill>
                    <w14:schemeClr w14:val="tx1"/>
                  </w14:solidFill>
                </w14:textFill>
              </w:rPr>
              <w:t>按</w:t>
            </w:r>
            <w:r>
              <w:rPr>
                <w:rFonts w:hint="eastAsia" w:eastAsia="华文中宋" w:cs="Times New Roman"/>
                <w:color w:val="000000" w:themeColor="text1"/>
                <w:sz w:val="24"/>
                <w:szCs w:val="24"/>
                <w:highlight w:val="none"/>
                <w:lang w:val="en-US" w:eastAsia="zh-CN"/>
                <w14:textFill>
                  <w14:solidFill>
                    <w14:schemeClr w14:val="tx1"/>
                  </w14:solidFill>
                </w14:textFill>
              </w:rPr>
              <w:t>50—500</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米工程间距施工钻探</w:t>
            </w:r>
            <w:r>
              <w:rPr>
                <w:rFonts w:hint="eastAsia" w:ascii="Times New Roman" w:hAnsi="Times New Roman" w:eastAsia="华文中宋" w:cs="Times New Roman"/>
                <w:color w:val="000000" w:themeColor="text1"/>
                <w:sz w:val="24"/>
                <w:szCs w:val="24"/>
                <w:highlight w:val="none"/>
                <w:lang w:val="en-US" w:eastAsia="zh-CN"/>
                <w14:textFill>
                  <w14:solidFill>
                    <w14:schemeClr w14:val="tx1"/>
                  </w14:solidFill>
                </w14:textFill>
              </w:rPr>
              <w:t>。</w:t>
            </w:r>
          </w:p>
          <w:p w14:paraId="04E36CA3">
            <w:pPr>
              <w:pStyle w:val="53"/>
              <w:keepNext w:val="0"/>
              <w:keepLines w:val="0"/>
              <w:suppressLineNumbers w:val="0"/>
              <w:bidi w:val="0"/>
              <w:spacing w:before="0" w:beforeAutospacing="0" w:after="0" w:afterAutospacing="0"/>
              <w:ind w:left="0" w:right="0"/>
              <w:rPr>
                <w:rFonts w:hint="default"/>
                <w:color w:val="000000" w:themeColor="text1"/>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钻孔均应进行简易水文观测，每小班选择1-2回次，提</w:t>
            </w:r>
            <w:r>
              <w:rPr>
                <w:rFonts w:hint="eastAsia"/>
                <w:color w:val="000000" w:themeColor="text1"/>
                <w:highlight w:val="none"/>
                <w:lang w:val="en-US" w:eastAsia="zh-CN"/>
                <w14:textFill>
                  <w14:solidFill>
                    <w14:schemeClr w14:val="tx1"/>
                  </w14:solidFill>
                </w14:textFill>
              </w:rPr>
              <w:t>钻前、下钻前各测量一次水位，间隔时间应大于5分钟。观测内容一般包括：孔内静止水位、冲洗液消耗量、涌水位置、涌水量及水头高度、漏失位置和漏失量等，钻进过程中若遇到掉块、坍塌及钻具掉落等异常现象时，应及时记录其深度以便于处理。</w:t>
            </w:r>
          </w:p>
          <w:p w14:paraId="464EA87B">
            <w:pPr>
              <w:pStyle w:val="55"/>
              <w:bidi w:val="0"/>
              <w:ind w:firstLine="482"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2.8.2</w:t>
            </w:r>
            <w:r>
              <w:rPr>
                <w:rFonts w:hint="default"/>
                <w:color w:val="000000" w:themeColor="text1"/>
                <w:highlight w:val="none"/>
                <w:lang w:val="en-US" w:eastAsia="zh-CN"/>
                <w14:textFill>
                  <w14:solidFill>
                    <w14:schemeClr w14:val="tx1"/>
                  </w14:solidFill>
                </w14:textFill>
              </w:rPr>
              <w:t>样品采集</w:t>
            </w:r>
          </w:p>
          <w:p w14:paraId="7240CA74">
            <w:pPr>
              <w:pStyle w:val="53"/>
              <w:rPr>
                <w:color w:val="000000" w:themeColor="text1"/>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本次工作设计采取基本分析样、基岩光谱分析样等，样品合计4350件。设计样品数可根据野外实际情况，以达到地质目的为原则，可做适当增减或调整。采样位置用铁丝加红布条实地标注，并在样品两端用记号笔标记箭头指示采样方向，由专人负责检查，满足地质规范要求。探槽编录、采样验收合格后开展槽探回填、场地平整工作。本次探矿只包含取样工作，现场不设化验实验室，样品测试工作交由外部有资质实验室承担</w:t>
            </w:r>
            <w:r>
              <w:rPr>
                <w:rFonts w:hint="eastAsia" w:ascii="Times New Roman" w:hAnsi="Times New Roman" w:eastAsia="宋体" w:cs="宋体"/>
                <w:color w:val="000000" w:themeColor="text1"/>
                <w:highlight w:val="none"/>
                <w:lang w:val="en-US" w:eastAsia="zh-CN"/>
                <w14:textFill>
                  <w14:solidFill>
                    <w14:schemeClr w14:val="tx1"/>
                  </w14:solidFill>
                </w14:textFill>
              </w:rPr>
              <w:t>。</w:t>
            </w:r>
          </w:p>
          <w:p w14:paraId="20B16443">
            <w:pPr>
              <w:pStyle w:val="55"/>
              <w:bidi w:val="0"/>
              <w:ind w:firstLine="482"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2.8.3</w:t>
            </w:r>
            <w:r>
              <w:rPr>
                <w:rFonts w:hint="default"/>
                <w:color w:val="000000" w:themeColor="text1"/>
                <w:highlight w:val="none"/>
                <w:lang w:val="en-US" w:eastAsia="zh-CN"/>
                <w14:textFill>
                  <w14:solidFill>
                    <w14:schemeClr w14:val="tx1"/>
                  </w14:solidFill>
                </w14:textFill>
              </w:rPr>
              <w:t>样品加工</w:t>
            </w:r>
          </w:p>
          <w:p w14:paraId="52DD662C">
            <w:pPr>
              <w:pStyle w:val="53"/>
              <w:rPr>
                <w:rFonts w:hint="eastAsia" w:ascii="Times New Roman" w:hAnsi="Times New Roman" w:eastAsia="华文中宋" w:cs="Times New Roman"/>
                <w:color w:val="000000" w:themeColor="text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highlight w:val="none"/>
                <w:lang w:val="en-US" w:eastAsia="zh-CN"/>
                <w14:textFill>
                  <w14:solidFill>
                    <w14:schemeClr w14:val="tx1"/>
                  </w14:solidFill>
                </w14:textFill>
              </w:rPr>
              <w:t>野外采集样品运输至现场样品加工点开展样品加工，现场仅</w:t>
            </w:r>
            <w:r>
              <w:rPr>
                <w:rFonts w:hint="eastAsia" w:eastAsia="华文中宋" w:cs="Times New Roman"/>
                <w:color w:val="000000" w:themeColor="text1"/>
                <w:highlight w:val="none"/>
                <w:lang w:val="en-US" w:eastAsia="zh-CN"/>
                <w14:textFill>
                  <w14:solidFill>
                    <w14:schemeClr w14:val="tx1"/>
                  </w14:solidFill>
                </w14:textFill>
              </w:rPr>
              <w:t>对样品编号、分装</w:t>
            </w:r>
            <w:r>
              <w:rPr>
                <w:rFonts w:hint="default" w:ascii="Times New Roman" w:hAnsi="Times New Roman" w:eastAsia="华文中宋" w:cs="Times New Roman"/>
                <w:color w:val="000000" w:themeColor="text1"/>
                <w:highlight w:val="none"/>
                <w:lang w:val="en-US" w:eastAsia="zh-CN"/>
                <w14:textFill>
                  <w14:solidFill>
                    <w14:schemeClr w14:val="tx1"/>
                  </w14:solidFill>
                </w14:textFill>
              </w:rPr>
              <w:t>，一部分留样保存，一部分送具备资质的外部实验室开展分析测试。</w:t>
            </w:r>
          </w:p>
          <w:p w14:paraId="71C0C1D7">
            <w:pPr>
              <w:pStyle w:val="55"/>
              <w:bidi w:val="0"/>
              <w:ind w:firstLine="482"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2.8.4</w:t>
            </w:r>
            <w:r>
              <w:rPr>
                <w:rFonts w:hint="default"/>
                <w:color w:val="000000" w:themeColor="text1"/>
                <w:highlight w:val="none"/>
                <w:lang w:val="en-US" w:eastAsia="zh-CN"/>
                <w14:textFill>
                  <w14:solidFill>
                    <w14:schemeClr w14:val="tx1"/>
                  </w14:solidFill>
                </w14:textFill>
              </w:rPr>
              <w:t>岩矿鉴定与实验</w:t>
            </w:r>
          </w:p>
          <w:p w14:paraId="29F8AA45">
            <w:pPr>
              <w:pStyle w:val="53"/>
              <w:rPr>
                <w:rFonts w:hint="default" w:ascii="Times New Roman" w:hAnsi="Times New Roman" w:eastAsia="华文中宋" w:cs="Times New Roman"/>
                <w:color w:val="000000" w:themeColor="text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highlight w:val="none"/>
                <w:lang w:val="en-US" w:eastAsia="zh-CN"/>
                <w14:textFill>
                  <w14:solidFill>
                    <w14:schemeClr w14:val="tx1"/>
                  </w14:solidFill>
                </w14:textFill>
              </w:rPr>
              <w:t>本次工作岩矿鉴定与试验工作包含薄片制片与鉴定38片、光片制片与鉴定38片、小体重测试19件。薄片用于岩石矿物组分、结构构造观察；光片用于金属矿物镜下鉴定；小体重测试获取矿石体重参数，为资源量估算提供基础参数。项目现场不开展镜下鉴定及小体重测试，全部委托具备资质的外部实验室完成。</w:t>
            </w:r>
          </w:p>
          <w:p w14:paraId="5845752F">
            <w:pPr>
              <w:pStyle w:val="55"/>
              <w:bidi w:val="0"/>
              <w:ind w:firstLine="482"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w:t>
            </w:r>
            <w:r>
              <w:rPr>
                <w:rFonts w:hint="default"/>
                <w:color w:val="000000" w:themeColor="text1"/>
                <w:highlight w:val="none"/>
                <w:lang w:val="en-US" w:eastAsia="zh-CN"/>
                <w14:textFill>
                  <w14:solidFill>
                    <w14:schemeClr w14:val="tx1"/>
                  </w14:solidFill>
                </w14:textFill>
              </w:rPr>
              <w:t>勘探</w:t>
            </w:r>
            <w:r>
              <w:rPr>
                <w:rFonts w:hint="eastAsia"/>
                <w:color w:val="000000" w:themeColor="text1"/>
                <w:highlight w:val="none"/>
                <w:lang w:val="en-US" w:eastAsia="zh-CN"/>
                <w14:textFill>
                  <w14:solidFill>
                    <w14:schemeClr w14:val="tx1"/>
                  </w14:solidFill>
                </w14:textFill>
              </w:rPr>
              <w:t>施工</w:t>
            </w:r>
            <w:r>
              <w:rPr>
                <w:rFonts w:hint="default"/>
                <w:color w:val="000000" w:themeColor="text1"/>
                <w:highlight w:val="none"/>
                <w:lang w:val="en-US" w:eastAsia="zh-CN"/>
                <w14:textFill>
                  <w14:solidFill>
                    <w14:schemeClr w14:val="tx1"/>
                  </w14:solidFill>
                </w14:textFill>
              </w:rPr>
              <w:t>简述</w:t>
            </w:r>
          </w:p>
          <w:p w14:paraId="668C3A61">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勘探期主要包括槽探和钻探，工程实施过程中主要污染来自槽探和钻探过程中</w:t>
            </w:r>
            <w:r>
              <w:rPr>
                <w:rFonts w:hint="eastAsia" w:cs="Times New Roman"/>
                <w:color w:val="000000" w:themeColor="text1"/>
                <w:highlight w:val="none"/>
                <w:lang w:val="en-US" w:eastAsia="zh-CN"/>
                <w14:textFill>
                  <w14:solidFill>
                    <w14:schemeClr w14:val="tx1"/>
                  </w14:solidFill>
                </w14:textFill>
              </w:rPr>
              <w:t>的</w:t>
            </w:r>
            <w:r>
              <w:rPr>
                <w:rFonts w:hint="default" w:ascii="Times New Roman" w:hAnsi="Times New Roman" w:cs="Times New Roman"/>
                <w:color w:val="000000" w:themeColor="text1"/>
                <w:highlight w:val="none"/>
                <w:lang w:val="en-US" w:eastAsia="zh-CN"/>
                <w14:textFill>
                  <w14:solidFill>
                    <w14:schemeClr w14:val="tx1"/>
                  </w14:solidFill>
                </w14:textFill>
              </w:rPr>
              <w:t>扬尘、机械噪声、工程弃渣及工作人员生活过程中产生的生活污水和生活垃圾</w:t>
            </w:r>
            <w:r>
              <w:rPr>
                <w:rFonts w:hint="default" w:ascii="Times New Roman" w:hAnsi="Times New Roman" w:cs="Times New Roman"/>
                <w:color w:val="000000" w:themeColor="text1"/>
                <w:highlight w:val="none"/>
                <w14:textFill>
                  <w14:solidFill>
                    <w14:schemeClr w14:val="tx1"/>
                  </w14:solidFill>
                </w14:textFill>
              </w:rPr>
              <w:t>。</w:t>
            </w:r>
          </w:p>
          <w:p w14:paraId="6131EE96">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2.9.1</w:t>
            </w:r>
            <w:r>
              <w:rPr>
                <w:rFonts w:hint="default" w:ascii="Times New Roman" w:hAnsi="Times New Roman" w:cs="Times New Roman"/>
                <w:color w:val="000000" w:themeColor="text1"/>
                <w:highlight w:val="none"/>
                <w:lang w:val="en-US" w:eastAsia="zh-CN"/>
                <w14:textFill>
                  <w14:solidFill>
                    <w14:schemeClr w14:val="tx1"/>
                  </w14:solidFill>
                </w14:textFill>
              </w:rPr>
              <w:t>槽探</w:t>
            </w:r>
          </w:p>
          <w:p w14:paraId="077B037E">
            <w:pPr>
              <w:pStyle w:val="61"/>
              <w:bidi w:val="0"/>
              <w:jc w:val="center"/>
              <w:rPr>
                <w:rFonts w:hint="default" w:ascii="Times New Roman" w:hAnsi="Times New Roman" w:eastAsia="宋体" w:cs="Times New Roman"/>
                <w:b/>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042535" cy="1948180"/>
                  <wp:effectExtent l="0" t="0" r="5715" b="1397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5042535" cy="1948180"/>
                          </a:xfrm>
                          <a:prstGeom prst="rect">
                            <a:avLst/>
                          </a:prstGeom>
                          <a:noFill/>
                          <a:ln>
                            <a:noFill/>
                          </a:ln>
                        </pic:spPr>
                      </pic:pic>
                    </a:graphicData>
                  </a:graphic>
                </wp:inline>
              </w:drawing>
            </w:r>
          </w:p>
          <w:p w14:paraId="35B576B2">
            <w:pPr>
              <w:pStyle w:val="61"/>
              <w:bidi w:val="0"/>
              <w:jc w:val="center"/>
              <w:rPr>
                <w:rFonts w:hint="default" w:ascii="Times New Roman" w:hAnsi="Times New Roman" w:eastAsia="宋体" w:cs="Times New Roman"/>
                <w:b/>
                <w:color w:val="000000" w:themeColor="text1"/>
                <w:kern w:val="0"/>
                <w:szCs w:val="21"/>
                <w:highlight w:val="none"/>
                <w14:textFill>
                  <w14:solidFill>
                    <w14:schemeClr w14:val="tx1"/>
                  </w14:solidFill>
                </w14:textFill>
              </w:rPr>
            </w:pPr>
          </w:p>
          <w:p w14:paraId="3E3CA67F">
            <w:pPr>
              <w:pStyle w:val="61"/>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图2-</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槽探施工流程及产污环节示意图</w:t>
            </w:r>
          </w:p>
          <w:p w14:paraId="6325CCBB">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槽探施工首先进行表土剥离作业，接着开展槽探开挖，该过程会产生扬尘、噪声污染；同时存在</w:t>
            </w:r>
            <w:r>
              <w:rPr>
                <w:rFonts w:hint="eastAsia" w:ascii="Times New Roman" w:hAnsi="Times New Roman" w:cs="Times New Roman"/>
                <w:color w:val="000000" w:themeColor="text1"/>
                <w:highlight w:val="none"/>
                <w:lang w:val="en-US" w:eastAsia="zh-CN"/>
                <w14:textFill>
                  <w14:solidFill>
                    <w14:schemeClr w14:val="tx1"/>
                  </w14:solidFill>
                </w14:textFill>
              </w:rPr>
              <w:t>开挖土石方</w:t>
            </w:r>
            <w:r>
              <w:rPr>
                <w:rFonts w:hint="default" w:ascii="Times New Roman" w:hAnsi="Times New Roman" w:cs="Times New Roman"/>
                <w:color w:val="000000" w:themeColor="text1"/>
                <w:highlight w:val="none"/>
                <w:lang w:val="en-US" w:eastAsia="zh-CN"/>
                <w14:textFill>
                  <w14:solidFill>
                    <w14:schemeClr w14:val="tx1"/>
                  </w14:solidFill>
                </w14:textFill>
              </w:rPr>
              <w:t>，还会造成景观、植被破坏以及水土流失问题。之后对相关内容取样、编录，最后将土石方回填，回填时会产生扬尘、噪声污染。</w:t>
            </w:r>
          </w:p>
          <w:p w14:paraId="6CF60A2D">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剥离的表土和开挖</w:t>
            </w:r>
            <w:r>
              <w:rPr>
                <w:rFonts w:hint="eastAsia" w:cs="Times New Roman"/>
                <w:color w:val="000000" w:themeColor="text1"/>
                <w:highlight w:val="none"/>
                <w:lang w:val="en-US" w:eastAsia="zh-CN"/>
                <w14:textFill>
                  <w14:solidFill>
                    <w14:schemeClr w14:val="tx1"/>
                  </w14:solidFill>
                </w14:textFill>
              </w:rPr>
              <w:t>土石方</w:t>
            </w:r>
            <w:r>
              <w:rPr>
                <w:rFonts w:hint="default" w:ascii="Times New Roman" w:hAnsi="Times New Roman" w:cs="Times New Roman"/>
                <w:color w:val="000000" w:themeColor="text1"/>
                <w:highlight w:val="none"/>
                <w:lang w:val="en-US" w:eastAsia="zh-CN"/>
                <w14:textFill>
                  <w14:solidFill>
                    <w14:schemeClr w14:val="tx1"/>
                  </w14:solidFill>
                </w14:textFill>
              </w:rPr>
              <w:t>分层堆存在探槽一侧，使用彩条布苫盖。施工结束后表土及开挖</w:t>
            </w:r>
            <w:r>
              <w:rPr>
                <w:rFonts w:hint="eastAsia" w:cs="Times New Roman"/>
                <w:color w:val="000000" w:themeColor="text1"/>
                <w:highlight w:val="none"/>
                <w:lang w:val="en-US" w:eastAsia="zh-CN"/>
                <w14:textFill>
                  <w14:solidFill>
                    <w14:schemeClr w14:val="tx1"/>
                  </w14:solidFill>
                </w14:textFill>
              </w:rPr>
              <w:t>土石方</w:t>
            </w:r>
            <w:r>
              <w:rPr>
                <w:rFonts w:hint="default" w:ascii="Times New Roman" w:hAnsi="Times New Roman" w:cs="Times New Roman"/>
                <w:color w:val="000000" w:themeColor="text1"/>
                <w:highlight w:val="none"/>
                <w:lang w:val="en-US" w:eastAsia="zh-CN"/>
                <w14:textFill>
                  <w14:solidFill>
                    <w14:schemeClr w14:val="tx1"/>
                  </w14:solidFill>
                </w14:textFill>
              </w:rPr>
              <w:t>全部回填探槽。</w:t>
            </w:r>
          </w:p>
          <w:p w14:paraId="5E09E63D">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2.9.2</w:t>
            </w:r>
            <w:r>
              <w:rPr>
                <w:rFonts w:hint="default" w:ascii="Times New Roman" w:hAnsi="Times New Roman" w:cs="Times New Roman"/>
                <w:color w:val="000000" w:themeColor="text1"/>
                <w:highlight w:val="none"/>
                <w:lang w:val="en-US" w:eastAsia="zh-CN"/>
                <w14:textFill>
                  <w14:solidFill>
                    <w14:schemeClr w14:val="tx1"/>
                  </w14:solidFill>
                </w14:textFill>
              </w:rPr>
              <w:t>钻探</w:t>
            </w:r>
          </w:p>
          <w:p w14:paraId="0A8AB9AF">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color w:val="000000" w:themeColor="text1"/>
                <w:highlight w:val="none"/>
                <w:lang w:val="en-US"/>
                <w14:textFill>
                  <w14:solidFill>
                    <w14:schemeClr w14:val="tx1"/>
                  </w14:solidFill>
                </w14:textFill>
              </w:rPr>
              <w:drawing>
                <wp:anchor distT="0" distB="0" distL="114300" distR="114300" simplePos="0" relativeHeight="251659264" behindDoc="1" locked="0" layoutInCell="1" allowOverlap="1">
                  <wp:simplePos x="0" y="0"/>
                  <wp:positionH relativeFrom="column">
                    <wp:posOffset>-88900</wp:posOffset>
                  </wp:positionH>
                  <wp:positionV relativeFrom="paragraph">
                    <wp:posOffset>88900</wp:posOffset>
                  </wp:positionV>
                  <wp:extent cx="5046980" cy="1896745"/>
                  <wp:effectExtent l="0" t="0" r="1270" b="8255"/>
                  <wp:wrapNone/>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
                          <a:stretch>
                            <a:fillRect/>
                          </a:stretch>
                        </pic:blipFill>
                        <pic:spPr>
                          <a:xfrm>
                            <a:off x="0" y="0"/>
                            <a:ext cx="5046980" cy="1896745"/>
                          </a:xfrm>
                          <a:prstGeom prst="rect">
                            <a:avLst/>
                          </a:prstGeom>
                          <a:noFill/>
                          <a:ln>
                            <a:noFill/>
                          </a:ln>
                        </pic:spPr>
                      </pic:pic>
                    </a:graphicData>
                  </a:graphic>
                </wp:anchor>
              </w:drawing>
            </w:r>
          </w:p>
          <w:p w14:paraId="783FBB5C">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p>
          <w:p w14:paraId="4AFD1134">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p>
          <w:p w14:paraId="09D82882">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p>
          <w:p w14:paraId="1567333A">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p>
          <w:p w14:paraId="265D88CD">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p>
          <w:p w14:paraId="034C15F4">
            <w:pPr>
              <w:pStyle w:val="61"/>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图2-</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钻探施工流程及产污环节示意图</w:t>
            </w:r>
          </w:p>
          <w:p w14:paraId="44628DFE">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工艺流程简述：</w:t>
            </w:r>
          </w:p>
          <w:p w14:paraId="06DCD5B6">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测量工作：测量包括地形测量和地质测量，主要是对钻孔等探矿工程采用经纬仪或全站仪进行精确定位。平面坐标系采用2000年坐标系，高程控制采用1985年黄海高程系，工作精度为精测。工作要求：钻孔定位经三测（初测、定测、复测）。</w:t>
            </w:r>
          </w:p>
          <w:p w14:paraId="4D7A1130">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（2）钻探工作：按照勘查区勘探工作程度要求，钻探工程用于揭露控制矿体倾斜延伸深部变化情况，探获各类资源量。钻探的施工方式为钻机施工，钻孔液为水基，钻孔设置抽水泵，不断将</w:t>
            </w:r>
            <w:r>
              <w:rPr>
                <w:rFonts w:hint="eastAsia" w:cs="Times New Roman"/>
                <w:color w:val="000000" w:themeColor="text1"/>
                <w:highlight w:val="none"/>
                <w:lang w:val="en-US" w:eastAsia="zh-CN"/>
                <w14:textFill>
                  <w14:solidFill>
                    <w14:schemeClr w14:val="tx1"/>
                  </w14:solidFill>
                </w14:textFill>
              </w:rPr>
              <w:t>这部分</w:t>
            </w:r>
            <w:r>
              <w:rPr>
                <w:rFonts w:hint="default" w:ascii="Times New Roman" w:hAnsi="Times New Roman" w:cs="Times New Roman"/>
                <w:color w:val="000000" w:themeColor="text1"/>
                <w:highlight w:val="none"/>
                <w:lang w:val="en-US" w:eastAsia="zh-CN"/>
                <w14:textFill>
                  <w14:solidFill>
                    <w14:schemeClr w14:val="tx1"/>
                  </w14:solidFill>
                </w14:textFill>
              </w:rPr>
              <w:t>水注入钻杆从而形成循环水。</w:t>
            </w:r>
          </w:p>
          <w:p w14:paraId="7F0D46C8">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样品的布置以控制主矿体及矿化为目的，采样位置用铁丝加红布条实地标注，并在样品两端用记号笔标记箭头指示采样方向，由专人负责检查，满足地质规范要求，验收合格后进行槽探回填</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平整。</w:t>
            </w:r>
          </w:p>
          <w:p w14:paraId="73E91346">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（4）采样：样品采集工作方法和技术要求执行《固体矿产样品采集规范》，各样品采集和送检过程中，严格采取防止污染、混淆、遗失的有效措施。样品采集后及时送有资质的化验测试单位进行矿石化验测试。</w:t>
            </w:r>
          </w:p>
          <w:p w14:paraId="26693353">
            <w:pPr>
              <w:pStyle w:val="53"/>
              <w:bidi w:val="0"/>
              <w:rPr>
                <w:rStyle w:val="52"/>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highlight w:val="none"/>
                <w:lang w:val="en-US" w:eastAsia="zh-CN"/>
                <w14:textFill>
                  <w14:solidFill>
                    <w14:schemeClr w14:val="tx1"/>
                  </w14:solidFill>
                </w14:textFill>
              </w:rPr>
              <w:t>（5）就地回填：作业结束后，及时拆除施工设备和设施，将开挖的碎石回填，同时利用表土进行覆盖，逐步复原生态环境</w:t>
            </w:r>
            <w:r>
              <w:rPr>
                <w:rStyle w:val="52"/>
                <w:rFonts w:hint="default" w:ascii="Times New Roman" w:hAnsi="Times New Roman" w:cs="Times New Roman"/>
                <w:color w:val="000000" w:themeColor="text1"/>
                <w:highlight w:val="none"/>
                <w:lang w:val="en-US" w:eastAsia="zh-CN"/>
                <w14:textFill>
                  <w14:solidFill>
                    <w14:schemeClr w14:val="tx1"/>
                  </w14:solidFill>
                </w14:textFill>
              </w:rPr>
              <w:t>。</w:t>
            </w:r>
          </w:p>
          <w:p w14:paraId="1B1A6580">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Style w:val="52"/>
                <w:rFonts w:hint="eastAsia" w:cs="Times New Roman"/>
                <w:color w:val="000000" w:themeColor="text1"/>
                <w:highlight w:val="none"/>
                <w:lang w:val="en-US" w:eastAsia="zh-CN"/>
                <w14:textFill>
                  <w14:solidFill>
                    <w14:schemeClr w14:val="tx1"/>
                  </w14:solidFill>
                </w14:textFill>
              </w:rPr>
              <w:t>钻探过程产生少量扬尘，</w:t>
            </w:r>
            <w:r>
              <w:rPr>
                <w:rStyle w:val="52"/>
                <w:rFonts w:hint="default" w:ascii="Times New Roman" w:hAnsi="Times New Roman" w:cs="Times New Roman"/>
                <w:color w:val="000000" w:themeColor="text1"/>
                <w:highlight w:val="none"/>
                <w:lang w:val="en-US" w:eastAsia="zh-CN"/>
                <w14:textFill>
                  <w14:solidFill>
                    <w14:schemeClr w14:val="tx1"/>
                  </w14:solidFill>
                </w14:textFill>
              </w:rPr>
              <w:t>在钻孔</w:t>
            </w:r>
            <w:r>
              <w:rPr>
                <w:rStyle w:val="52"/>
                <w:rFonts w:hint="eastAsia" w:cs="Times New Roman"/>
                <w:color w:val="000000" w:themeColor="text1"/>
                <w:highlight w:val="none"/>
                <w:lang w:val="en-US" w:eastAsia="zh-CN"/>
                <w14:textFill>
                  <w14:solidFill>
                    <w14:schemeClr w14:val="tx1"/>
                  </w14:solidFill>
                </w14:textFill>
              </w:rPr>
              <w:t>附近</w:t>
            </w:r>
            <w:r>
              <w:rPr>
                <w:rStyle w:val="52"/>
                <w:rFonts w:hint="default" w:ascii="Times New Roman" w:hAnsi="Times New Roman" w:cs="Times New Roman"/>
                <w:color w:val="000000" w:themeColor="text1"/>
                <w:highlight w:val="none"/>
                <w:lang w:val="en-US" w:eastAsia="zh-CN"/>
                <w14:textFill>
                  <w14:solidFill>
                    <w14:schemeClr w14:val="tx1"/>
                  </w14:solidFill>
                </w14:textFill>
              </w:rPr>
              <w:t>设置沉淀池（做防渗处理），处理钻孔时产生的泥浆废水，泥浆废水经沉淀后循环使用。钻探施工时需进行表土剥离和钻孔，会产生泥浆、岩屑等固废。设备使用完毕后进行冲洗，会产生沉渣。钻井泥浆、岩屑、沉淀池沉渣</w:t>
            </w:r>
            <w:r>
              <w:rPr>
                <w:rStyle w:val="52"/>
                <w:rFonts w:hint="eastAsia" w:cs="Times New Roman"/>
                <w:color w:val="000000" w:themeColor="text1"/>
                <w:highlight w:val="none"/>
                <w:lang w:val="en-US" w:eastAsia="zh-CN"/>
                <w14:textFill>
                  <w14:solidFill>
                    <w14:schemeClr w14:val="tx1"/>
                  </w14:solidFill>
                </w14:textFill>
              </w:rPr>
              <w:t>在现场进行</w:t>
            </w:r>
            <w:r>
              <w:rPr>
                <w:rStyle w:val="52"/>
                <w:rFonts w:hint="default" w:ascii="Times New Roman" w:hAnsi="Times New Roman" w:cs="Times New Roman"/>
                <w:color w:val="000000" w:themeColor="text1"/>
                <w:highlight w:val="none"/>
                <w:lang w:val="en-US" w:eastAsia="zh-CN"/>
                <w14:textFill>
                  <w14:solidFill>
                    <w14:schemeClr w14:val="tx1"/>
                  </w14:solidFill>
                </w14:textFill>
              </w:rPr>
              <w:t>收集、暂存（采取防渗、防雨、防扬散措施），待勘探结束后，</w:t>
            </w:r>
            <w:r>
              <w:rPr>
                <w:rStyle w:val="52"/>
                <w:rFonts w:hint="eastAsia" w:cs="Times New Roman"/>
                <w:color w:val="000000" w:themeColor="text1"/>
                <w:highlight w:val="none"/>
                <w:lang w:val="en-US" w:eastAsia="zh-CN"/>
                <w14:textFill>
                  <w14:solidFill>
                    <w14:schemeClr w14:val="tx1"/>
                  </w14:solidFill>
                </w14:textFill>
              </w:rPr>
              <w:t>钻井泥浆固化完成后就地填埋；若鉴别判定属于危险废物，须委托巴州具备相应危废资质的单位处置，执行危险废物转移联单</w:t>
            </w:r>
            <w:r>
              <w:rPr>
                <w:rStyle w:val="52"/>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本次调查只包含取样工作，现场不设实验室，化验工作交由实验室承担。</w:t>
            </w:r>
          </w:p>
          <w:p w14:paraId="40C62341">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2.9.3</w:t>
            </w:r>
            <w:r>
              <w:rPr>
                <w:rFonts w:hint="default" w:ascii="Times New Roman" w:hAnsi="Times New Roman" w:cs="Times New Roman"/>
                <w:color w:val="000000" w:themeColor="text1"/>
                <w:highlight w:val="none"/>
                <w:lang w:val="en-US" w:eastAsia="zh-CN"/>
                <w14:textFill>
                  <w14:solidFill>
                    <w14:schemeClr w14:val="tx1"/>
                  </w14:solidFill>
                </w14:textFill>
              </w:rPr>
              <w:t>施工时序及建设周期</w:t>
            </w:r>
          </w:p>
          <w:p w14:paraId="19374E1F">
            <w:pPr>
              <w:pStyle w:val="53"/>
              <w:shd w:val="clear" w:color="auto" w:fill="auto"/>
              <w:bidi w:val="0"/>
              <w:rPr>
                <w:rFonts w:hint="default" w:ascii="Times New Roman" w:hAnsi="Times New Roman" w:cs="Times New Roman"/>
                <w:color w:val="000000" w:themeColor="text1"/>
                <w:highlight w:val="none"/>
                <w:shd w:val="clear" w:color="auto" w:fill="auto"/>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项目建设周期：施工营地建设和设备入场时间在</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初</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shd w:val="clear" w:color="auto" w:fill="auto"/>
                <w:lang w:val="en-US" w:eastAsia="zh-CN"/>
                <w14:textFill>
                  <w14:solidFill>
                    <w14:schemeClr w14:val="tx1"/>
                  </w14:solidFill>
                </w14:textFill>
              </w:rPr>
              <w:t>勘查时间为2026年</w:t>
            </w:r>
            <w:r>
              <w:rPr>
                <w:rFonts w:hint="eastAsia" w:cs="Times New Roman"/>
                <w:color w:val="000000" w:themeColor="text1"/>
                <w:highlight w:val="none"/>
                <w:shd w:val="clear" w:color="auto" w:fill="auto"/>
                <w:lang w:val="en-US" w:eastAsia="zh-CN"/>
                <w14:textFill>
                  <w14:solidFill>
                    <w14:schemeClr w14:val="tx1"/>
                  </w14:solidFill>
                </w14:textFill>
              </w:rPr>
              <w:t>9</w:t>
            </w:r>
            <w:r>
              <w:rPr>
                <w:rFonts w:hint="default" w:ascii="Times New Roman" w:hAnsi="Times New Roman" w:cs="Times New Roman"/>
                <w:color w:val="000000" w:themeColor="text1"/>
                <w:highlight w:val="none"/>
                <w:shd w:val="clear" w:color="auto" w:fill="auto"/>
                <w:lang w:val="en-US" w:eastAsia="zh-CN"/>
                <w14:textFill>
                  <w14:solidFill>
                    <w14:schemeClr w14:val="tx1"/>
                  </w14:solidFill>
                </w14:textFill>
              </w:rPr>
              <w:t>月</w:t>
            </w:r>
            <w:r>
              <w:rPr>
                <w:rFonts w:hint="eastAsia" w:cs="Times New Roman"/>
                <w:color w:val="000000" w:themeColor="text1"/>
                <w:highlight w:val="none"/>
                <w:shd w:val="clear" w:color="auto" w:fill="auto"/>
                <w:lang w:val="en-US" w:eastAsia="zh-CN"/>
                <w14:textFill>
                  <w14:solidFill>
                    <w14:schemeClr w14:val="tx1"/>
                  </w14:solidFill>
                </w14:textFill>
              </w:rPr>
              <w:t>—2028年9</w:t>
            </w:r>
            <w:r>
              <w:rPr>
                <w:rFonts w:hint="default" w:ascii="Times New Roman" w:hAnsi="Times New Roman" w:cs="Times New Roman"/>
                <w:color w:val="000000" w:themeColor="text1"/>
                <w:highlight w:val="none"/>
                <w:shd w:val="clear" w:color="auto" w:fill="auto"/>
                <w:lang w:val="en-US" w:eastAsia="zh-CN"/>
                <w14:textFill>
                  <w14:solidFill>
                    <w14:schemeClr w14:val="tx1"/>
                  </w14:solidFill>
                </w14:textFill>
              </w:rPr>
              <w:t>月。</w:t>
            </w:r>
          </w:p>
          <w:p w14:paraId="05F4421A">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表2-6    工作计划与时间安排表</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1633"/>
              <w:gridCol w:w="5072"/>
            </w:tblGrid>
            <w:tr w14:paraId="5BD400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45" w:type="pct"/>
                  <w:tcBorders>
                    <w:tl2br w:val="nil"/>
                    <w:tr2bl w:val="nil"/>
                  </w:tcBorders>
                  <w:noWrap w:val="0"/>
                  <w:vAlign w:val="center"/>
                </w:tcPr>
                <w:p w14:paraId="4DBD8C6D">
                  <w:pPr>
                    <w:pStyle w:val="59"/>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工作阶段</w:t>
                  </w:r>
                </w:p>
              </w:tc>
              <w:tc>
                <w:tcPr>
                  <w:tcW w:w="1036" w:type="pct"/>
                  <w:tcBorders>
                    <w:tl2br w:val="nil"/>
                    <w:tr2bl w:val="nil"/>
                  </w:tcBorders>
                  <w:noWrap w:val="0"/>
                  <w:vAlign w:val="center"/>
                </w:tcPr>
                <w:p w14:paraId="4188B8E8">
                  <w:pPr>
                    <w:pStyle w:val="59"/>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具体时间安排</w:t>
                  </w:r>
                </w:p>
              </w:tc>
              <w:tc>
                <w:tcPr>
                  <w:tcW w:w="3218" w:type="pct"/>
                  <w:tcBorders>
                    <w:tl2br w:val="nil"/>
                    <w:tr2bl w:val="nil"/>
                  </w:tcBorders>
                  <w:noWrap w:val="0"/>
                  <w:vAlign w:val="center"/>
                </w:tcPr>
                <w:p w14:paraId="18E61731">
                  <w:pPr>
                    <w:pStyle w:val="59"/>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工作进度及目标</w:t>
                  </w:r>
                </w:p>
              </w:tc>
            </w:tr>
            <w:tr w14:paraId="6DFEA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45" w:type="pct"/>
                  <w:tcBorders>
                    <w:tl2br w:val="nil"/>
                    <w:tr2bl w:val="nil"/>
                  </w:tcBorders>
                  <w:noWrap w:val="0"/>
                  <w:vAlign w:val="center"/>
                </w:tcPr>
                <w:p w14:paraId="0333E057">
                  <w:pPr>
                    <w:pStyle w:val="63"/>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施工</w:t>
                  </w:r>
                  <w:r>
                    <w:rPr>
                      <w:rFonts w:hint="default" w:ascii="Times New Roman" w:hAnsi="Times New Roman" w:cs="Times New Roman"/>
                      <w:color w:val="000000" w:themeColor="text1"/>
                      <w:highlight w:val="none"/>
                      <w14:textFill>
                        <w14:solidFill>
                          <w14:schemeClr w14:val="tx1"/>
                        </w14:solidFill>
                      </w14:textFill>
                    </w:rPr>
                    <w:t>准备阶段</w:t>
                  </w:r>
                </w:p>
              </w:tc>
              <w:tc>
                <w:tcPr>
                  <w:tcW w:w="1036" w:type="pct"/>
                  <w:tcBorders>
                    <w:tl2br w:val="nil"/>
                    <w:tr2bl w:val="nil"/>
                  </w:tcBorders>
                  <w:noWrap w:val="0"/>
                  <w:vAlign w:val="center"/>
                </w:tcPr>
                <w:p w14:paraId="2FF541ED">
                  <w:pPr>
                    <w:pStyle w:val="63"/>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2026年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初</w:t>
                  </w:r>
                </w:p>
              </w:tc>
              <w:tc>
                <w:tcPr>
                  <w:tcW w:w="3218" w:type="pct"/>
                  <w:tcBorders>
                    <w:tl2br w:val="nil"/>
                    <w:tr2bl w:val="nil"/>
                  </w:tcBorders>
                  <w:noWrap w:val="0"/>
                  <w:vAlign w:val="center"/>
                </w:tcPr>
                <w:p w14:paraId="016F21CC">
                  <w:pPr>
                    <w:pStyle w:val="63"/>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①分析研究已有资料</w:t>
                  </w:r>
                  <w:r>
                    <w:rPr>
                      <w:rFonts w:hint="default" w:ascii="Times New Roman" w:hAnsi="Times New Roman" w:cs="Times New Roman"/>
                      <w:color w:val="000000" w:themeColor="text1"/>
                      <w:highlight w:val="none"/>
                      <w:lang w:val="en-US" w:eastAsia="zh-CN"/>
                      <w14:textFill>
                        <w14:solidFill>
                          <w14:schemeClr w14:val="tx1"/>
                        </w14:solidFill>
                      </w14:textFill>
                    </w:rPr>
                    <w:t>，编写项目设计书；②施工设备进场；③搭建生活营地。</w:t>
                  </w:r>
                </w:p>
              </w:tc>
            </w:tr>
            <w:tr w14:paraId="2C5CB2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745" w:type="pct"/>
                  <w:tcBorders>
                    <w:tl2br w:val="nil"/>
                    <w:tr2bl w:val="nil"/>
                  </w:tcBorders>
                  <w:noWrap w:val="0"/>
                  <w:vAlign w:val="center"/>
                </w:tcPr>
                <w:p w14:paraId="5EB177B2">
                  <w:pPr>
                    <w:pStyle w:val="63"/>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野外</w:t>
                  </w:r>
                  <w:r>
                    <w:rPr>
                      <w:rFonts w:hint="default" w:ascii="Times New Roman" w:hAnsi="Times New Roman" w:cs="Times New Roman"/>
                      <w:color w:val="000000" w:themeColor="text1"/>
                      <w:highlight w:val="none"/>
                      <w:lang w:val="en-US" w:eastAsia="zh-CN"/>
                      <w14:textFill>
                        <w14:solidFill>
                          <w14:schemeClr w14:val="tx1"/>
                        </w14:solidFill>
                      </w14:textFill>
                    </w:rPr>
                    <w:t>勘查</w:t>
                  </w:r>
                  <w:r>
                    <w:rPr>
                      <w:rFonts w:hint="default" w:ascii="Times New Roman" w:hAnsi="Times New Roman" w:cs="Times New Roman"/>
                      <w:color w:val="000000" w:themeColor="text1"/>
                      <w:highlight w:val="none"/>
                      <w14:textFill>
                        <w14:solidFill>
                          <w14:schemeClr w14:val="tx1"/>
                        </w14:solidFill>
                      </w14:textFill>
                    </w:rPr>
                    <w:t>阶段</w:t>
                  </w:r>
                </w:p>
              </w:tc>
              <w:tc>
                <w:tcPr>
                  <w:tcW w:w="1036" w:type="pct"/>
                  <w:tcBorders>
                    <w:tl2br w:val="nil"/>
                    <w:tr2bl w:val="nil"/>
                  </w:tcBorders>
                  <w:noWrap w:val="0"/>
                  <w:vAlign w:val="center"/>
                </w:tcPr>
                <w:p w14:paraId="2B7E5AA6">
                  <w:pPr>
                    <w:pStyle w:val="63"/>
                    <w:bidi w:val="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2026年</w:t>
                  </w:r>
                  <w:r>
                    <w:rPr>
                      <w:rFonts w:hint="eastAsia"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lang w:val="en-US" w:eastAsia="zh-CN"/>
                      <w14:textFill>
                        <w14:solidFill>
                          <w14:schemeClr w14:val="tx1"/>
                        </w14:solidFill>
                      </w14:textFill>
                    </w:rPr>
                    <w:t>月</w:t>
                  </w:r>
                  <w:r>
                    <w:rPr>
                      <w:rFonts w:hint="eastAsia" w:cs="Times New Roman"/>
                      <w:color w:val="000000" w:themeColor="text1"/>
                      <w:highlight w:val="none"/>
                      <w:lang w:val="en-US" w:eastAsia="zh-CN"/>
                      <w14:textFill>
                        <w14:solidFill>
                          <w14:schemeClr w14:val="tx1"/>
                        </w14:solidFill>
                      </w14:textFill>
                    </w:rPr>
                    <w:t>—2028年9</w:t>
                  </w:r>
                  <w:r>
                    <w:rPr>
                      <w:rFonts w:hint="default" w:ascii="Times New Roman" w:hAnsi="Times New Roman" w:cs="Times New Roman"/>
                      <w:color w:val="000000" w:themeColor="text1"/>
                      <w:highlight w:val="none"/>
                      <w:lang w:val="en-US" w:eastAsia="zh-CN"/>
                      <w14:textFill>
                        <w14:solidFill>
                          <w14:schemeClr w14:val="tx1"/>
                        </w14:solidFill>
                      </w14:textFill>
                    </w:rPr>
                    <w:t>月</w:t>
                  </w:r>
                </w:p>
              </w:tc>
              <w:tc>
                <w:tcPr>
                  <w:tcW w:w="3218" w:type="pct"/>
                  <w:tcBorders>
                    <w:tl2br w:val="nil"/>
                    <w:tr2bl w:val="nil"/>
                  </w:tcBorders>
                  <w:noWrap w:val="0"/>
                  <w:vAlign w:val="center"/>
                </w:tcPr>
                <w:p w14:paraId="28F936DB">
                  <w:pPr>
                    <w:pStyle w:val="63"/>
                    <w:bidi w:val="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①开展地形测量</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地质测量</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水文、工程、环境地质测量</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槽探</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钻探</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采样测试等探矿工程</w:t>
                  </w:r>
                  <w:r>
                    <w:rPr>
                      <w:rFonts w:hint="eastAsia" w:cs="Times New Roman"/>
                      <w:color w:val="000000" w:themeColor="text1"/>
                      <w:highlight w:val="none"/>
                      <w:lang w:val="en-US" w:eastAsia="zh-CN"/>
                      <w14:textFill>
                        <w14:solidFill>
                          <w14:schemeClr w14:val="tx1"/>
                        </w14:solidFill>
                      </w14:textFill>
                    </w:rPr>
                    <w:t>；②</w:t>
                  </w:r>
                  <w:r>
                    <w:rPr>
                      <w:rFonts w:hint="default" w:ascii="Times New Roman" w:hAnsi="Times New Roman" w:cs="Times New Roman"/>
                      <w:color w:val="000000" w:themeColor="text1"/>
                      <w:highlight w:val="none"/>
                      <w14:textFill>
                        <w14:solidFill>
                          <w14:schemeClr w14:val="tx1"/>
                        </w14:solidFill>
                      </w14:textFill>
                    </w:rPr>
                    <w:t>对野外所获的全部地质资料、测试成果及以往所获地质资料进行系统整理和综合研究，编制各类地质图件，编写</w:t>
                  </w:r>
                  <w:r>
                    <w:rPr>
                      <w:rFonts w:hint="default" w:ascii="Times New Roman" w:hAnsi="Times New Roman" w:cs="Times New Roman"/>
                      <w:color w:val="000000" w:themeColor="text1"/>
                      <w:highlight w:val="none"/>
                      <w:lang w:eastAsia="zh-CN"/>
                      <w14:textFill>
                        <w14:solidFill>
                          <w14:schemeClr w14:val="tx1"/>
                        </w14:solidFill>
                      </w14:textFill>
                    </w:rPr>
                    <w:t>详查</w:t>
                  </w:r>
                  <w:r>
                    <w:rPr>
                      <w:rFonts w:hint="default" w:ascii="Times New Roman" w:hAnsi="Times New Roman" w:cs="Times New Roman"/>
                      <w:color w:val="000000" w:themeColor="text1"/>
                      <w:highlight w:val="none"/>
                      <w14:textFill>
                        <w14:solidFill>
                          <w14:schemeClr w14:val="tx1"/>
                        </w14:solidFill>
                      </w14:textFill>
                    </w:rPr>
                    <w:t>报告。</w:t>
                  </w:r>
                </w:p>
              </w:tc>
            </w:tr>
          </w:tbl>
          <w:p w14:paraId="468BBFBE">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2.9.4</w:t>
            </w:r>
            <w:r>
              <w:rPr>
                <w:rFonts w:hint="default" w:ascii="Times New Roman" w:hAnsi="Times New Roman" w:cs="Times New Roman"/>
                <w:color w:val="000000" w:themeColor="text1"/>
                <w:highlight w:val="none"/>
                <w:lang w:val="en-US" w:eastAsia="zh-CN"/>
                <w14:textFill>
                  <w14:solidFill>
                    <w14:schemeClr w14:val="tx1"/>
                  </w14:solidFill>
                </w14:textFill>
              </w:rPr>
              <w:t>土石方平衡分析</w:t>
            </w:r>
          </w:p>
          <w:p w14:paraId="619BE49A">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本项目主要的土石方工程为生活营地建设和槽探和钻探开挖的土壤与风化岩石剥离、回填产生的土石方。</w:t>
            </w:r>
          </w:p>
          <w:p w14:paraId="36DE9D13">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搭建生活营地、场地平整产生挖方20m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vertAlign w:val="baseline"/>
                <w:lang w:val="en-US"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全部用于平整场地；</w:t>
            </w:r>
            <w:r>
              <w:rPr>
                <w:rFonts w:hint="default" w:ascii="Times New Roman" w:hAnsi="Times New Roman" w:cs="Times New Roman"/>
                <w:color w:val="000000" w:themeColor="text1"/>
                <w:highlight w:val="none"/>
                <w:lang w:val="en-US" w:eastAsia="zh-CN"/>
                <w14:textFill>
                  <w14:solidFill>
                    <w14:schemeClr w14:val="tx1"/>
                  </w14:solidFill>
                </w14:textFill>
              </w:rPr>
              <w:t>槽探总工作量4700m³，其中少量样品采集后送实验室分析，剩余土石方全部回填至探槽</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共钻探4200米</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岩芯</w:t>
            </w:r>
            <w:r>
              <w:rPr>
                <w:rFonts w:hint="default" w:ascii="Times New Roman" w:hAnsi="Times New Roman" w:cs="Times New Roman"/>
                <w:color w:val="000000" w:themeColor="text1"/>
                <w:highlight w:val="none"/>
                <w:lang w:val="en-US" w:eastAsia="zh-CN"/>
                <w14:textFill>
                  <w14:solidFill>
                    <w14:schemeClr w14:val="tx1"/>
                  </w14:solidFill>
                </w14:textFill>
              </w:rPr>
              <w:t>产生量为</w:t>
            </w:r>
            <w:r>
              <w:rPr>
                <w:rFonts w:hint="eastAsia" w:cs="Times New Roman"/>
                <w:color w:val="000000" w:themeColor="text1"/>
                <w:highlight w:val="none"/>
                <w:lang w:val="en-US" w:eastAsia="zh-CN"/>
                <w14:textFill>
                  <w14:solidFill>
                    <w14:schemeClr w14:val="tx1"/>
                  </w14:solidFill>
                </w14:textFill>
              </w:rPr>
              <w:t>3.5</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，全部邮寄实验室分析；整个钻孔期</w:t>
            </w:r>
            <w:r>
              <w:rPr>
                <w:rFonts w:hint="eastAsia" w:cs="Times New Roman"/>
                <w:color w:val="000000" w:themeColor="text1"/>
                <w:highlight w:val="none"/>
                <w:lang w:val="en-US" w:eastAsia="zh-CN"/>
                <w14:textFill>
                  <w14:solidFill>
                    <w14:schemeClr w14:val="tx1"/>
                  </w14:solidFill>
                </w14:textFill>
              </w:rPr>
              <w:t>岩</w:t>
            </w:r>
            <w:r>
              <w:rPr>
                <w:rFonts w:hint="default" w:ascii="Times New Roman" w:hAnsi="Times New Roman" w:cs="Times New Roman"/>
                <w:color w:val="000000" w:themeColor="text1"/>
                <w:highlight w:val="none"/>
                <w:lang w:val="en-US" w:eastAsia="zh-CN"/>
                <w14:textFill>
                  <w14:solidFill>
                    <w14:schemeClr w14:val="tx1"/>
                  </w14:solidFill>
                </w14:textFill>
              </w:rPr>
              <w:t>屑产生量约为</w:t>
            </w:r>
            <w:r>
              <w:rPr>
                <w:rFonts w:hint="eastAsia" w:cs="Times New Roman"/>
                <w:color w:val="000000" w:themeColor="text1"/>
                <w:highlight w:val="none"/>
                <w:lang w:val="en-US" w:eastAsia="zh-CN"/>
                <w14:textFill>
                  <w14:solidFill>
                    <w14:schemeClr w14:val="tx1"/>
                  </w14:solidFill>
                </w14:textFill>
              </w:rPr>
              <w:t>20.40</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，每个钻孔完毕后，岩屑用于回填封孔</w:t>
            </w:r>
            <w:r>
              <w:rPr>
                <w:rFonts w:hint="eastAsia" w:cs="Times New Roman"/>
                <w:color w:val="000000" w:themeColor="text1"/>
                <w:highlight w:val="none"/>
                <w:lang w:val="en-US"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表土剥离面积约为5873</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eastAsia" w:cs="Times New Roman"/>
                <w:color w:val="000000" w:themeColor="text1"/>
                <w:highlight w:val="none"/>
                <w:vertAlign w:val="superscript"/>
                <w:lang w:val="en-US" w:eastAsia="zh-CN"/>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，剥离深度约0.3m，即表土剥离1842.9</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vertAlign w:val="baseline"/>
                <w:lang w:val="en-US" w:eastAsia="zh-CN"/>
                <w14:textFill>
                  <w14:solidFill>
                    <w14:schemeClr w14:val="tx1"/>
                  </w14:solidFill>
                </w14:textFill>
              </w:rPr>
              <w:t>，剥离土方单独堆存，项目完成后</w:t>
            </w:r>
            <w:r>
              <w:rPr>
                <w:rFonts w:ascii="宋体" w:hAnsi="宋体" w:eastAsia="宋体" w:cs="宋体"/>
                <w:color w:val="000000" w:themeColor="text1"/>
                <w:sz w:val="24"/>
                <w:szCs w:val="24"/>
                <w:highlight w:val="none"/>
                <w14:textFill>
                  <w14:solidFill>
                    <w14:schemeClr w14:val="tx1"/>
                  </w14:solidFill>
                </w14:textFill>
              </w:rPr>
              <w:t>恢复场地</w:t>
            </w:r>
            <w:r>
              <w:rPr>
                <w:rFonts w:hint="default" w:ascii="Times New Roman" w:hAnsi="Times New Roman" w:cs="Times New Roman"/>
                <w:color w:val="000000" w:themeColor="text1"/>
                <w:highlight w:val="none"/>
                <w:lang w:val="en-US" w:eastAsia="zh-CN"/>
                <w14:textFill>
                  <w14:solidFill>
                    <w14:schemeClr w14:val="tx1"/>
                  </w14:solidFill>
                </w14:textFill>
              </w:rPr>
              <w:t>。本工程挖方综合利用，无永久弃方产生。</w:t>
            </w:r>
          </w:p>
          <w:p w14:paraId="03B1D3C3">
            <w:pPr>
              <w:pStyle w:val="57"/>
              <w:bidi w:val="0"/>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表2-7    工程土石方平衡分析表    单位：m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977"/>
              <w:gridCol w:w="1148"/>
              <w:gridCol w:w="854"/>
              <w:gridCol w:w="1058"/>
              <w:gridCol w:w="2784"/>
            </w:tblGrid>
            <w:tr w14:paraId="3B59FF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71" w:type="pct"/>
                  <w:tcBorders>
                    <w:tl2br w:val="nil"/>
                    <w:tr2bl w:val="nil"/>
                  </w:tcBorders>
                  <w:noWrap w:val="0"/>
                  <w:vAlign w:val="center"/>
                </w:tcPr>
                <w:p w14:paraId="725A0863">
                  <w:pPr>
                    <w:pStyle w:val="63"/>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类型</w:t>
                  </w:r>
                </w:p>
              </w:tc>
              <w:tc>
                <w:tcPr>
                  <w:tcW w:w="620" w:type="pct"/>
                  <w:tcBorders>
                    <w:tl2br w:val="nil"/>
                    <w:tr2bl w:val="nil"/>
                  </w:tcBorders>
                  <w:noWrap w:val="0"/>
                  <w:vAlign w:val="center"/>
                </w:tcPr>
                <w:p w14:paraId="50F61123">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挖方</w:t>
                  </w:r>
                </w:p>
              </w:tc>
              <w:tc>
                <w:tcPr>
                  <w:tcW w:w="728" w:type="pct"/>
                  <w:tcBorders>
                    <w:tl2br w:val="nil"/>
                    <w:tr2bl w:val="nil"/>
                  </w:tcBorders>
                  <w:noWrap w:val="0"/>
                  <w:vAlign w:val="center"/>
                </w:tcPr>
                <w:p w14:paraId="5213FEB0">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回填</w:t>
                  </w:r>
                </w:p>
              </w:tc>
              <w:tc>
                <w:tcPr>
                  <w:tcW w:w="542" w:type="pct"/>
                  <w:tcBorders>
                    <w:tl2br w:val="nil"/>
                    <w:tr2bl w:val="nil"/>
                  </w:tcBorders>
                  <w:noWrap w:val="0"/>
                  <w:vAlign w:val="center"/>
                </w:tcPr>
                <w:p w14:paraId="10CEF68B">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取样</w:t>
                  </w:r>
                </w:p>
              </w:tc>
              <w:tc>
                <w:tcPr>
                  <w:tcW w:w="671" w:type="pct"/>
                  <w:tcBorders>
                    <w:tl2br w:val="nil"/>
                    <w:tr2bl w:val="nil"/>
                  </w:tcBorders>
                  <w:noWrap w:val="0"/>
                  <w:vAlign w:val="center"/>
                </w:tcPr>
                <w:p w14:paraId="679FF942">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场地平整</w:t>
                  </w:r>
                </w:p>
              </w:tc>
              <w:tc>
                <w:tcPr>
                  <w:tcW w:w="1766" w:type="pct"/>
                  <w:tcBorders>
                    <w:tl2br w:val="nil"/>
                    <w:tr2bl w:val="nil"/>
                  </w:tcBorders>
                  <w:noWrap w:val="0"/>
                  <w:vAlign w:val="center"/>
                </w:tcPr>
                <w:p w14:paraId="1F9088FB">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备注</w:t>
                  </w:r>
                </w:p>
              </w:tc>
            </w:tr>
            <w:tr w14:paraId="74F042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71" w:type="pct"/>
                  <w:tcBorders>
                    <w:tl2br w:val="nil"/>
                    <w:tr2bl w:val="nil"/>
                  </w:tcBorders>
                  <w:noWrap w:val="0"/>
                  <w:vAlign w:val="center"/>
                </w:tcPr>
                <w:p w14:paraId="0A05BC3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生活营地</w:t>
                  </w:r>
                </w:p>
              </w:tc>
              <w:tc>
                <w:tcPr>
                  <w:tcW w:w="620" w:type="pct"/>
                  <w:tcBorders>
                    <w:tl2br w:val="nil"/>
                    <w:tr2bl w:val="nil"/>
                  </w:tcBorders>
                  <w:noWrap w:val="0"/>
                  <w:vAlign w:val="center"/>
                </w:tcPr>
                <w:p w14:paraId="1542209D">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728" w:type="pct"/>
                  <w:tcBorders>
                    <w:tl2br w:val="nil"/>
                    <w:tr2bl w:val="nil"/>
                  </w:tcBorders>
                  <w:noWrap w:val="0"/>
                  <w:vAlign w:val="center"/>
                </w:tcPr>
                <w:p w14:paraId="09A8B5E7">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42" w:type="pct"/>
                  <w:tcBorders>
                    <w:tl2br w:val="nil"/>
                    <w:tr2bl w:val="nil"/>
                  </w:tcBorders>
                  <w:noWrap w:val="0"/>
                  <w:vAlign w:val="center"/>
                </w:tcPr>
                <w:p w14:paraId="53AAC6F3">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71" w:type="pct"/>
                  <w:tcBorders>
                    <w:tl2br w:val="nil"/>
                    <w:tr2bl w:val="nil"/>
                  </w:tcBorders>
                  <w:noWrap w:val="0"/>
                  <w:vAlign w:val="center"/>
                </w:tcPr>
                <w:p w14:paraId="297ED77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1766" w:type="pct"/>
                  <w:tcBorders>
                    <w:tl2br w:val="nil"/>
                    <w:tr2bl w:val="nil"/>
                  </w:tcBorders>
                  <w:noWrap w:val="0"/>
                  <w:vAlign w:val="center"/>
                </w:tcPr>
                <w:p w14:paraId="346EDC3A">
                  <w:pPr>
                    <w:pStyle w:val="6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用于场地平整及恢复</w:t>
                  </w:r>
                </w:p>
              </w:tc>
            </w:tr>
            <w:tr w14:paraId="0685AB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1" w:type="pct"/>
                  <w:tcBorders>
                    <w:tl2br w:val="nil"/>
                    <w:tr2bl w:val="nil"/>
                  </w:tcBorders>
                  <w:noWrap w:val="0"/>
                  <w:vAlign w:val="center"/>
                </w:tcPr>
                <w:p w14:paraId="75BDEA98">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槽探</w:t>
                  </w:r>
                </w:p>
              </w:tc>
              <w:tc>
                <w:tcPr>
                  <w:tcW w:w="620" w:type="pct"/>
                  <w:tcBorders>
                    <w:tl2br w:val="nil"/>
                    <w:tr2bl w:val="nil"/>
                  </w:tcBorders>
                  <w:noWrap w:val="0"/>
                  <w:vAlign w:val="center"/>
                </w:tcPr>
                <w:p w14:paraId="267EE2A0">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47</w:t>
                  </w:r>
                  <w:r>
                    <w:rPr>
                      <w:rFonts w:hint="default" w:ascii="Times New Roman" w:hAnsi="Times New Roman" w:cs="Times New Roman"/>
                      <w:color w:val="000000" w:themeColor="text1"/>
                      <w:highlight w:val="none"/>
                      <w:lang w:val="en-US" w:eastAsia="zh-CN"/>
                      <w14:textFill>
                        <w14:solidFill>
                          <w14:schemeClr w14:val="tx1"/>
                        </w14:solidFill>
                      </w14:textFill>
                    </w:rPr>
                    <w:t>00</w:t>
                  </w:r>
                </w:p>
              </w:tc>
              <w:tc>
                <w:tcPr>
                  <w:tcW w:w="728" w:type="pct"/>
                  <w:tcBorders>
                    <w:tl2br w:val="nil"/>
                    <w:tr2bl w:val="nil"/>
                  </w:tcBorders>
                  <w:noWrap w:val="0"/>
                  <w:vAlign w:val="center"/>
                </w:tcPr>
                <w:p w14:paraId="359939B3">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4695.5</w:t>
                  </w:r>
                </w:p>
              </w:tc>
              <w:tc>
                <w:tcPr>
                  <w:tcW w:w="542" w:type="pct"/>
                  <w:tcBorders>
                    <w:tl2br w:val="nil"/>
                    <w:tr2bl w:val="nil"/>
                  </w:tcBorders>
                  <w:noWrap w:val="0"/>
                  <w:vAlign w:val="center"/>
                </w:tcPr>
                <w:p w14:paraId="6D2621D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4.5</w:t>
                  </w:r>
                </w:p>
              </w:tc>
              <w:tc>
                <w:tcPr>
                  <w:tcW w:w="671" w:type="pct"/>
                  <w:tcBorders>
                    <w:tl2br w:val="nil"/>
                    <w:tr2bl w:val="nil"/>
                  </w:tcBorders>
                  <w:noWrap w:val="0"/>
                  <w:vAlign w:val="center"/>
                </w:tcPr>
                <w:p w14:paraId="2780D7D7">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1766" w:type="pct"/>
                  <w:tcBorders>
                    <w:tl2br w:val="nil"/>
                    <w:tr2bl w:val="nil"/>
                  </w:tcBorders>
                  <w:noWrap w:val="0"/>
                  <w:vAlign w:val="center"/>
                </w:tcPr>
                <w:p w14:paraId="5575E6F0">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采集的样品带回实验室分析，其余土石方回填至探槽</w:t>
                  </w:r>
                </w:p>
              </w:tc>
            </w:tr>
            <w:tr w14:paraId="5BE79C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71" w:type="pct"/>
                  <w:tcBorders>
                    <w:tl2br w:val="nil"/>
                    <w:tr2bl w:val="nil"/>
                  </w:tcBorders>
                  <w:shd w:val="clear" w:color="auto" w:fill="auto"/>
                  <w:noWrap w:val="0"/>
                  <w:vAlign w:val="center"/>
                </w:tcPr>
                <w:p w14:paraId="24DF1441">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钻探岩芯</w:t>
                  </w:r>
                </w:p>
              </w:tc>
              <w:tc>
                <w:tcPr>
                  <w:tcW w:w="620" w:type="pct"/>
                  <w:tcBorders>
                    <w:tl2br w:val="nil"/>
                    <w:tr2bl w:val="nil"/>
                  </w:tcBorders>
                  <w:shd w:val="clear" w:color="auto" w:fill="auto"/>
                  <w:noWrap w:val="0"/>
                  <w:vAlign w:val="center"/>
                </w:tcPr>
                <w:p w14:paraId="2B780453">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3.5</w:t>
                  </w:r>
                </w:p>
              </w:tc>
              <w:tc>
                <w:tcPr>
                  <w:tcW w:w="728" w:type="pct"/>
                  <w:tcBorders>
                    <w:tl2br w:val="nil"/>
                    <w:tr2bl w:val="nil"/>
                  </w:tcBorders>
                  <w:shd w:val="clear" w:color="auto" w:fill="auto"/>
                  <w:noWrap w:val="0"/>
                  <w:vAlign w:val="center"/>
                </w:tcPr>
                <w:p w14:paraId="1DDC0B8F">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c>
                <w:tcPr>
                  <w:tcW w:w="542" w:type="pct"/>
                  <w:tcBorders>
                    <w:tl2br w:val="nil"/>
                    <w:tr2bl w:val="nil"/>
                  </w:tcBorders>
                  <w:shd w:val="clear" w:color="auto" w:fill="auto"/>
                  <w:noWrap w:val="0"/>
                  <w:vAlign w:val="center"/>
                </w:tcPr>
                <w:p w14:paraId="34AFCC41">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3.5</w:t>
                  </w:r>
                </w:p>
              </w:tc>
              <w:tc>
                <w:tcPr>
                  <w:tcW w:w="671" w:type="pct"/>
                  <w:tcBorders>
                    <w:tl2br w:val="nil"/>
                    <w:tr2bl w:val="nil"/>
                  </w:tcBorders>
                  <w:shd w:val="clear" w:color="auto" w:fill="auto"/>
                  <w:noWrap w:val="0"/>
                  <w:vAlign w:val="center"/>
                </w:tcPr>
                <w:p w14:paraId="0B82D873">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c>
                <w:tcPr>
                  <w:tcW w:w="1766" w:type="pct"/>
                  <w:tcBorders>
                    <w:tl2br w:val="nil"/>
                    <w:tr2bl w:val="nil"/>
                  </w:tcBorders>
                  <w:shd w:val="clear" w:color="auto" w:fill="auto"/>
                  <w:noWrap w:val="0"/>
                  <w:vAlign w:val="center"/>
                </w:tcPr>
                <w:p w14:paraId="02E096BD">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岩芯邮寄实验室</w:t>
                  </w:r>
                </w:p>
              </w:tc>
            </w:tr>
            <w:tr w14:paraId="6A5966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71" w:type="pct"/>
                  <w:tcBorders>
                    <w:tl2br w:val="nil"/>
                    <w:tr2bl w:val="nil"/>
                  </w:tcBorders>
                  <w:shd w:val="clear" w:color="auto" w:fill="auto"/>
                  <w:noWrap w:val="0"/>
                  <w:vAlign w:val="center"/>
                </w:tcPr>
                <w:p w14:paraId="00F51D70">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钻井岩屑</w:t>
                  </w:r>
                </w:p>
              </w:tc>
              <w:tc>
                <w:tcPr>
                  <w:tcW w:w="620" w:type="pct"/>
                  <w:tcBorders>
                    <w:tl2br w:val="nil"/>
                    <w:tr2bl w:val="nil"/>
                  </w:tcBorders>
                  <w:shd w:val="clear" w:color="auto" w:fill="auto"/>
                  <w:noWrap w:val="0"/>
                  <w:vAlign w:val="center"/>
                </w:tcPr>
                <w:p w14:paraId="057C802B">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20.40</w:t>
                  </w:r>
                </w:p>
              </w:tc>
              <w:tc>
                <w:tcPr>
                  <w:tcW w:w="728" w:type="pct"/>
                  <w:tcBorders>
                    <w:tl2br w:val="nil"/>
                    <w:tr2bl w:val="nil"/>
                  </w:tcBorders>
                  <w:shd w:val="clear" w:color="auto" w:fill="auto"/>
                  <w:noWrap w:val="0"/>
                  <w:vAlign w:val="center"/>
                </w:tcPr>
                <w:p w14:paraId="311ADFBB">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20.40</w:t>
                  </w:r>
                </w:p>
              </w:tc>
              <w:tc>
                <w:tcPr>
                  <w:tcW w:w="542" w:type="pct"/>
                  <w:tcBorders>
                    <w:tl2br w:val="nil"/>
                    <w:tr2bl w:val="nil"/>
                  </w:tcBorders>
                  <w:shd w:val="clear" w:color="auto" w:fill="auto"/>
                  <w:noWrap w:val="0"/>
                  <w:vAlign w:val="center"/>
                </w:tcPr>
                <w:p w14:paraId="46B3B6FC">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p>
              </w:tc>
              <w:tc>
                <w:tcPr>
                  <w:tcW w:w="671" w:type="pct"/>
                  <w:tcBorders>
                    <w:tl2br w:val="nil"/>
                    <w:tr2bl w:val="nil"/>
                  </w:tcBorders>
                  <w:shd w:val="clear" w:color="auto" w:fill="auto"/>
                  <w:noWrap w:val="0"/>
                  <w:vAlign w:val="center"/>
                </w:tcPr>
                <w:p w14:paraId="7067B36C">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p>
              </w:tc>
              <w:tc>
                <w:tcPr>
                  <w:tcW w:w="1766" w:type="pct"/>
                  <w:tcBorders>
                    <w:tl2br w:val="nil"/>
                    <w:tr2bl w:val="nil"/>
                  </w:tcBorders>
                  <w:shd w:val="clear" w:color="auto" w:fill="auto"/>
                  <w:noWrap w:val="0"/>
                  <w:vAlign w:val="center"/>
                </w:tcPr>
                <w:p w14:paraId="59E726C1">
                  <w:pPr>
                    <w:pStyle w:val="63"/>
                    <w:bidi w:val="0"/>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回填封孔</w:t>
                  </w:r>
                </w:p>
              </w:tc>
            </w:tr>
            <w:tr w14:paraId="538651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71" w:type="pct"/>
                  <w:tcBorders>
                    <w:tl2br w:val="nil"/>
                    <w:tr2bl w:val="nil"/>
                  </w:tcBorders>
                  <w:shd w:val="clear" w:color="auto" w:fill="auto"/>
                  <w:noWrap w:val="0"/>
                  <w:vAlign w:val="center"/>
                </w:tcPr>
                <w:p w14:paraId="64D6B9BB">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表土剥离</w:t>
                  </w:r>
                </w:p>
              </w:tc>
              <w:tc>
                <w:tcPr>
                  <w:tcW w:w="620" w:type="pct"/>
                  <w:tcBorders>
                    <w:tl2br w:val="nil"/>
                    <w:tr2bl w:val="nil"/>
                  </w:tcBorders>
                  <w:shd w:val="clear" w:color="auto" w:fill="auto"/>
                  <w:noWrap w:val="0"/>
                  <w:vAlign w:val="center"/>
                </w:tcPr>
                <w:p w14:paraId="4A7A6407">
                  <w:pPr>
                    <w:pStyle w:val="63"/>
                    <w:bidi w:val="0"/>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1842.9</w:t>
                  </w:r>
                </w:p>
              </w:tc>
              <w:tc>
                <w:tcPr>
                  <w:tcW w:w="728" w:type="pct"/>
                  <w:tcBorders>
                    <w:tl2br w:val="nil"/>
                    <w:tr2bl w:val="nil"/>
                  </w:tcBorders>
                  <w:shd w:val="clear" w:color="auto" w:fill="auto"/>
                  <w:noWrap w:val="0"/>
                  <w:vAlign w:val="center"/>
                </w:tcPr>
                <w:p w14:paraId="0D806348">
                  <w:pPr>
                    <w:pStyle w:val="63"/>
                    <w:bidi w:val="0"/>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542" w:type="pct"/>
                  <w:tcBorders>
                    <w:tl2br w:val="nil"/>
                    <w:tr2bl w:val="nil"/>
                  </w:tcBorders>
                  <w:shd w:val="clear" w:color="auto" w:fill="auto"/>
                  <w:noWrap w:val="0"/>
                  <w:vAlign w:val="center"/>
                </w:tcPr>
                <w:p w14:paraId="76475FB0">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671" w:type="pct"/>
                  <w:tcBorders>
                    <w:tl2br w:val="nil"/>
                    <w:tr2bl w:val="nil"/>
                  </w:tcBorders>
                  <w:shd w:val="clear" w:color="auto" w:fill="auto"/>
                  <w:noWrap w:val="0"/>
                  <w:vAlign w:val="center"/>
                </w:tcPr>
                <w:p w14:paraId="0A84D823">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1842.9</w:t>
                  </w:r>
                </w:p>
              </w:tc>
              <w:tc>
                <w:tcPr>
                  <w:tcW w:w="1766" w:type="pct"/>
                  <w:tcBorders>
                    <w:tl2br w:val="nil"/>
                    <w:tr2bl w:val="nil"/>
                  </w:tcBorders>
                  <w:shd w:val="clear" w:color="auto" w:fill="auto"/>
                  <w:noWrap w:val="0"/>
                  <w:vAlign w:val="center"/>
                </w:tcPr>
                <w:p w14:paraId="1ADDAFE6">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恢复</w:t>
                  </w:r>
                  <w:r>
                    <w:rPr>
                      <w:rFonts w:hint="eastAsia" w:cs="Times New Roman"/>
                      <w:color w:val="000000" w:themeColor="text1"/>
                      <w:highlight w:val="none"/>
                      <w:lang w:val="en-US" w:eastAsia="zh-CN"/>
                      <w14:textFill>
                        <w14:solidFill>
                          <w14:schemeClr w14:val="tx1"/>
                        </w14:solidFill>
                      </w14:textFill>
                    </w:rPr>
                    <w:t>场地</w:t>
                  </w:r>
                </w:p>
              </w:tc>
            </w:tr>
            <w:tr w14:paraId="414AA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71" w:type="pct"/>
                  <w:tcBorders>
                    <w:tl2br w:val="nil"/>
                    <w:tr2bl w:val="nil"/>
                  </w:tcBorders>
                  <w:shd w:val="clear" w:color="auto" w:fill="auto"/>
                  <w:noWrap w:val="0"/>
                  <w:vAlign w:val="center"/>
                </w:tcPr>
                <w:p w14:paraId="3B8A276B">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总计</w:t>
                  </w:r>
                </w:p>
              </w:tc>
              <w:tc>
                <w:tcPr>
                  <w:tcW w:w="620" w:type="pct"/>
                  <w:tcBorders>
                    <w:tl2br w:val="nil"/>
                    <w:tr2bl w:val="nil"/>
                  </w:tcBorders>
                  <w:shd w:val="clear" w:color="auto" w:fill="auto"/>
                  <w:noWrap w:val="0"/>
                  <w:vAlign w:val="center"/>
                </w:tcPr>
                <w:p w14:paraId="48D18E1B">
                  <w:pPr>
                    <w:pStyle w:val="63"/>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6586.8</w:t>
                  </w:r>
                </w:p>
              </w:tc>
              <w:tc>
                <w:tcPr>
                  <w:tcW w:w="728" w:type="pct"/>
                  <w:tcBorders>
                    <w:tl2br w:val="nil"/>
                    <w:tr2bl w:val="nil"/>
                  </w:tcBorders>
                  <w:shd w:val="clear" w:color="auto" w:fill="auto"/>
                  <w:noWrap w:val="0"/>
                  <w:vAlign w:val="center"/>
                </w:tcPr>
                <w:p w14:paraId="2194543E">
                  <w:pPr>
                    <w:pStyle w:val="63"/>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2"/>
                      <w:sz w:val="21"/>
                      <w:szCs w:val="21"/>
                      <w:highlight w:val="none"/>
                      <w:u w:val="none"/>
                      <w:lang w:val="en-US" w:eastAsia="zh-CN" w:bidi="ar"/>
                      <w14:textFill>
                        <w14:solidFill>
                          <w14:schemeClr w14:val="tx1"/>
                        </w14:solidFill>
                      </w14:textFill>
                    </w:rPr>
                    <w:t>4715.9</w:t>
                  </w:r>
                </w:p>
              </w:tc>
              <w:tc>
                <w:tcPr>
                  <w:tcW w:w="542" w:type="pct"/>
                  <w:tcBorders>
                    <w:tl2br w:val="nil"/>
                    <w:tr2bl w:val="nil"/>
                  </w:tcBorders>
                  <w:shd w:val="clear" w:color="auto" w:fill="auto"/>
                  <w:noWrap w:val="0"/>
                  <w:vAlign w:val="center"/>
                </w:tcPr>
                <w:p w14:paraId="14363C00">
                  <w:pPr>
                    <w:pStyle w:val="63"/>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2"/>
                      <w:sz w:val="21"/>
                      <w:szCs w:val="21"/>
                      <w:highlight w:val="none"/>
                      <w:u w:val="none"/>
                      <w:lang w:val="en-US" w:eastAsia="zh-CN" w:bidi="ar"/>
                      <w14:textFill>
                        <w14:solidFill>
                          <w14:schemeClr w14:val="tx1"/>
                        </w14:solidFill>
                      </w14:textFill>
                    </w:rPr>
                    <w:t>9.06</w:t>
                  </w:r>
                </w:p>
              </w:tc>
              <w:tc>
                <w:tcPr>
                  <w:tcW w:w="671" w:type="pct"/>
                  <w:tcBorders>
                    <w:tl2br w:val="nil"/>
                    <w:tr2bl w:val="nil"/>
                  </w:tcBorders>
                  <w:shd w:val="clear" w:color="auto" w:fill="auto"/>
                  <w:noWrap w:val="0"/>
                  <w:vAlign w:val="center"/>
                </w:tcPr>
                <w:p w14:paraId="675C625F">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1862.9</w:t>
                  </w:r>
                </w:p>
              </w:tc>
              <w:tc>
                <w:tcPr>
                  <w:tcW w:w="1766" w:type="pct"/>
                  <w:tcBorders>
                    <w:tl2br w:val="nil"/>
                    <w:tr2bl w:val="nil"/>
                  </w:tcBorders>
                  <w:shd w:val="clear" w:color="auto" w:fill="auto"/>
                  <w:noWrap w:val="0"/>
                  <w:vAlign w:val="center"/>
                </w:tcPr>
                <w:p w14:paraId="31CF3E32">
                  <w:pPr>
                    <w:pStyle w:val="63"/>
                    <w:bidi w:val="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r>
          </w:tbl>
          <w:p w14:paraId="2AFF4408">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5540BD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09" w:hRule="atLeast"/>
          <w:jc w:val="center"/>
        </w:trPr>
        <w:tc>
          <w:tcPr>
            <w:tcW w:w="425" w:type="dxa"/>
            <w:tcBorders>
              <w:tl2br w:val="nil"/>
              <w:tr2bl w:val="nil"/>
            </w:tcBorders>
            <w:noWrap w:val="0"/>
            <w:vAlign w:val="center"/>
          </w:tcPr>
          <w:p w14:paraId="255AF8F6">
            <w:pPr>
              <w:adjustRightInd w:val="0"/>
              <w:snapToGrid w:val="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其他</w:t>
            </w:r>
          </w:p>
        </w:tc>
        <w:tc>
          <w:tcPr>
            <w:tcW w:w="8097" w:type="dxa"/>
            <w:tcBorders>
              <w:tl2br w:val="nil"/>
              <w:tr2bl w:val="nil"/>
            </w:tcBorders>
            <w:noWrap w:val="0"/>
            <w:vAlign w:val="center"/>
          </w:tcPr>
          <w:p w14:paraId="00C2952F">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无</w:t>
            </w:r>
          </w:p>
        </w:tc>
      </w:tr>
    </w:tbl>
    <w:p w14:paraId="2CF2AF7E">
      <w:pPr>
        <w:pStyle w:val="25"/>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仿宋_GB2312" w:cs="Times New Roman"/>
          <w:b/>
          <w:bCs/>
          <w:color w:val="000000" w:themeColor="text1"/>
          <w:highlight w:val="none"/>
          <w14:textFill>
            <w14:solidFill>
              <w14:schemeClr w14:val="tx1"/>
            </w14:solidFill>
          </w14:textFill>
        </w:rPr>
        <w:br w:type="page"/>
      </w: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三、生态环境现状、保护目标及评价标准</w:t>
      </w:r>
    </w:p>
    <w:tbl>
      <w:tblPr>
        <w:tblStyle w:val="28"/>
        <w:tblW w:w="8803" w:type="dxa"/>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429"/>
        <w:gridCol w:w="8374"/>
      </w:tblGrid>
      <w:tr w14:paraId="0893613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dxa"/>
            <w:noWrap w:val="0"/>
            <w:vAlign w:val="center"/>
          </w:tcPr>
          <w:p w14:paraId="5FC421ED">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生态环境现状</w:t>
            </w:r>
          </w:p>
        </w:tc>
        <w:tc>
          <w:tcPr>
            <w:tcW w:w="8374" w:type="dxa"/>
            <w:noWrap w:val="0"/>
            <w:vAlign w:val="center"/>
          </w:tcPr>
          <w:p w14:paraId="75C64E12">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3.1</w:t>
            </w:r>
            <w:r>
              <w:rPr>
                <w:rFonts w:hint="default" w:ascii="Times New Roman" w:hAnsi="Times New Roman" w:cs="Times New Roman"/>
                <w:color w:val="000000" w:themeColor="text1"/>
                <w:highlight w:val="none"/>
                <w:lang w:val="en-US" w:eastAsia="zh-CN"/>
                <w14:textFill>
                  <w14:solidFill>
                    <w14:schemeClr w14:val="tx1"/>
                  </w14:solidFill>
                </w14:textFill>
              </w:rPr>
              <w:t>生态环境</w:t>
            </w:r>
          </w:p>
          <w:p w14:paraId="7C29923C">
            <w:pPr>
              <w:pStyle w:val="53"/>
              <w:numPr>
                <w:ilvl w:val="0"/>
                <w:numId w:val="0"/>
              </w:numPr>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val="en-US" w:eastAsia="zh-CN" w:bidi="ar-SA"/>
                <w14:textFill>
                  <w14:solidFill>
                    <w14:schemeClr w14:val="tx1"/>
                  </w14:solidFill>
                </w14:textFill>
              </w:rPr>
              <w:t>3.1.</w:t>
            </w:r>
            <w:r>
              <w:rPr>
                <w:rFonts w:hint="default" w:ascii="Times New Roman" w:hAnsi="Times New Roman" w:cs="Times New Roman"/>
                <w:b/>
                <w:bCs/>
                <w:color w:val="000000" w:themeColor="text1"/>
                <w:kern w:val="0"/>
                <w:sz w:val="24"/>
                <w:szCs w:val="24"/>
                <w:highlight w:val="none"/>
                <w:lang w:val="en-US" w:eastAsia="zh-CN" w:bidi="ar-SA"/>
                <w14:textFill>
                  <w14:solidFill>
                    <w14:schemeClr w14:val="tx1"/>
                  </w14:solidFill>
                </w14:textFill>
              </w:rPr>
              <w:t>1</w:t>
            </w:r>
            <w:r>
              <w:rPr>
                <w:rFonts w:hint="default" w:ascii="Times New Roman" w:hAnsi="Times New Roman" w:cs="Times New Roman"/>
                <w:b/>
                <w:bCs/>
                <w:color w:val="000000" w:themeColor="text1"/>
                <w:highlight w:val="none"/>
                <w:lang w:val="en-US" w:eastAsia="zh-CN"/>
                <w14:textFill>
                  <w14:solidFill>
                    <w14:schemeClr w14:val="tx1"/>
                  </w14:solidFill>
                </w14:textFill>
              </w:rPr>
              <w:t>主体功能区规划</w:t>
            </w:r>
          </w:p>
          <w:p w14:paraId="65C8095E">
            <w:pPr>
              <w:pStyle w:val="53"/>
              <w:bidi w:val="0"/>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根据《新疆维吾尔自治区主体功能区规划》，新疆主体功能区按开发方式，分为重点开发区域、限制开发区域和禁止开发区域；按开发内容，分为城市化地区、农产品主产区和重点生态功能区三类；按层级，分为国家和自治区级两个层面。</w:t>
            </w:r>
          </w:p>
          <w:p w14:paraId="64BBD6FC">
            <w:pPr>
              <w:pStyle w:val="53"/>
              <w:bidi w:val="0"/>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项目区位于</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和静县北方</w:t>
            </w:r>
            <w:r>
              <w:rPr>
                <w:rFonts w:hint="eastAsia" w:cs="Times New Roman"/>
                <w:color w:val="000000" w:themeColor="text1"/>
                <w:kern w:val="0"/>
                <w:sz w:val="24"/>
                <w:szCs w:val="24"/>
                <w:highlight w:val="none"/>
                <w:lang w:val="en-US" w:eastAsia="zh-CN" w:bidi="ar-SA"/>
                <w14:textFill>
                  <w14:solidFill>
                    <w14:schemeClr w14:val="tx1"/>
                  </w14:solidFill>
                </w14:textFill>
              </w:rPr>
              <w:t>向</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约</w:t>
            </w:r>
            <w:r>
              <w:rPr>
                <w:rFonts w:hint="eastAsia" w:cs="Times New Roman"/>
                <w:color w:val="000000" w:themeColor="text1"/>
                <w:kern w:val="0"/>
                <w:sz w:val="24"/>
                <w:szCs w:val="24"/>
                <w:highlight w:val="none"/>
                <w:lang w:val="en-US" w:eastAsia="zh-CN" w:bidi="ar-SA"/>
                <w14:textFill>
                  <w14:solidFill>
                    <w14:schemeClr w14:val="tx1"/>
                  </w14:solidFill>
                </w14:textFill>
              </w:rPr>
              <w:t>69</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千米处</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，行政区划</w:t>
            </w:r>
            <w:r>
              <w:rPr>
                <w:rFonts w:hint="eastAsia" w:cs="Times New Roman"/>
                <w:color w:val="000000" w:themeColor="text1"/>
                <w:kern w:val="0"/>
                <w:sz w:val="24"/>
                <w:szCs w:val="24"/>
                <w:highlight w:val="none"/>
                <w:lang w:val="en-US" w:eastAsia="zh-CN" w:bidi="ar-SA"/>
                <w14:textFill>
                  <w14:solidFill>
                    <w14:schemeClr w14:val="tx1"/>
                  </w14:solidFill>
                </w14:textFill>
              </w:rPr>
              <w:t>隶属于</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新疆</w:t>
            </w:r>
            <w:r>
              <w:rPr>
                <w:rFonts w:hint="eastAsia" w:cs="Times New Roman"/>
                <w:color w:val="000000" w:themeColor="text1"/>
                <w:kern w:val="0"/>
                <w:sz w:val="24"/>
                <w:szCs w:val="24"/>
                <w:highlight w:val="none"/>
                <w:lang w:val="en-US" w:eastAsia="zh-CN" w:bidi="ar-SA"/>
                <w14:textFill>
                  <w14:solidFill>
                    <w14:schemeClr w14:val="tx1"/>
                  </w14:solidFill>
                </w14:textFill>
              </w:rPr>
              <w:t>和静县</w:t>
            </w:r>
            <w:r>
              <w:rPr>
                <w:rFonts w:hint="default" w:ascii="Times New Roman" w:hAnsi="Times New Roman" w:eastAsia="宋体" w:cs="Times New Roman"/>
                <w:color w:val="000000" w:themeColor="text1"/>
                <w:kern w:val="0"/>
                <w:sz w:val="24"/>
                <w:szCs w:val="24"/>
                <w:highlight w:val="none"/>
                <w:lang w:val="zh-CN"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不属于主体功能区划中确定的国家和自治区层面的禁止开发区域</w:t>
            </w:r>
            <w:r>
              <w:rPr>
                <w:rFonts w:hint="eastAsia" w:cs="Times New Roman"/>
                <w:color w:val="000000" w:themeColor="text1"/>
                <w:kern w:val="0"/>
                <w:sz w:val="24"/>
                <w:szCs w:val="24"/>
                <w:highlight w:val="none"/>
                <w:lang w:val="en-US" w:eastAsia="zh-CN" w:bidi="ar-SA"/>
                <w14:textFill>
                  <w14:solidFill>
                    <w14:schemeClr w14:val="tx1"/>
                  </w14:solidFill>
                </w14:textFill>
              </w:rPr>
              <w:t>，详情见附图4</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p>
          <w:p w14:paraId="162DFBD8">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3.1.2</w:t>
            </w:r>
            <w:r>
              <w:rPr>
                <w:rFonts w:hint="default" w:ascii="Times New Roman" w:hAnsi="Times New Roman" w:cs="Times New Roman"/>
                <w:b/>
                <w:bCs/>
                <w:color w:val="000000" w:themeColor="text1"/>
                <w:highlight w:val="none"/>
                <w14:textFill>
                  <w14:solidFill>
                    <w14:schemeClr w14:val="tx1"/>
                  </w14:solidFill>
                </w14:textFill>
              </w:rPr>
              <w:t>生态功能区划</w:t>
            </w:r>
          </w:p>
          <w:p w14:paraId="37FC9397">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根据《新疆生态功能区划》，评价区属</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cs="Times New Roman"/>
                <w:color w:val="000000" w:themeColor="text1"/>
                <w:highlight w:val="none"/>
                <w:lang w:val="en-US" w:eastAsia="zh-CN"/>
                <w14:textFill>
                  <w14:solidFill>
                    <w14:schemeClr w14:val="tx1"/>
                  </w14:solidFill>
                </w14:textFill>
              </w:rPr>
              <w:t>45.尤尔都斯盆地草原牧业、湿地生物多样性保护生态功能区</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项目区生态功能区划见表</w:t>
            </w:r>
            <w:r>
              <w:rPr>
                <w:rFonts w:hint="eastAsia" w:cs="Times New Roman"/>
                <w:color w:val="000000" w:themeColor="text1"/>
                <w:highlight w:val="none"/>
                <w:lang w:val="en-US" w:eastAsia="zh-CN"/>
                <w14:textFill>
                  <w14:solidFill>
                    <w14:schemeClr w14:val="tx1"/>
                  </w14:solidFill>
                </w14:textFill>
              </w:rPr>
              <w:t>3-1</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w:t>
            </w:r>
          </w:p>
          <w:p w14:paraId="6E85E0CD">
            <w:pPr>
              <w:pStyle w:val="57"/>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表3-</w:t>
            </w: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生态功能区划</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3"/>
              <w:gridCol w:w="985"/>
              <w:gridCol w:w="743"/>
              <w:gridCol w:w="691"/>
              <w:gridCol w:w="741"/>
              <w:gridCol w:w="865"/>
              <w:gridCol w:w="1156"/>
              <w:gridCol w:w="537"/>
              <w:gridCol w:w="895"/>
              <w:gridCol w:w="832"/>
            </w:tblGrid>
            <w:tr w14:paraId="50977B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382" w:type="dxa"/>
                  <w:gridSpan w:val="3"/>
                  <w:tcBorders>
                    <w:tl2br w:val="nil"/>
                    <w:tr2bl w:val="nil"/>
                  </w:tcBorders>
                  <w:noWrap w:val="0"/>
                  <w:vAlign w:val="center"/>
                </w:tcPr>
                <w:p w14:paraId="15531BB4">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生态功能分区单元</w:t>
                  </w:r>
                </w:p>
              </w:tc>
              <w:tc>
                <w:tcPr>
                  <w:tcW w:w="674" w:type="dxa"/>
                  <w:vMerge w:val="restart"/>
                  <w:tcBorders>
                    <w:tl2br w:val="nil"/>
                    <w:tr2bl w:val="nil"/>
                  </w:tcBorders>
                  <w:noWrap w:val="0"/>
                  <w:vAlign w:val="center"/>
                </w:tcPr>
                <w:p w14:paraId="1E158D0C">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隶属</w:t>
                  </w:r>
                </w:p>
                <w:p w14:paraId="3FC82AE6">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行政区</w:t>
                  </w:r>
                </w:p>
              </w:tc>
              <w:tc>
                <w:tcPr>
                  <w:tcW w:w="723" w:type="dxa"/>
                  <w:vMerge w:val="restart"/>
                  <w:tcBorders>
                    <w:tl2br w:val="nil"/>
                    <w:tr2bl w:val="nil"/>
                  </w:tcBorders>
                  <w:noWrap w:val="0"/>
                  <w:vAlign w:val="center"/>
                </w:tcPr>
                <w:p w14:paraId="62988CC3">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主要生态服务功能</w:t>
                  </w:r>
                </w:p>
              </w:tc>
              <w:tc>
                <w:tcPr>
                  <w:tcW w:w="844" w:type="dxa"/>
                  <w:vMerge w:val="restart"/>
                  <w:tcBorders>
                    <w:tl2br w:val="nil"/>
                    <w:tr2bl w:val="nil"/>
                  </w:tcBorders>
                  <w:noWrap w:val="0"/>
                  <w:vAlign w:val="center"/>
                </w:tcPr>
                <w:p w14:paraId="10451CBE">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主要生态环境问题</w:t>
                  </w:r>
                </w:p>
              </w:tc>
              <w:tc>
                <w:tcPr>
                  <w:tcW w:w="1129" w:type="dxa"/>
                  <w:vMerge w:val="restart"/>
                  <w:tcBorders>
                    <w:tl2br w:val="nil"/>
                    <w:tr2bl w:val="nil"/>
                  </w:tcBorders>
                  <w:noWrap w:val="0"/>
                  <w:vAlign w:val="center"/>
                </w:tcPr>
                <w:p w14:paraId="5FE64040">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主要生态敏感因子、敏感程度</w:t>
                  </w:r>
                </w:p>
              </w:tc>
              <w:tc>
                <w:tcPr>
                  <w:tcW w:w="523" w:type="dxa"/>
                  <w:vMerge w:val="restart"/>
                  <w:tcBorders>
                    <w:tl2br w:val="nil"/>
                    <w:tr2bl w:val="nil"/>
                  </w:tcBorders>
                  <w:noWrap w:val="0"/>
                  <w:vAlign w:val="center"/>
                </w:tcPr>
                <w:p w14:paraId="62FF8D02">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主要保护目标</w:t>
                  </w:r>
                </w:p>
              </w:tc>
              <w:tc>
                <w:tcPr>
                  <w:tcW w:w="874" w:type="dxa"/>
                  <w:vMerge w:val="restart"/>
                  <w:tcBorders>
                    <w:tl2br w:val="nil"/>
                    <w:tr2bl w:val="nil"/>
                  </w:tcBorders>
                  <w:noWrap w:val="0"/>
                  <w:vAlign w:val="center"/>
                </w:tcPr>
                <w:p w14:paraId="2C289122">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主要保护措施</w:t>
                  </w:r>
                </w:p>
              </w:tc>
              <w:tc>
                <w:tcPr>
                  <w:tcW w:w="812" w:type="dxa"/>
                  <w:vMerge w:val="restart"/>
                  <w:tcBorders>
                    <w:tl2br w:val="nil"/>
                    <w:tr2bl w:val="nil"/>
                  </w:tcBorders>
                  <w:noWrap w:val="0"/>
                  <w:vAlign w:val="center"/>
                </w:tcPr>
                <w:p w14:paraId="78BFA4CF">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适宜发展方向</w:t>
                  </w:r>
                </w:p>
              </w:tc>
            </w:tr>
            <w:tr w14:paraId="500B2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6" w:type="dxa"/>
                  <w:tcBorders>
                    <w:tl2br w:val="nil"/>
                    <w:tr2bl w:val="nil"/>
                  </w:tcBorders>
                  <w:noWrap w:val="0"/>
                  <w:vAlign w:val="center"/>
                </w:tcPr>
                <w:p w14:paraId="14B1DE49">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生态区</w:t>
                  </w:r>
                </w:p>
              </w:tc>
              <w:tc>
                <w:tcPr>
                  <w:tcW w:w="961" w:type="dxa"/>
                  <w:tcBorders>
                    <w:tl2br w:val="nil"/>
                    <w:tr2bl w:val="nil"/>
                  </w:tcBorders>
                  <w:noWrap w:val="0"/>
                  <w:vAlign w:val="center"/>
                </w:tcPr>
                <w:p w14:paraId="25561DE5">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生态亚区</w:t>
                  </w:r>
                </w:p>
              </w:tc>
              <w:tc>
                <w:tcPr>
                  <w:tcW w:w="725" w:type="dxa"/>
                  <w:tcBorders>
                    <w:tl2br w:val="nil"/>
                    <w:tr2bl w:val="nil"/>
                  </w:tcBorders>
                  <w:noWrap w:val="0"/>
                  <w:vAlign w:val="center"/>
                </w:tcPr>
                <w:p w14:paraId="63A9DFC4">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生态功能区</w:t>
                  </w:r>
                </w:p>
              </w:tc>
              <w:tc>
                <w:tcPr>
                  <w:tcW w:w="674" w:type="dxa"/>
                  <w:vMerge w:val="continue"/>
                  <w:tcBorders>
                    <w:tl2br w:val="nil"/>
                    <w:tr2bl w:val="nil"/>
                  </w:tcBorders>
                  <w:noWrap w:val="0"/>
                  <w:vAlign w:val="center"/>
                </w:tcPr>
                <w:p w14:paraId="1C8AD7D2">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p>
              </w:tc>
              <w:tc>
                <w:tcPr>
                  <w:tcW w:w="723" w:type="dxa"/>
                  <w:vMerge w:val="continue"/>
                  <w:tcBorders>
                    <w:tl2br w:val="nil"/>
                    <w:tr2bl w:val="nil"/>
                  </w:tcBorders>
                  <w:noWrap w:val="0"/>
                  <w:vAlign w:val="center"/>
                </w:tcPr>
                <w:p w14:paraId="0C111B1F">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p>
              </w:tc>
              <w:tc>
                <w:tcPr>
                  <w:tcW w:w="844" w:type="dxa"/>
                  <w:vMerge w:val="continue"/>
                  <w:tcBorders>
                    <w:tl2br w:val="nil"/>
                    <w:tr2bl w:val="nil"/>
                  </w:tcBorders>
                  <w:noWrap w:val="0"/>
                  <w:vAlign w:val="center"/>
                </w:tcPr>
                <w:p w14:paraId="29E5144B">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p>
              </w:tc>
              <w:tc>
                <w:tcPr>
                  <w:tcW w:w="1129" w:type="dxa"/>
                  <w:vMerge w:val="continue"/>
                  <w:tcBorders>
                    <w:tl2br w:val="nil"/>
                    <w:tr2bl w:val="nil"/>
                  </w:tcBorders>
                  <w:noWrap w:val="0"/>
                  <w:vAlign w:val="center"/>
                </w:tcPr>
                <w:p w14:paraId="34F5296D">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p>
              </w:tc>
              <w:tc>
                <w:tcPr>
                  <w:tcW w:w="523" w:type="dxa"/>
                  <w:vMerge w:val="continue"/>
                  <w:tcBorders>
                    <w:tl2br w:val="nil"/>
                    <w:tr2bl w:val="nil"/>
                  </w:tcBorders>
                  <w:noWrap w:val="0"/>
                  <w:vAlign w:val="center"/>
                </w:tcPr>
                <w:p w14:paraId="3B80293F">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p>
              </w:tc>
              <w:tc>
                <w:tcPr>
                  <w:tcW w:w="874" w:type="dxa"/>
                  <w:vMerge w:val="continue"/>
                  <w:tcBorders>
                    <w:tl2br w:val="nil"/>
                    <w:tr2bl w:val="nil"/>
                  </w:tcBorders>
                  <w:noWrap w:val="0"/>
                  <w:vAlign w:val="center"/>
                </w:tcPr>
                <w:p w14:paraId="1036EE0C">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p>
              </w:tc>
              <w:tc>
                <w:tcPr>
                  <w:tcW w:w="812" w:type="dxa"/>
                  <w:vMerge w:val="continue"/>
                  <w:tcBorders>
                    <w:tl2br w:val="nil"/>
                    <w:tr2bl w:val="nil"/>
                  </w:tcBorders>
                  <w:noWrap w:val="0"/>
                  <w:vAlign w:val="center"/>
                </w:tcPr>
                <w:p w14:paraId="4F88C36D">
                  <w:pPr>
                    <w:pStyle w:val="8"/>
                    <w:keepNext w:val="0"/>
                    <w:keepLines w:val="0"/>
                    <w:suppressLineNumbers w:val="0"/>
                    <w:bidi w:val="0"/>
                    <w:spacing w:before="0" w:beforeAutospacing="0" w:after="0" w:afterAutospacing="0"/>
                    <w:ind w:left="0" w:right="0"/>
                    <w:jc w:val="center"/>
                    <w:rPr>
                      <w:rFonts w:hint="eastAsia"/>
                      <w:color w:val="000000" w:themeColor="text1"/>
                      <w:highlight w:val="none"/>
                      <w14:textFill>
                        <w14:solidFill>
                          <w14:schemeClr w14:val="tx1"/>
                        </w14:solidFill>
                      </w14:textFill>
                    </w:rPr>
                  </w:pPr>
                </w:p>
              </w:tc>
            </w:tr>
            <w:tr w14:paraId="44BC6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tcBorders>
                    <w:tl2br w:val="nil"/>
                    <w:tr2bl w:val="nil"/>
                  </w:tcBorders>
                  <w:noWrap w:val="0"/>
                  <w:vAlign w:val="center"/>
                </w:tcPr>
                <w:p w14:paraId="682C0946">
                  <w:pPr>
                    <w:rPr>
                      <w:rFonts w:hint="eastAsia" w:ascii="宋体" w:hAnsi="宋体" w:eastAsia="宋体" w:cs="Times New Roman"/>
                      <w:color w:val="000000" w:themeColor="text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Ⅲ 天山山地温性草原、森林生态区</w:t>
                  </w:r>
                </w:p>
              </w:tc>
              <w:tc>
                <w:tcPr>
                  <w:tcW w:w="961" w:type="dxa"/>
                  <w:tcBorders>
                    <w:tl2br w:val="nil"/>
                    <w:tr2bl w:val="nil"/>
                  </w:tcBorders>
                  <w:noWrap w:val="0"/>
                  <w:vAlign w:val="center"/>
                </w:tcPr>
                <w:p w14:paraId="4CAB1DEC">
                  <w:pPr>
                    <w:rPr>
                      <w:rFonts w:hint="eastAsia" w:ascii="宋体" w:hAnsi="宋体" w:eastAsia="宋体" w:cs="Times New Roman"/>
                      <w:color w:val="000000" w:themeColor="text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Ⅲ</w:t>
                  </w:r>
                  <w:r>
                    <w:rPr>
                      <w:rFonts w:hint="eastAsia" w:ascii="宋体" w:hAnsi="宋体" w:eastAsia="宋体" w:cs="Times New Roman"/>
                      <w:b w:val="0"/>
                      <w:color w:val="000000" w:themeColor="text1"/>
                      <w:sz w:val="21"/>
                      <w:highlight w:val="none"/>
                      <w:vertAlign w:val="baseline"/>
                      <w14:textFill>
                        <w14:solidFill>
                          <w14:schemeClr w14:val="tx1"/>
                        </w14:solidFill>
                      </w14:textFill>
                    </w:rPr>
                    <w:t>3</w:t>
                  </w:r>
                  <w:r>
                    <w:rPr>
                      <w:rFonts w:hint="eastAsia" w:ascii="宋体" w:hAnsi="宋体" w:eastAsia="宋体" w:cs="Times New Roman"/>
                      <w:b w:val="0"/>
                      <w:color w:val="000000" w:themeColor="text1"/>
                      <w:sz w:val="21"/>
                      <w:highlight w:val="none"/>
                      <w14:textFill>
                        <w14:solidFill>
                          <w14:schemeClr w14:val="tx1"/>
                        </w14:solidFill>
                      </w14:textFill>
                    </w:rPr>
                    <w:t>天山南坡草原牧业、绿洲农业生态亚区</w:t>
                  </w:r>
                </w:p>
              </w:tc>
              <w:tc>
                <w:tcPr>
                  <w:tcW w:w="725" w:type="dxa"/>
                  <w:tcBorders>
                    <w:tl2br w:val="nil"/>
                    <w:tr2bl w:val="nil"/>
                  </w:tcBorders>
                  <w:noWrap w:val="0"/>
                  <w:vAlign w:val="center"/>
                </w:tcPr>
                <w:p w14:paraId="17D93015">
                  <w:pPr>
                    <w:rPr>
                      <w:rFonts w:hint="eastAsia" w:ascii="宋体" w:hAnsi="宋体" w:eastAsia="宋体" w:cs="Times New Roman"/>
                      <w:color w:val="000000" w:themeColor="text1"/>
                      <w:highlight w:val="none"/>
                      <w:lang w:val="en-US" w:eastAsia="zh-CN"/>
                      <w14:textFill>
                        <w14:solidFill>
                          <w14:schemeClr w14:val="tx1"/>
                        </w14:solidFill>
                      </w14:textFill>
                    </w:rPr>
                  </w:pPr>
                  <w:r>
                    <w:rPr>
                      <w:rFonts w:hint="eastAsia" w:ascii="宋体" w:hAnsi="宋体" w:cs="Times New Roman"/>
                      <w:color w:val="000000" w:themeColor="text1"/>
                      <w:highlight w:val="none"/>
                      <w:lang w:eastAsia="zh-CN"/>
                      <w14:textFill>
                        <w14:solidFill>
                          <w14:schemeClr w14:val="tx1"/>
                        </w14:solidFill>
                      </w14:textFill>
                    </w:rPr>
                    <w:t>45.</w:t>
                  </w:r>
                  <w:r>
                    <w:rPr>
                      <w:rFonts w:hint="eastAsia" w:ascii="宋体" w:hAnsi="宋体" w:eastAsia="宋体" w:cs="Times New Roman"/>
                      <w:color w:val="000000" w:themeColor="text1"/>
                      <w:highlight w:val="none"/>
                      <w14:textFill>
                        <w14:solidFill>
                          <w14:schemeClr w14:val="tx1"/>
                        </w14:solidFill>
                      </w14:textFill>
                    </w:rPr>
                    <w:t>尤尔都斯盆地草原牧业、湿地生物多样性保护生态功能区</w:t>
                  </w:r>
                </w:p>
              </w:tc>
              <w:tc>
                <w:tcPr>
                  <w:tcW w:w="674" w:type="dxa"/>
                  <w:tcBorders>
                    <w:tl2br w:val="nil"/>
                    <w:tr2bl w:val="nil"/>
                  </w:tcBorders>
                  <w:noWrap w:val="0"/>
                  <w:vAlign w:val="center"/>
                </w:tcPr>
                <w:p w14:paraId="72E9D4E8">
                  <w:pPr>
                    <w:rPr>
                      <w:rFonts w:hint="eastAsia" w:ascii="宋体" w:hAnsi="宋体" w:eastAsia="宋体" w:cs="Times New Roman"/>
                      <w:color w:val="000000" w:themeColor="text1"/>
                      <w:highlight w:val="none"/>
                      <w:lang w:val="en-US" w:eastAsia="zh-CN"/>
                      <w14:textFill>
                        <w14:solidFill>
                          <w14:schemeClr w14:val="tx1"/>
                        </w14:solidFill>
                      </w14:textFill>
                    </w:rPr>
                  </w:pPr>
                  <w:r>
                    <w:rPr>
                      <w:rFonts w:hint="eastAsia" w:ascii="宋体" w:hAnsi="宋体" w:eastAsia="宋体" w:cs="Times New Roman"/>
                      <w:color w:val="000000" w:themeColor="text1"/>
                      <w:sz w:val="21"/>
                      <w:highlight w:val="none"/>
                      <w14:textFill>
                        <w14:solidFill>
                          <w14:schemeClr w14:val="tx1"/>
                        </w14:solidFill>
                      </w14:textFill>
                    </w:rPr>
                    <w:t>和静县</w:t>
                  </w:r>
                </w:p>
              </w:tc>
              <w:tc>
                <w:tcPr>
                  <w:tcW w:w="723" w:type="dxa"/>
                  <w:tcBorders>
                    <w:tl2br w:val="nil"/>
                    <w:tr2bl w:val="nil"/>
                  </w:tcBorders>
                  <w:noWrap w:val="0"/>
                  <w:vAlign w:val="center"/>
                </w:tcPr>
                <w:p w14:paraId="5EF5091B">
                  <w:pPr>
                    <w:rPr>
                      <w:rFonts w:hint="eastAsia" w:ascii="宋体" w:hAnsi="宋体" w:eastAsia="宋体" w:cs="Times New Roman"/>
                      <w:color w:val="000000" w:themeColor="text1"/>
                      <w:highlight w:val="none"/>
                      <w:lang w:val="en-US" w:eastAsia="zh-CN"/>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水文调蓄、畜产品生产、</w:t>
                  </w:r>
                  <w:r>
                    <w:rPr>
                      <w:rFonts w:hint="eastAsia" w:ascii="宋体" w:hAnsi="宋体" w:cs="Times New Roman"/>
                      <w:color w:val="000000" w:themeColor="text1"/>
                      <w:highlight w:val="none"/>
                      <w:lang w:eastAsia="zh-CN"/>
                      <w14:textFill>
                        <w14:solidFill>
                          <w14:schemeClr w14:val="tx1"/>
                        </w14:solidFill>
                      </w14:textFill>
                    </w:rPr>
                    <w:t>生物多样性保护</w:t>
                  </w:r>
                  <w:r>
                    <w:rPr>
                      <w:rFonts w:hint="eastAsia" w:ascii="宋体" w:hAnsi="宋体" w:eastAsia="宋体" w:cs="Times New Roman"/>
                      <w:color w:val="000000" w:themeColor="text1"/>
                      <w:highlight w:val="none"/>
                      <w14:textFill>
                        <w14:solidFill>
                          <w14:schemeClr w14:val="tx1"/>
                        </w14:solidFill>
                      </w14:textFill>
                    </w:rPr>
                    <w:t>、生态旅游</w:t>
                  </w:r>
                </w:p>
              </w:tc>
              <w:tc>
                <w:tcPr>
                  <w:tcW w:w="844" w:type="dxa"/>
                  <w:tcBorders>
                    <w:tl2br w:val="nil"/>
                    <w:tr2bl w:val="nil"/>
                  </w:tcBorders>
                  <w:shd w:val="clear" w:color="auto" w:fill="auto"/>
                  <w:noWrap w:val="0"/>
                  <w:vAlign w:val="center"/>
                </w:tcPr>
                <w:p w14:paraId="4BB9E607">
                  <w:pPr>
                    <w:rPr>
                      <w:rFonts w:hint="eastAsia" w:ascii="宋体" w:hAnsi="宋体"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草原退化、虫害鼠害严重、旅游区景观破坏</w:t>
                  </w:r>
                </w:p>
              </w:tc>
              <w:tc>
                <w:tcPr>
                  <w:tcW w:w="1129" w:type="dxa"/>
                  <w:tcBorders>
                    <w:tl2br w:val="nil"/>
                    <w:tr2bl w:val="nil"/>
                  </w:tcBorders>
                  <w:shd w:val="clear" w:color="auto" w:fill="auto"/>
                  <w:noWrap w:val="0"/>
                  <w:vAlign w:val="center"/>
                </w:tcPr>
                <w:p w14:paraId="75A18BAD">
                  <w:pP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生物多样性及其生境极度敏感，土壤侵蚀轻度敏感</w:t>
                  </w:r>
                </w:p>
                <w:p w14:paraId="21698A6A">
                  <w:pPr>
                    <w:rPr>
                      <w:rFonts w:hint="default" w:ascii="宋体" w:hAnsi="宋体" w:eastAsia="宋体" w:cs="Times New Roman"/>
                      <w:color w:val="000000" w:themeColor="text1"/>
                      <w:kern w:val="2"/>
                      <w:sz w:val="21"/>
                      <w:szCs w:val="24"/>
                      <w:highlight w:val="none"/>
                      <w:lang w:val="en-US" w:eastAsia="zh-CN" w:bidi="ar-SA"/>
                      <w14:textFill>
                        <w14:solidFill>
                          <w14:schemeClr w14:val="tx1"/>
                        </w14:solidFill>
                      </w14:textFill>
                    </w:rPr>
                  </w:pPr>
                </w:p>
              </w:tc>
              <w:tc>
                <w:tcPr>
                  <w:tcW w:w="523" w:type="dxa"/>
                  <w:tcBorders>
                    <w:tl2br w:val="nil"/>
                    <w:tr2bl w:val="nil"/>
                  </w:tcBorders>
                  <w:shd w:val="clear" w:color="auto" w:fill="auto"/>
                  <w:noWrap w:val="0"/>
                  <w:vAlign w:val="center"/>
                </w:tcPr>
                <w:p w14:paraId="70F46208">
                  <w:pPr>
                    <w:rPr>
                      <w:rFonts w:hint="default" w:ascii="宋体" w:hAnsi="宋体"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highlight w:val="none"/>
                      <w14:textFill>
                        <w14:solidFill>
                          <w14:schemeClr w14:val="tx1"/>
                        </w14:solidFill>
                      </w14:textFill>
                    </w:rPr>
                    <w:t>保护草原、保护水源、保护湿地、天鹅及生物多样性</w:t>
                  </w:r>
                </w:p>
              </w:tc>
              <w:tc>
                <w:tcPr>
                  <w:tcW w:w="874" w:type="dxa"/>
                  <w:tcBorders>
                    <w:tl2br w:val="nil"/>
                    <w:tr2bl w:val="nil"/>
                  </w:tcBorders>
                  <w:shd w:val="clear" w:color="auto" w:fill="auto"/>
                  <w:noWrap w:val="0"/>
                  <w:vAlign w:val="center"/>
                </w:tcPr>
                <w:p w14:paraId="0727FA05">
                  <w:pPr>
                    <w:rPr>
                      <w:rFonts w:hint="default" w:ascii="宋体" w:hAnsi="宋体"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highlight w:val="none"/>
                      <w14:textFill>
                        <w14:solidFill>
                          <w14:schemeClr w14:val="tx1"/>
                        </w14:solidFill>
                      </w14:textFill>
                    </w:rPr>
                    <w:t>草地减牧、加强保护区管理、规范旅游、生态移民搬迁</w:t>
                  </w:r>
                </w:p>
              </w:tc>
              <w:tc>
                <w:tcPr>
                  <w:tcW w:w="812" w:type="dxa"/>
                  <w:tcBorders>
                    <w:tl2br w:val="nil"/>
                    <w:tr2bl w:val="nil"/>
                  </w:tcBorders>
                  <w:shd w:val="clear" w:color="auto" w:fill="auto"/>
                  <w:noWrap w:val="0"/>
                  <w:vAlign w:val="center"/>
                </w:tcPr>
                <w:p w14:paraId="5FE6CFC3">
                  <w:pPr>
                    <w:rPr>
                      <w:rFonts w:hint="default" w:ascii="宋体" w:hAnsi="宋体"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highlight w:val="none"/>
                      <w14:textFill>
                        <w14:solidFill>
                          <w14:schemeClr w14:val="tx1"/>
                        </w14:solidFill>
                      </w14:textFill>
                    </w:rPr>
                    <w:t>适度建立人工草地，合理发展草原畜牧业及生态旅游业</w:t>
                  </w:r>
                </w:p>
              </w:tc>
            </w:tr>
          </w:tbl>
          <w:p w14:paraId="6EEBB605">
            <w:pPr>
              <w:pStyle w:val="53"/>
              <w:numPr>
                <w:ilvl w:val="0"/>
                <w:numId w:val="0"/>
              </w:numPr>
              <w:bidi w:val="0"/>
              <w:ind w:leftChars="200"/>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val="en-US" w:eastAsia="zh-CN"/>
                <w14:textFill>
                  <w14:solidFill>
                    <w14:schemeClr w14:val="tx1"/>
                  </w14:solidFill>
                </w14:textFill>
              </w:rPr>
              <w:t>3.1.3</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生态环境现状调查</w:t>
            </w:r>
          </w:p>
          <w:p w14:paraId="31F8BABF">
            <w:pPr>
              <w:pStyle w:val="53"/>
              <w:bidi w:val="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sz w:val="24"/>
                <w:highlight w:val="none"/>
                <w14:textFill>
                  <w14:solidFill>
                    <w14:schemeClr w14:val="tx1"/>
                  </w14:solidFill>
                </w14:textFill>
              </w:rPr>
              <w:t>植被</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现状调查</w:t>
            </w:r>
          </w:p>
          <w:p w14:paraId="10C91466">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经现场调查，评价区的地质地貌、气候等自然因素处于相对稳定状态，地形、地貌等对植被的影响主要通过水分、盐分、矿质养分的分配差异体现出来。勘查区域大部分是</w:t>
            </w:r>
            <w:r>
              <w:rPr>
                <w:rFonts w:hint="eastAsia" w:ascii="宋体" w:hAnsi="宋体" w:cs="宋体"/>
                <w:color w:val="000000" w:themeColor="text1"/>
                <w:sz w:val="24"/>
                <w:szCs w:val="24"/>
                <w:highlight w:val="none"/>
                <w:lang w:val="en-US" w:eastAsia="zh-CN"/>
                <w14:textFill>
                  <w14:solidFill>
                    <w14:schemeClr w14:val="tx1"/>
                  </w14:solidFill>
                </w14:textFill>
              </w:rPr>
              <w:t>天然牧草地</w:t>
            </w:r>
            <w:r>
              <w:rPr>
                <w:rFonts w:ascii="宋体" w:hAnsi="宋体" w:eastAsia="宋体" w:cs="宋体"/>
                <w:color w:val="000000" w:themeColor="text1"/>
                <w:sz w:val="24"/>
                <w:szCs w:val="24"/>
                <w:highlight w:val="none"/>
                <w14:textFill>
                  <w14:solidFill>
                    <w14:schemeClr w14:val="tx1"/>
                  </w14:solidFill>
                </w14:textFill>
              </w:rPr>
              <w:t>，极小部分是其他草地，植物类型主要为</w:t>
            </w:r>
            <w:r>
              <w:rPr>
                <w:rStyle w:val="31"/>
                <w:rFonts w:ascii="宋体" w:hAnsi="宋体" w:eastAsia="宋体" w:cs="宋体"/>
                <w:color w:val="000000" w:themeColor="text1"/>
                <w:sz w:val="24"/>
                <w:szCs w:val="24"/>
                <w:highlight w:val="none"/>
                <w14:textFill>
                  <w14:solidFill>
                    <w14:schemeClr w14:val="tx1"/>
                  </w14:solidFill>
                </w14:textFill>
              </w:rPr>
              <w:t>高寒草原植被</w:t>
            </w:r>
            <w:r>
              <w:rPr>
                <w:rFonts w:ascii="宋体" w:hAnsi="宋体" w:eastAsia="宋体" w:cs="宋体"/>
                <w:color w:val="000000" w:themeColor="text1"/>
                <w:sz w:val="24"/>
                <w:szCs w:val="24"/>
                <w:highlight w:val="none"/>
                <w14:textFill>
                  <w14:solidFill>
                    <w14:schemeClr w14:val="tx1"/>
                  </w14:solidFill>
                </w14:textFill>
              </w:rPr>
              <w:t>，以耐旱耐寒草本植物为主，评价区内未发现国家及自治区重点保护野生植物。评价区常见的植物名录见下表</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本项目植被类型图见附图8</w:t>
            </w:r>
            <w:r>
              <w:rPr>
                <w:rFonts w:hint="default" w:ascii="Times New Roman" w:hAnsi="Times New Roman" w:cs="Times New Roman"/>
                <w:color w:val="000000" w:themeColor="text1"/>
                <w:highlight w:val="none"/>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评价区常见的植物名录见下表</w:t>
            </w:r>
            <w:r>
              <w:rPr>
                <w:rFonts w:hint="eastAsia" w:ascii="宋体" w:hAnsi="宋体" w:cs="宋体"/>
                <w:color w:val="000000" w:themeColor="text1"/>
                <w:sz w:val="24"/>
                <w:szCs w:val="24"/>
                <w:highlight w:val="none"/>
                <w:lang w:eastAsia="zh-CN"/>
                <w14:textFill>
                  <w14:solidFill>
                    <w14:schemeClr w14:val="tx1"/>
                  </w14:solidFill>
                </w14:textFill>
              </w:rPr>
              <w:t>。</w:t>
            </w:r>
          </w:p>
          <w:p w14:paraId="3A67BA59">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评价区内主要植物名录</w:t>
            </w:r>
          </w:p>
          <w:tbl>
            <w:tblPr>
              <w:tblStyle w:val="28"/>
              <w:tblW w:w="4998" w:type="pct"/>
              <w:tblInd w:w="-3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387"/>
              <w:gridCol w:w="3084"/>
              <w:gridCol w:w="1203"/>
              <w:gridCol w:w="1340"/>
              <w:gridCol w:w="1141"/>
            </w:tblGrid>
            <w:tr w14:paraId="1D9359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850" w:type="pct"/>
                  <w:tcBorders>
                    <w:tl2br w:val="nil"/>
                    <w:tr2bl w:val="nil"/>
                  </w:tcBorders>
                  <w:shd w:val="clear" w:color="auto" w:fill="auto"/>
                  <w:tcMar>
                    <w:top w:w="120" w:type="dxa"/>
                    <w:left w:w="120" w:type="dxa"/>
                    <w:bottom w:w="120" w:type="dxa"/>
                    <w:right w:w="120" w:type="dxa"/>
                  </w:tcMar>
                  <w:vAlign w:val="center"/>
                </w:tcPr>
                <w:p w14:paraId="292702A3">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植物中文名</w:t>
                  </w:r>
                </w:p>
              </w:tc>
              <w:tc>
                <w:tcPr>
                  <w:tcW w:w="1890" w:type="pct"/>
                  <w:tcBorders>
                    <w:tl2br w:val="nil"/>
                    <w:tr2bl w:val="nil"/>
                  </w:tcBorders>
                  <w:shd w:val="clear" w:color="auto" w:fill="auto"/>
                  <w:tcMar>
                    <w:top w:w="120" w:type="dxa"/>
                    <w:left w:w="120" w:type="dxa"/>
                    <w:bottom w:w="120" w:type="dxa"/>
                    <w:right w:w="120" w:type="dxa"/>
                  </w:tcMar>
                  <w:vAlign w:val="center"/>
                </w:tcPr>
                <w:p w14:paraId="4FEAD012">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拉丁学名</w:t>
                  </w:r>
                </w:p>
              </w:tc>
              <w:tc>
                <w:tcPr>
                  <w:tcW w:w="737" w:type="pct"/>
                  <w:tcBorders>
                    <w:tl2br w:val="nil"/>
                    <w:tr2bl w:val="nil"/>
                  </w:tcBorders>
                  <w:shd w:val="clear" w:color="auto" w:fill="auto"/>
                  <w:tcMar>
                    <w:top w:w="120" w:type="dxa"/>
                    <w:left w:w="120" w:type="dxa"/>
                    <w:bottom w:w="120" w:type="dxa"/>
                    <w:right w:w="120" w:type="dxa"/>
                  </w:tcMar>
                  <w:vAlign w:val="center"/>
                </w:tcPr>
                <w:p w14:paraId="5BFAF7BE">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科</w:t>
                  </w:r>
                </w:p>
              </w:tc>
              <w:tc>
                <w:tcPr>
                  <w:tcW w:w="821" w:type="pct"/>
                  <w:tcBorders>
                    <w:tl2br w:val="nil"/>
                    <w:tr2bl w:val="nil"/>
                  </w:tcBorders>
                  <w:shd w:val="clear" w:color="auto" w:fill="auto"/>
                  <w:tcMar>
                    <w:top w:w="120" w:type="dxa"/>
                    <w:left w:w="120" w:type="dxa"/>
                    <w:bottom w:w="120" w:type="dxa"/>
                    <w:right w:w="120" w:type="dxa"/>
                  </w:tcMar>
                  <w:vAlign w:val="center"/>
                </w:tcPr>
                <w:p w14:paraId="70913C8B">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属</w:t>
                  </w:r>
                </w:p>
              </w:tc>
              <w:tc>
                <w:tcPr>
                  <w:tcW w:w="699" w:type="pct"/>
                  <w:tcBorders>
                    <w:tl2br w:val="nil"/>
                    <w:tr2bl w:val="nil"/>
                  </w:tcBorders>
                  <w:shd w:val="clear" w:color="auto" w:fill="auto"/>
                  <w:tcMar>
                    <w:top w:w="120" w:type="dxa"/>
                    <w:left w:w="120" w:type="dxa"/>
                    <w:bottom w:w="120" w:type="dxa"/>
                    <w:right w:w="120" w:type="dxa"/>
                  </w:tcMar>
                  <w:vAlign w:val="center"/>
                </w:tcPr>
                <w:p w14:paraId="5F01F6EF">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保护级别</w:t>
                  </w:r>
                </w:p>
              </w:tc>
            </w:tr>
            <w:tr w14:paraId="18645C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850" w:type="pct"/>
                  <w:tcBorders>
                    <w:tl2br w:val="nil"/>
                    <w:tr2bl w:val="nil"/>
                  </w:tcBorders>
                  <w:shd w:val="clear" w:color="auto" w:fill="auto"/>
                  <w:tcMar>
                    <w:top w:w="120" w:type="dxa"/>
                    <w:left w:w="120" w:type="dxa"/>
                    <w:bottom w:w="120" w:type="dxa"/>
                    <w:right w:w="120" w:type="dxa"/>
                  </w:tcMar>
                  <w:vAlign w:val="center"/>
                </w:tcPr>
                <w:p w14:paraId="3E3270A1">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紫花针茅</w:t>
                  </w:r>
                </w:p>
              </w:tc>
              <w:tc>
                <w:tcPr>
                  <w:tcW w:w="1890" w:type="pct"/>
                  <w:tcBorders>
                    <w:tl2br w:val="nil"/>
                    <w:tr2bl w:val="nil"/>
                  </w:tcBorders>
                  <w:shd w:val="clear" w:color="auto" w:fill="auto"/>
                  <w:tcMar>
                    <w:top w:w="120" w:type="dxa"/>
                    <w:left w:w="120" w:type="dxa"/>
                    <w:bottom w:w="120" w:type="dxa"/>
                    <w:right w:w="120" w:type="dxa"/>
                  </w:tcMar>
                  <w:vAlign w:val="center"/>
                </w:tcPr>
                <w:p w14:paraId="7D0D5735">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Stipa purpurea</w:t>
                  </w:r>
                </w:p>
              </w:tc>
              <w:tc>
                <w:tcPr>
                  <w:tcW w:w="737" w:type="pct"/>
                  <w:tcBorders>
                    <w:tl2br w:val="nil"/>
                    <w:tr2bl w:val="nil"/>
                  </w:tcBorders>
                  <w:shd w:val="clear" w:color="auto" w:fill="auto"/>
                  <w:tcMar>
                    <w:top w:w="120" w:type="dxa"/>
                    <w:left w:w="120" w:type="dxa"/>
                    <w:bottom w:w="120" w:type="dxa"/>
                    <w:right w:w="120" w:type="dxa"/>
                  </w:tcMar>
                  <w:vAlign w:val="center"/>
                </w:tcPr>
                <w:p w14:paraId="0B8D1AFF">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禾本科</w:t>
                  </w:r>
                </w:p>
              </w:tc>
              <w:tc>
                <w:tcPr>
                  <w:tcW w:w="821" w:type="pct"/>
                  <w:tcBorders>
                    <w:tl2br w:val="nil"/>
                    <w:tr2bl w:val="nil"/>
                  </w:tcBorders>
                  <w:shd w:val="clear" w:color="auto" w:fill="auto"/>
                  <w:tcMar>
                    <w:top w:w="120" w:type="dxa"/>
                    <w:left w:w="120" w:type="dxa"/>
                    <w:bottom w:w="120" w:type="dxa"/>
                    <w:right w:w="120" w:type="dxa"/>
                  </w:tcMar>
                  <w:vAlign w:val="center"/>
                </w:tcPr>
                <w:p w14:paraId="18E78DF5">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针茅属</w:t>
                  </w:r>
                </w:p>
              </w:tc>
              <w:tc>
                <w:tcPr>
                  <w:tcW w:w="699" w:type="pct"/>
                  <w:tcBorders>
                    <w:tl2br w:val="nil"/>
                    <w:tr2bl w:val="nil"/>
                  </w:tcBorders>
                  <w:shd w:val="clear" w:color="auto" w:fill="auto"/>
                  <w:tcMar>
                    <w:top w:w="120" w:type="dxa"/>
                    <w:left w:w="120" w:type="dxa"/>
                    <w:bottom w:w="120" w:type="dxa"/>
                    <w:right w:w="120" w:type="dxa"/>
                  </w:tcMar>
                  <w:vAlign w:val="center"/>
                </w:tcPr>
                <w:p w14:paraId="622D2E2B">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无</w:t>
                  </w:r>
                </w:p>
              </w:tc>
            </w:tr>
            <w:tr w14:paraId="0DE22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850" w:type="pct"/>
                  <w:tcBorders>
                    <w:tl2br w:val="nil"/>
                    <w:tr2bl w:val="nil"/>
                  </w:tcBorders>
                  <w:shd w:val="clear" w:color="auto" w:fill="auto"/>
                  <w:tcMar>
                    <w:top w:w="120" w:type="dxa"/>
                    <w:left w:w="120" w:type="dxa"/>
                    <w:bottom w:w="120" w:type="dxa"/>
                    <w:right w:w="120" w:type="dxa"/>
                  </w:tcMar>
                  <w:vAlign w:val="center"/>
                </w:tcPr>
                <w:p w14:paraId="24429572">
                  <w:pPr>
                    <w:jc w:val="center"/>
                    <w:rPr>
                      <w:rFonts w:hint="eastAsia"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座花针茅</w:t>
                  </w:r>
                </w:p>
              </w:tc>
              <w:tc>
                <w:tcPr>
                  <w:tcW w:w="1890" w:type="pct"/>
                  <w:tcBorders>
                    <w:tl2br w:val="nil"/>
                    <w:tr2bl w:val="nil"/>
                  </w:tcBorders>
                  <w:shd w:val="clear" w:color="auto" w:fill="auto"/>
                  <w:tcMar>
                    <w:top w:w="120" w:type="dxa"/>
                    <w:left w:w="120" w:type="dxa"/>
                    <w:bottom w:w="120" w:type="dxa"/>
                    <w:right w:w="120" w:type="dxa"/>
                  </w:tcMar>
                  <w:vAlign w:val="center"/>
                </w:tcPr>
                <w:p w14:paraId="494AFEC7">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Stipa subsessiliflora</w:t>
                  </w:r>
                </w:p>
              </w:tc>
              <w:tc>
                <w:tcPr>
                  <w:tcW w:w="737" w:type="pct"/>
                  <w:tcBorders>
                    <w:tl2br w:val="nil"/>
                    <w:tr2bl w:val="nil"/>
                  </w:tcBorders>
                  <w:shd w:val="clear" w:color="auto" w:fill="auto"/>
                  <w:tcMar>
                    <w:top w:w="120" w:type="dxa"/>
                    <w:left w:w="120" w:type="dxa"/>
                    <w:bottom w:w="120" w:type="dxa"/>
                    <w:right w:w="120" w:type="dxa"/>
                  </w:tcMar>
                  <w:vAlign w:val="center"/>
                </w:tcPr>
                <w:p w14:paraId="4A016076">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禾本科</w:t>
                  </w:r>
                </w:p>
              </w:tc>
              <w:tc>
                <w:tcPr>
                  <w:tcW w:w="821" w:type="pct"/>
                  <w:tcBorders>
                    <w:tl2br w:val="nil"/>
                    <w:tr2bl w:val="nil"/>
                  </w:tcBorders>
                  <w:shd w:val="clear" w:color="auto" w:fill="auto"/>
                  <w:tcMar>
                    <w:top w:w="120" w:type="dxa"/>
                    <w:left w:w="120" w:type="dxa"/>
                    <w:bottom w:w="120" w:type="dxa"/>
                    <w:right w:w="120" w:type="dxa"/>
                  </w:tcMar>
                  <w:vAlign w:val="center"/>
                </w:tcPr>
                <w:p w14:paraId="12050F03">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针茅属</w:t>
                  </w:r>
                </w:p>
              </w:tc>
              <w:tc>
                <w:tcPr>
                  <w:tcW w:w="699" w:type="pct"/>
                  <w:tcBorders>
                    <w:tl2br w:val="nil"/>
                    <w:tr2bl w:val="nil"/>
                  </w:tcBorders>
                  <w:shd w:val="clear" w:color="auto" w:fill="auto"/>
                  <w:tcMar>
                    <w:top w:w="120" w:type="dxa"/>
                    <w:left w:w="120" w:type="dxa"/>
                    <w:bottom w:w="120" w:type="dxa"/>
                    <w:right w:w="120" w:type="dxa"/>
                  </w:tcMar>
                  <w:vAlign w:val="center"/>
                </w:tcPr>
                <w:p w14:paraId="63FA9C16">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无</w:t>
                  </w:r>
                </w:p>
              </w:tc>
            </w:tr>
            <w:tr w14:paraId="579966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c>
                <w:tcPr>
                  <w:tcW w:w="850" w:type="pct"/>
                  <w:tcBorders>
                    <w:tl2br w:val="nil"/>
                    <w:tr2bl w:val="nil"/>
                  </w:tcBorders>
                  <w:shd w:val="clear" w:color="auto" w:fill="auto"/>
                  <w:tcMar>
                    <w:top w:w="120" w:type="dxa"/>
                    <w:left w:w="120" w:type="dxa"/>
                    <w:bottom w:w="120" w:type="dxa"/>
                    <w:right w:w="120" w:type="dxa"/>
                  </w:tcMar>
                  <w:vAlign w:val="center"/>
                </w:tcPr>
                <w:p w14:paraId="0A6BE26D">
                  <w:pPr>
                    <w:jc w:val="center"/>
                    <w:rPr>
                      <w:rFonts w:hint="eastAsia"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羊茅</w:t>
                  </w:r>
                </w:p>
              </w:tc>
              <w:tc>
                <w:tcPr>
                  <w:tcW w:w="1890" w:type="pct"/>
                  <w:tcBorders>
                    <w:tl2br w:val="nil"/>
                    <w:tr2bl w:val="nil"/>
                  </w:tcBorders>
                  <w:shd w:val="clear" w:color="auto" w:fill="auto"/>
                  <w:tcMar>
                    <w:top w:w="120" w:type="dxa"/>
                    <w:left w:w="120" w:type="dxa"/>
                    <w:bottom w:w="120" w:type="dxa"/>
                    <w:right w:w="120" w:type="dxa"/>
                  </w:tcMar>
                  <w:vAlign w:val="center"/>
                </w:tcPr>
                <w:p w14:paraId="7B3B5462">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Festuca ovina</w:t>
                  </w:r>
                </w:p>
              </w:tc>
              <w:tc>
                <w:tcPr>
                  <w:tcW w:w="737" w:type="pct"/>
                  <w:tcBorders>
                    <w:tl2br w:val="nil"/>
                    <w:tr2bl w:val="nil"/>
                  </w:tcBorders>
                  <w:shd w:val="clear" w:color="auto" w:fill="auto"/>
                  <w:tcMar>
                    <w:top w:w="120" w:type="dxa"/>
                    <w:left w:w="120" w:type="dxa"/>
                    <w:bottom w:w="120" w:type="dxa"/>
                    <w:right w:w="120" w:type="dxa"/>
                  </w:tcMar>
                  <w:vAlign w:val="center"/>
                </w:tcPr>
                <w:p w14:paraId="306172CA">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禾本科</w:t>
                  </w:r>
                </w:p>
              </w:tc>
              <w:tc>
                <w:tcPr>
                  <w:tcW w:w="821" w:type="pct"/>
                  <w:tcBorders>
                    <w:tl2br w:val="nil"/>
                    <w:tr2bl w:val="nil"/>
                  </w:tcBorders>
                  <w:shd w:val="clear" w:color="auto" w:fill="auto"/>
                  <w:tcMar>
                    <w:top w:w="120" w:type="dxa"/>
                    <w:left w:w="120" w:type="dxa"/>
                    <w:bottom w:w="120" w:type="dxa"/>
                    <w:right w:w="120" w:type="dxa"/>
                  </w:tcMar>
                  <w:vAlign w:val="center"/>
                </w:tcPr>
                <w:p w14:paraId="4798CEB1">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羊茅属</w:t>
                  </w:r>
                </w:p>
              </w:tc>
              <w:tc>
                <w:tcPr>
                  <w:tcW w:w="699" w:type="pct"/>
                  <w:tcBorders>
                    <w:tl2br w:val="nil"/>
                    <w:tr2bl w:val="nil"/>
                  </w:tcBorders>
                  <w:shd w:val="clear" w:color="auto" w:fill="auto"/>
                  <w:tcMar>
                    <w:top w:w="120" w:type="dxa"/>
                    <w:left w:w="120" w:type="dxa"/>
                    <w:bottom w:w="120" w:type="dxa"/>
                    <w:right w:w="120" w:type="dxa"/>
                  </w:tcMar>
                  <w:vAlign w:val="center"/>
                </w:tcPr>
                <w:p w14:paraId="11F7DB0A">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无</w:t>
                  </w:r>
                </w:p>
              </w:tc>
            </w:tr>
            <w:tr w14:paraId="29D966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850" w:type="pct"/>
                  <w:tcBorders>
                    <w:tl2br w:val="nil"/>
                    <w:tr2bl w:val="nil"/>
                  </w:tcBorders>
                  <w:shd w:val="clear" w:color="auto" w:fill="auto"/>
                  <w:tcMar>
                    <w:top w:w="120" w:type="dxa"/>
                    <w:left w:w="120" w:type="dxa"/>
                    <w:bottom w:w="120" w:type="dxa"/>
                    <w:right w:w="120" w:type="dxa"/>
                  </w:tcMar>
                  <w:vAlign w:val="center"/>
                </w:tcPr>
                <w:p w14:paraId="4EF662AA">
                  <w:pPr>
                    <w:jc w:val="center"/>
                    <w:rPr>
                      <w:rFonts w:hint="eastAsia"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扁穗冰草</w:t>
                  </w:r>
                </w:p>
              </w:tc>
              <w:tc>
                <w:tcPr>
                  <w:tcW w:w="1890" w:type="pct"/>
                  <w:tcBorders>
                    <w:tl2br w:val="nil"/>
                    <w:tr2bl w:val="nil"/>
                  </w:tcBorders>
                  <w:shd w:val="clear" w:color="auto" w:fill="auto"/>
                  <w:tcMar>
                    <w:top w:w="120" w:type="dxa"/>
                    <w:left w:w="120" w:type="dxa"/>
                    <w:bottom w:w="120" w:type="dxa"/>
                    <w:right w:w="120" w:type="dxa"/>
                  </w:tcMar>
                  <w:vAlign w:val="center"/>
                </w:tcPr>
                <w:p w14:paraId="18B1DABF">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Agropyron cristatum</w:t>
                  </w:r>
                </w:p>
              </w:tc>
              <w:tc>
                <w:tcPr>
                  <w:tcW w:w="737" w:type="pct"/>
                  <w:tcBorders>
                    <w:tl2br w:val="nil"/>
                    <w:tr2bl w:val="nil"/>
                  </w:tcBorders>
                  <w:shd w:val="clear" w:color="auto" w:fill="auto"/>
                  <w:tcMar>
                    <w:top w:w="120" w:type="dxa"/>
                    <w:left w:w="120" w:type="dxa"/>
                    <w:bottom w:w="120" w:type="dxa"/>
                    <w:right w:w="120" w:type="dxa"/>
                  </w:tcMar>
                  <w:vAlign w:val="center"/>
                </w:tcPr>
                <w:p w14:paraId="19344349">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禾本科</w:t>
                  </w:r>
                </w:p>
              </w:tc>
              <w:tc>
                <w:tcPr>
                  <w:tcW w:w="821" w:type="pct"/>
                  <w:tcBorders>
                    <w:tl2br w:val="nil"/>
                    <w:tr2bl w:val="nil"/>
                  </w:tcBorders>
                  <w:shd w:val="clear" w:color="auto" w:fill="auto"/>
                  <w:tcMar>
                    <w:top w:w="120" w:type="dxa"/>
                    <w:left w:w="120" w:type="dxa"/>
                    <w:bottom w:w="120" w:type="dxa"/>
                    <w:right w:w="120" w:type="dxa"/>
                  </w:tcMar>
                  <w:vAlign w:val="center"/>
                </w:tcPr>
                <w:p w14:paraId="4921167F">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冰草属</w:t>
                  </w:r>
                </w:p>
              </w:tc>
              <w:tc>
                <w:tcPr>
                  <w:tcW w:w="699" w:type="pct"/>
                  <w:tcBorders>
                    <w:tl2br w:val="nil"/>
                    <w:tr2bl w:val="nil"/>
                  </w:tcBorders>
                  <w:shd w:val="clear" w:color="auto" w:fill="auto"/>
                  <w:tcMar>
                    <w:top w:w="120" w:type="dxa"/>
                    <w:left w:w="120" w:type="dxa"/>
                    <w:bottom w:w="120" w:type="dxa"/>
                    <w:right w:w="120" w:type="dxa"/>
                  </w:tcMar>
                  <w:vAlign w:val="center"/>
                </w:tcPr>
                <w:p w14:paraId="5BC9F1AF">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无</w:t>
                  </w:r>
                </w:p>
              </w:tc>
            </w:tr>
            <w:tr w14:paraId="4520E3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c>
                <w:tcPr>
                  <w:tcW w:w="850" w:type="pct"/>
                  <w:tcBorders>
                    <w:tl2br w:val="nil"/>
                    <w:tr2bl w:val="nil"/>
                  </w:tcBorders>
                  <w:shd w:val="clear" w:color="auto" w:fill="auto"/>
                  <w:tcMar>
                    <w:top w:w="120" w:type="dxa"/>
                    <w:left w:w="120" w:type="dxa"/>
                    <w:bottom w:w="120" w:type="dxa"/>
                    <w:right w:w="120" w:type="dxa"/>
                  </w:tcMar>
                  <w:vAlign w:val="center"/>
                </w:tcPr>
                <w:p w14:paraId="26243FA7">
                  <w:pPr>
                    <w:jc w:val="center"/>
                    <w:rPr>
                      <w:rFonts w:hint="eastAsia"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洽草</w:t>
                  </w:r>
                </w:p>
              </w:tc>
              <w:tc>
                <w:tcPr>
                  <w:tcW w:w="1890" w:type="pct"/>
                  <w:tcBorders>
                    <w:tl2br w:val="nil"/>
                    <w:tr2bl w:val="nil"/>
                  </w:tcBorders>
                  <w:shd w:val="clear" w:color="auto" w:fill="auto"/>
                  <w:tcMar>
                    <w:top w:w="120" w:type="dxa"/>
                    <w:left w:w="120" w:type="dxa"/>
                    <w:bottom w:w="120" w:type="dxa"/>
                    <w:right w:w="120" w:type="dxa"/>
                  </w:tcMar>
                  <w:vAlign w:val="center"/>
                </w:tcPr>
                <w:p w14:paraId="0CB8D595">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Koeleria macrantha</w:t>
                  </w:r>
                </w:p>
              </w:tc>
              <w:tc>
                <w:tcPr>
                  <w:tcW w:w="737" w:type="pct"/>
                  <w:tcBorders>
                    <w:tl2br w:val="nil"/>
                    <w:tr2bl w:val="nil"/>
                  </w:tcBorders>
                  <w:shd w:val="clear" w:color="auto" w:fill="auto"/>
                  <w:tcMar>
                    <w:top w:w="120" w:type="dxa"/>
                    <w:left w:w="120" w:type="dxa"/>
                    <w:bottom w:w="120" w:type="dxa"/>
                    <w:right w:w="120" w:type="dxa"/>
                  </w:tcMar>
                  <w:vAlign w:val="center"/>
                </w:tcPr>
                <w:p w14:paraId="3E9CE8FD">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禾本科</w:t>
                  </w:r>
                </w:p>
              </w:tc>
              <w:tc>
                <w:tcPr>
                  <w:tcW w:w="821" w:type="pct"/>
                  <w:tcBorders>
                    <w:tl2br w:val="nil"/>
                    <w:tr2bl w:val="nil"/>
                  </w:tcBorders>
                  <w:shd w:val="clear" w:color="auto" w:fill="auto"/>
                  <w:tcMar>
                    <w:top w:w="120" w:type="dxa"/>
                    <w:left w:w="120" w:type="dxa"/>
                    <w:bottom w:w="120" w:type="dxa"/>
                    <w:right w:w="120" w:type="dxa"/>
                  </w:tcMar>
                  <w:vAlign w:val="center"/>
                </w:tcPr>
                <w:p w14:paraId="657E4CB5">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洽草属</w:t>
                  </w:r>
                </w:p>
              </w:tc>
              <w:tc>
                <w:tcPr>
                  <w:tcW w:w="699" w:type="pct"/>
                  <w:tcBorders>
                    <w:tl2br w:val="nil"/>
                    <w:tr2bl w:val="nil"/>
                  </w:tcBorders>
                  <w:shd w:val="clear" w:color="auto" w:fill="auto"/>
                  <w:tcMar>
                    <w:top w:w="120" w:type="dxa"/>
                    <w:left w:w="120" w:type="dxa"/>
                    <w:bottom w:w="120" w:type="dxa"/>
                    <w:right w:w="120" w:type="dxa"/>
                  </w:tcMar>
                  <w:vAlign w:val="center"/>
                </w:tcPr>
                <w:p w14:paraId="2D72BB9E">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无</w:t>
                  </w:r>
                </w:p>
              </w:tc>
            </w:tr>
            <w:tr w14:paraId="5AC46E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850" w:type="pct"/>
                  <w:tcBorders>
                    <w:tl2br w:val="nil"/>
                    <w:tr2bl w:val="nil"/>
                  </w:tcBorders>
                  <w:shd w:val="clear" w:color="auto" w:fill="auto"/>
                  <w:tcMar>
                    <w:top w:w="120" w:type="dxa"/>
                    <w:left w:w="120" w:type="dxa"/>
                    <w:bottom w:w="120" w:type="dxa"/>
                    <w:right w:w="120" w:type="dxa"/>
                  </w:tcMar>
                  <w:vAlign w:val="center"/>
                </w:tcPr>
                <w:p w14:paraId="2F8709DA">
                  <w:pPr>
                    <w:jc w:val="center"/>
                    <w:rPr>
                      <w:rFonts w:hint="eastAsia"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二裂委陵菜</w:t>
                  </w:r>
                </w:p>
              </w:tc>
              <w:tc>
                <w:tcPr>
                  <w:tcW w:w="1890" w:type="pct"/>
                  <w:tcBorders>
                    <w:tl2br w:val="nil"/>
                    <w:tr2bl w:val="nil"/>
                  </w:tcBorders>
                  <w:shd w:val="clear" w:color="auto" w:fill="auto"/>
                  <w:tcMar>
                    <w:top w:w="120" w:type="dxa"/>
                    <w:left w:w="120" w:type="dxa"/>
                    <w:bottom w:w="120" w:type="dxa"/>
                    <w:right w:w="120" w:type="dxa"/>
                  </w:tcMar>
                  <w:vAlign w:val="center"/>
                </w:tcPr>
                <w:p w14:paraId="492C0866">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Potentilla bifurca</w:t>
                  </w:r>
                </w:p>
              </w:tc>
              <w:tc>
                <w:tcPr>
                  <w:tcW w:w="737" w:type="pct"/>
                  <w:tcBorders>
                    <w:tl2br w:val="nil"/>
                    <w:tr2bl w:val="nil"/>
                  </w:tcBorders>
                  <w:shd w:val="clear" w:color="auto" w:fill="auto"/>
                  <w:tcMar>
                    <w:top w:w="120" w:type="dxa"/>
                    <w:left w:w="120" w:type="dxa"/>
                    <w:bottom w:w="120" w:type="dxa"/>
                    <w:right w:w="120" w:type="dxa"/>
                  </w:tcMar>
                  <w:vAlign w:val="center"/>
                </w:tcPr>
                <w:p w14:paraId="4E86B698">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蔷薇科</w:t>
                  </w:r>
                </w:p>
              </w:tc>
              <w:tc>
                <w:tcPr>
                  <w:tcW w:w="821" w:type="pct"/>
                  <w:tcBorders>
                    <w:tl2br w:val="nil"/>
                    <w:tr2bl w:val="nil"/>
                  </w:tcBorders>
                  <w:shd w:val="clear" w:color="auto" w:fill="auto"/>
                  <w:tcMar>
                    <w:top w:w="120" w:type="dxa"/>
                    <w:left w:w="120" w:type="dxa"/>
                    <w:bottom w:w="120" w:type="dxa"/>
                    <w:right w:w="120" w:type="dxa"/>
                  </w:tcMar>
                  <w:vAlign w:val="center"/>
                </w:tcPr>
                <w:p w14:paraId="7E671047">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委陵菜属</w:t>
                  </w:r>
                </w:p>
              </w:tc>
              <w:tc>
                <w:tcPr>
                  <w:tcW w:w="699" w:type="pct"/>
                  <w:tcBorders>
                    <w:tl2br w:val="nil"/>
                    <w:tr2bl w:val="nil"/>
                  </w:tcBorders>
                  <w:shd w:val="clear" w:color="auto" w:fill="auto"/>
                  <w:tcMar>
                    <w:top w:w="120" w:type="dxa"/>
                    <w:left w:w="120" w:type="dxa"/>
                    <w:bottom w:w="120" w:type="dxa"/>
                    <w:right w:w="120" w:type="dxa"/>
                  </w:tcMar>
                  <w:vAlign w:val="center"/>
                </w:tcPr>
                <w:p w14:paraId="59BCB1D1">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default" w:ascii="宋体" w:hAnsi="宋体" w:eastAsia="宋体" w:cs="Times New Roman"/>
                      <w:b w:val="0"/>
                      <w:color w:val="000000" w:themeColor="text1"/>
                      <w:sz w:val="21"/>
                      <w:highlight w:val="none"/>
                      <w:lang w:val="en-US" w:eastAsia="zh-CN"/>
                      <w14:textFill>
                        <w14:solidFill>
                          <w14:schemeClr w14:val="tx1"/>
                        </w14:solidFill>
                      </w14:textFill>
                    </w:rPr>
                    <w:t>无</w:t>
                  </w:r>
                </w:p>
              </w:tc>
            </w:tr>
            <w:tr w14:paraId="0BB3D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c>
                <w:tcPr>
                  <w:tcW w:w="850" w:type="pct"/>
                  <w:tcBorders>
                    <w:tl2br w:val="nil"/>
                    <w:tr2bl w:val="nil"/>
                  </w:tcBorders>
                  <w:shd w:val="clear" w:color="auto" w:fill="auto"/>
                  <w:tcMar>
                    <w:top w:w="120" w:type="dxa"/>
                    <w:left w:w="120" w:type="dxa"/>
                    <w:bottom w:w="120" w:type="dxa"/>
                    <w:right w:w="120" w:type="dxa"/>
                  </w:tcMar>
                  <w:vAlign w:val="center"/>
                </w:tcPr>
                <w:p w14:paraId="5B4D1CB9">
                  <w:pPr>
                    <w:jc w:val="center"/>
                    <w:rPr>
                      <w:rFonts w:hint="eastAsia"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黄花棘豆</w:t>
                  </w:r>
                </w:p>
              </w:tc>
              <w:tc>
                <w:tcPr>
                  <w:tcW w:w="1890" w:type="pct"/>
                  <w:tcBorders>
                    <w:tl2br w:val="nil"/>
                    <w:tr2bl w:val="nil"/>
                  </w:tcBorders>
                  <w:shd w:val="clear" w:color="auto" w:fill="auto"/>
                  <w:tcMar>
                    <w:top w:w="120" w:type="dxa"/>
                    <w:left w:w="120" w:type="dxa"/>
                    <w:bottom w:w="120" w:type="dxa"/>
                    <w:right w:w="120" w:type="dxa"/>
                  </w:tcMar>
                  <w:vAlign w:val="center"/>
                </w:tcPr>
                <w:p w14:paraId="165568D1">
                  <w:pPr>
                    <w:jc w:val="center"/>
                    <w:rPr>
                      <w:rFonts w:hint="default" w:ascii="宋体" w:hAnsi="宋体" w:eastAsia="宋体" w:cs="Times New Roman"/>
                      <w:b w:val="0"/>
                      <w:color w:val="000000" w:themeColor="text1"/>
                      <w:sz w:val="21"/>
                      <w:highlight w:val="none"/>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Oxytropis ochrocephala</w:t>
                  </w:r>
                </w:p>
              </w:tc>
              <w:tc>
                <w:tcPr>
                  <w:tcW w:w="737" w:type="pct"/>
                  <w:tcBorders>
                    <w:tl2br w:val="nil"/>
                    <w:tr2bl w:val="nil"/>
                  </w:tcBorders>
                  <w:shd w:val="clear" w:color="auto" w:fill="auto"/>
                  <w:tcMar>
                    <w:top w:w="120" w:type="dxa"/>
                    <w:left w:w="120" w:type="dxa"/>
                    <w:bottom w:w="120" w:type="dxa"/>
                    <w:right w:w="120" w:type="dxa"/>
                  </w:tcMar>
                  <w:vAlign w:val="center"/>
                </w:tcPr>
                <w:p w14:paraId="2DE803F9">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豆科</w:t>
                  </w:r>
                </w:p>
              </w:tc>
              <w:tc>
                <w:tcPr>
                  <w:tcW w:w="821" w:type="pct"/>
                  <w:tcBorders>
                    <w:tl2br w:val="nil"/>
                    <w:tr2bl w:val="nil"/>
                  </w:tcBorders>
                  <w:shd w:val="clear" w:color="auto" w:fill="auto"/>
                  <w:tcMar>
                    <w:top w:w="120" w:type="dxa"/>
                    <w:left w:w="120" w:type="dxa"/>
                    <w:bottom w:w="120" w:type="dxa"/>
                    <w:right w:w="120" w:type="dxa"/>
                  </w:tcMar>
                  <w:vAlign w:val="center"/>
                </w:tcPr>
                <w:p w14:paraId="1FE66E4E">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color w:val="000000" w:themeColor="text1"/>
                      <w:sz w:val="21"/>
                      <w:highlight w:val="none"/>
                      <w14:textFill>
                        <w14:solidFill>
                          <w14:schemeClr w14:val="tx1"/>
                        </w14:solidFill>
                      </w14:textFill>
                    </w:rPr>
                    <w:t>棘豆属</w:t>
                  </w:r>
                </w:p>
              </w:tc>
              <w:tc>
                <w:tcPr>
                  <w:tcW w:w="699" w:type="pct"/>
                  <w:tcBorders>
                    <w:tl2br w:val="nil"/>
                    <w:tr2bl w:val="nil"/>
                  </w:tcBorders>
                  <w:shd w:val="clear" w:color="auto" w:fill="auto"/>
                  <w:tcMar>
                    <w:top w:w="120" w:type="dxa"/>
                    <w:left w:w="120" w:type="dxa"/>
                    <w:bottom w:w="120" w:type="dxa"/>
                    <w:right w:w="120" w:type="dxa"/>
                  </w:tcMar>
                  <w:vAlign w:val="center"/>
                </w:tcPr>
                <w:p w14:paraId="2C7B80C0">
                  <w:pPr>
                    <w:jc w:val="center"/>
                    <w:rPr>
                      <w:rFonts w:hint="default" w:ascii="宋体" w:hAnsi="宋体" w:eastAsia="宋体" w:cs="Times New Roman"/>
                      <w:b w:val="0"/>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无</w:t>
                  </w:r>
                </w:p>
              </w:tc>
            </w:tr>
          </w:tbl>
          <w:p w14:paraId="128AB95D">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（2）</w:t>
            </w:r>
            <w:r>
              <w:rPr>
                <w:rFonts w:hint="default" w:ascii="Times New Roman" w:hAnsi="Times New Roman" w:cs="Times New Roman"/>
                <w:b/>
                <w:bCs/>
                <w:color w:val="000000" w:themeColor="text1"/>
                <w:highlight w:val="none"/>
                <w:lang w:val="en-US" w:eastAsia="zh-CN"/>
                <w14:textFill>
                  <w14:solidFill>
                    <w14:schemeClr w14:val="tx1"/>
                  </w14:solidFill>
                </w14:textFill>
              </w:rPr>
              <w:t>动物</w:t>
            </w:r>
            <w:r>
              <w:rPr>
                <w:rFonts w:hint="default" w:ascii="Times New Roman" w:hAnsi="Times New Roman" w:cs="Times New Roman"/>
                <w:b/>
                <w:bCs/>
                <w:color w:val="000000" w:themeColor="text1"/>
                <w:highlight w:val="none"/>
                <w14:textFill>
                  <w14:solidFill>
                    <w14:schemeClr w14:val="tx1"/>
                  </w14:solidFill>
                </w14:textFill>
              </w:rPr>
              <w:t>现状调查</w:t>
            </w:r>
          </w:p>
          <w:p w14:paraId="71EFDDBF">
            <w:pPr>
              <w:pStyle w:val="53"/>
              <w:bidi w:val="0"/>
              <w:rPr>
                <w:rFonts w:hint="default" w:ascii="Times New Roman" w:hAnsi="Times New Roman" w:eastAsia="宋体" w:cs="Times New Roman"/>
                <w:b/>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按中国动物地理区划的分级标准，项目区属古北界、中亚亚界、蒙新区。</w:t>
            </w:r>
            <w:r>
              <w:rPr>
                <w:rFonts w:hint="default" w:ascii="Times New Roman" w:hAnsi="Times New Roman" w:cs="Times New Roman"/>
                <w:color w:val="000000" w:themeColor="text1"/>
                <w:highlight w:val="none"/>
                <w:lang w:val="en-US" w:eastAsia="zh-CN"/>
                <w14:textFill>
                  <w14:solidFill>
                    <w14:schemeClr w14:val="tx1"/>
                  </w14:solidFill>
                </w14:textFill>
              </w:rPr>
              <w:t>因气候寒冷和食物短缺，无栖息及躲藏之地，野生动物分布数量较少且动物组成较为单一</w:t>
            </w:r>
            <w:r>
              <w:rPr>
                <w:rFonts w:hint="default" w:ascii="Times New Roman" w:hAnsi="Times New Roman" w:cs="Times New Roman"/>
                <w:color w:val="000000" w:themeColor="text1"/>
                <w:highlight w:val="none"/>
                <w14:textFill>
                  <w14:solidFill>
                    <w14:schemeClr w14:val="tx1"/>
                  </w14:solidFill>
                </w14:textFill>
              </w:rPr>
              <w:t>。评价区主要野生动物名录见</w:t>
            </w:r>
            <w:r>
              <w:rPr>
                <w:rFonts w:hint="default" w:ascii="Times New Roman" w:hAnsi="Times New Roman" w:cs="Times New Roman"/>
                <w:color w:val="000000" w:themeColor="text1"/>
                <w:highlight w:val="none"/>
                <w:lang w:eastAsia="zh-CN"/>
                <w14:textFill>
                  <w14:solidFill>
                    <w14:schemeClr w14:val="tx1"/>
                  </w14:solidFill>
                </w14:textFill>
              </w:rPr>
              <w:t>下</w:t>
            </w:r>
            <w:r>
              <w:rPr>
                <w:rFonts w:hint="default" w:ascii="Times New Roman" w:hAnsi="Times New Roman" w:cs="Times New Roman"/>
                <w:color w:val="000000" w:themeColor="text1"/>
                <w:highlight w:val="none"/>
                <w14:textFill>
                  <w14:solidFill>
                    <w14:schemeClr w14:val="tx1"/>
                  </w14:solidFill>
                </w14:textFill>
              </w:rPr>
              <w:t>表</w:t>
            </w:r>
            <w:r>
              <w:rPr>
                <w:rFonts w:hint="default" w:ascii="Times New Roman" w:hAnsi="Times New Roman" w:cs="Times New Roman"/>
                <w:color w:val="000000" w:themeColor="text1"/>
                <w:highlight w:val="none"/>
                <w:lang w:eastAsia="zh-CN"/>
                <w14:textFill>
                  <w14:solidFill>
                    <w14:schemeClr w14:val="tx1"/>
                  </w14:solidFill>
                </w14:textFill>
              </w:rPr>
              <w:t>。</w:t>
            </w:r>
          </w:p>
          <w:p w14:paraId="32D20027">
            <w:pPr>
              <w:pStyle w:val="57"/>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工程区主要野生动物名录</w:t>
            </w:r>
          </w:p>
          <w:tbl>
            <w:tblPr>
              <w:tblStyle w:val="28"/>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1404"/>
              <w:gridCol w:w="1509"/>
              <w:gridCol w:w="1582"/>
              <w:gridCol w:w="2306"/>
            </w:tblGrid>
            <w:tr w14:paraId="1F5585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pct"/>
                  <w:tcBorders>
                    <w:tl2br w:val="nil"/>
                    <w:tr2bl w:val="nil"/>
                  </w:tcBorders>
                  <w:noWrap w:val="0"/>
                  <w:vAlign w:val="center"/>
                </w:tcPr>
                <w:p w14:paraId="5218F5BE">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纲</w:t>
                  </w:r>
                </w:p>
              </w:tc>
              <w:tc>
                <w:tcPr>
                  <w:tcW w:w="861" w:type="pct"/>
                  <w:tcBorders>
                    <w:tl2br w:val="nil"/>
                    <w:tr2bl w:val="nil"/>
                  </w:tcBorders>
                  <w:noWrap w:val="0"/>
                  <w:vAlign w:val="center"/>
                </w:tcPr>
                <w:p w14:paraId="6988984E">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目名</w:t>
                  </w:r>
                </w:p>
              </w:tc>
              <w:tc>
                <w:tcPr>
                  <w:tcW w:w="925" w:type="pct"/>
                  <w:tcBorders>
                    <w:tl2br w:val="nil"/>
                    <w:tr2bl w:val="nil"/>
                  </w:tcBorders>
                  <w:noWrap w:val="0"/>
                  <w:vAlign w:val="center"/>
                </w:tcPr>
                <w:p w14:paraId="6D3BEFC9">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科名</w:t>
                  </w:r>
                </w:p>
              </w:tc>
              <w:tc>
                <w:tcPr>
                  <w:tcW w:w="970" w:type="pct"/>
                  <w:tcBorders>
                    <w:tl2br w:val="nil"/>
                    <w:tr2bl w:val="nil"/>
                  </w:tcBorders>
                  <w:noWrap w:val="0"/>
                  <w:vAlign w:val="center"/>
                </w:tcPr>
                <w:p w14:paraId="6BC6575D">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中文名</w:t>
                  </w:r>
                </w:p>
              </w:tc>
              <w:tc>
                <w:tcPr>
                  <w:tcW w:w="1414" w:type="pct"/>
                  <w:tcBorders>
                    <w:tl2br w:val="nil"/>
                    <w:tr2bl w:val="nil"/>
                  </w:tcBorders>
                  <w:noWrap w:val="0"/>
                  <w:vAlign w:val="center"/>
                </w:tcPr>
                <w:p w14:paraId="43C8351B">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学名</w:t>
                  </w:r>
                </w:p>
              </w:tc>
            </w:tr>
            <w:tr w14:paraId="2A3084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pct"/>
                  <w:tcBorders>
                    <w:tl2br w:val="nil"/>
                    <w:tr2bl w:val="nil"/>
                  </w:tcBorders>
                  <w:noWrap w:val="0"/>
                  <w:vAlign w:val="center"/>
                </w:tcPr>
                <w:p w14:paraId="0E19A6E8">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哺乳纲</w:t>
                  </w:r>
                </w:p>
              </w:tc>
              <w:tc>
                <w:tcPr>
                  <w:tcW w:w="861" w:type="pct"/>
                  <w:tcBorders>
                    <w:tl2br w:val="nil"/>
                    <w:tr2bl w:val="nil"/>
                  </w:tcBorders>
                  <w:noWrap w:val="0"/>
                  <w:vAlign w:val="center"/>
                </w:tcPr>
                <w:p w14:paraId="36774247">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啮齿目</w:t>
                  </w:r>
                </w:p>
              </w:tc>
              <w:tc>
                <w:tcPr>
                  <w:tcW w:w="925" w:type="pct"/>
                  <w:tcBorders>
                    <w:tl2br w:val="nil"/>
                    <w:tr2bl w:val="nil"/>
                  </w:tcBorders>
                  <w:noWrap w:val="0"/>
                  <w:vAlign w:val="center"/>
                </w:tcPr>
                <w:p w14:paraId="561D2364">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仓鼠科</w:t>
                  </w:r>
                </w:p>
              </w:tc>
              <w:tc>
                <w:tcPr>
                  <w:tcW w:w="970" w:type="pct"/>
                  <w:tcBorders>
                    <w:tl2br w:val="nil"/>
                    <w:tr2bl w:val="nil"/>
                  </w:tcBorders>
                  <w:noWrap w:val="0"/>
                  <w:vAlign w:val="center"/>
                </w:tcPr>
                <w:p w14:paraId="31CF79C1">
                  <w:pPr>
                    <w:pStyle w:val="6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灰仓鼠</w:t>
                  </w:r>
                </w:p>
              </w:tc>
              <w:tc>
                <w:tcPr>
                  <w:tcW w:w="1414" w:type="pct"/>
                  <w:tcBorders>
                    <w:tl2br w:val="nil"/>
                    <w:tr2bl w:val="nil"/>
                  </w:tcBorders>
                  <w:noWrap w:val="0"/>
                  <w:vAlign w:val="center"/>
                </w:tcPr>
                <w:p w14:paraId="6441B95F">
                  <w:pPr>
                    <w:pStyle w:val="63"/>
                    <w:bidi w:val="0"/>
                    <w:rPr>
                      <w:rFonts w:hint="default" w:ascii="Times New Roman" w:hAnsi="Times New Roman" w:cs="Times New Roman"/>
                      <w:i/>
                      <w:iCs/>
                      <w:color w:val="000000" w:themeColor="text1"/>
                      <w:highlight w:val="none"/>
                      <w14:textFill>
                        <w14:solidFill>
                          <w14:schemeClr w14:val="tx1"/>
                        </w14:solidFill>
                      </w14:textFill>
                    </w:rPr>
                  </w:pPr>
                  <w:r>
                    <w:rPr>
                      <w:rFonts w:hint="default" w:ascii="Times New Roman" w:hAnsi="Times New Roman" w:cs="Times New Roman"/>
                      <w:i/>
                      <w:iCs/>
                      <w:color w:val="000000" w:themeColor="text1"/>
                      <w:highlight w:val="none"/>
                      <w14:textFill>
                        <w14:solidFill>
                          <w14:schemeClr w14:val="tx1"/>
                        </w14:solidFill>
                      </w14:textFill>
                    </w:rPr>
                    <w:t>Cricetulus migratorius</w:t>
                  </w:r>
                </w:p>
              </w:tc>
            </w:tr>
            <w:tr w14:paraId="66516A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pct"/>
                  <w:tcBorders>
                    <w:tl2br w:val="nil"/>
                    <w:tr2bl w:val="nil"/>
                  </w:tcBorders>
                  <w:noWrap w:val="0"/>
                  <w:vAlign w:val="center"/>
                </w:tcPr>
                <w:p w14:paraId="640C6D34">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爬行纲</w:t>
                  </w:r>
                </w:p>
              </w:tc>
              <w:tc>
                <w:tcPr>
                  <w:tcW w:w="861" w:type="pct"/>
                  <w:tcBorders>
                    <w:tl2br w:val="nil"/>
                    <w:tr2bl w:val="nil"/>
                  </w:tcBorders>
                  <w:noWrap w:val="0"/>
                  <w:vAlign w:val="center"/>
                </w:tcPr>
                <w:p w14:paraId="3447A78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蜥蜴目</w:t>
                  </w:r>
                </w:p>
              </w:tc>
              <w:tc>
                <w:tcPr>
                  <w:tcW w:w="925" w:type="pct"/>
                  <w:tcBorders>
                    <w:tl2br w:val="nil"/>
                    <w:tr2bl w:val="nil"/>
                  </w:tcBorders>
                  <w:noWrap w:val="0"/>
                  <w:vAlign w:val="center"/>
                </w:tcPr>
                <w:p w14:paraId="618BCE84">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蜥蜴科</w:t>
                  </w:r>
                </w:p>
              </w:tc>
              <w:tc>
                <w:tcPr>
                  <w:tcW w:w="970" w:type="pct"/>
                  <w:tcBorders>
                    <w:tl2br w:val="nil"/>
                    <w:tr2bl w:val="nil"/>
                  </w:tcBorders>
                  <w:noWrap w:val="0"/>
                  <w:vAlign w:val="center"/>
                </w:tcPr>
                <w:p w14:paraId="0B36C30E">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蜥蜴</w:t>
                  </w:r>
                </w:p>
              </w:tc>
              <w:tc>
                <w:tcPr>
                  <w:tcW w:w="1414" w:type="pct"/>
                  <w:tcBorders>
                    <w:tl2br w:val="nil"/>
                    <w:tr2bl w:val="nil"/>
                  </w:tcBorders>
                  <w:noWrap w:val="0"/>
                  <w:vAlign w:val="center"/>
                </w:tcPr>
                <w:p w14:paraId="0E5570A1">
                  <w:pPr>
                    <w:pStyle w:val="63"/>
                    <w:bidi w:val="0"/>
                    <w:rPr>
                      <w:rFonts w:hint="default" w:ascii="Times New Roman" w:hAnsi="Times New Roman" w:cs="Times New Roman"/>
                      <w:i/>
                      <w:iCs/>
                      <w:color w:val="000000" w:themeColor="text1"/>
                      <w:highlight w:val="none"/>
                      <w:lang w:val="en-US" w:eastAsia="en-US"/>
                      <w14:textFill>
                        <w14:solidFill>
                          <w14:schemeClr w14:val="tx1"/>
                        </w14:solidFill>
                      </w14:textFill>
                    </w:rPr>
                  </w:pPr>
                  <w:r>
                    <w:rPr>
                      <w:rFonts w:hint="default" w:ascii="Times New Roman" w:hAnsi="Times New Roman" w:cs="Times New Roman"/>
                      <w:i/>
                      <w:iCs/>
                      <w:color w:val="000000" w:themeColor="text1"/>
                      <w:highlight w:val="none"/>
                      <w14:textFill>
                        <w14:solidFill>
                          <w14:schemeClr w14:val="tx1"/>
                        </w14:solidFill>
                      </w14:textFill>
                    </w:rPr>
                    <w:t>Lizard</w:t>
                  </w:r>
                </w:p>
              </w:tc>
            </w:tr>
          </w:tbl>
          <w:p w14:paraId="08F550B3">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根据资料收集分析，并结合现场观察和访问</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以小型哺乳类</w:t>
            </w:r>
            <w:r>
              <w:rPr>
                <w:rFonts w:hint="default" w:ascii="Times New Roman" w:hAnsi="Times New Roman" w:cs="Times New Roman"/>
                <w:color w:val="000000" w:themeColor="text1"/>
                <w:highlight w:val="none"/>
                <w:lang w:val="en-US" w:eastAsia="zh-CN"/>
                <w14:textFill>
                  <w14:solidFill>
                    <w14:schemeClr w14:val="tx1"/>
                  </w14:solidFill>
                </w14:textFill>
              </w:rPr>
              <w:t>和爬行类</w:t>
            </w:r>
            <w:r>
              <w:rPr>
                <w:rFonts w:hint="default" w:ascii="Times New Roman" w:hAnsi="Times New Roman" w:cs="Times New Roman"/>
                <w:color w:val="000000" w:themeColor="text1"/>
                <w:highlight w:val="none"/>
                <w14:textFill>
                  <w14:solidFill>
                    <w14:schemeClr w14:val="tx1"/>
                  </w14:solidFill>
                </w14:textFill>
              </w:rPr>
              <w:t>为主</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未见国家及自治区级保护野生动物</w:t>
            </w:r>
            <w:r>
              <w:rPr>
                <w:rFonts w:hint="default" w:ascii="Times New Roman" w:hAnsi="Times New Roman" w:cs="Times New Roman"/>
                <w:color w:val="000000" w:themeColor="text1"/>
                <w:highlight w:val="none"/>
                <w:lang w:eastAsia="zh-CN"/>
                <w14:textFill>
                  <w14:solidFill>
                    <w14:schemeClr w14:val="tx1"/>
                  </w14:solidFill>
                </w14:textFill>
              </w:rPr>
              <w:t>。</w:t>
            </w:r>
          </w:p>
          <w:p w14:paraId="0D6B9D96">
            <w:pPr>
              <w:pStyle w:val="7"/>
              <w:pageBreakBefore w:val="0"/>
              <w:widowControl/>
              <w:kinsoku/>
              <w:wordWrap/>
              <w:overflowPunct/>
              <w:topLinePunct w:val="0"/>
              <w:autoSpaceDE/>
              <w:autoSpaceDN/>
              <w:bidi w:val="0"/>
              <w:adjustRightInd/>
              <w:snapToGrid/>
              <w:spacing w:before="0" w:after="0" w:line="520" w:lineRule="exact"/>
              <w:ind w:firstLine="482" w:firstLineChars="200"/>
              <w:textAlignment w:val="auto"/>
              <w:outlineLvl w:val="2"/>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eastAsia" w:cs="Times New Roman"/>
                <w:b/>
                <w:bCs/>
                <w:color w:val="000000" w:themeColor="text1"/>
                <w:kern w:val="0"/>
                <w:sz w:val="24"/>
                <w:szCs w:val="24"/>
                <w:highlight w:val="none"/>
                <w:lang w:val="en-US" w:eastAsia="zh-CN" w:bidi="ar-SA"/>
                <w14:textFill>
                  <w14:solidFill>
                    <w14:schemeClr w14:val="tx1"/>
                  </w14:solidFill>
                </w14:textFill>
              </w:rPr>
              <w:t>（3）</w:t>
            </w: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土地利用现状调查</w:t>
            </w:r>
          </w:p>
          <w:p w14:paraId="14140352">
            <w:pPr>
              <w:pStyle w:val="53"/>
              <w:bidi w:val="0"/>
              <w:rPr>
                <w:rFonts w:hint="eastAsia"/>
                <w:color w:val="000000" w:themeColor="text1"/>
                <w:highlight w:val="none"/>
                <w:shd w:val="clear" w:color="auto" w:fill="FFFFFF"/>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根据</w:t>
            </w:r>
            <w:r>
              <w:rPr>
                <w:rFonts w:hint="eastAsia"/>
                <w:color w:val="000000" w:themeColor="text1"/>
                <w:highlight w:val="none"/>
                <w:shd w:val="clear" w:color="auto" w:fill="FFFFFF"/>
                <w:lang w:val="en-US" w:eastAsia="zh-CN"/>
                <w14:textFill>
                  <w14:solidFill>
                    <w14:schemeClr w14:val="tx1"/>
                  </w14:solidFill>
                </w14:textFill>
              </w:rPr>
              <w:t>不动产权证书（探矿证）及勘测定界技术报告书</w:t>
            </w:r>
            <w:r>
              <w:rPr>
                <w:rFonts w:hint="eastAsia"/>
                <w:color w:val="000000" w:themeColor="text1"/>
                <w:highlight w:val="none"/>
                <w:shd w:val="clear" w:color="auto" w:fill="FFFFFF"/>
                <w14:textFill>
                  <w14:solidFill>
                    <w14:schemeClr w14:val="tx1"/>
                  </w14:solidFill>
                </w14:textFill>
              </w:rPr>
              <w:t>，本</w:t>
            </w:r>
            <w:r>
              <w:rPr>
                <w:rFonts w:hint="eastAsia"/>
                <w:color w:val="000000" w:themeColor="text1"/>
                <w:highlight w:val="none"/>
                <w:shd w:val="clear" w:color="auto" w:fill="FFFFFF"/>
                <w:lang w:val="en-US" w:eastAsia="zh-CN"/>
                <w14:textFill>
                  <w14:solidFill>
                    <w14:schemeClr w14:val="tx1"/>
                  </w14:solidFill>
                </w14:textFill>
              </w:rPr>
              <w:t>项目勘探面积11.47平方公里</w:t>
            </w:r>
            <w:r>
              <w:rPr>
                <w:rFonts w:hint="eastAsia"/>
                <w:color w:val="000000" w:themeColor="text1"/>
                <w:highlight w:val="none"/>
                <w:shd w:val="clear" w:color="auto" w:fill="FFFFFF"/>
                <w14:textFill>
                  <w14:solidFill>
                    <w14:schemeClr w14:val="tx1"/>
                  </w14:solidFill>
                </w14:textFill>
              </w:rPr>
              <w:t>。土地权属均为国有，地类为天然牧草地、</w:t>
            </w:r>
            <w:r>
              <w:rPr>
                <w:rFonts w:hint="eastAsia"/>
                <w:color w:val="000000" w:themeColor="text1"/>
                <w:highlight w:val="none"/>
                <w:shd w:val="clear" w:color="auto" w:fill="FFFFFF"/>
                <w:lang w:val="en-US" w:eastAsia="zh-CN"/>
                <w14:textFill>
                  <w14:solidFill>
                    <w14:schemeClr w14:val="tx1"/>
                  </w14:solidFill>
                </w14:textFill>
              </w:rPr>
              <w:t>其他草地</w:t>
            </w:r>
            <w:r>
              <w:rPr>
                <w:rFonts w:hint="eastAsia"/>
                <w:color w:val="000000" w:themeColor="text1"/>
                <w:highlight w:val="none"/>
                <w:shd w:val="clear" w:color="auto" w:fill="FFFFFF"/>
                <w14:textFill>
                  <w14:solidFill>
                    <w14:schemeClr w14:val="tx1"/>
                  </w14:solidFill>
                </w14:textFill>
              </w:rPr>
              <w:t>。项目临时用地范围不涉及生态保护红线。</w:t>
            </w:r>
          </w:p>
          <w:p w14:paraId="08B4CC3B">
            <w:pPr>
              <w:pStyle w:val="7"/>
              <w:pageBreakBefore w:val="0"/>
              <w:widowControl/>
              <w:kinsoku/>
              <w:wordWrap/>
              <w:overflowPunct/>
              <w:topLinePunct w:val="0"/>
              <w:autoSpaceDE/>
              <w:autoSpaceDN/>
              <w:bidi w:val="0"/>
              <w:adjustRightInd/>
              <w:snapToGrid/>
              <w:spacing w:before="0" w:after="0" w:line="520" w:lineRule="exact"/>
              <w:ind w:firstLine="482" w:firstLineChars="200"/>
              <w:textAlignment w:val="auto"/>
              <w:outlineLvl w:val="2"/>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eastAsia" w:cs="Times New Roman"/>
                <w:b/>
                <w:bCs/>
                <w:color w:val="000000" w:themeColor="text1"/>
                <w:kern w:val="0"/>
                <w:sz w:val="24"/>
                <w:szCs w:val="24"/>
                <w:highlight w:val="none"/>
                <w:lang w:val="en-US" w:eastAsia="zh-CN" w:bidi="ar-SA"/>
                <w14:textFill>
                  <w14:solidFill>
                    <w14:schemeClr w14:val="tx1"/>
                  </w14:solidFill>
                </w14:textFill>
              </w:rPr>
              <w:t>（4）</w:t>
            </w: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土壤类型</w:t>
            </w:r>
            <w:r>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现状调查</w:t>
            </w:r>
          </w:p>
          <w:p w14:paraId="7EAA54FF">
            <w:pPr>
              <w:pStyle w:val="53"/>
              <w:bidi w:val="0"/>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勘查区土壤类型主要包括亚高山草原土、栗钙土，以栗钙土为主，土壤分布具有明显的地带性分异特征。栗钙土区域土壤肥力较高，适宜牧草及灌丛生长；高山草甸土主要分布于高山带湿润缓坡及低洼地带，腐殖质层较厚，有机质含量较高，土壤生物活性较强。具体分布情况详见附图</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《土壤类型图》</w:t>
            </w:r>
            <w:r>
              <w:rPr>
                <w:rFonts w:hint="default"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w:t>
            </w:r>
          </w:p>
          <w:p w14:paraId="66019473">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（5）</w:t>
            </w:r>
            <w:r>
              <w:rPr>
                <w:rFonts w:hint="default" w:ascii="Times New Roman" w:hAnsi="Times New Roman" w:cs="Times New Roman"/>
                <w:b/>
                <w:bCs/>
                <w:color w:val="000000" w:themeColor="text1"/>
                <w:highlight w:val="none"/>
                <w:lang w:val="en-US" w:eastAsia="zh-CN"/>
                <w14:textFill>
                  <w14:solidFill>
                    <w14:schemeClr w14:val="tx1"/>
                  </w14:solidFill>
                </w14:textFill>
              </w:rPr>
              <w:t>水土流失现状调查</w:t>
            </w:r>
          </w:p>
          <w:p w14:paraId="014C4309">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根据水利部办公厅《关于印发</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全国水土保持规划国家级水土流失重点预防区和重点治理区复核划分成果</w:t>
            </w:r>
            <w:r>
              <w:rPr>
                <w:rFonts w:hint="eastAsia"/>
                <w:color w:val="000000" w:themeColor="text1"/>
                <w:highlight w:val="none"/>
                <w:lang w:eastAsia="zh-CN"/>
                <w14:textFill>
                  <w14:solidFill>
                    <w14:schemeClr w14:val="tx1"/>
                  </w14:solidFill>
                </w14:textFill>
              </w:rPr>
              <w:t>〉的通知》</w:t>
            </w:r>
            <w:r>
              <w:rPr>
                <w:rFonts w:hint="eastAsia"/>
                <w:color w:val="000000" w:themeColor="text1"/>
                <w:highlight w:val="none"/>
                <w14:textFill>
                  <w14:solidFill>
                    <w14:schemeClr w14:val="tx1"/>
                  </w14:solidFill>
                </w14:textFill>
              </w:rPr>
              <w:t>（办水保</w:t>
            </w:r>
            <w:r>
              <w:rPr>
                <w:rFonts w:hint="eastAsia" w:ascii="宋体" w:hAnsi="宋体"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2013</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188号），本项目所在区域不属于国家级水土流失重点预防区和重点治理区；</w:t>
            </w:r>
            <w:r>
              <w:rPr>
                <w:color w:val="000000" w:themeColor="text1"/>
                <w:highlight w:val="none"/>
                <w14:textFill>
                  <w14:solidFill>
                    <w14:schemeClr w14:val="tx1"/>
                  </w14:solidFill>
                </w14:textFill>
              </w:rPr>
              <w:t>依据《新疆维吾尔自治区巴音郭楞蒙古自治州水土保持规划（2021</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2030年）</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关于印发</w:t>
            </w:r>
            <w:r>
              <w:rPr>
                <w:rFonts w:hint="eastAsia"/>
                <w:color w:val="000000" w:themeColor="text1"/>
                <w:highlight w:val="none"/>
                <w:lang w:eastAsia="zh-CN"/>
                <w14:textFill>
                  <w14:solidFill>
                    <w14:schemeClr w14:val="tx1"/>
                  </w14:solidFill>
                </w14:textFill>
              </w:rPr>
              <w:t>新疆维吾尔自治区</w:t>
            </w:r>
            <w:r>
              <w:rPr>
                <w:color w:val="000000" w:themeColor="text1"/>
                <w:highlight w:val="none"/>
                <w14:textFill>
                  <w14:solidFill>
                    <w14:schemeClr w14:val="tx1"/>
                  </w14:solidFill>
                </w14:textFill>
              </w:rPr>
              <w:t>级水土流失重点预防</w:t>
            </w:r>
            <w:r>
              <w:rPr>
                <w:rFonts w:hint="eastAsia"/>
                <w:color w:val="000000" w:themeColor="text1"/>
                <w:highlight w:val="none"/>
                <w:lang w:eastAsia="zh-CN"/>
                <w14:textFill>
                  <w14:solidFill>
                    <w14:schemeClr w14:val="tx1"/>
                  </w14:solidFill>
                </w14:textFill>
              </w:rPr>
              <w:t>区</w:t>
            </w:r>
            <w:r>
              <w:rPr>
                <w:color w:val="000000" w:themeColor="text1"/>
                <w:highlight w:val="none"/>
                <w14:textFill>
                  <w14:solidFill>
                    <w14:schemeClr w14:val="tx1"/>
                  </w14:solidFill>
                </w14:textFill>
              </w:rPr>
              <w:t>和重点治理区复核划分成果的通知》（新水水保</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2019</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4号），项目</w:t>
            </w:r>
            <w:r>
              <w:rPr>
                <w:rFonts w:hint="eastAsia"/>
                <w:color w:val="000000" w:themeColor="text1"/>
                <w:highlight w:val="none"/>
                <w14:textFill>
                  <w14:solidFill>
                    <w14:schemeClr w14:val="tx1"/>
                  </w14:solidFill>
                </w14:textFill>
              </w:rPr>
              <w:t>所在区域属于自治区级水土流失重点预防区，即天山山区水土流失重点预防区</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759A8280">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cs="Times New Roman"/>
                <w:b/>
                <w:bCs/>
                <w:color w:val="000000" w:themeColor="text1"/>
                <w:highlight w:val="none"/>
                <w:lang w:val="en-US" w:eastAsia="zh-CN"/>
                <w14:textFill>
                  <w14:solidFill>
                    <w14:schemeClr w14:val="tx1"/>
                  </w14:solidFill>
                </w14:textFill>
              </w:rPr>
              <w:t>沙化土地现状</w:t>
            </w:r>
          </w:p>
          <w:p w14:paraId="195DA9A3">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根据新疆第六次沙化监测报告中沙化土地类型分布图，项目区主要是</w:t>
            </w:r>
            <w:r>
              <w:rPr>
                <w:rFonts w:hint="eastAsia" w:cs="Times New Roman"/>
                <w:color w:val="000000" w:themeColor="text1"/>
                <w:highlight w:val="none"/>
                <w:lang w:val="en-US" w:eastAsia="zh-CN"/>
                <w14:textFill>
                  <w14:solidFill>
                    <w14:schemeClr w14:val="tx1"/>
                  </w14:solidFill>
                </w14:textFill>
              </w:rPr>
              <w:t>非沙化土地，</w:t>
            </w:r>
            <w:r>
              <w:rPr>
                <w:rFonts w:hint="default" w:ascii="Times New Roman" w:hAnsi="Times New Roman" w:cs="Times New Roman"/>
                <w:color w:val="000000" w:themeColor="text1"/>
                <w:highlight w:val="none"/>
                <w:lang w:val="en-US" w:eastAsia="zh-CN"/>
                <w14:textFill>
                  <w14:solidFill>
                    <w14:schemeClr w14:val="tx1"/>
                  </w14:solidFill>
                </w14:textFill>
              </w:rPr>
              <w:t>土地类型分布见附图</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3D71287D">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3.2</w:t>
            </w:r>
            <w:r>
              <w:rPr>
                <w:rFonts w:hint="default" w:ascii="Times New Roman" w:hAnsi="Times New Roman" w:cs="Times New Roman"/>
                <w:color w:val="000000" w:themeColor="text1"/>
                <w:highlight w:val="none"/>
                <w:lang w:val="en-US" w:eastAsia="zh-CN"/>
                <w14:textFill>
                  <w14:solidFill>
                    <w14:schemeClr w14:val="tx1"/>
                  </w14:solidFill>
                </w14:textFill>
              </w:rPr>
              <w:t>大气环境质量现状</w:t>
            </w:r>
          </w:p>
          <w:p w14:paraId="471EC46B">
            <w:pPr>
              <w:pStyle w:val="53"/>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（1）评价数据选用</w:t>
            </w:r>
          </w:p>
          <w:p w14:paraId="56088722">
            <w:pPr>
              <w:pStyle w:val="53"/>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根据《建设项目环境影响报告表编制技术指南（生态影响类）（试行）》</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不开展专项评价的环境要素，引用与项目距离近的有效数据和调查资料，包括符合时限要求的规划环境影响评价监测数据和调查资料，国家、地方环境质量监测网数据或生态环境主管部门公开发布的生态环境质量数据等”，</w:t>
            </w:r>
            <w:r>
              <w:rPr>
                <w:rFonts w:hint="eastAsia" w:cs="Times New Roman"/>
                <w:color w:val="000000" w:themeColor="text1"/>
                <w:highlight w:val="none"/>
                <w:lang w:val="en-US" w:eastAsia="zh-CN"/>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本次选用</w:t>
            </w:r>
            <w:r>
              <w:rPr>
                <w:rFonts w:hint="default" w:ascii="Times New Roman" w:hAnsi="Times New Roman" w:cs="Times New Roman"/>
                <w:b w:val="0"/>
                <w:bCs w:val="0"/>
                <w:color w:val="000000" w:themeColor="text1"/>
                <w:sz w:val="24"/>
                <w:szCs w:val="24"/>
                <w:highlight w:val="none"/>
                <w14:textFill>
                  <w14:solidFill>
                    <w14:schemeClr w14:val="tx1"/>
                  </w14:solidFill>
                </w14:textFill>
              </w:rPr>
              <w:t>自治区生态环境厅公布的《2025年12月和1</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12月全区环境空气质量状况及排名》中202</w:t>
            </w:r>
            <w:r>
              <w:rPr>
                <w:rFonts w:hint="eastAsia"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val="0"/>
                <w:color w:val="000000" w:themeColor="text1"/>
                <w:sz w:val="24"/>
                <w:szCs w:val="24"/>
                <w:highlight w:val="none"/>
                <w14:textFill>
                  <w14:solidFill>
                    <w14:schemeClr w14:val="tx1"/>
                  </w14:solidFill>
                </w14:textFill>
              </w:rPr>
              <w:t>年库尔勒市的环境空气质量数据</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3E2609C9">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（2）评价标准</w:t>
            </w:r>
          </w:p>
          <w:p w14:paraId="0DC2A720">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1"/>
                <w:sz w:val="24"/>
                <w:highlight w:val="none"/>
                <w14:textFill>
                  <w14:solidFill>
                    <w14:schemeClr w14:val="tx1"/>
                  </w14:solidFill>
                </w14:textFill>
              </w:rPr>
              <w:t>基本污染物SO</w:t>
            </w:r>
            <w:r>
              <w:rPr>
                <w:rFonts w:hint="default" w:ascii="Times New Roman" w:hAnsi="Times New Roman" w:eastAsia="宋体" w:cs="Times New Roman"/>
                <w:b w:val="0"/>
                <w:bCs w:val="0"/>
                <w:color w:val="000000" w:themeColor="text1"/>
                <w:spacing w:val="-11"/>
                <w:sz w:val="24"/>
                <w:highlight w:val="none"/>
                <w:vertAlign w:val="subscript"/>
                <w14:textFill>
                  <w14:solidFill>
                    <w14:schemeClr w14:val="tx1"/>
                  </w14:solidFill>
                </w14:textFill>
              </w:rPr>
              <w:t>2</w:t>
            </w:r>
            <w:r>
              <w:rPr>
                <w:rFonts w:hint="default" w:ascii="Times New Roman" w:hAnsi="Times New Roman" w:eastAsia="宋体" w:cs="Times New Roman"/>
                <w:b w:val="0"/>
                <w:bCs w:val="0"/>
                <w:color w:val="000000" w:themeColor="text1"/>
                <w:spacing w:val="-11"/>
                <w:sz w:val="24"/>
                <w:highlight w:val="none"/>
                <w14:textFill>
                  <w14:solidFill>
                    <w14:schemeClr w14:val="tx1"/>
                  </w14:solidFill>
                </w14:textFill>
              </w:rPr>
              <w:t>、NO</w:t>
            </w:r>
            <w:r>
              <w:rPr>
                <w:rFonts w:hint="default" w:ascii="Times New Roman" w:hAnsi="Times New Roman" w:eastAsia="宋体" w:cs="Times New Roman"/>
                <w:b w:val="0"/>
                <w:bCs w:val="0"/>
                <w:color w:val="000000" w:themeColor="text1"/>
                <w:spacing w:val="-11"/>
                <w:sz w:val="24"/>
                <w:highlight w:val="none"/>
                <w:vertAlign w:val="subscript"/>
                <w14:textFill>
                  <w14:solidFill>
                    <w14:schemeClr w14:val="tx1"/>
                  </w14:solidFill>
                </w14:textFill>
              </w:rPr>
              <w:t>2</w:t>
            </w:r>
            <w:r>
              <w:rPr>
                <w:rFonts w:hint="default" w:ascii="Times New Roman" w:hAnsi="Times New Roman" w:eastAsia="宋体" w:cs="Times New Roman"/>
                <w:b w:val="0"/>
                <w:bCs w:val="0"/>
                <w:color w:val="000000" w:themeColor="text1"/>
                <w:spacing w:val="-11"/>
                <w:sz w:val="24"/>
                <w:highlight w:val="none"/>
                <w14:textFill>
                  <w14:solidFill>
                    <w14:schemeClr w14:val="tx1"/>
                  </w14:solidFill>
                </w14:textFill>
              </w:rPr>
              <w:t>、PM</w:t>
            </w:r>
            <w:r>
              <w:rPr>
                <w:rFonts w:hint="default" w:ascii="Times New Roman" w:hAnsi="Times New Roman" w:eastAsia="宋体" w:cs="Times New Roman"/>
                <w:b w:val="0"/>
                <w:bCs w:val="0"/>
                <w:color w:val="000000" w:themeColor="text1"/>
                <w:spacing w:val="-11"/>
                <w:sz w:val="24"/>
                <w:highlight w:val="none"/>
                <w:vertAlign w:val="subscript"/>
                <w14:textFill>
                  <w14:solidFill>
                    <w14:schemeClr w14:val="tx1"/>
                  </w14:solidFill>
                </w14:textFill>
              </w:rPr>
              <w:t>10</w:t>
            </w:r>
            <w:r>
              <w:rPr>
                <w:rFonts w:hint="default" w:ascii="Times New Roman" w:hAnsi="Times New Roman" w:eastAsia="宋体" w:cs="Times New Roman"/>
                <w:b w:val="0"/>
                <w:bCs w:val="0"/>
                <w:color w:val="000000" w:themeColor="text1"/>
                <w:spacing w:val="-11"/>
                <w:sz w:val="24"/>
                <w:highlight w:val="none"/>
                <w14:textFill>
                  <w14:solidFill>
                    <w14:schemeClr w14:val="tx1"/>
                  </w14:solidFill>
                </w14:textFill>
              </w:rPr>
              <w:t>、PM</w:t>
            </w:r>
            <w:r>
              <w:rPr>
                <w:rFonts w:hint="default" w:ascii="Times New Roman" w:hAnsi="Times New Roman" w:eastAsia="宋体" w:cs="Times New Roman"/>
                <w:b w:val="0"/>
                <w:bCs w:val="0"/>
                <w:color w:val="000000" w:themeColor="text1"/>
                <w:spacing w:val="-11"/>
                <w:sz w:val="24"/>
                <w:highlight w:val="none"/>
                <w:vertAlign w:val="subscript"/>
                <w14:textFill>
                  <w14:solidFill>
                    <w14:schemeClr w14:val="tx1"/>
                  </w14:solidFill>
                </w14:textFill>
              </w:rPr>
              <w:t>2.5</w:t>
            </w:r>
            <w:r>
              <w:rPr>
                <w:rFonts w:hint="default" w:ascii="Times New Roman" w:hAnsi="Times New Roman" w:eastAsia="宋体" w:cs="Times New Roman"/>
                <w:b w:val="0"/>
                <w:bCs w:val="0"/>
                <w:color w:val="000000" w:themeColor="text1"/>
                <w:spacing w:val="-11"/>
                <w:sz w:val="24"/>
                <w:highlight w:val="none"/>
                <w14:textFill>
                  <w14:solidFill>
                    <w14:schemeClr w14:val="tx1"/>
                  </w14:solidFill>
                </w14:textFill>
              </w:rPr>
              <w:t>、CO和O</w:t>
            </w:r>
            <w:r>
              <w:rPr>
                <w:rFonts w:hint="default" w:ascii="Times New Roman" w:hAnsi="Times New Roman" w:eastAsia="宋体" w:cs="Times New Roman"/>
                <w:b w:val="0"/>
                <w:bCs w:val="0"/>
                <w:color w:val="000000" w:themeColor="text1"/>
                <w:spacing w:val="-11"/>
                <w:sz w:val="24"/>
                <w:highlight w:val="none"/>
                <w:vertAlign w:val="subscript"/>
                <w14:textFill>
                  <w14:solidFill>
                    <w14:schemeClr w14:val="tx1"/>
                  </w14:solidFill>
                </w14:textFill>
              </w:rPr>
              <w:t>3</w:t>
            </w:r>
            <w:r>
              <w:rPr>
                <w:rFonts w:hint="default" w:ascii="Times New Roman" w:hAnsi="Times New Roman" w:eastAsia="宋体" w:cs="Times New Roman"/>
                <w:b w:val="0"/>
                <w:bCs w:val="0"/>
                <w:color w:val="000000" w:themeColor="text1"/>
                <w:spacing w:val="-11"/>
                <w:sz w:val="24"/>
                <w:highlight w:val="none"/>
                <w14:textFill>
                  <w14:solidFill>
                    <w14:schemeClr w14:val="tx1"/>
                  </w14:solidFill>
                </w14:textFill>
              </w:rPr>
              <w:t>执行</w:t>
            </w:r>
            <w:r>
              <w:rPr>
                <w:rFonts w:hint="default" w:ascii="Times New Roman" w:hAnsi="Times New Roman" w:cs="Times New Roman"/>
                <w:color w:val="000000" w:themeColor="text1"/>
                <w:sz w:val="24"/>
                <w:highlight w:val="none"/>
                <w14:textFill>
                  <w14:solidFill>
                    <w14:schemeClr w14:val="tx1"/>
                  </w14:solidFill>
                </w14:textFill>
              </w:rPr>
              <w:t>《环境空气质量标准》（GB3095-20</w:t>
            </w:r>
            <w:r>
              <w:rPr>
                <w:rFonts w:hint="default" w:ascii="Times New Roman" w:hAnsi="Times New Roman" w:cs="Times New Roman"/>
                <w:color w:val="000000" w:themeColor="text1"/>
                <w:sz w:val="24"/>
                <w:highlight w:val="none"/>
                <w:lang w:val="en-US" w:eastAsia="zh-CN"/>
                <w14:textFill>
                  <w14:solidFill>
                    <w14:schemeClr w14:val="tx1"/>
                  </w14:solidFill>
                </w14:textFill>
              </w:rPr>
              <w:t>26</w:t>
            </w:r>
            <w:r>
              <w:rPr>
                <w:rFonts w:hint="default" w:ascii="Times New Roman" w:hAnsi="Times New Roman" w:cs="Times New Roman"/>
                <w:color w:val="000000" w:themeColor="text1"/>
                <w:sz w:val="24"/>
                <w:highlight w:val="none"/>
                <w14:textFill>
                  <w14:solidFill>
                    <w14:schemeClr w14:val="tx1"/>
                  </w14:solidFill>
                </w14:textFill>
              </w:rPr>
              <w:t>）表1</w:t>
            </w:r>
            <w:r>
              <w:rPr>
                <w:rFonts w:hint="default" w:ascii="Times New Roman" w:hAnsi="Times New Roman" w:cs="Times New Roman"/>
                <w:color w:val="000000" w:themeColor="text1"/>
                <w:sz w:val="24"/>
                <w:highlight w:val="none"/>
                <w:lang w:eastAsia="zh-CN"/>
                <w14:textFill>
                  <w14:solidFill>
                    <w14:schemeClr w14:val="tx1"/>
                  </w14:solidFill>
                </w14:textFill>
              </w:rPr>
              <w:t>过渡阶段</w:t>
            </w:r>
            <w:r>
              <w:rPr>
                <w:rFonts w:hint="default" w:ascii="Times New Roman" w:hAnsi="Times New Roman" w:cs="Times New Roman"/>
                <w:color w:val="000000" w:themeColor="text1"/>
                <w:sz w:val="24"/>
                <w:highlight w:val="none"/>
                <w14:textFill>
                  <w14:solidFill>
                    <w14:schemeClr w14:val="tx1"/>
                  </w14:solidFill>
                </w14:textFill>
              </w:rPr>
              <w:t>二级</w:t>
            </w:r>
            <w:r>
              <w:rPr>
                <w:rFonts w:hint="default" w:ascii="Times New Roman" w:hAnsi="Times New Roman" w:cs="Times New Roman"/>
                <w:color w:val="000000" w:themeColor="text1"/>
                <w:sz w:val="24"/>
                <w:highlight w:val="none"/>
                <w:lang w:eastAsia="zh-CN"/>
                <w14:textFill>
                  <w14:solidFill>
                    <w14:schemeClr w14:val="tx1"/>
                  </w14:solidFill>
                </w14:textFill>
              </w:rPr>
              <w:t>浓度限值</w:t>
            </w:r>
            <w:r>
              <w:rPr>
                <w:rFonts w:hint="eastAsia" w:cs="Times New Roman"/>
                <w:b w:val="0"/>
                <w:bCs w:val="0"/>
                <w:color w:val="000000" w:themeColor="text1"/>
                <w:spacing w:val="-11"/>
                <w:sz w:val="24"/>
                <w:highlight w:val="none"/>
                <w:lang w:eastAsia="zh-CN"/>
                <w14:textFill>
                  <w14:solidFill>
                    <w14:schemeClr w14:val="tx1"/>
                  </w14:solidFill>
                </w14:textFill>
              </w:rPr>
              <w:t>要求</w:t>
            </w:r>
            <w:r>
              <w:rPr>
                <w:rFonts w:hint="default" w:ascii="Times New Roman" w:hAnsi="Times New Roman" w:cs="Times New Roman"/>
                <w:color w:val="000000" w:themeColor="text1"/>
                <w:highlight w:val="none"/>
                <w14:textFill>
                  <w14:solidFill>
                    <w14:schemeClr w14:val="tx1"/>
                  </w14:solidFill>
                </w14:textFill>
              </w:rPr>
              <w:t>。</w:t>
            </w:r>
          </w:p>
          <w:p w14:paraId="4D113F67">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（3）评价方法</w:t>
            </w:r>
          </w:p>
          <w:p w14:paraId="636C86E2">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14:textFill>
                  <w14:solidFill>
                    <w14:schemeClr w14:val="tx1"/>
                  </w14:solidFill>
                </w14:textFill>
              </w:rPr>
              <w:t>按照</w:t>
            </w:r>
            <w:r>
              <w:rPr>
                <w:rFonts w:hint="default" w:ascii="Times New Roman" w:hAnsi="Times New Roman" w:cs="Times New Roman"/>
                <w:color w:val="000000" w:themeColor="text1"/>
                <w:sz w:val="24"/>
                <w:highlight w:val="none"/>
                <w14:textFill>
                  <w14:solidFill>
                    <w14:schemeClr w14:val="tx1"/>
                  </w14:solidFill>
                </w14:textFill>
              </w:rPr>
              <w:t>《环境空气质量标准》（GB3095-20</w:t>
            </w:r>
            <w:r>
              <w:rPr>
                <w:rFonts w:hint="default" w:ascii="Times New Roman" w:hAnsi="Times New Roman" w:cs="Times New Roman"/>
                <w:color w:val="000000" w:themeColor="text1"/>
                <w:sz w:val="24"/>
                <w:highlight w:val="none"/>
                <w:lang w:val="en-US" w:eastAsia="zh-CN"/>
                <w14:textFill>
                  <w14:solidFill>
                    <w14:schemeClr w14:val="tx1"/>
                  </w14:solidFill>
                </w14:textFill>
              </w:rPr>
              <w:t>26</w:t>
            </w:r>
            <w:r>
              <w:rPr>
                <w:rFonts w:hint="default" w:ascii="Times New Roman" w:hAnsi="Times New Roman" w:cs="Times New Roman"/>
                <w:color w:val="000000" w:themeColor="text1"/>
                <w:sz w:val="24"/>
                <w:highlight w:val="none"/>
                <w14:textFill>
                  <w14:solidFill>
                    <w14:schemeClr w14:val="tx1"/>
                  </w14:solidFill>
                </w14:textFill>
              </w:rPr>
              <w:t>）表1</w:t>
            </w:r>
            <w:r>
              <w:rPr>
                <w:rFonts w:hint="default" w:ascii="Times New Roman" w:hAnsi="Times New Roman" w:cs="Times New Roman"/>
                <w:color w:val="000000" w:themeColor="text1"/>
                <w:sz w:val="24"/>
                <w:highlight w:val="none"/>
                <w:lang w:eastAsia="zh-CN"/>
                <w14:textFill>
                  <w14:solidFill>
                    <w14:schemeClr w14:val="tx1"/>
                  </w14:solidFill>
                </w14:textFill>
              </w:rPr>
              <w:t>过渡阶段</w:t>
            </w:r>
            <w:r>
              <w:rPr>
                <w:rFonts w:hint="default" w:ascii="Times New Roman" w:hAnsi="Times New Roman" w:cs="Times New Roman"/>
                <w:color w:val="000000" w:themeColor="text1"/>
                <w:sz w:val="24"/>
                <w:highlight w:val="none"/>
                <w14:textFill>
                  <w14:solidFill>
                    <w14:schemeClr w14:val="tx1"/>
                  </w14:solidFill>
                </w14:textFill>
              </w:rPr>
              <w:t>二级</w:t>
            </w:r>
            <w:r>
              <w:rPr>
                <w:rFonts w:hint="default" w:ascii="Times New Roman" w:hAnsi="Times New Roman" w:cs="Times New Roman"/>
                <w:color w:val="000000" w:themeColor="text1"/>
                <w:sz w:val="24"/>
                <w:highlight w:val="none"/>
                <w:lang w:eastAsia="zh-CN"/>
                <w14:textFill>
                  <w14:solidFill>
                    <w14:schemeClr w14:val="tx1"/>
                  </w14:solidFill>
                </w14:textFill>
              </w:rPr>
              <w:t>浓度限值</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中各评价项目的年评价指标进行判定。年评价指标中的年均浓度和相应百分位数24h平均或8h平均质量浓度满足</w:t>
            </w:r>
            <w:r>
              <w:rPr>
                <w:rFonts w:hint="default" w:ascii="Times New Roman" w:hAnsi="Times New Roman" w:eastAsia="宋体" w:cs="Times New Roman"/>
                <w:b w:val="0"/>
                <w:bCs w:val="0"/>
                <w:color w:val="000000" w:themeColor="text1"/>
                <w:spacing w:val="-11"/>
                <w:sz w:val="24"/>
                <w:highlight w:val="none"/>
                <w14:textFill>
                  <w14:solidFill>
                    <w14:schemeClr w14:val="tx1"/>
                  </w14:solidFill>
                </w14:textFill>
              </w:rPr>
              <w:t>《环境空气质量标准》（GB3095-20</w:t>
            </w:r>
            <w:r>
              <w:rPr>
                <w:rFonts w:hint="eastAsia" w:cs="Times New Roman"/>
                <w:b w:val="0"/>
                <w:bCs w:val="0"/>
                <w:color w:val="000000" w:themeColor="text1"/>
                <w:spacing w:val="-11"/>
                <w:sz w:val="24"/>
                <w:highlight w:val="none"/>
                <w:lang w:val="en-US" w:eastAsia="zh-CN"/>
                <w14:textFill>
                  <w14:solidFill>
                    <w14:schemeClr w14:val="tx1"/>
                  </w14:solidFill>
                </w14:textFill>
              </w:rPr>
              <w:t>26</w:t>
            </w:r>
            <w:r>
              <w:rPr>
                <w:rFonts w:hint="default" w:ascii="Times New Roman" w:hAnsi="Times New Roman" w:eastAsia="宋体" w:cs="Times New Roman"/>
                <w:b w:val="0"/>
                <w:bCs w:val="0"/>
                <w:color w:val="000000" w:themeColor="text1"/>
                <w:spacing w:val="-11"/>
                <w:sz w:val="24"/>
                <w:highlight w:val="none"/>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中浓度限值要求。对于超标的污染物，计算其超标倍数和超标率</w:t>
            </w:r>
            <w:r>
              <w:rPr>
                <w:rFonts w:hint="default" w:ascii="Times New Roman" w:hAnsi="Times New Roman" w:cs="Times New Roman"/>
                <w:color w:val="000000" w:themeColor="text1"/>
                <w:highlight w:val="none"/>
                <w14:textFill>
                  <w14:solidFill>
                    <w14:schemeClr w14:val="tx1"/>
                  </w14:solidFill>
                </w14:textFill>
              </w:rPr>
              <w:t>。</w:t>
            </w:r>
          </w:p>
          <w:p w14:paraId="49182DC3">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（4）评价结果</w:t>
            </w:r>
          </w:p>
          <w:p w14:paraId="28B9AB3A">
            <w:pPr>
              <w:pStyle w:val="5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评价结果见下表。</w:t>
            </w:r>
          </w:p>
          <w:p w14:paraId="1B244902">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区域空气质量现状评价表</w:t>
            </w:r>
          </w:p>
          <w:tbl>
            <w:tblPr>
              <w:tblStyle w:val="28"/>
              <w:tblW w:w="79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1"/>
              <w:gridCol w:w="2720"/>
              <w:gridCol w:w="1194"/>
              <w:gridCol w:w="1329"/>
              <w:gridCol w:w="1120"/>
              <w:gridCol w:w="837"/>
            </w:tblGrid>
            <w:tr w14:paraId="51F3D9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3" w:type="pct"/>
                  <w:tcBorders>
                    <w:tl2br w:val="nil"/>
                    <w:tr2bl w:val="nil"/>
                  </w:tcBorders>
                  <w:shd w:val="clear" w:color="auto" w:fill="auto"/>
                  <w:vAlign w:val="center"/>
                </w:tcPr>
                <w:p w14:paraId="4AAB6CD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污染物</w:t>
                  </w:r>
                </w:p>
              </w:tc>
              <w:tc>
                <w:tcPr>
                  <w:tcW w:w="1634" w:type="pct"/>
                  <w:tcBorders>
                    <w:tl2br w:val="nil"/>
                    <w:tr2bl w:val="nil"/>
                  </w:tcBorders>
                  <w:shd w:val="clear" w:color="auto" w:fill="auto"/>
                  <w:vAlign w:val="center"/>
                </w:tcPr>
                <w:p w14:paraId="2D7AE48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年评价指标</w:t>
                  </w:r>
                </w:p>
              </w:tc>
              <w:tc>
                <w:tcPr>
                  <w:tcW w:w="717" w:type="pct"/>
                  <w:tcBorders>
                    <w:tl2br w:val="nil"/>
                    <w:tr2bl w:val="nil"/>
                  </w:tcBorders>
                  <w:shd w:val="clear" w:color="auto" w:fill="auto"/>
                  <w:vAlign w:val="center"/>
                </w:tcPr>
                <w:p w14:paraId="5E9DA48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现状</w:t>
                  </w: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浓度</w:t>
                  </w:r>
                </w:p>
                <w:p w14:paraId="60BE6DB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eastAsia" w:cs="Times New Roman"/>
                      <w:b w:val="0"/>
                      <w:bCs w:val="0"/>
                      <w:color w:val="000000" w:themeColor="text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μg/m</w:t>
                  </w:r>
                  <w:r>
                    <w:rPr>
                      <w:rFonts w:hint="default" w:ascii="Times New Roman" w:hAnsi="Times New Roman" w:cs="Times New Roman"/>
                      <w:b w:val="0"/>
                      <w:bCs w:val="0"/>
                      <w:color w:val="000000" w:themeColor="text1"/>
                      <w:szCs w:val="21"/>
                      <w:highlight w:val="none"/>
                      <w:vertAlign w:val="superscript"/>
                      <w:lang w:eastAsia="en-US"/>
                      <w14:textFill>
                        <w14:solidFill>
                          <w14:schemeClr w14:val="tx1"/>
                        </w14:solidFill>
                      </w14:textFill>
                    </w:rPr>
                    <w:t>3</w:t>
                  </w:r>
                  <w:r>
                    <w:rPr>
                      <w:rFonts w:hint="eastAsia" w:cs="Times New Roman"/>
                      <w:b w:val="0"/>
                      <w:bCs w:val="0"/>
                      <w:color w:val="000000" w:themeColor="text1"/>
                      <w:szCs w:val="21"/>
                      <w:highlight w:val="none"/>
                      <w:vertAlign w:val="superscript"/>
                      <w:lang w:eastAsia="zh-CN"/>
                      <w14:textFill>
                        <w14:solidFill>
                          <w14:schemeClr w14:val="tx1"/>
                        </w14:solidFill>
                      </w14:textFill>
                    </w:rPr>
                    <w:t>)</w:t>
                  </w:r>
                </w:p>
              </w:tc>
              <w:tc>
                <w:tcPr>
                  <w:tcW w:w="798" w:type="pct"/>
                  <w:tcBorders>
                    <w:tl2br w:val="nil"/>
                    <w:tr2bl w:val="nil"/>
                  </w:tcBorders>
                  <w:shd w:val="clear" w:color="auto" w:fill="auto"/>
                  <w:vAlign w:val="center"/>
                </w:tcPr>
                <w:p w14:paraId="0484040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标准（二级）</w:t>
                  </w:r>
                </w:p>
                <w:p w14:paraId="579B9F1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14:textFill>
                        <w14:solidFill>
                          <w14:schemeClr w14:val="tx1"/>
                        </w14:solidFill>
                      </w14:textFill>
                    </w:rPr>
                  </w:pPr>
                  <w:r>
                    <w:rPr>
                      <w:rFonts w:hint="eastAsia" w:cs="Times New Roman"/>
                      <w:b w:val="0"/>
                      <w:bCs w:val="0"/>
                      <w:color w:val="000000" w:themeColor="text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μ</w:t>
                  </w:r>
                  <w:r>
                    <w:rPr>
                      <w:rFonts w:hint="default" w:ascii="Times New Roman" w:hAnsi="Times New Roman" w:cs="Times New Roman"/>
                      <w:b w:val="0"/>
                      <w:bCs w:val="0"/>
                      <w:color w:val="000000" w:themeColor="text1"/>
                      <w:szCs w:val="21"/>
                      <w:highlight w:val="none"/>
                      <w14:textFill>
                        <w14:solidFill>
                          <w14:schemeClr w14:val="tx1"/>
                        </w14:solidFill>
                      </w14:textFill>
                    </w:rPr>
                    <w:t>g/m</w:t>
                  </w:r>
                  <w:r>
                    <w:rPr>
                      <w:rFonts w:hint="default" w:ascii="Times New Roman" w:hAnsi="Times New Roman" w:cs="Times New Roman"/>
                      <w:b w:val="0"/>
                      <w:bCs w:val="0"/>
                      <w:color w:val="000000" w:themeColor="text1"/>
                      <w:szCs w:val="21"/>
                      <w:highlight w:val="none"/>
                      <w:vertAlign w:val="superscript"/>
                      <w14:textFill>
                        <w14:solidFill>
                          <w14:schemeClr w14:val="tx1"/>
                        </w14:solidFill>
                      </w14:textFill>
                    </w:rPr>
                    <w:t>3</w:t>
                  </w:r>
                  <w:r>
                    <w:rPr>
                      <w:rFonts w:hint="eastAsia" w:cs="Times New Roman"/>
                      <w:b w:val="0"/>
                      <w:bCs w:val="0"/>
                      <w:color w:val="000000" w:themeColor="text1"/>
                      <w:szCs w:val="21"/>
                      <w:highlight w:val="none"/>
                      <w:vertAlign w:val="superscript"/>
                      <w:lang w:eastAsia="zh-CN"/>
                      <w14:textFill>
                        <w14:solidFill>
                          <w14:schemeClr w14:val="tx1"/>
                        </w14:solidFill>
                      </w14:textFill>
                    </w:rPr>
                    <w:t>)</w:t>
                  </w:r>
                </w:p>
              </w:tc>
              <w:tc>
                <w:tcPr>
                  <w:tcW w:w="673" w:type="pct"/>
                  <w:tcBorders>
                    <w:tl2br w:val="nil"/>
                    <w:tr2bl w:val="nil"/>
                  </w:tcBorders>
                  <w:shd w:val="clear" w:color="auto" w:fill="auto"/>
                  <w:vAlign w:val="center"/>
                </w:tcPr>
                <w:p w14:paraId="08331CA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占标率%</w:t>
                  </w:r>
                </w:p>
              </w:tc>
              <w:tc>
                <w:tcPr>
                  <w:tcW w:w="503" w:type="pct"/>
                  <w:tcBorders>
                    <w:tl2br w:val="nil"/>
                    <w:tr2bl w:val="nil"/>
                  </w:tcBorders>
                  <w:shd w:val="clear" w:color="auto" w:fill="auto"/>
                  <w:vAlign w:val="center"/>
                </w:tcPr>
                <w:p w14:paraId="2BE02B8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达标情况</w:t>
                  </w:r>
                </w:p>
              </w:tc>
            </w:tr>
            <w:tr w14:paraId="654435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3" w:type="pct"/>
                  <w:tcBorders>
                    <w:tl2br w:val="nil"/>
                    <w:tr2bl w:val="nil"/>
                  </w:tcBorders>
                  <w:shd w:val="clear" w:color="auto" w:fill="auto"/>
                  <w:vAlign w:val="center"/>
                </w:tcPr>
                <w:p w14:paraId="12E9FC1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SO</w:t>
                  </w:r>
                  <w:r>
                    <w:rPr>
                      <w:rFonts w:hint="default" w:ascii="Times New Roman" w:hAnsi="Times New Roman" w:cs="Times New Roman"/>
                      <w:b w:val="0"/>
                      <w:bCs w:val="0"/>
                      <w:color w:val="000000" w:themeColor="text1"/>
                      <w:szCs w:val="21"/>
                      <w:highlight w:val="none"/>
                      <w:vertAlign w:val="subscript"/>
                      <w:lang w:eastAsia="en-US"/>
                      <w14:textFill>
                        <w14:solidFill>
                          <w14:schemeClr w14:val="tx1"/>
                        </w14:solidFill>
                      </w14:textFill>
                    </w:rPr>
                    <w:t>2</w:t>
                  </w:r>
                </w:p>
              </w:tc>
              <w:tc>
                <w:tcPr>
                  <w:tcW w:w="1634" w:type="pct"/>
                  <w:tcBorders>
                    <w:tl2br w:val="nil"/>
                    <w:tr2bl w:val="nil"/>
                  </w:tcBorders>
                  <w:shd w:val="clear" w:color="auto" w:fill="auto"/>
                  <w:vAlign w:val="center"/>
                </w:tcPr>
                <w:p w14:paraId="357842F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年平均</w:t>
                  </w:r>
                </w:p>
              </w:tc>
              <w:tc>
                <w:tcPr>
                  <w:tcW w:w="717" w:type="pct"/>
                  <w:tcBorders>
                    <w:tl2br w:val="nil"/>
                    <w:tr2bl w:val="nil"/>
                  </w:tcBorders>
                  <w:shd w:val="clear" w:color="auto" w:fill="auto"/>
                  <w:vAlign w:val="center"/>
                </w:tcPr>
                <w:p w14:paraId="61ACC97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Cs w:val="21"/>
                      <w:highlight w:val="none"/>
                      <w:lang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6</w:t>
                  </w:r>
                </w:p>
              </w:tc>
              <w:tc>
                <w:tcPr>
                  <w:tcW w:w="798" w:type="pct"/>
                  <w:tcBorders>
                    <w:tl2br w:val="nil"/>
                    <w:tr2bl w:val="nil"/>
                  </w:tcBorders>
                  <w:shd w:val="clear" w:color="auto" w:fill="auto"/>
                  <w:vAlign w:val="center"/>
                </w:tcPr>
                <w:p w14:paraId="3CB93FE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60</w:t>
                  </w:r>
                </w:p>
              </w:tc>
              <w:tc>
                <w:tcPr>
                  <w:tcW w:w="673" w:type="pct"/>
                  <w:tcBorders>
                    <w:tl2br w:val="nil"/>
                    <w:tr2bl w:val="nil"/>
                  </w:tcBorders>
                  <w:shd w:val="clear" w:color="auto" w:fill="auto"/>
                  <w:vAlign w:val="center"/>
                </w:tcPr>
                <w:p w14:paraId="29D670A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10</w:t>
                  </w:r>
                </w:p>
              </w:tc>
              <w:tc>
                <w:tcPr>
                  <w:tcW w:w="503" w:type="pct"/>
                  <w:tcBorders>
                    <w:tl2br w:val="nil"/>
                    <w:tr2bl w:val="nil"/>
                  </w:tcBorders>
                  <w:shd w:val="clear" w:color="auto" w:fill="auto"/>
                  <w:vAlign w:val="center"/>
                </w:tcPr>
                <w:p w14:paraId="22AD167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达标</w:t>
                  </w:r>
                </w:p>
              </w:tc>
            </w:tr>
            <w:tr w14:paraId="7A865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3" w:type="pct"/>
                  <w:tcBorders>
                    <w:tl2br w:val="nil"/>
                    <w:tr2bl w:val="nil"/>
                  </w:tcBorders>
                  <w:shd w:val="clear" w:color="auto" w:fill="auto"/>
                  <w:vAlign w:val="center"/>
                </w:tcPr>
                <w:p w14:paraId="04CB917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NO</w:t>
                  </w:r>
                  <w:r>
                    <w:rPr>
                      <w:rFonts w:hint="default" w:ascii="Times New Roman" w:hAnsi="Times New Roman" w:cs="Times New Roman"/>
                      <w:b w:val="0"/>
                      <w:bCs w:val="0"/>
                      <w:color w:val="000000" w:themeColor="text1"/>
                      <w:szCs w:val="21"/>
                      <w:highlight w:val="none"/>
                      <w:vertAlign w:val="subscript"/>
                      <w:lang w:eastAsia="en-US"/>
                      <w14:textFill>
                        <w14:solidFill>
                          <w14:schemeClr w14:val="tx1"/>
                        </w14:solidFill>
                      </w14:textFill>
                    </w:rPr>
                    <w:t>2</w:t>
                  </w:r>
                </w:p>
              </w:tc>
              <w:tc>
                <w:tcPr>
                  <w:tcW w:w="1634" w:type="pct"/>
                  <w:tcBorders>
                    <w:tl2br w:val="nil"/>
                    <w:tr2bl w:val="nil"/>
                  </w:tcBorders>
                  <w:shd w:val="clear" w:color="auto" w:fill="auto"/>
                  <w:vAlign w:val="center"/>
                </w:tcPr>
                <w:p w14:paraId="1097C8B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年平均</w:t>
                  </w:r>
                </w:p>
              </w:tc>
              <w:tc>
                <w:tcPr>
                  <w:tcW w:w="717" w:type="pct"/>
                  <w:tcBorders>
                    <w:tl2br w:val="nil"/>
                    <w:tr2bl w:val="nil"/>
                  </w:tcBorders>
                  <w:shd w:val="clear" w:color="auto" w:fill="auto"/>
                  <w:vAlign w:val="center"/>
                </w:tcPr>
                <w:p w14:paraId="29FACE9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21</w:t>
                  </w:r>
                </w:p>
              </w:tc>
              <w:tc>
                <w:tcPr>
                  <w:tcW w:w="798" w:type="pct"/>
                  <w:tcBorders>
                    <w:tl2br w:val="nil"/>
                    <w:tr2bl w:val="nil"/>
                  </w:tcBorders>
                  <w:shd w:val="clear" w:color="auto" w:fill="auto"/>
                  <w:vAlign w:val="center"/>
                </w:tcPr>
                <w:p w14:paraId="15D4821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40</w:t>
                  </w:r>
                </w:p>
              </w:tc>
              <w:tc>
                <w:tcPr>
                  <w:tcW w:w="673" w:type="pct"/>
                  <w:tcBorders>
                    <w:tl2br w:val="nil"/>
                    <w:tr2bl w:val="nil"/>
                  </w:tcBorders>
                  <w:shd w:val="clear" w:color="auto" w:fill="auto"/>
                  <w:vAlign w:val="center"/>
                </w:tcPr>
                <w:p w14:paraId="148ED91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5</w:t>
                  </w:r>
                  <w:r>
                    <w:rPr>
                      <w:rFonts w:hint="eastAsia" w:cs="Times New Roman"/>
                      <w:b w:val="0"/>
                      <w:bCs w:val="0"/>
                      <w:color w:val="000000" w:themeColor="text1"/>
                      <w:szCs w:val="21"/>
                      <w:highlight w:val="none"/>
                      <w:lang w:val="en-US" w:eastAsia="zh-CN"/>
                      <w14:textFill>
                        <w14:solidFill>
                          <w14:schemeClr w14:val="tx1"/>
                        </w14:solidFill>
                      </w14:textFill>
                    </w:rPr>
                    <w:t>2.5</w:t>
                  </w:r>
                </w:p>
              </w:tc>
              <w:tc>
                <w:tcPr>
                  <w:tcW w:w="503" w:type="pct"/>
                  <w:tcBorders>
                    <w:tl2br w:val="nil"/>
                    <w:tr2bl w:val="nil"/>
                  </w:tcBorders>
                  <w:shd w:val="clear" w:color="auto" w:fill="auto"/>
                  <w:vAlign w:val="center"/>
                </w:tcPr>
                <w:p w14:paraId="472BE89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达标</w:t>
                  </w:r>
                </w:p>
              </w:tc>
            </w:tr>
            <w:tr w14:paraId="7AFBFE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3" w:type="pct"/>
                  <w:tcBorders>
                    <w:tl2br w:val="nil"/>
                    <w:tr2bl w:val="nil"/>
                  </w:tcBorders>
                  <w:shd w:val="clear" w:color="auto" w:fill="auto"/>
                  <w:vAlign w:val="center"/>
                </w:tcPr>
                <w:p w14:paraId="0E6C363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CO</w:t>
                  </w:r>
                </w:p>
              </w:tc>
              <w:tc>
                <w:tcPr>
                  <w:tcW w:w="1634" w:type="pct"/>
                  <w:tcBorders>
                    <w:tl2br w:val="nil"/>
                    <w:tr2bl w:val="nil"/>
                  </w:tcBorders>
                  <w:shd w:val="clear" w:color="auto" w:fill="auto"/>
                  <w:vAlign w:val="center"/>
                </w:tcPr>
                <w:p w14:paraId="68679D4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24h平均第95百分位数</w:t>
                  </w:r>
                </w:p>
              </w:tc>
              <w:tc>
                <w:tcPr>
                  <w:tcW w:w="717" w:type="pct"/>
                  <w:tcBorders>
                    <w:tl2br w:val="nil"/>
                    <w:tr2bl w:val="nil"/>
                  </w:tcBorders>
                  <w:shd w:val="clear" w:color="auto" w:fill="auto"/>
                  <w:vAlign w:val="center"/>
                </w:tcPr>
                <w:p w14:paraId="6A09EF2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400</w:t>
                  </w:r>
                </w:p>
              </w:tc>
              <w:tc>
                <w:tcPr>
                  <w:tcW w:w="798" w:type="pct"/>
                  <w:tcBorders>
                    <w:tl2br w:val="nil"/>
                    <w:tr2bl w:val="nil"/>
                  </w:tcBorders>
                  <w:shd w:val="clear" w:color="auto" w:fill="auto"/>
                  <w:vAlign w:val="center"/>
                </w:tcPr>
                <w:p w14:paraId="1A28B21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4</w:t>
                  </w:r>
                </w:p>
              </w:tc>
              <w:tc>
                <w:tcPr>
                  <w:tcW w:w="673" w:type="pct"/>
                  <w:tcBorders>
                    <w:tl2br w:val="nil"/>
                    <w:tr2bl w:val="nil"/>
                  </w:tcBorders>
                  <w:shd w:val="clear" w:color="auto" w:fill="auto"/>
                  <w:vAlign w:val="center"/>
                </w:tcPr>
                <w:p w14:paraId="2645E18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10</w:t>
                  </w:r>
                </w:p>
              </w:tc>
              <w:tc>
                <w:tcPr>
                  <w:tcW w:w="503" w:type="pct"/>
                  <w:tcBorders>
                    <w:tl2br w:val="nil"/>
                    <w:tr2bl w:val="nil"/>
                  </w:tcBorders>
                  <w:shd w:val="clear" w:color="auto" w:fill="auto"/>
                  <w:vAlign w:val="center"/>
                </w:tcPr>
                <w:p w14:paraId="61EA779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达标</w:t>
                  </w:r>
                </w:p>
              </w:tc>
            </w:tr>
            <w:tr w14:paraId="20A7BA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3" w:type="pct"/>
                  <w:tcBorders>
                    <w:tl2br w:val="nil"/>
                    <w:tr2bl w:val="nil"/>
                  </w:tcBorders>
                  <w:shd w:val="clear" w:color="auto" w:fill="auto"/>
                  <w:vAlign w:val="center"/>
                </w:tcPr>
                <w:p w14:paraId="3067277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O</w:t>
                  </w:r>
                  <w:r>
                    <w:rPr>
                      <w:rFonts w:hint="default" w:ascii="Times New Roman" w:hAnsi="Times New Roman" w:cs="Times New Roman"/>
                      <w:b w:val="0"/>
                      <w:bCs w:val="0"/>
                      <w:color w:val="000000" w:themeColor="text1"/>
                      <w:szCs w:val="21"/>
                      <w:highlight w:val="none"/>
                      <w:vertAlign w:val="subscript"/>
                      <w:lang w:eastAsia="en-US"/>
                      <w14:textFill>
                        <w14:solidFill>
                          <w14:schemeClr w14:val="tx1"/>
                        </w14:solidFill>
                      </w14:textFill>
                    </w:rPr>
                    <w:t>3</w:t>
                  </w:r>
                </w:p>
              </w:tc>
              <w:tc>
                <w:tcPr>
                  <w:tcW w:w="1634" w:type="pct"/>
                  <w:tcBorders>
                    <w:tl2br w:val="nil"/>
                    <w:tr2bl w:val="nil"/>
                  </w:tcBorders>
                  <w:shd w:val="clear" w:color="auto" w:fill="auto"/>
                  <w:vAlign w:val="center"/>
                </w:tcPr>
                <w:p w14:paraId="0061E59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最大8小时滑动平均值的第90百分位数</w:t>
                  </w:r>
                </w:p>
              </w:tc>
              <w:tc>
                <w:tcPr>
                  <w:tcW w:w="717" w:type="pct"/>
                  <w:tcBorders>
                    <w:tl2br w:val="nil"/>
                    <w:tr2bl w:val="nil"/>
                  </w:tcBorders>
                  <w:shd w:val="clear" w:color="auto" w:fill="auto"/>
                  <w:vAlign w:val="center"/>
                </w:tcPr>
                <w:p w14:paraId="46B2624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9</w:t>
                  </w:r>
                  <w:r>
                    <w:rPr>
                      <w:rFonts w:hint="eastAsia" w:cs="Times New Roman"/>
                      <w:b w:val="0"/>
                      <w:bCs w:val="0"/>
                      <w:color w:val="000000" w:themeColor="text1"/>
                      <w:szCs w:val="21"/>
                      <w:highlight w:val="none"/>
                      <w:lang w:val="en-US" w:eastAsia="zh-CN"/>
                      <w14:textFill>
                        <w14:solidFill>
                          <w14:schemeClr w14:val="tx1"/>
                        </w14:solidFill>
                      </w14:textFill>
                    </w:rPr>
                    <w:t>1</w:t>
                  </w:r>
                </w:p>
              </w:tc>
              <w:tc>
                <w:tcPr>
                  <w:tcW w:w="798" w:type="pct"/>
                  <w:tcBorders>
                    <w:tl2br w:val="nil"/>
                    <w:tr2bl w:val="nil"/>
                  </w:tcBorders>
                  <w:shd w:val="clear" w:color="auto" w:fill="auto"/>
                  <w:vAlign w:val="center"/>
                </w:tcPr>
                <w:p w14:paraId="4471C22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160</w:t>
                  </w:r>
                </w:p>
              </w:tc>
              <w:tc>
                <w:tcPr>
                  <w:tcW w:w="673" w:type="pct"/>
                  <w:tcBorders>
                    <w:tl2br w:val="nil"/>
                    <w:tr2bl w:val="nil"/>
                  </w:tcBorders>
                  <w:shd w:val="clear" w:color="auto" w:fill="auto"/>
                  <w:vAlign w:val="center"/>
                </w:tcPr>
                <w:p w14:paraId="5B32DB9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5</w:t>
                  </w:r>
                  <w:r>
                    <w:rPr>
                      <w:rFonts w:hint="eastAsia" w:cs="Times New Roman"/>
                      <w:b w:val="0"/>
                      <w:bCs w:val="0"/>
                      <w:color w:val="000000" w:themeColor="text1"/>
                      <w:szCs w:val="21"/>
                      <w:highlight w:val="none"/>
                      <w:lang w:val="en-US" w:eastAsia="zh-CN"/>
                      <w14:textFill>
                        <w14:solidFill>
                          <w14:schemeClr w14:val="tx1"/>
                        </w14:solidFill>
                      </w14:textFill>
                    </w:rPr>
                    <w:t>6.9</w:t>
                  </w:r>
                </w:p>
              </w:tc>
              <w:tc>
                <w:tcPr>
                  <w:tcW w:w="503" w:type="pct"/>
                  <w:tcBorders>
                    <w:tl2br w:val="nil"/>
                    <w:tr2bl w:val="nil"/>
                  </w:tcBorders>
                  <w:shd w:val="clear" w:color="auto" w:fill="auto"/>
                  <w:vAlign w:val="center"/>
                </w:tcPr>
                <w:p w14:paraId="491E0B6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达标</w:t>
                  </w:r>
                </w:p>
              </w:tc>
            </w:tr>
            <w:tr w14:paraId="08016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3" w:type="pct"/>
                  <w:tcBorders>
                    <w:tl2br w:val="nil"/>
                    <w:tr2bl w:val="nil"/>
                  </w:tcBorders>
                  <w:shd w:val="clear" w:color="auto" w:fill="auto"/>
                  <w:vAlign w:val="center"/>
                </w:tcPr>
                <w:p w14:paraId="5DA1B2B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PM</w:t>
                  </w:r>
                  <w:r>
                    <w:rPr>
                      <w:rFonts w:hint="default" w:ascii="Times New Roman" w:hAnsi="Times New Roman" w:cs="Times New Roman"/>
                      <w:b w:val="0"/>
                      <w:bCs w:val="0"/>
                      <w:color w:val="000000" w:themeColor="text1"/>
                      <w:szCs w:val="21"/>
                      <w:highlight w:val="none"/>
                      <w:vertAlign w:val="subscript"/>
                      <w:lang w:eastAsia="en-US"/>
                      <w14:textFill>
                        <w14:solidFill>
                          <w14:schemeClr w14:val="tx1"/>
                        </w14:solidFill>
                      </w14:textFill>
                    </w:rPr>
                    <w:t>10</w:t>
                  </w:r>
                </w:p>
              </w:tc>
              <w:tc>
                <w:tcPr>
                  <w:tcW w:w="1634" w:type="pct"/>
                  <w:tcBorders>
                    <w:tl2br w:val="nil"/>
                    <w:tr2bl w:val="nil"/>
                  </w:tcBorders>
                  <w:shd w:val="clear" w:color="auto" w:fill="auto"/>
                  <w:vAlign w:val="center"/>
                </w:tcPr>
                <w:p w14:paraId="1F522BE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年平均</w:t>
                  </w:r>
                </w:p>
              </w:tc>
              <w:tc>
                <w:tcPr>
                  <w:tcW w:w="717" w:type="pct"/>
                  <w:tcBorders>
                    <w:tl2br w:val="nil"/>
                    <w:tr2bl w:val="nil"/>
                  </w:tcBorders>
                  <w:shd w:val="clear" w:color="auto" w:fill="auto"/>
                  <w:vAlign w:val="center"/>
                </w:tcPr>
                <w:p w14:paraId="2E6A84A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184</w:t>
                  </w:r>
                </w:p>
              </w:tc>
              <w:tc>
                <w:tcPr>
                  <w:tcW w:w="798" w:type="pct"/>
                  <w:tcBorders>
                    <w:tl2br w:val="nil"/>
                    <w:tr2bl w:val="nil"/>
                  </w:tcBorders>
                  <w:shd w:val="clear" w:color="auto" w:fill="auto"/>
                  <w:vAlign w:val="center"/>
                </w:tcPr>
                <w:p w14:paraId="476F9E5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60</w:t>
                  </w:r>
                </w:p>
              </w:tc>
              <w:tc>
                <w:tcPr>
                  <w:tcW w:w="673" w:type="pct"/>
                  <w:tcBorders>
                    <w:tl2br w:val="nil"/>
                    <w:tr2bl w:val="nil"/>
                  </w:tcBorders>
                  <w:shd w:val="clear" w:color="auto" w:fill="auto"/>
                  <w:vAlign w:val="center"/>
                </w:tcPr>
                <w:p w14:paraId="201A0E6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307</w:t>
                  </w:r>
                </w:p>
              </w:tc>
              <w:tc>
                <w:tcPr>
                  <w:tcW w:w="503" w:type="pct"/>
                  <w:tcBorders>
                    <w:tl2br w:val="nil"/>
                    <w:tr2bl w:val="nil"/>
                  </w:tcBorders>
                  <w:shd w:val="clear" w:color="auto" w:fill="auto"/>
                  <w:vAlign w:val="center"/>
                </w:tcPr>
                <w:p w14:paraId="22A751F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不达标</w:t>
                  </w:r>
                </w:p>
              </w:tc>
            </w:tr>
            <w:tr w14:paraId="35647A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3" w:type="pct"/>
                  <w:tcBorders>
                    <w:tl2br w:val="nil"/>
                    <w:tr2bl w:val="nil"/>
                  </w:tcBorders>
                  <w:shd w:val="clear" w:color="auto" w:fill="auto"/>
                  <w:vAlign w:val="center"/>
                </w:tcPr>
                <w:p w14:paraId="3A20DB0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PM</w:t>
                  </w:r>
                  <w:r>
                    <w:rPr>
                      <w:rFonts w:hint="default" w:ascii="Times New Roman" w:hAnsi="Times New Roman" w:cs="Times New Roman"/>
                      <w:b w:val="0"/>
                      <w:bCs w:val="0"/>
                      <w:color w:val="000000" w:themeColor="text1"/>
                      <w:szCs w:val="21"/>
                      <w:highlight w:val="none"/>
                      <w:vertAlign w:val="subscript"/>
                      <w:lang w:eastAsia="en-US"/>
                      <w14:textFill>
                        <w14:solidFill>
                          <w14:schemeClr w14:val="tx1"/>
                        </w14:solidFill>
                      </w14:textFill>
                    </w:rPr>
                    <w:t>2.5</w:t>
                  </w:r>
                </w:p>
              </w:tc>
              <w:tc>
                <w:tcPr>
                  <w:tcW w:w="1634" w:type="pct"/>
                  <w:tcBorders>
                    <w:tl2br w:val="nil"/>
                    <w:tr2bl w:val="nil"/>
                  </w:tcBorders>
                  <w:shd w:val="clear" w:color="auto" w:fill="auto"/>
                  <w:vAlign w:val="center"/>
                </w:tcPr>
                <w:p w14:paraId="1980340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年平均</w:t>
                  </w:r>
                </w:p>
              </w:tc>
              <w:tc>
                <w:tcPr>
                  <w:tcW w:w="717" w:type="pct"/>
                  <w:tcBorders>
                    <w:tl2br w:val="nil"/>
                    <w:tr2bl w:val="nil"/>
                  </w:tcBorders>
                  <w:shd w:val="clear" w:color="auto" w:fill="auto"/>
                  <w:vAlign w:val="center"/>
                </w:tcPr>
                <w:p w14:paraId="6657B94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38</w:t>
                  </w:r>
                </w:p>
              </w:tc>
              <w:tc>
                <w:tcPr>
                  <w:tcW w:w="798" w:type="pct"/>
                  <w:tcBorders>
                    <w:tl2br w:val="nil"/>
                    <w:tr2bl w:val="nil"/>
                  </w:tcBorders>
                  <w:shd w:val="clear" w:color="auto" w:fill="auto"/>
                  <w:vAlign w:val="center"/>
                </w:tcPr>
                <w:p w14:paraId="4E6B5AA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30</w:t>
                  </w:r>
                </w:p>
              </w:tc>
              <w:tc>
                <w:tcPr>
                  <w:tcW w:w="673" w:type="pct"/>
                  <w:tcBorders>
                    <w:tl2br w:val="nil"/>
                    <w:tr2bl w:val="nil"/>
                  </w:tcBorders>
                  <w:shd w:val="clear" w:color="auto" w:fill="auto"/>
                  <w:vAlign w:val="center"/>
                </w:tcPr>
                <w:p w14:paraId="07821A5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Cs w:val="21"/>
                      <w:highlight w:val="none"/>
                      <w14:textFill>
                        <w14:solidFill>
                          <w14:schemeClr w14:val="tx1"/>
                        </w14:solidFill>
                      </w14:textFill>
                    </w:rPr>
                    <w:t>1</w:t>
                  </w:r>
                  <w:r>
                    <w:rPr>
                      <w:rFonts w:hint="eastAsia" w:cs="Times New Roman"/>
                      <w:b w:val="0"/>
                      <w:bCs w:val="0"/>
                      <w:color w:val="000000" w:themeColor="text1"/>
                      <w:szCs w:val="21"/>
                      <w:highlight w:val="none"/>
                      <w:lang w:val="en-US" w:eastAsia="zh-CN"/>
                      <w14:textFill>
                        <w14:solidFill>
                          <w14:schemeClr w14:val="tx1"/>
                        </w14:solidFill>
                      </w14:textFill>
                    </w:rPr>
                    <w:t>27</w:t>
                  </w:r>
                </w:p>
              </w:tc>
              <w:tc>
                <w:tcPr>
                  <w:tcW w:w="503" w:type="pct"/>
                  <w:tcBorders>
                    <w:tl2br w:val="nil"/>
                    <w:tr2bl w:val="nil"/>
                  </w:tcBorders>
                  <w:shd w:val="clear" w:color="auto" w:fill="auto"/>
                  <w:vAlign w:val="center"/>
                </w:tcPr>
                <w:p w14:paraId="2539CC6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Cs w:val="21"/>
                      <w:highlight w:val="none"/>
                      <w:lang w:eastAsia="en-US"/>
                      <w14:textFill>
                        <w14:solidFill>
                          <w14:schemeClr w14:val="tx1"/>
                        </w14:solidFill>
                      </w14:textFill>
                    </w:rPr>
                  </w:pPr>
                  <w:r>
                    <w:rPr>
                      <w:rFonts w:hint="default" w:ascii="Times New Roman" w:hAnsi="Times New Roman" w:cs="Times New Roman"/>
                      <w:b w:val="0"/>
                      <w:bCs w:val="0"/>
                      <w:color w:val="000000" w:themeColor="text1"/>
                      <w:szCs w:val="21"/>
                      <w:highlight w:val="none"/>
                      <w:lang w:eastAsia="en-US"/>
                      <w14:textFill>
                        <w14:solidFill>
                          <w14:schemeClr w14:val="tx1"/>
                        </w14:solidFill>
                      </w14:textFill>
                    </w:rPr>
                    <w:t>不达标</w:t>
                  </w:r>
                </w:p>
              </w:tc>
            </w:tr>
          </w:tbl>
          <w:p w14:paraId="2679687D">
            <w:pPr>
              <w:pStyle w:val="53"/>
              <w:kinsoku/>
              <w:wordWrap w:val="0"/>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由上表可知，库尔勒市</w:t>
            </w:r>
            <w:r>
              <w:rPr>
                <w:rFonts w:hint="eastAsia" w:cs="Times New Roman"/>
                <w:b w:val="0"/>
                <w:bCs w:val="0"/>
                <w:color w:val="000000" w:themeColor="text1"/>
                <w:sz w:val="24"/>
                <w:szCs w:val="24"/>
                <w:highlight w:val="none"/>
                <w:lang w:val="en-US" w:eastAsia="zh-CN"/>
                <w14:textFill>
                  <w14:solidFill>
                    <w14:schemeClr w14:val="tx1"/>
                  </w14:solidFill>
                </w14:textFill>
              </w:rPr>
              <w:t>2025年</w:t>
            </w:r>
            <w:r>
              <w:rPr>
                <w:rFonts w:hint="default" w:ascii="Times New Roman" w:hAnsi="Times New Roman" w:cs="Times New Roman"/>
                <w:color w:val="000000" w:themeColor="text1"/>
                <w:kern w:val="0"/>
                <w:sz w:val="24"/>
                <w:highlight w:val="none"/>
                <w14:textFill>
                  <w14:solidFill>
                    <w14:schemeClr w14:val="tx1"/>
                  </w14:solidFill>
                </w14:textFill>
              </w:rPr>
              <w:t>SO</w:t>
            </w:r>
            <w:r>
              <w:rPr>
                <w:rFonts w:hint="default" w:ascii="Times New Roman" w:hAnsi="Times New Roman" w:cs="Times New Roman"/>
                <w:color w:val="000000" w:themeColor="text1"/>
                <w:kern w:val="0"/>
                <w:sz w:val="24"/>
                <w:highlight w:val="none"/>
                <w:vertAlign w:val="subscript"/>
                <w14:textFill>
                  <w14:solidFill>
                    <w14:schemeClr w14:val="tx1"/>
                  </w14:solidFill>
                </w14:textFill>
              </w:rPr>
              <w:t>2</w:t>
            </w:r>
            <w:r>
              <w:rPr>
                <w:rFonts w:hint="default" w:ascii="Times New Roman" w:hAnsi="Times New Roman" w:cs="Times New Roman"/>
                <w:color w:val="000000" w:themeColor="text1"/>
                <w:kern w:val="0"/>
                <w:sz w:val="24"/>
                <w:highlight w:val="none"/>
                <w14:textFill>
                  <w14:solidFill>
                    <w14:schemeClr w14:val="tx1"/>
                  </w14:solidFill>
                </w14:textFill>
              </w:rPr>
              <w:t>、NO</w:t>
            </w:r>
            <w:r>
              <w:rPr>
                <w:rFonts w:hint="default" w:ascii="Times New Roman" w:hAnsi="Times New Roman" w:cs="Times New Roman"/>
                <w:color w:val="000000" w:themeColor="text1"/>
                <w:kern w:val="0"/>
                <w:sz w:val="24"/>
                <w:highlight w:val="none"/>
                <w:vertAlign w:val="subscript"/>
                <w14:textFill>
                  <w14:solidFill>
                    <w14:schemeClr w14:val="tx1"/>
                  </w14:solidFill>
                </w14:textFill>
              </w:rPr>
              <w:t>2</w:t>
            </w:r>
            <w:r>
              <w:rPr>
                <w:rFonts w:hint="eastAsia" w:cs="Times New Roman"/>
                <w:color w:val="000000" w:themeColor="text1"/>
                <w:kern w:val="0"/>
                <w:sz w:val="24"/>
                <w:highlight w:val="none"/>
                <w:lang w:val="en-US" w:eastAsia="zh-CN"/>
                <w14:textFill>
                  <w14:solidFill>
                    <w14:schemeClr w14:val="tx1"/>
                  </w14:solidFill>
                </w14:textFill>
              </w:rPr>
              <w:t>的</w:t>
            </w:r>
            <w:r>
              <w:rPr>
                <w:rFonts w:hint="default" w:ascii="Times New Roman" w:hAnsi="Times New Roman" w:cs="Times New Roman"/>
                <w:color w:val="000000" w:themeColor="text1"/>
                <w:kern w:val="0"/>
                <w:sz w:val="24"/>
                <w:highlight w:val="none"/>
                <w14:textFill>
                  <w14:solidFill>
                    <w14:schemeClr w14:val="tx1"/>
                  </w14:solidFill>
                </w14:textFill>
              </w:rPr>
              <w:t>年均浓度</w:t>
            </w:r>
            <w:r>
              <w:rPr>
                <w:rFonts w:hint="eastAsia" w:cs="Times New Roman"/>
                <w:color w:val="000000" w:themeColor="text1"/>
                <w:kern w:val="0"/>
                <w:sz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highlight w:val="none"/>
                <w14:textFill>
                  <w14:solidFill>
                    <w14:schemeClr w14:val="tx1"/>
                  </w14:solidFill>
                </w14:textFill>
              </w:rPr>
              <w:t>CO 24小时平均第95百分位数</w:t>
            </w:r>
            <w:r>
              <w:rPr>
                <w:rFonts w:hint="eastAsia" w:cs="Times New Roman"/>
                <w:color w:val="000000" w:themeColor="text1"/>
                <w:kern w:val="0"/>
                <w:sz w:val="24"/>
                <w:highlight w:val="none"/>
                <w:lang w:val="en-US" w:eastAsia="zh-CN"/>
                <w14:textFill>
                  <w14:solidFill>
                    <w14:schemeClr w14:val="tx1"/>
                  </w14:solidFill>
                </w14:textFill>
              </w:rPr>
              <w:t>和</w:t>
            </w:r>
            <w:r>
              <w:rPr>
                <w:rFonts w:hint="default" w:ascii="Times New Roman" w:hAnsi="Times New Roman" w:cs="Times New Roman"/>
                <w:color w:val="000000" w:themeColor="text1"/>
                <w:kern w:val="0"/>
                <w:sz w:val="24"/>
                <w:highlight w:val="none"/>
                <w14:textFill>
                  <w14:solidFill>
                    <w14:schemeClr w14:val="tx1"/>
                  </w14:solidFill>
                </w14:textFill>
              </w:rPr>
              <w:t>O</w:t>
            </w:r>
            <w:r>
              <w:rPr>
                <w:rFonts w:hint="default" w:ascii="Times New Roman" w:hAnsi="Times New Roman" w:cs="Times New Roman"/>
                <w:color w:val="000000" w:themeColor="text1"/>
                <w:kern w:val="0"/>
                <w:sz w:val="24"/>
                <w:highlight w:val="none"/>
                <w:vertAlign w:val="subscript"/>
                <w14:textFill>
                  <w14:solidFill>
                    <w14:schemeClr w14:val="tx1"/>
                  </w14:solidFill>
                </w14:textFill>
              </w:rPr>
              <w:t>3</w:t>
            </w:r>
            <w:r>
              <w:rPr>
                <w:rFonts w:hint="default" w:ascii="Times New Roman" w:hAnsi="Times New Roman" w:cs="Times New Roman"/>
                <w:color w:val="000000" w:themeColor="text1"/>
                <w:kern w:val="0"/>
                <w:sz w:val="24"/>
                <w:highlight w:val="none"/>
                <w14:textFill>
                  <w14:solidFill>
                    <w14:schemeClr w14:val="tx1"/>
                  </w14:solidFill>
                </w14:textFill>
              </w:rPr>
              <w:t>日最大8小时平均第90百分位数</w:t>
            </w:r>
            <w:r>
              <w:rPr>
                <w:rFonts w:hint="eastAsia" w:cs="Times New Roman"/>
                <w:color w:val="000000" w:themeColor="text1"/>
                <w:kern w:val="0"/>
                <w:sz w:val="24"/>
                <w:highlight w:val="none"/>
                <w:lang w:val="en-US" w:eastAsia="zh-CN"/>
                <w14:textFill>
                  <w14:solidFill>
                    <w14:schemeClr w14:val="tx1"/>
                  </w14:solidFill>
                </w14:textFill>
              </w:rPr>
              <w:t>均满足</w:t>
            </w:r>
            <w:r>
              <w:rPr>
                <w:rFonts w:hint="default" w:ascii="Times New Roman" w:hAnsi="Times New Roman" w:cs="Times New Roman"/>
                <w:color w:val="000000" w:themeColor="text1"/>
                <w:sz w:val="24"/>
                <w:highlight w:val="none"/>
                <w14:textFill>
                  <w14:solidFill>
                    <w14:schemeClr w14:val="tx1"/>
                  </w14:solidFill>
                </w14:textFill>
              </w:rPr>
              <w:t>《环境空气质量标准》（GB3095-20</w:t>
            </w:r>
            <w:r>
              <w:rPr>
                <w:rFonts w:hint="default" w:ascii="Times New Roman" w:hAnsi="Times New Roman" w:cs="Times New Roman"/>
                <w:color w:val="000000" w:themeColor="text1"/>
                <w:sz w:val="24"/>
                <w:highlight w:val="none"/>
                <w:lang w:val="en-US" w:eastAsia="zh-CN"/>
                <w14:textFill>
                  <w14:solidFill>
                    <w14:schemeClr w14:val="tx1"/>
                  </w14:solidFill>
                </w14:textFill>
              </w:rPr>
              <w:t>26</w:t>
            </w:r>
            <w:r>
              <w:rPr>
                <w:rFonts w:hint="default" w:ascii="Times New Roman" w:hAnsi="Times New Roman" w:cs="Times New Roman"/>
                <w:color w:val="000000" w:themeColor="text1"/>
                <w:sz w:val="24"/>
                <w:highlight w:val="none"/>
                <w14:textFill>
                  <w14:solidFill>
                    <w14:schemeClr w14:val="tx1"/>
                  </w14:solidFill>
                </w14:textFill>
              </w:rPr>
              <w:t>）表1</w:t>
            </w:r>
            <w:r>
              <w:rPr>
                <w:rFonts w:hint="default" w:ascii="Times New Roman" w:hAnsi="Times New Roman" w:cs="Times New Roman"/>
                <w:color w:val="000000" w:themeColor="text1"/>
                <w:sz w:val="24"/>
                <w:highlight w:val="none"/>
                <w:lang w:eastAsia="zh-CN"/>
                <w14:textFill>
                  <w14:solidFill>
                    <w14:schemeClr w14:val="tx1"/>
                  </w14:solidFill>
                </w14:textFill>
              </w:rPr>
              <w:t>过渡阶段</w:t>
            </w:r>
            <w:r>
              <w:rPr>
                <w:rFonts w:hint="default" w:ascii="Times New Roman" w:hAnsi="Times New Roman" w:cs="Times New Roman"/>
                <w:color w:val="000000" w:themeColor="text1"/>
                <w:sz w:val="24"/>
                <w:highlight w:val="none"/>
                <w14:textFill>
                  <w14:solidFill>
                    <w14:schemeClr w14:val="tx1"/>
                  </w14:solidFill>
                </w14:textFill>
              </w:rPr>
              <w:t>二级</w:t>
            </w:r>
            <w:r>
              <w:rPr>
                <w:rFonts w:hint="default" w:ascii="Times New Roman" w:hAnsi="Times New Roman" w:cs="Times New Roman"/>
                <w:color w:val="000000" w:themeColor="text1"/>
                <w:sz w:val="24"/>
                <w:highlight w:val="none"/>
                <w:lang w:eastAsia="zh-CN"/>
                <w14:textFill>
                  <w14:solidFill>
                    <w14:schemeClr w14:val="tx1"/>
                  </w14:solidFill>
                </w14:textFill>
              </w:rPr>
              <w:t>浓度限值</w:t>
            </w:r>
            <w:r>
              <w:rPr>
                <w:rFonts w:hint="default" w:ascii="Times New Roman" w:hAnsi="Times New Roman" w:cs="Times New Roman"/>
                <w:b w:val="0"/>
                <w:bCs w:val="0"/>
                <w:color w:val="000000" w:themeColor="text1"/>
                <w:sz w:val="24"/>
                <w:szCs w:val="24"/>
                <w:highlight w:val="none"/>
                <w14:textFill>
                  <w14:solidFill>
                    <w14:schemeClr w14:val="tx1"/>
                  </w14:solidFill>
                </w14:textFill>
              </w:rPr>
              <w:t>要求</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eastAsia" w:cs="Times New Roman"/>
                <w:b w:val="0"/>
                <w:bCs w:val="0"/>
                <w:color w:val="000000" w:themeColor="text1"/>
                <w:sz w:val="24"/>
                <w:szCs w:val="24"/>
                <w:highlight w:val="none"/>
                <w:lang w:val="en-US" w:eastAsia="zh-CN"/>
                <w14:textFill>
                  <w14:solidFill>
                    <w14:schemeClr w14:val="tx1"/>
                  </w14:solidFill>
                </w14:textFill>
              </w:rPr>
              <w:t>但</w:t>
            </w:r>
            <w:r>
              <w:rPr>
                <w:rFonts w:hint="default" w:ascii="Times New Roman" w:hAnsi="Times New Roman" w:cs="Times New Roman"/>
                <w:b w:val="0"/>
                <w:bCs w:val="0"/>
                <w:color w:val="000000" w:themeColor="text1"/>
                <w:sz w:val="24"/>
                <w:szCs w:val="24"/>
                <w:highlight w:val="none"/>
                <w14:textFill>
                  <w14:solidFill>
                    <w14:schemeClr w14:val="tx1"/>
                  </w14:solidFill>
                </w14:textFill>
              </w:rPr>
              <w:t>PM</w:t>
            </w:r>
            <w:r>
              <w:rPr>
                <w:rFonts w:hint="default" w:ascii="Times New Roman" w:hAnsi="Times New Roman" w:cs="Times New Roman"/>
                <w:b w:val="0"/>
                <w:bCs w:val="0"/>
                <w:color w:val="000000" w:themeColor="text1"/>
                <w:sz w:val="24"/>
                <w:szCs w:val="24"/>
                <w:highlight w:val="none"/>
                <w:vertAlign w:val="subscript"/>
                <w14:textFill>
                  <w14:solidFill>
                    <w14:schemeClr w14:val="tx1"/>
                  </w14:solidFill>
                </w14:textFill>
              </w:rPr>
              <w:t>10</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PM</w:t>
            </w:r>
            <w:r>
              <w:rPr>
                <w:rFonts w:hint="default" w:ascii="Times New Roman" w:hAnsi="Times New Roman" w:cs="Times New Roman"/>
                <w:b w:val="0"/>
                <w:bCs w:val="0"/>
                <w:color w:val="000000" w:themeColor="text1"/>
                <w:sz w:val="24"/>
                <w:szCs w:val="24"/>
                <w:highlight w:val="none"/>
                <w:vertAlign w:val="subscript"/>
                <w14:textFill>
                  <w14:solidFill>
                    <w14:schemeClr w14:val="tx1"/>
                  </w14:solidFill>
                </w14:textFill>
              </w:rPr>
              <w:t>2.5</w:t>
            </w:r>
            <w:r>
              <w:rPr>
                <w:rFonts w:hint="default" w:ascii="Times New Roman" w:hAnsi="Times New Roman" w:cs="Times New Roman"/>
                <w:b w:val="0"/>
                <w:bCs w:val="0"/>
                <w:color w:val="000000" w:themeColor="text1"/>
                <w:sz w:val="24"/>
                <w:szCs w:val="24"/>
                <w:highlight w:val="none"/>
                <w14:textFill>
                  <w14:solidFill>
                    <w14:schemeClr w14:val="tx1"/>
                  </w14:solidFill>
                </w14:textFill>
              </w:rPr>
              <w:t>的年平均浓度</w:t>
            </w:r>
            <w:r>
              <w:rPr>
                <w:rFonts w:hint="eastAsia" w:cs="Times New Roman"/>
                <w:b w:val="0"/>
                <w:bCs w:val="0"/>
                <w:color w:val="000000" w:themeColor="text1"/>
                <w:sz w:val="24"/>
                <w:szCs w:val="24"/>
                <w:highlight w:val="none"/>
                <w:lang w:val="en-US" w:eastAsia="zh-CN"/>
                <w14:textFill>
                  <w14:solidFill>
                    <w14:schemeClr w14:val="tx1"/>
                  </w14:solidFill>
                </w14:textFill>
              </w:rPr>
              <w:t>超标，</w:t>
            </w:r>
            <w:r>
              <w:rPr>
                <w:rFonts w:hint="default" w:ascii="Times New Roman" w:hAnsi="Times New Roman" w:cs="Times New Roman"/>
                <w:b w:val="0"/>
                <w:bCs w:val="0"/>
                <w:color w:val="000000" w:themeColor="text1"/>
                <w:sz w:val="24"/>
                <w:szCs w:val="24"/>
                <w:highlight w:val="none"/>
                <w14:textFill>
                  <w14:solidFill>
                    <w14:schemeClr w14:val="tx1"/>
                  </w14:solidFill>
                </w14:textFill>
              </w:rPr>
              <w:t>因此，项目所在区域为不达标区。PM</w:t>
            </w:r>
            <w:r>
              <w:rPr>
                <w:rFonts w:hint="default" w:ascii="Times New Roman" w:hAnsi="Times New Roman" w:cs="Times New Roman"/>
                <w:b w:val="0"/>
                <w:bCs w:val="0"/>
                <w:color w:val="000000" w:themeColor="text1"/>
                <w:sz w:val="24"/>
                <w:szCs w:val="24"/>
                <w:highlight w:val="none"/>
                <w:vertAlign w:val="subscript"/>
                <w14:textFill>
                  <w14:solidFill>
                    <w14:schemeClr w14:val="tx1"/>
                  </w14:solidFill>
                </w14:textFill>
              </w:rPr>
              <w:t>10</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PM</w:t>
            </w:r>
            <w:r>
              <w:rPr>
                <w:rFonts w:hint="default" w:ascii="Times New Roman" w:hAnsi="Times New Roman" w:cs="Times New Roman"/>
                <w:b w:val="0"/>
                <w:bCs w:val="0"/>
                <w:color w:val="000000" w:themeColor="text1"/>
                <w:sz w:val="24"/>
                <w:szCs w:val="24"/>
                <w:highlight w:val="none"/>
                <w:vertAlign w:val="subscript"/>
                <w14:textFill>
                  <w14:solidFill>
                    <w14:schemeClr w14:val="tx1"/>
                  </w14:solidFill>
                </w14:textFill>
              </w:rPr>
              <w:t>2.5</w:t>
            </w:r>
            <w:r>
              <w:rPr>
                <w:rFonts w:hint="default" w:ascii="Times New Roman" w:hAnsi="Times New Roman" w:cs="Times New Roman"/>
                <w:b w:val="0"/>
                <w:bCs w:val="0"/>
                <w:color w:val="000000" w:themeColor="text1"/>
                <w:sz w:val="24"/>
                <w:szCs w:val="24"/>
                <w:highlight w:val="none"/>
                <w14:textFill>
                  <w14:solidFill>
                    <w14:schemeClr w14:val="tx1"/>
                  </w14:solidFill>
                </w14:textFill>
              </w:rPr>
              <w:t>超标原因为季节性沙尘天气对环境空气质量影响很大，是造成空气质量不达标的主要因素</w:t>
            </w:r>
            <w:r>
              <w:rPr>
                <w:rFonts w:hint="default" w:ascii="Times New Roman" w:hAnsi="Times New Roman" w:cs="Times New Roman"/>
                <w:color w:val="000000" w:themeColor="text1"/>
                <w:sz w:val="24"/>
                <w:szCs w:val="24"/>
                <w:highlight w:val="none"/>
                <w:lang w:eastAsia="zh-CN" w:bidi="ar"/>
                <w14:textFill>
                  <w14:solidFill>
                    <w14:schemeClr w14:val="tx1"/>
                  </w14:solidFill>
                </w14:textFill>
              </w:rPr>
              <w:t>。</w:t>
            </w:r>
          </w:p>
          <w:p w14:paraId="5BB06ECF">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3.3</w:t>
            </w:r>
            <w:r>
              <w:rPr>
                <w:rFonts w:hint="default" w:ascii="Times New Roman" w:hAnsi="Times New Roman" w:cs="Times New Roman"/>
                <w:color w:val="000000" w:themeColor="text1"/>
                <w:highlight w:val="none"/>
                <w:lang w:val="en-US" w:eastAsia="zh-CN"/>
                <w14:textFill>
                  <w14:solidFill>
                    <w14:schemeClr w14:val="tx1"/>
                  </w14:solidFill>
                </w14:textFill>
              </w:rPr>
              <w:t>地表</w:t>
            </w:r>
            <w:r>
              <w:rPr>
                <w:rFonts w:hint="default" w:ascii="Times New Roman" w:hAnsi="Times New Roman" w:cs="Times New Roman"/>
                <w:color w:val="000000" w:themeColor="text1"/>
                <w:highlight w:val="none"/>
                <w14:textFill>
                  <w14:solidFill>
                    <w14:schemeClr w14:val="tx1"/>
                  </w14:solidFill>
                </w14:textFill>
              </w:rPr>
              <w:t>水环境质量现状</w:t>
            </w:r>
          </w:p>
          <w:p w14:paraId="57E31A4C">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与周边水体无水力联系。本项目无生产、生活废水外排，不涉及任何涉水工程建设，不会改变区域地表水文要素。为切实保障地表水体生态安全，项目合理布设勘查线路与作业范围，主动避让季节性河流、冲沟等水体，严格划定地表水沿岸区域为</w:t>
            </w:r>
            <w:r>
              <w:rPr>
                <w:rFonts w:hint="eastAsia" w:cs="Times New Roman"/>
                <w:color w:val="000000" w:themeColor="text1"/>
                <w:highlight w:val="none"/>
                <w:lang w:val="en-US" w:eastAsia="zh-CN"/>
                <w14:textFill>
                  <w14:solidFill>
                    <w14:schemeClr w14:val="tx1"/>
                  </w14:solidFill>
                </w14:textFill>
              </w:rPr>
              <w:t>禁止</w:t>
            </w:r>
            <w:r>
              <w:rPr>
                <w:rFonts w:hint="default" w:ascii="Times New Roman" w:hAnsi="Times New Roman" w:cs="Times New Roman"/>
                <w:color w:val="000000" w:themeColor="text1"/>
                <w:highlight w:val="none"/>
                <w:lang w:val="en-US" w:eastAsia="zh-CN"/>
                <w14:textFill>
                  <w14:solidFill>
                    <w14:schemeClr w14:val="tx1"/>
                  </w14:solidFill>
                </w14:textFill>
              </w:rPr>
              <w:t>作业区，禁止勘探活动跨越河道，严禁在河道内开展取水、施工等一切涉水作业。依据《环境影响评价技术导则 地表水环境》（HJ2.3-2018），本项目地表水评价等级为三级B，无需开展地表水环境现状调查。</w:t>
            </w:r>
          </w:p>
          <w:p w14:paraId="66B750CA">
            <w:pPr>
              <w:pStyle w:val="55"/>
              <w:bidi w:val="0"/>
              <w:ind w:firstLine="482" w:firstLineChars="20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3.4</w:t>
            </w:r>
            <w:r>
              <w:rPr>
                <w:rFonts w:hint="default" w:ascii="Times New Roman" w:hAnsi="Times New Roman" w:cs="Times New Roman"/>
                <w:color w:val="000000" w:themeColor="text1"/>
                <w:highlight w:val="none"/>
                <w14:textFill>
                  <w14:solidFill>
                    <w14:schemeClr w14:val="tx1"/>
                  </w14:solidFill>
                </w14:textFill>
              </w:rPr>
              <w:t>声环境质量现状</w:t>
            </w:r>
          </w:p>
          <w:p w14:paraId="41027510">
            <w:pPr>
              <w:pStyle w:val="53"/>
              <w:bidi w:val="0"/>
              <w:ind w:firstLine="482"/>
              <w:rPr>
                <w:rFonts w:hint="default" w:ascii="Times New Roman" w:hAnsi="Times New Roman" w:cs="Times New Roman"/>
                <w:color w:val="000000" w:themeColor="text1"/>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根据《建设项目环境影响报告表编制技术指南（生态影响类）（试行）》，参照《建设项目环境影响报告表编制技术指南（污染影响类）（试行）》相关要求，本项目探矿区外围50m评价范围内无声环境保护目标（噪声敏感建筑物），因此可不开展声环境质量现状监测。</w:t>
            </w:r>
          </w:p>
          <w:p w14:paraId="439C2C49">
            <w:pPr>
              <w:pStyle w:val="55"/>
              <w:bidi w:val="0"/>
              <w:ind w:firstLine="482" w:firstLineChars="20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3.5</w:t>
            </w:r>
            <w:r>
              <w:rPr>
                <w:rFonts w:hint="default" w:ascii="Times New Roman" w:hAnsi="Times New Roman" w:cs="Times New Roman"/>
                <w:color w:val="000000" w:themeColor="text1"/>
                <w:highlight w:val="none"/>
                <w:lang w:eastAsia="zh-CN"/>
                <w14:textFill>
                  <w14:solidFill>
                    <w14:schemeClr w14:val="tx1"/>
                  </w14:solidFill>
                </w14:textFill>
              </w:rPr>
              <w:t>地下水</w:t>
            </w:r>
            <w:r>
              <w:rPr>
                <w:rFonts w:hint="default" w:ascii="Times New Roman" w:hAnsi="Times New Roman" w:cs="Times New Roman"/>
                <w:color w:val="000000" w:themeColor="text1"/>
                <w:highlight w:val="none"/>
                <w14:textFill>
                  <w14:solidFill>
                    <w14:schemeClr w14:val="tx1"/>
                  </w14:solidFill>
                </w14:textFill>
              </w:rPr>
              <w:t>环境质量现状</w:t>
            </w:r>
          </w:p>
          <w:p w14:paraId="2B03B494">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本项目为</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陆地矿产资源地质勘查项目，根据</w:t>
            </w:r>
            <w:r>
              <w:rPr>
                <w:rFonts w:hint="default" w:ascii="Times New Roman" w:hAnsi="Times New Roman" w:eastAsia="宋体" w:cs="Times New Roman"/>
                <w:color w:val="000000" w:themeColor="text1"/>
                <w:sz w:val="24"/>
                <w:highlight w:val="none"/>
                <w14:textFill>
                  <w14:solidFill>
                    <w14:schemeClr w14:val="tx1"/>
                  </w14:solidFill>
                </w14:textFill>
              </w:rPr>
              <w:t>《环境影响评价技术导则</w:t>
            </w:r>
            <w:r>
              <w:rPr>
                <w:rFonts w:hint="eastAsia"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地下水</w:t>
            </w:r>
            <w:r>
              <w:rPr>
                <w:rFonts w:hint="default" w:ascii="Times New Roman" w:hAnsi="Times New Roman" w:eastAsia="宋体" w:cs="Times New Roman"/>
                <w:color w:val="000000" w:themeColor="text1"/>
                <w:sz w:val="24"/>
                <w:highlight w:val="none"/>
                <w14:textFill>
                  <w14:solidFill>
                    <w14:schemeClr w14:val="tx1"/>
                  </w14:solidFill>
                </w14:textFill>
              </w:rPr>
              <w:t>环境》（HJ</w:t>
            </w:r>
            <w:r>
              <w:rPr>
                <w:rFonts w:hint="eastAsia" w:cs="Times New Roman"/>
                <w:color w:val="000000" w:themeColor="text1"/>
                <w:sz w:val="24"/>
                <w:highlight w:val="none"/>
                <w:lang w:val="en-US" w:eastAsia="zh-CN"/>
                <w14:textFill>
                  <w14:solidFill>
                    <w14:schemeClr w14:val="tx1"/>
                  </w14:solidFill>
                </w14:textFill>
              </w:rPr>
              <w:t xml:space="preserve"> 610</w:t>
            </w:r>
            <w:r>
              <w:rPr>
                <w:rFonts w:hint="default" w:ascii="Times New Roman" w:hAnsi="Times New Roman" w:eastAsia="宋体" w:cs="Times New Roman"/>
                <w:color w:val="000000" w:themeColor="text1"/>
                <w:sz w:val="24"/>
                <w:highlight w:val="none"/>
                <w14:textFill>
                  <w14:solidFill>
                    <w14:schemeClr w14:val="tx1"/>
                  </w14:solidFill>
                </w14:textFill>
              </w:rPr>
              <w:t>-201</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，属于</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附录A中：24.矿产资源地质勘查（包括勘探活动），地下水环境影响评价项目类别为</w:t>
            </w:r>
            <w:r>
              <w:rPr>
                <w:rFonts w:hint="default" w:ascii="Times New Roman" w:hAnsi="Times New Roman" w:cs="Times New Roman"/>
                <w:color w:val="000000" w:themeColor="text1"/>
                <w:sz w:val="24"/>
                <w:highlight w:val="none"/>
                <w:lang w:val="en-US" w:eastAsia="zh-CN"/>
                <w14:textFill>
                  <w14:solidFill>
                    <w14:schemeClr w14:val="tx1"/>
                  </w14:solidFill>
                </w14:textFill>
              </w:rPr>
              <w:t>Ⅳ类</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。因此，本项目不开展地下水环境质量现状调查评价。</w:t>
            </w:r>
          </w:p>
          <w:p w14:paraId="5AE44717">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3.6</w:t>
            </w:r>
            <w:r>
              <w:rPr>
                <w:rFonts w:hint="default" w:ascii="Times New Roman" w:hAnsi="Times New Roman" w:cs="Times New Roman"/>
                <w:color w:val="000000" w:themeColor="text1"/>
                <w:highlight w:val="none"/>
                <w:lang w:val="en-US" w:eastAsia="zh-CN"/>
                <w14:textFill>
                  <w14:solidFill>
                    <w14:schemeClr w14:val="tx1"/>
                  </w14:solidFill>
                </w14:textFill>
              </w:rPr>
              <w:t>土壤环境质量现状</w:t>
            </w:r>
          </w:p>
          <w:p w14:paraId="745FE1AC">
            <w:pPr>
              <w:pStyle w:val="53"/>
              <w:bidi w:val="0"/>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根据《环境影响评价技术导则 土壤环境</w:t>
            </w:r>
            <w:r>
              <w:rPr>
                <w:rFonts w:hint="eastAsia" w:cs="Times New Roman"/>
                <w:color w:val="000000" w:themeColor="text1"/>
                <w:highlight w:val="none"/>
                <w:lang w:eastAsia="zh-CN"/>
                <w14:textFill>
                  <w14:solidFill>
                    <w14:schemeClr w14:val="tx1"/>
                  </w14:solidFill>
                </w14:textFill>
              </w:rPr>
              <w:t>（试行）</w:t>
            </w:r>
            <w:r>
              <w:rPr>
                <w:rFonts w:hint="default" w:ascii="Times New Roman" w:hAnsi="Times New Roman" w:cs="Times New Roman"/>
                <w:color w:val="000000" w:themeColor="text1"/>
                <w:highlight w:val="none"/>
                <w:lang w:eastAsia="zh-CN"/>
                <w14:textFill>
                  <w14:solidFill>
                    <w14:schemeClr w14:val="tx1"/>
                  </w14:solidFill>
                </w14:textFill>
              </w:rPr>
              <w:t>》（HJ</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eastAsia="zh-CN"/>
                <w14:textFill>
                  <w14:solidFill>
                    <w14:schemeClr w14:val="tx1"/>
                  </w14:solidFill>
                </w14:textFill>
              </w:rPr>
              <w:t>964-2018），</w:t>
            </w:r>
            <w:r>
              <w:rPr>
                <w:rFonts w:hint="default" w:ascii="Times New Roman" w:hAnsi="Times New Roman" w:cs="Times New Roman"/>
                <w:color w:val="000000" w:themeColor="text1"/>
                <w:highlight w:val="none"/>
                <w:lang w:val="en-US" w:eastAsia="zh-CN"/>
                <w14:textFill>
                  <w14:solidFill>
                    <w14:schemeClr w14:val="tx1"/>
                  </w14:solidFill>
                </w14:textFill>
              </w:rPr>
              <w:t>本项目为地质勘探类项目，</w:t>
            </w:r>
            <w:r>
              <w:rPr>
                <w:rFonts w:hint="default" w:ascii="Times New Roman" w:hAnsi="Times New Roman" w:cs="Times New Roman"/>
                <w:color w:val="000000" w:themeColor="text1"/>
                <w:highlight w:val="none"/>
                <w:lang w:eastAsia="zh-CN"/>
                <w14:textFill>
                  <w14:solidFill>
                    <w14:schemeClr w14:val="tx1"/>
                  </w14:solidFill>
                </w14:textFill>
              </w:rPr>
              <w:t>属于“其他行业－</w:t>
            </w:r>
            <w:r>
              <w:rPr>
                <w:rFonts w:hint="default" w:ascii="Times New Roman" w:hAnsi="Times New Roman" w:cs="Times New Roman"/>
                <w:color w:val="000000" w:themeColor="text1"/>
                <w:highlight w:val="none"/>
                <w:lang w:val="en-US" w:eastAsia="zh-CN"/>
                <w14:textFill>
                  <w14:solidFill>
                    <w14:schemeClr w14:val="tx1"/>
                  </w14:solidFill>
                </w14:textFill>
              </w:rPr>
              <w:t>全部</w:t>
            </w:r>
            <w:r>
              <w:rPr>
                <w:rFonts w:hint="default" w:ascii="Times New Roman" w:hAnsi="Times New Roman" w:cs="Times New Roman"/>
                <w:color w:val="000000" w:themeColor="text1"/>
                <w:highlight w:val="none"/>
                <w:lang w:eastAsia="zh-CN"/>
                <w14:textFill>
                  <w14:solidFill>
                    <w14:schemeClr w14:val="tx1"/>
                  </w14:solidFill>
                </w14:textFill>
              </w:rPr>
              <w:t>”，为Ⅳ类项目，可不开展土壤</w:t>
            </w:r>
            <w:r>
              <w:rPr>
                <w:rFonts w:hint="default" w:ascii="Times New Roman" w:hAnsi="Times New Roman" w:cs="Times New Roman"/>
                <w:color w:val="000000" w:themeColor="text1"/>
                <w:highlight w:val="none"/>
                <w:lang w:val="en-US" w:eastAsia="zh-CN"/>
                <w14:textFill>
                  <w14:solidFill>
                    <w14:schemeClr w14:val="tx1"/>
                  </w14:solidFill>
                </w14:textFill>
              </w:rPr>
              <w:t>现状调查</w:t>
            </w:r>
            <w:r>
              <w:rPr>
                <w:rFonts w:hint="default" w:ascii="Times New Roman" w:hAnsi="Times New Roman" w:cs="Times New Roman"/>
                <w:color w:val="000000" w:themeColor="text1"/>
                <w:highlight w:val="none"/>
                <w:lang w:eastAsia="zh-CN"/>
                <w14:textFill>
                  <w14:solidFill>
                    <w14:schemeClr w14:val="tx1"/>
                  </w14:solidFill>
                </w14:textFill>
              </w:rPr>
              <w:t>。</w:t>
            </w:r>
          </w:p>
        </w:tc>
      </w:tr>
      <w:tr w14:paraId="282AB87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429" w:type="dxa"/>
            <w:noWrap w:val="0"/>
            <w:vAlign w:val="center"/>
          </w:tcPr>
          <w:p w14:paraId="3C37C670">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与项目有关的原有环境污染和生态破坏问题</w:t>
            </w:r>
          </w:p>
        </w:tc>
        <w:tc>
          <w:tcPr>
            <w:tcW w:w="8374" w:type="dxa"/>
            <w:noWrap w:val="0"/>
            <w:vAlign w:val="center"/>
          </w:tcPr>
          <w:p w14:paraId="73A291C9">
            <w:pPr>
              <w:adjustRightInd w:val="0"/>
              <w:snapToGrid w:val="0"/>
              <w:ind w:firstLine="480" w:firstLineChars="200"/>
              <w:jc w:val="both"/>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本项目属于新建项目，</w:t>
            </w:r>
            <w:r>
              <w:rPr>
                <w:rFonts w:hint="default" w:ascii="Times New Roman" w:hAnsi="Times New Roman" w:eastAsia="宋体" w:cs="Times New Roman"/>
                <w:color w:val="000000" w:themeColor="text1"/>
                <w:kern w:val="0"/>
                <w:sz w:val="24"/>
                <w:highlight w:val="none"/>
                <w:lang w:val="en-US" w:eastAsia="zh-CN"/>
                <w14:textFill>
                  <w14:solidFill>
                    <w14:schemeClr w14:val="tx1"/>
                  </w14:solidFill>
                </w14:textFill>
              </w:rPr>
              <w:t>无原有环境污染问题。</w:t>
            </w:r>
          </w:p>
        </w:tc>
      </w:tr>
      <w:tr w14:paraId="45BB5B9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29" w:type="dxa"/>
            <w:noWrap w:val="0"/>
            <w:vAlign w:val="center"/>
          </w:tcPr>
          <w:p w14:paraId="2B78EF61">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生态环境保护目标</w:t>
            </w:r>
          </w:p>
        </w:tc>
        <w:tc>
          <w:tcPr>
            <w:tcW w:w="8374" w:type="dxa"/>
            <w:noWrap w:val="0"/>
            <w:vAlign w:val="center"/>
          </w:tcPr>
          <w:p w14:paraId="653D599D">
            <w:pPr>
              <w:pStyle w:val="53"/>
              <w:wordWrap w:val="0"/>
              <w:adjustRightInd w:val="0"/>
              <w:snapToGrid w:val="0"/>
              <w:jc w:val="both"/>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大气环境</w:t>
            </w:r>
          </w:p>
          <w:p w14:paraId="5C0B2A2A">
            <w:pPr>
              <w:pStyle w:val="53"/>
              <w:wordWrap w:val="0"/>
              <w:adjustRightInd w:val="0"/>
              <w:snapToGrid w:val="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根据《环境影响评价技术导则 大气环境》（HJ 2.2-2018），环境空气保护目标是指“评价范围内按</w:t>
            </w:r>
            <w:r>
              <w:rPr>
                <w:rFonts w:hint="eastAsia" w:cs="Times New Roman"/>
                <w:color w:val="000000" w:themeColor="text1"/>
                <w:sz w:val="24"/>
                <w:highlight w:val="none"/>
                <w:lang w:val="en-US" w:eastAsia="zh-CN"/>
                <w14:textFill>
                  <w14:solidFill>
                    <w14:schemeClr w14:val="tx1"/>
                  </w14:solidFill>
                </w14:textFill>
              </w:rPr>
              <w:t>GB 3095</w:t>
            </w:r>
            <w:r>
              <w:rPr>
                <w:rFonts w:hint="default" w:ascii="Times New Roman" w:hAnsi="Times New Roman" w:cs="Times New Roman"/>
                <w:color w:val="000000" w:themeColor="text1"/>
                <w:sz w:val="24"/>
                <w:highlight w:val="none"/>
                <w:lang w:val="en-US" w:eastAsia="zh-CN"/>
                <w14:textFill>
                  <w14:solidFill>
                    <w14:schemeClr w14:val="tx1"/>
                  </w14:solidFill>
                </w14:textFill>
              </w:rPr>
              <w:t>规定划分为一类区的自然保护区、风景名胜区和其他需要特殊保护的区域，二类区中的居住区、文化区和农村地区中人群较集中的区域。”本项目</w:t>
            </w:r>
            <w:r>
              <w:rPr>
                <w:rFonts w:hint="eastAsia" w:cs="Times New Roman"/>
                <w:color w:val="000000" w:themeColor="text1"/>
                <w:sz w:val="24"/>
                <w:highlight w:val="none"/>
                <w:lang w:val="en-US" w:eastAsia="zh-CN"/>
                <w14:textFill>
                  <w14:solidFill>
                    <w14:schemeClr w14:val="tx1"/>
                  </w14:solidFill>
                </w14:textFill>
              </w:rPr>
              <w:t>勘查区及勘查区域外延500m范围内</w:t>
            </w:r>
            <w:r>
              <w:rPr>
                <w:rFonts w:hint="default" w:ascii="Times New Roman" w:hAnsi="Times New Roman" w:cs="Times New Roman"/>
                <w:color w:val="000000" w:themeColor="text1"/>
                <w:sz w:val="24"/>
                <w:highlight w:val="none"/>
                <w:lang w:val="en-US" w:eastAsia="zh-CN"/>
                <w14:textFill>
                  <w14:solidFill>
                    <w14:schemeClr w14:val="tx1"/>
                  </w14:solidFill>
                </w14:textFill>
              </w:rPr>
              <w:t>不涉及环境空气保护目标。</w:t>
            </w:r>
          </w:p>
          <w:p w14:paraId="681C66C0">
            <w:pPr>
              <w:pStyle w:val="53"/>
              <w:wordWrap w:val="0"/>
              <w:adjustRightInd w:val="0"/>
              <w:snapToGrid w:val="0"/>
              <w:jc w:val="both"/>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3.8</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声环境</w:t>
            </w:r>
          </w:p>
          <w:p w14:paraId="75CBE484">
            <w:pPr>
              <w:pStyle w:val="53"/>
              <w:wordWrap w:val="0"/>
              <w:adjustRightInd w:val="0"/>
              <w:snapToGrid w:val="0"/>
              <w:jc w:val="both"/>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根据《环境影响评价技术导则 声环境》</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HJ</w:t>
            </w:r>
            <w:r>
              <w:rPr>
                <w:rFonts w:hint="eastAsia"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2.4-2021</w:t>
            </w:r>
            <w:r>
              <w:rPr>
                <w:rFonts w:hint="default" w:ascii="Times New Roman" w:hAnsi="Times New Roman" w:cs="Times New Roman"/>
                <w:color w:val="000000" w:themeColor="text1"/>
                <w:sz w:val="24"/>
                <w:highlight w:val="none"/>
                <w:lang w:val="en-US" w:eastAsia="zh-CN"/>
                <w14:textFill>
                  <w14:solidFill>
                    <w14:schemeClr w14:val="tx1"/>
                  </w14:solidFill>
                </w14:textFill>
              </w:rPr>
              <w:t>），声环境保护目标是指“依据法律、法规、标准</w:t>
            </w:r>
            <w:r>
              <w:rPr>
                <w:rFonts w:hint="eastAsia" w:cs="Times New Roman"/>
                <w:color w:val="000000" w:themeColor="text1"/>
                <w:sz w:val="24"/>
                <w:highlight w:val="none"/>
                <w:lang w:val="en-US" w:eastAsia="zh-CN"/>
                <w14:textFill>
                  <w14:solidFill>
                    <w14:schemeClr w14:val="tx1"/>
                  </w14:solidFill>
                </w14:textFill>
              </w:rPr>
              <w:t>、政策</w:t>
            </w:r>
            <w:r>
              <w:rPr>
                <w:rFonts w:hint="default" w:ascii="Times New Roman" w:hAnsi="Times New Roman" w:cs="Times New Roman"/>
                <w:color w:val="000000" w:themeColor="text1"/>
                <w:sz w:val="24"/>
                <w:highlight w:val="none"/>
                <w:lang w:val="en-US" w:eastAsia="zh-CN"/>
                <w14:textFill>
                  <w14:solidFill>
                    <w14:schemeClr w14:val="tx1"/>
                  </w14:solidFill>
                </w14:textFill>
              </w:rPr>
              <w:t>等确定的需要保持安静的建筑物及建筑物集中区</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勘查区及勘查区域外延50m范围内</w:t>
            </w:r>
            <w:r>
              <w:rPr>
                <w:rFonts w:hint="default" w:ascii="Times New Roman" w:hAnsi="Times New Roman" w:cs="Times New Roman"/>
                <w:color w:val="000000" w:themeColor="text1"/>
                <w:sz w:val="24"/>
                <w:highlight w:val="none"/>
                <w:lang w:val="en-US" w:eastAsia="zh-CN"/>
                <w14:textFill>
                  <w14:solidFill>
                    <w14:schemeClr w14:val="tx1"/>
                  </w14:solidFill>
                </w14:textFill>
              </w:rPr>
              <w:t>不涉及声环境保护目标。</w:t>
            </w:r>
          </w:p>
          <w:p w14:paraId="64D995B7">
            <w:pPr>
              <w:pStyle w:val="53"/>
              <w:wordWrap w:val="0"/>
              <w:adjustRightInd w:val="0"/>
              <w:snapToGrid w:val="0"/>
              <w:jc w:val="both"/>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3.9</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地下水</w:t>
            </w:r>
          </w:p>
          <w:p w14:paraId="2AE69E29">
            <w:pPr>
              <w:pStyle w:val="53"/>
              <w:wordWrap w:val="0"/>
              <w:adjustRightInd w:val="0"/>
              <w:snapToGrid w:val="0"/>
              <w:jc w:val="both"/>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根据《环境影响评价技术导则 地下水环境》（HJ 610-2016），地下水环境保护目标是指“潜水含水层和可能受建设项目影响且具有饮用水开发利用价值的含水层，集中式饮用水水源和分散式饮用水水源地，以及《建设项目环境影响评价分类管理名录》中所界定的涉及地下水的环境敏感区。”</w:t>
            </w:r>
            <w:r>
              <w:rPr>
                <w:rFonts w:hint="eastAsia" w:cs="Times New Roman"/>
                <w:b w:val="0"/>
                <w:bCs w:val="0"/>
                <w:color w:val="000000" w:themeColor="text1"/>
                <w:sz w:val="24"/>
                <w:highlight w:val="none"/>
                <w:lang w:val="en-US" w:eastAsia="zh-CN"/>
                <w14:textFill>
                  <w14:solidFill>
                    <w14:schemeClr w14:val="tx1"/>
                  </w14:solidFill>
                </w14:textFill>
              </w:rPr>
              <w:t>本项目属于</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Ⅳ类建设项目</w:t>
            </w:r>
            <w:r>
              <w:rPr>
                <w:rFonts w:hint="eastAsia" w:cs="Times New Roman"/>
                <w:b w:val="0"/>
                <w:bCs w:val="0"/>
                <w:color w:val="000000" w:themeColor="text1"/>
                <w:sz w:val="24"/>
                <w:highlight w:val="none"/>
                <w:lang w:val="en-US" w:eastAsia="zh-CN"/>
                <w14:textFill>
                  <w14:solidFill>
                    <w14:schemeClr w14:val="tx1"/>
                  </w14:solidFill>
                </w14:textFill>
              </w:rPr>
              <w:t>，可</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不开展地下水环境影响评价</w:t>
            </w:r>
            <w:r>
              <w:rPr>
                <w:rFonts w:hint="eastAsia" w:cs="Times New Roman"/>
                <w:b w:val="0"/>
                <w:bCs w:val="0"/>
                <w:color w:val="000000" w:themeColor="text1"/>
                <w:sz w:val="24"/>
                <w:highlight w:val="none"/>
                <w:lang w:val="en-US" w:eastAsia="zh-CN"/>
                <w14:textFill>
                  <w14:solidFill>
                    <w14:schemeClr w14:val="tx1"/>
                  </w14:solidFill>
                </w14:textFill>
              </w:rPr>
              <w:t>，不设评价范围。</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勘查区域内</w:t>
            </w:r>
            <w:r>
              <w:rPr>
                <w:rFonts w:hint="default" w:ascii="Times New Roman" w:hAnsi="Times New Roman" w:cs="Times New Roman"/>
                <w:color w:val="000000" w:themeColor="text1"/>
                <w:sz w:val="24"/>
                <w:highlight w:val="none"/>
                <w:lang w:val="en-US" w:eastAsia="zh-CN"/>
                <w14:textFill>
                  <w14:solidFill>
                    <w14:schemeClr w14:val="tx1"/>
                  </w14:solidFill>
                </w14:textFill>
              </w:rPr>
              <w:t>不涉及</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地下水环境保护目标。</w:t>
            </w:r>
          </w:p>
          <w:p w14:paraId="5414A098">
            <w:pPr>
              <w:pStyle w:val="53"/>
              <w:wordWrap w:val="0"/>
              <w:adjustRightInd w:val="0"/>
              <w:snapToGrid w:val="0"/>
              <w:jc w:val="both"/>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3.10</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地表水</w:t>
            </w:r>
          </w:p>
          <w:p w14:paraId="0193EB7F">
            <w:pPr>
              <w:pStyle w:val="53"/>
              <w:wordWrap w:val="0"/>
              <w:adjustRightInd w:val="0"/>
              <w:snapToGrid w:val="0"/>
              <w:jc w:val="both"/>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根据《</w:t>
            </w:r>
            <w:r>
              <w:rPr>
                <w:rFonts w:hint="eastAsia" w:cs="Times New Roman"/>
                <w:b w:val="0"/>
                <w:bCs w:val="0"/>
                <w:color w:val="000000" w:themeColor="text1"/>
                <w:sz w:val="24"/>
                <w:highlight w:val="none"/>
                <w:lang w:val="en-US" w:eastAsia="zh-CN"/>
                <w14:textFill>
                  <w14:solidFill>
                    <w14:schemeClr w14:val="tx1"/>
                  </w14:solidFill>
                </w14:textFill>
              </w:rPr>
              <w:t>环境影响评价技术导则 地表水环境</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》（HJ 2.3</w:t>
            </w:r>
            <w:r>
              <w:rPr>
                <w:rFonts w:hint="eastAsia" w:cs="Times New Roman"/>
                <w:b w:val="0"/>
                <w:bCs w:val="0"/>
                <w:color w:val="000000" w:themeColor="text1"/>
                <w:sz w:val="24"/>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2018），水环境保护目标是指“饮用水水源保护区、饮用水取水口，涉水的自然保护区、风景名胜区，重要湿地、重点保护与珍稀水生生物的栖息地、重要水生生物的自然产卵场及索饵场、越冬场和洄游通道，天然渔场等渔业水体，以及水产种质资源保护区等</w:t>
            </w:r>
            <w:r>
              <w:rPr>
                <w:rFonts w:hint="eastAsia" w:cs="Times New Roman"/>
                <w:b w:val="0"/>
                <w:bCs w:val="0"/>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临时占地面积小于20km</w:t>
            </w:r>
            <w:r>
              <w:rPr>
                <w:rFonts w:hint="eastAsia" w:cs="Times New Roman"/>
                <w:color w:val="000000" w:themeColor="text1"/>
                <w:sz w:val="24"/>
                <w:highlight w:val="none"/>
                <w:vertAlign w:val="superscript"/>
                <w:lang w:val="en-US" w:eastAsia="zh-CN"/>
                <w14:textFill>
                  <w14:solidFill>
                    <w14:schemeClr w14:val="tx1"/>
                  </w14:solidFill>
                </w14:textFill>
              </w:rPr>
              <w:t>2</w:t>
            </w:r>
            <w:r>
              <w:rPr>
                <w:rFonts w:hint="eastAsia" w:cs="Times New Roman"/>
                <w:color w:val="000000" w:themeColor="text1"/>
                <w:sz w:val="24"/>
                <w:highlight w:val="none"/>
                <w:lang w:val="en-US" w:eastAsia="zh-CN"/>
                <w14:textFill>
                  <w14:solidFill>
                    <w14:schemeClr w14:val="tx1"/>
                  </w14:solidFill>
                </w14:textFill>
              </w:rPr>
              <w:t>，且勘查范围不涉及国家公园、自然保护区、世界自然遗产、重要生境、自然公园、生态保护红线、天然林、公益林等，项目不属于水文要素影响型，所以本项目生态</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评价等级为三级，评价范围为项目占地范围内，</w:t>
            </w:r>
            <w:r>
              <w:rPr>
                <w:rFonts w:hint="eastAsia" w:ascii="Times New Roman" w:hAnsi="Times New Roman" w:eastAsia="宋体" w:cs="Times New Roman"/>
                <w:color w:val="000000" w:themeColor="text1"/>
                <w:sz w:val="24"/>
                <w:szCs w:val="24"/>
                <w:highlight w:val="none"/>
                <w14:textFill>
                  <w14:solidFill>
                    <w14:schemeClr w14:val="tx1"/>
                  </w14:solidFill>
                </w14:textFill>
              </w:rPr>
              <w:t>本项目勘查区不涉及国家公园、自然保护区、生态保护红线、重点保护物种栖息地等法定生态敏感区；本项目生态保护目标为评价范围内高寒草原植被、区域小型野生动物，防控新增水土流失、土地沙化</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w:t>
            </w:r>
          </w:p>
          <w:p w14:paraId="52054FBD">
            <w:pPr>
              <w:pStyle w:val="53"/>
              <w:wordWrap w:val="0"/>
              <w:adjustRightInd w:val="0"/>
              <w:snapToGrid w:val="0"/>
              <w:jc w:val="both"/>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3.11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生态环境</w:t>
            </w:r>
          </w:p>
          <w:p w14:paraId="4DC11B58">
            <w:pPr>
              <w:pStyle w:val="53"/>
              <w:bidi w:val="0"/>
              <w:ind w:left="0" w:leftChars="0"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w:t>
            </w:r>
            <w:r>
              <w:rPr>
                <w:rFonts w:hint="eastAsia" w:cs="Times New Roman"/>
                <w:color w:val="000000" w:themeColor="text1"/>
                <w:sz w:val="24"/>
                <w:highlight w:val="none"/>
                <w:lang w:val="en-US" w:eastAsia="zh-CN"/>
                <w14:textFill>
                  <w14:solidFill>
                    <w14:schemeClr w14:val="tx1"/>
                  </w14:solidFill>
                </w14:textFill>
              </w:rPr>
              <w:t>环境影响评价技术导则 生态影响</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instrText xml:space="preserve">HYPERLINK"http://www.mee.gov.cn/ywgz/fgbz/bz/bzwb/other/pjjsdz/201104/W020130206494860363682.pdf"</w:instrTex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》（HJ</w:t>
            </w:r>
            <w:r>
              <w:rPr>
                <w:rFonts w:hint="eastAsia"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19-2022）</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fldChar w:fldCharType="end"/>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，生态保护目标是指“受影响的重要物种、生态敏感区以及其他需要保护的物种、种群、生物群落及生态空间等。”本项目</w:t>
            </w:r>
            <w:r>
              <w:rPr>
                <w:rFonts w:hint="eastAsia" w:cs="Times New Roman"/>
                <w:color w:val="000000" w:themeColor="text1"/>
                <w:sz w:val="24"/>
                <w:highlight w:val="none"/>
                <w:lang w:val="en-US" w:eastAsia="zh-CN"/>
                <w14:textFill>
                  <w14:solidFill>
                    <w14:schemeClr w14:val="tx1"/>
                  </w14:solidFill>
                </w14:textFill>
              </w:rPr>
              <w:t>临时占地面积小于20km</w:t>
            </w:r>
            <w:r>
              <w:rPr>
                <w:rFonts w:hint="eastAsia" w:cs="Times New Roman"/>
                <w:color w:val="000000" w:themeColor="text1"/>
                <w:sz w:val="24"/>
                <w:highlight w:val="none"/>
                <w:vertAlign w:val="superscript"/>
                <w:lang w:val="en-US" w:eastAsia="zh-CN"/>
                <w14:textFill>
                  <w14:solidFill>
                    <w14:schemeClr w14:val="tx1"/>
                  </w14:solidFill>
                </w14:textFill>
              </w:rPr>
              <w:t>2</w:t>
            </w:r>
            <w:r>
              <w:rPr>
                <w:rFonts w:hint="eastAsia" w:cs="Times New Roman"/>
                <w:color w:val="000000" w:themeColor="text1"/>
                <w:sz w:val="24"/>
                <w:highlight w:val="none"/>
                <w:lang w:val="en-US" w:eastAsia="zh-CN"/>
                <w14:textFill>
                  <w14:solidFill>
                    <w14:schemeClr w14:val="tx1"/>
                  </w14:solidFill>
                </w14:textFill>
              </w:rPr>
              <w:t>，且勘查范围不涉及国家公园、自然保护区、世界自然遗产、重要生境、自然公园、生态保护红线、天然林、公益林等，</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评价范围为项目占地范围内，本项目勘查区域</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不涉及生态保护目标。</w:t>
            </w:r>
          </w:p>
        </w:tc>
      </w:tr>
      <w:tr w14:paraId="5A6F31E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dxa"/>
            <w:noWrap w:val="0"/>
            <w:vAlign w:val="center"/>
          </w:tcPr>
          <w:p w14:paraId="6A6E2224">
            <w:pPr>
              <w:adjustRightInd w:val="0"/>
              <w:snapToGrid w:val="0"/>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评价标准</w:t>
            </w:r>
          </w:p>
        </w:tc>
        <w:tc>
          <w:tcPr>
            <w:tcW w:w="8374" w:type="dxa"/>
            <w:noWrap w:val="0"/>
            <w:vAlign w:val="center"/>
          </w:tcPr>
          <w:p w14:paraId="34D43E6F">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3.12</w:t>
            </w:r>
            <w:r>
              <w:rPr>
                <w:rFonts w:hint="default" w:ascii="Times New Roman" w:hAnsi="Times New Roman" w:cs="Times New Roman"/>
                <w:color w:val="000000" w:themeColor="text1"/>
                <w:highlight w:val="none"/>
                <w:lang w:val="en-US" w:eastAsia="zh-CN"/>
                <w14:textFill>
                  <w14:solidFill>
                    <w14:schemeClr w14:val="tx1"/>
                  </w14:solidFill>
                </w14:textFill>
              </w:rPr>
              <w:t>环境质量标准</w:t>
            </w:r>
          </w:p>
          <w:p w14:paraId="7CB0E0BE">
            <w:pPr>
              <w:pStyle w:val="53"/>
              <w:bidi w:val="0"/>
              <w:ind w:firstLine="482"/>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（1）环境空气</w:t>
            </w:r>
          </w:p>
          <w:p w14:paraId="0AF0A551">
            <w:pPr>
              <w:pStyle w:val="53"/>
              <w:bidi w:val="0"/>
              <w:ind w:firstLine="482"/>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环境空气质量执行《环境空气质量标准》（</w:t>
            </w:r>
            <w:r>
              <w:rPr>
                <w:rFonts w:hint="eastAsia" w:cs="Times New Roman"/>
                <w:color w:val="000000" w:themeColor="text1"/>
                <w:highlight w:val="none"/>
                <w:lang w:val="en-US" w:eastAsia="zh-CN"/>
                <w14:textFill>
                  <w14:solidFill>
                    <w14:schemeClr w14:val="tx1"/>
                  </w14:solidFill>
                </w14:textFill>
              </w:rPr>
              <w:t>GB 3095</w:t>
            </w:r>
            <w:r>
              <w:rPr>
                <w:rFonts w:hint="default" w:ascii="Times New Roman" w:hAnsi="Times New Roman" w:cs="Times New Roman"/>
                <w:color w:val="000000" w:themeColor="text1"/>
                <w:highlight w:val="none"/>
                <w:lang w:val="en-US" w:eastAsia="zh-CN"/>
                <w14:textFill>
                  <w14:solidFill>
                    <w14:schemeClr w14:val="tx1"/>
                  </w14:solidFill>
                </w14:textFill>
              </w:rPr>
              <w:t>-2026）过渡阶段的二级标准。</w:t>
            </w:r>
          </w:p>
          <w:p w14:paraId="2D4F2705">
            <w:pPr>
              <w:pStyle w:val="53"/>
              <w:bidi w:val="0"/>
              <w:ind w:firstLine="482"/>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（2）声环境</w:t>
            </w:r>
          </w:p>
          <w:p w14:paraId="3CD6D016">
            <w:pPr>
              <w:pStyle w:val="53"/>
              <w:bidi w:val="0"/>
              <w:ind w:firstLine="482"/>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该项目所在地声环境质量执行《声环境质量标准》（</w:t>
            </w:r>
            <w:r>
              <w:rPr>
                <w:rFonts w:hint="eastAsia" w:cs="Times New Roman"/>
                <w:color w:val="000000" w:themeColor="text1"/>
                <w:highlight w:val="none"/>
                <w:lang w:val="en-US" w:eastAsia="zh-CN"/>
                <w14:textFill>
                  <w14:solidFill>
                    <w14:schemeClr w14:val="tx1"/>
                  </w14:solidFill>
                </w14:textFill>
              </w:rPr>
              <w:t>GB 3096</w:t>
            </w:r>
            <w:r>
              <w:rPr>
                <w:rFonts w:hint="default" w:ascii="Times New Roman" w:hAnsi="Times New Roman" w:cs="Times New Roman"/>
                <w:color w:val="000000" w:themeColor="text1"/>
                <w:highlight w:val="none"/>
                <w:lang w:val="en-US" w:eastAsia="zh-CN"/>
                <w14:textFill>
                  <w14:solidFill>
                    <w14:schemeClr w14:val="tx1"/>
                  </w14:solidFill>
                </w14:textFill>
              </w:rPr>
              <w:t>-2008）2类</w:t>
            </w:r>
            <w:r>
              <w:rPr>
                <w:rFonts w:hint="eastAsia" w:cs="Times New Roman"/>
                <w:color w:val="000000" w:themeColor="text1"/>
                <w:highlight w:val="none"/>
                <w:lang w:val="en-US" w:eastAsia="zh-CN"/>
                <w14:textFill>
                  <w14:solidFill>
                    <w14:schemeClr w14:val="tx1"/>
                  </w14:solidFill>
                </w14:textFill>
              </w:rPr>
              <w:t>标准</w:t>
            </w:r>
            <w:r>
              <w:rPr>
                <w:rFonts w:hint="default" w:ascii="Times New Roman" w:hAnsi="Times New Roman" w:cs="Times New Roman"/>
                <w:color w:val="000000" w:themeColor="text1"/>
                <w:highlight w:val="none"/>
                <w:lang w:val="en-US" w:eastAsia="zh-CN"/>
                <w14:textFill>
                  <w14:solidFill>
                    <w14:schemeClr w14:val="tx1"/>
                  </w14:solidFill>
                </w14:textFill>
              </w:rPr>
              <w:t>，即昼间≤60dB（A），夜间≤50dB（A）。</w:t>
            </w:r>
          </w:p>
          <w:p w14:paraId="15E36AFA">
            <w:pPr>
              <w:pStyle w:val="55"/>
              <w:bidi w:val="0"/>
              <w:ind w:firstLine="482"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3.13</w:t>
            </w:r>
            <w:r>
              <w:rPr>
                <w:rFonts w:hint="default" w:ascii="Times New Roman" w:hAnsi="Times New Roman" w:cs="Times New Roman"/>
                <w:color w:val="000000" w:themeColor="text1"/>
                <w:highlight w:val="none"/>
                <w:lang w:val="en-US" w:eastAsia="zh-CN"/>
                <w14:textFill>
                  <w14:solidFill>
                    <w14:schemeClr w14:val="tx1"/>
                  </w14:solidFill>
                </w14:textFill>
              </w:rPr>
              <w:t>污染物排放标准</w:t>
            </w:r>
          </w:p>
          <w:p w14:paraId="63FFEEEB">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（1）大气污染物排放标准</w:t>
            </w:r>
          </w:p>
          <w:p w14:paraId="1A31D536">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勘探期：勘探过程中产生的废气执行《大气污染物综合排放标准》（GB 16297-1996）无组织排放监控浓度限值。</w:t>
            </w:r>
            <w:r>
              <w:rPr>
                <w:rFonts w:hint="default" w:ascii="Times New Roman" w:hAnsi="Times New Roman" w:eastAsia="宋体" w:cs="Times New Roman"/>
                <w:color w:val="000000" w:themeColor="text1"/>
                <w:kern w:val="0"/>
                <w:sz w:val="24"/>
                <w:highlight w:val="none"/>
                <w:lang w:val="en-US" w:eastAsia="zh-CN"/>
                <w14:textFill>
                  <w14:solidFill>
                    <w14:schemeClr w14:val="tx1"/>
                  </w14:solidFill>
                </w14:textFill>
              </w:rPr>
              <w:t>柴油发电机烟气参照执行《非道路移动机械用柴油机排气污染物排放限值及测量方法（中国第三、四阶段）》（GB20891-2014）修改单以及《非道路柴油移动机械污染物排放控制技术要求》（HJ1014-2020）。</w:t>
            </w:r>
          </w:p>
          <w:p w14:paraId="25870996">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勘探期无组织废气执行标准</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576"/>
              <w:gridCol w:w="1406"/>
              <w:gridCol w:w="1169"/>
              <w:gridCol w:w="3139"/>
            </w:tblGrid>
            <w:tr w14:paraId="33F20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530" w:type="pct"/>
                  <w:tcBorders>
                    <w:tl2br w:val="nil"/>
                    <w:tr2bl w:val="nil"/>
                  </w:tcBorders>
                  <w:noWrap w:val="0"/>
                  <w:vAlign w:val="center"/>
                </w:tcPr>
                <w:p w14:paraId="6F68C0D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工序</w:t>
                  </w:r>
                </w:p>
              </w:tc>
              <w:tc>
                <w:tcPr>
                  <w:tcW w:w="966" w:type="pct"/>
                  <w:tcBorders>
                    <w:tl2br w:val="nil"/>
                    <w:tr2bl w:val="nil"/>
                  </w:tcBorders>
                  <w:noWrap w:val="0"/>
                  <w:vAlign w:val="center"/>
                </w:tcPr>
                <w:p w14:paraId="0C5BE7D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污染物</w:t>
                  </w:r>
                </w:p>
              </w:tc>
              <w:tc>
                <w:tcPr>
                  <w:tcW w:w="862" w:type="pct"/>
                  <w:tcBorders>
                    <w:tl2br w:val="nil"/>
                    <w:tr2bl w:val="nil"/>
                  </w:tcBorders>
                  <w:noWrap w:val="0"/>
                  <w:vAlign w:val="center"/>
                </w:tcPr>
                <w:p w14:paraId="60C99B83">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限值</w:t>
                  </w:r>
                </w:p>
              </w:tc>
              <w:tc>
                <w:tcPr>
                  <w:tcW w:w="716" w:type="pct"/>
                  <w:tcBorders>
                    <w:tl2br w:val="nil"/>
                    <w:tr2bl w:val="nil"/>
                  </w:tcBorders>
                  <w:noWrap w:val="0"/>
                  <w:vAlign w:val="center"/>
                </w:tcPr>
                <w:p w14:paraId="739EB9EB">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单位</w:t>
                  </w:r>
                </w:p>
              </w:tc>
              <w:tc>
                <w:tcPr>
                  <w:tcW w:w="1924" w:type="pct"/>
                  <w:tcBorders>
                    <w:tl2br w:val="nil"/>
                    <w:tr2bl w:val="nil"/>
                  </w:tcBorders>
                  <w:noWrap w:val="0"/>
                  <w:vAlign w:val="center"/>
                </w:tcPr>
                <w:p w14:paraId="0B686F57">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执行标准</w:t>
                  </w:r>
                </w:p>
              </w:tc>
            </w:tr>
            <w:tr w14:paraId="7F19F9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30" w:type="pct"/>
                  <w:tcBorders>
                    <w:tl2br w:val="nil"/>
                    <w:tr2bl w:val="nil"/>
                  </w:tcBorders>
                  <w:noWrap w:val="0"/>
                  <w:vAlign w:val="center"/>
                </w:tcPr>
                <w:p w14:paraId="27B4742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勘探</w:t>
                  </w:r>
                </w:p>
              </w:tc>
              <w:tc>
                <w:tcPr>
                  <w:tcW w:w="966" w:type="pct"/>
                  <w:tcBorders>
                    <w:tl2br w:val="nil"/>
                    <w:tr2bl w:val="nil"/>
                  </w:tcBorders>
                  <w:noWrap w:val="0"/>
                  <w:vAlign w:val="center"/>
                </w:tcPr>
                <w:p w14:paraId="74176B99">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颗粒物</w:t>
                  </w:r>
                </w:p>
              </w:tc>
              <w:tc>
                <w:tcPr>
                  <w:tcW w:w="862" w:type="pct"/>
                  <w:tcBorders>
                    <w:tl2br w:val="nil"/>
                    <w:tr2bl w:val="nil"/>
                  </w:tcBorders>
                  <w:noWrap w:val="0"/>
                  <w:vAlign w:val="center"/>
                </w:tcPr>
                <w:p w14:paraId="1FD683C9">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716" w:type="pct"/>
                  <w:tcBorders>
                    <w:tl2br w:val="nil"/>
                    <w:tr2bl w:val="nil"/>
                  </w:tcBorders>
                  <w:noWrap w:val="0"/>
                  <w:vAlign w:val="center"/>
                </w:tcPr>
                <w:p w14:paraId="5040329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p>
              </w:tc>
              <w:tc>
                <w:tcPr>
                  <w:tcW w:w="1924" w:type="pct"/>
                  <w:tcBorders>
                    <w:tl2br w:val="nil"/>
                    <w:tr2bl w:val="nil"/>
                  </w:tcBorders>
                  <w:noWrap w:val="0"/>
                  <w:vAlign w:val="center"/>
                </w:tcPr>
                <w:p w14:paraId="0909A3D9">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《大气污染物综合排放标准》（GB 16297-1996）</w:t>
                  </w:r>
                </w:p>
              </w:tc>
            </w:tr>
            <w:tr w14:paraId="28C4F2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0" w:type="pct"/>
                  <w:vMerge w:val="restart"/>
                  <w:tcBorders>
                    <w:tl2br w:val="nil"/>
                    <w:tr2bl w:val="nil"/>
                  </w:tcBorders>
                  <w:noWrap w:val="0"/>
                  <w:vAlign w:val="center"/>
                </w:tcPr>
                <w:p w14:paraId="53E202D9">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非道路移动机械烟气</w:t>
                  </w:r>
                </w:p>
              </w:tc>
              <w:tc>
                <w:tcPr>
                  <w:tcW w:w="966" w:type="pct"/>
                  <w:tcBorders>
                    <w:tl2br w:val="nil"/>
                    <w:tr2bl w:val="nil"/>
                  </w:tcBorders>
                  <w:noWrap w:val="0"/>
                  <w:vAlign w:val="center"/>
                </w:tcPr>
                <w:p w14:paraId="7E2BCC39">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CO</w:t>
                  </w:r>
                </w:p>
              </w:tc>
              <w:tc>
                <w:tcPr>
                  <w:tcW w:w="862" w:type="pct"/>
                  <w:tcBorders>
                    <w:tl2br w:val="nil"/>
                    <w:tr2bl w:val="nil"/>
                  </w:tcBorders>
                  <w:noWrap w:val="0"/>
                  <w:vAlign w:val="center"/>
                </w:tcPr>
                <w:p w14:paraId="1D16824B">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3.5</w:t>
                  </w:r>
                </w:p>
              </w:tc>
              <w:tc>
                <w:tcPr>
                  <w:tcW w:w="716" w:type="pct"/>
                  <w:vMerge w:val="restart"/>
                  <w:tcBorders>
                    <w:tl2br w:val="nil"/>
                    <w:tr2bl w:val="nil"/>
                  </w:tcBorders>
                  <w:noWrap w:val="0"/>
                  <w:vAlign w:val="center"/>
                </w:tcPr>
                <w:p w14:paraId="5BDA0A0C">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g/</w:t>
                  </w:r>
                  <w:r>
                    <w:rPr>
                      <w:rFonts w:hint="eastAsia" w:cs="Times New Roman"/>
                      <w:color w:val="000000" w:themeColor="text1"/>
                      <w:highlight w:val="none"/>
                      <w:lang w:eastAsia="zh-CN"/>
                      <w14:textFill>
                        <w14:solidFill>
                          <w14:schemeClr w14:val="tx1"/>
                        </w14:solidFill>
                      </w14:textFill>
                    </w:rPr>
                    <w:t>(kW·h)</w:t>
                  </w:r>
                </w:p>
              </w:tc>
              <w:tc>
                <w:tcPr>
                  <w:tcW w:w="1924" w:type="pct"/>
                  <w:vMerge w:val="restart"/>
                  <w:tcBorders>
                    <w:tl2br w:val="nil"/>
                    <w:tr2bl w:val="nil"/>
                  </w:tcBorders>
                  <w:noWrap w:val="0"/>
                  <w:vAlign w:val="center"/>
                </w:tcPr>
                <w:p w14:paraId="3DA89E93">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《非道路移动机械用柴油机排气污染物排放限值及测量方法</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中国第三、四阶段</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GB</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20891-2014</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修改单以及《非道路柴油移动机械污染物排放控制技术要求》（HJ</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1014-2020）</w:t>
                  </w:r>
                </w:p>
              </w:tc>
            </w:tr>
            <w:tr w14:paraId="768FC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30" w:type="pct"/>
                  <w:vMerge w:val="continue"/>
                  <w:tcBorders>
                    <w:tl2br w:val="nil"/>
                    <w:tr2bl w:val="nil"/>
                  </w:tcBorders>
                  <w:noWrap w:val="0"/>
                  <w:vAlign w:val="center"/>
                </w:tcPr>
                <w:p w14:paraId="2FC36E81">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66" w:type="pct"/>
                  <w:tcBorders>
                    <w:tl2br w:val="nil"/>
                    <w:tr2bl w:val="nil"/>
                  </w:tcBorders>
                  <w:noWrap w:val="0"/>
                  <w:vAlign w:val="center"/>
                </w:tcPr>
                <w:p w14:paraId="1519E3AD">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HC</w:t>
                  </w:r>
                </w:p>
              </w:tc>
              <w:tc>
                <w:tcPr>
                  <w:tcW w:w="862" w:type="pct"/>
                  <w:tcBorders>
                    <w:tl2br w:val="nil"/>
                    <w:tr2bl w:val="nil"/>
                  </w:tcBorders>
                  <w:noWrap w:val="0"/>
                  <w:vAlign w:val="center"/>
                </w:tcPr>
                <w:p w14:paraId="10C3661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716" w:type="pct"/>
                  <w:vMerge w:val="continue"/>
                  <w:tcBorders>
                    <w:tl2br w:val="nil"/>
                    <w:tr2bl w:val="nil"/>
                  </w:tcBorders>
                  <w:noWrap w:val="0"/>
                  <w:vAlign w:val="center"/>
                </w:tcPr>
                <w:p w14:paraId="7472C36E">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924" w:type="pct"/>
                  <w:vMerge w:val="continue"/>
                  <w:tcBorders>
                    <w:tl2br w:val="nil"/>
                    <w:tr2bl w:val="nil"/>
                  </w:tcBorders>
                  <w:noWrap w:val="0"/>
                  <w:vAlign w:val="center"/>
                </w:tcPr>
                <w:p w14:paraId="2633D05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40D572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530" w:type="pct"/>
                  <w:vMerge w:val="continue"/>
                  <w:tcBorders>
                    <w:tl2br w:val="nil"/>
                    <w:tr2bl w:val="nil"/>
                  </w:tcBorders>
                  <w:noWrap w:val="0"/>
                  <w:vAlign w:val="center"/>
                </w:tcPr>
                <w:p w14:paraId="689DD5F0">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66" w:type="pct"/>
                  <w:tcBorders>
                    <w:tl2br w:val="nil"/>
                    <w:tr2bl w:val="nil"/>
                  </w:tcBorders>
                  <w:noWrap w:val="0"/>
                  <w:vAlign w:val="center"/>
                </w:tcPr>
                <w:p w14:paraId="3B98DD19">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NO</w:t>
                  </w:r>
                  <w:r>
                    <w:rPr>
                      <w:rFonts w:hint="default" w:ascii="Times New Roman" w:hAnsi="Times New Roman" w:cs="Times New Roman"/>
                      <w:color w:val="000000" w:themeColor="text1"/>
                      <w:highlight w:val="none"/>
                      <w:vertAlign w:val="subscript"/>
                      <w14:textFill>
                        <w14:solidFill>
                          <w14:schemeClr w14:val="tx1"/>
                        </w14:solidFill>
                      </w14:textFill>
                    </w:rPr>
                    <w:t>X</w:t>
                  </w:r>
                </w:p>
              </w:tc>
              <w:tc>
                <w:tcPr>
                  <w:tcW w:w="862" w:type="pct"/>
                  <w:tcBorders>
                    <w:tl2br w:val="nil"/>
                    <w:tr2bl w:val="nil"/>
                  </w:tcBorders>
                  <w:noWrap w:val="0"/>
                  <w:vAlign w:val="center"/>
                </w:tcPr>
                <w:p w14:paraId="19D3259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w:t>
                  </w:r>
                </w:p>
              </w:tc>
              <w:tc>
                <w:tcPr>
                  <w:tcW w:w="716" w:type="pct"/>
                  <w:vMerge w:val="continue"/>
                  <w:tcBorders>
                    <w:tl2br w:val="nil"/>
                    <w:tr2bl w:val="nil"/>
                  </w:tcBorders>
                  <w:noWrap w:val="0"/>
                  <w:vAlign w:val="center"/>
                </w:tcPr>
                <w:p w14:paraId="29E0A43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924" w:type="pct"/>
                  <w:vMerge w:val="continue"/>
                  <w:tcBorders>
                    <w:tl2br w:val="nil"/>
                    <w:tr2bl w:val="nil"/>
                  </w:tcBorders>
                  <w:noWrap w:val="0"/>
                  <w:vAlign w:val="center"/>
                </w:tcPr>
                <w:p w14:paraId="598DC68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26B82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530" w:type="pct"/>
                  <w:vMerge w:val="continue"/>
                  <w:tcBorders>
                    <w:tl2br w:val="nil"/>
                    <w:tr2bl w:val="nil"/>
                  </w:tcBorders>
                  <w:noWrap w:val="0"/>
                  <w:vAlign w:val="center"/>
                </w:tcPr>
                <w:p w14:paraId="2F667BE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66" w:type="pct"/>
                  <w:tcBorders>
                    <w:tl2br w:val="nil"/>
                    <w:tr2bl w:val="nil"/>
                  </w:tcBorders>
                  <w:noWrap w:val="0"/>
                  <w:vAlign w:val="center"/>
                </w:tcPr>
                <w:p w14:paraId="7BC23051">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HC+NO</w:t>
                  </w:r>
                  <w:r>
                    <w:rPr>
                      <w:rFonts w:hint="default" w:ascii="Times New Roman" w:hAnsi="Times New Roman" w:cs="Times New Roman"/>
                      <w:color w:val="000000" w:themeColor="text1"/>
                      <w:highlight w:val="none"/>
                      <w:vertAlign w:val="subscript"/>
                      <w14:textFill>
                        <w14:solidFill>
                          <w14:schemeClr w14:val="tx1"/>
                        </w14:solidFill>
                      </w14:textFill>
                    </w:rPr>
                    <w:t>X</w:t>
                  </w:r>
                </w:p>
              </w:tc>
              <w:tc>
                <w:tcPr>
                  <w:tcW w:w="862" w:type="pct"/>
                  <w:tcBorders>
                    <w:tl2br w:val="nil"/>
                    <w:tr2bl w:val="nil"/>
                  </w:tcBorders>
                  <w:noWrap w:val="0"/>
                  <w:vAlign w:val="center"/>
                </w:tcPr>
                <w:p w14:paraId="17719BD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6.4</w:t>
                  </w:r>
                </w:p>
              </w:tc>
              <w:tc>
                <w:tcPr>
                  <w:tcW w:w="716" w:type="pct"/>
                  <w:vMerge w:val="continue"/>
                  <w:tcBorders>
                    <w:tl2br w:val="nil"/>
                    <w:tr2bl w:val="nil"/>
                  </w:tcBorders>
                  <w:noWrap w:val="0"/>
                  <w:vAlign w:val="center"/>
                </w:tcPr>
                <w:p w14:paraId="4F8954BC">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924" w:type="pct"/>
                  <w:vMerge w:val="continue"/>
                  <w:tcBorders>
                    <w:tl2br w:val="nil"/>
                    <w:tr2bl w:val="nil"/>
                  </w:tcBorders>
                  <w:noWrap w:val="0"/>
                  <w:vAlign w:val="center"/>
                </w:tcPr>
                <w:p w14:paraId="7E2CA8B7">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r w14:paraId="7CBD8D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vMerge w:val="continue"/>
                  <w:tcBorders>
                    <w:tl2br w:val="nil"/>
                    <w:tr2bl w:val="nil"/>
                  </w:tcBorders>
                  <w:noWrap w:val="0"/>
                  <w:vAlign w:val="center"/>
                </w:tcPr>
                <w:p w14:paraId="10B62EB9">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966" w:type="pct"/>
                  <w:tcBorders>
                    <w:tl2br w:val="nil"/>
                    <w:tr2bl w:val="nil"/>
                  </w:tcBorders>
                  <w:noWrap w:val="0"/>
                  <w:vAlign w:val="center"/>
                </w:tcPr>
                <w:p w14:paraId="23A381A3">
                  <w:pPr>
                    <w:pStyle w:val="63"/>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PM</w:t>
                  </w:r>
                </w:p>
              </w:tc>
              <w:tc>
                <w:tcPr>
                  <w:tcW w:w="862" w:type="pct"/>
                  <w:tcBorders>
                    <w:tl2br w:val="nil"/>
                    <w:tr2bl w:val="nil"/>
                  </w:tcBorders>
                  <w:noWrap w:val="0"/>
                  <w:vAlign w:val="center"/>
                </w:tcPr>
                <w:p w14:paraId="1C031D14">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0.20</w:t>
                  </w:r>
                </w:p>
              </w:tc>
              <w:tc>
                <w:tcPr>
                  <w:tcW w:w="716" w:type="pct"/>
                  <w:vMerge w:val="continue"/>
                  <w:tcBorders>
                    <w:tl2br w:val="nil"/>
                    <w:tr2bl w:val="nil"/>
                  </w:tcBorders>
                  <w:noWrap w:val="0"/>
                  <w:vAlign w:val="center"/>
                </w:tcPr>
                <w:p w14:paraId="5F0E9AB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924" w:type="pct"/>
                  <w:vMerge w:val="continue"/>
                  <w:tcBorders>
                    <w:tl2br w:val="nil"/>
                    <w:tr2bl w:val="nil"/>
                  </w:tcBorders>
                  <w:noWrap w:val="0"/>
                  <w:vAlign w:val="center"/>
                </w:tcPr>
                <w:p w14:paraId="27B8C1B7">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p>
              </w:tc>
            </w:tr>
          </w:tbl>
          <w:p w14:paraId="17E6BD8B">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达标要求：《非道路移动机械污染防治技术政策》提出加强非道路移动机械的维修、保养，只有按照机械说明书要求进行正常的保养、维修，才能确保在用非道路移动机械保持原有污染物排放水平；非道路移动机械需要随车携带“非道路移动机械环保信息采集卡”，并悬挂联网备案的环保号牌；在不使用时关闭机械设备。这些措施有助于追踪和管理机械的环保合规性。</w:t>
            </w:r>
          </w:p>
          <w:p w14:paraId="1294F9AD">
            <w:pPr>
              <w:pStyle w:val="53"/>
              <w:numPr>
                <w:ilvl w:val="0"/>
                <w:numId w:val="0"/>
              </w:numPr>
              <w:bidi w:val="0"/>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废水排放标准</w:t>
            </w:r>
          </w:p>
          <w:p w14:paraId="23B8ED8B">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生活污水排入一体化污水处理设施后，其出水标准执行《农村生活污水处理排放标准》（DB654275-2019）表2中</w:t>
            </w:r>
            <w:r>
              <w:rPr>
                <w:rFonts w:hint="eastAsia" w:cs="Times New Roman"/>
                <w:color w:val="000000" w:themeColor="text1"/>
                <w:highlight w:val="none"/>
                <w:lang w:val="en-US" w:eastAsia="zh-CN"/>
                <w14:textFill>
                  <w14:solidFill>
                    <w14:schemeClr w14:val="tx1"/>
                  </w14:solidFill>
                </w14:textFill>
              </w:rPr>
              <w:t>A</w:t>
            </w:r>
            <w:r>
              <w:rPr>
                <w:rFonts w:hint="default" w:ascii="Times New Roman" w:hAnsi="Times New Roman" w:cs="Times New Roman"/>
                <w:color w:val="000000" w:themeColor="text1"/>
                <w:highlight w:val="none"/>
                <w:lang w:val="en-US" w:eastAsia="zh-CN"/>
                <w14:textFill>
                  <w14:solidFill>
                    <w14:schemeClr w14:val="tx1"/>
                  </w14:solidFill>
                </w14:textFill>
              </w:rPr>
              <w:t>级标准。</w:t>
            </w:r>
          </w:p>
          <w:p w14:paraId="68024225">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w:t>
            </w:r>
            <w:r>
              <w:rPr>
                <w:rFonts w:hint="eastAsia" w:cs="Times New Roman"/>
                <w:color w:val="000000" w:themeColor="text1"/>
                <w:highlight w:val="none"/>
                <w:lang w:val="en-US" w:eastAsia="zh-CN"/>
                <w14:textFill>
                  <w14:solidFill>
                    <w14:schemeClr w14:val="tx1"/>
                  </w14:solidFill>
                </w14:textFill>
              </w:rPr>
              <w:t>6</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生活污水污染物排放限值</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2"/>
              <w:gridCol w:w="2605"/>
              <w:gridCol w:w="1632"/>
              <w:gridCol w:w="1594"/>
              <w:gridCol w:w="1481"/>
            </w:tblGrid>
            <w:tr w14:paraId="04B8E4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16" w:type="pct"/>
                  <w:tcBorders>
                    <w:tl2br w:val="nil"/>
                    <w:tr2bl w:val="nil"/>
                  </w:tcBorders>
                  <w:noWrap w:val="0"/>
                  <w:vAlign w:val="center"/>
                </w:tcPr>
                <w:p w14:paraId="0406CA16">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序号</w:t>
                  </w:r>
                </w:p>
              </w:tc>
              <w:tc>
                <w:tcPr>
                  <w:tcW w:w="1597" w:type="pct"/>
                  <w:tcBorders>
                    <w:tl2br w:val="nil"/>
                    <w:tr2bl w:val="nil"/>
                  </w:tcBorders>
                  <w:noWrap w:val="0"/>
                  <w:vAlign w:val="center"/>
                </w:tcPr>
                <w:p w14:paraId="3D78617F">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污染物</w:t>
                  </w:r>
                </w:p>
              </w:tc>
              <w:tc>
                <w:tcPr>
                  <w:tcW w:w="1000" w:type="pct"/>
                  <w:tcBorders>
                    <w:tl2br w:val="nil"/>
                    <w:tr2bl w:val="nil"/>
                  </w:tcBorders>
                  <w:noWrap w:val="0"/>
                  <w:vAlign w:val="center"/>
                </w:tcPr>
                <w:p w14:paraId="0E905A0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A级</w:t>
                  </w:r>
                </w:p>
              </w:tc>
              <w:tc>
                <w:tcPr>
                  <w:tcW w:w="977" w:type="pct"/>
                  <w:tcBorders>
                    <w:tl2br w:val="nil"/>
                    <w:tr2bl w:val="nil"/>
                  </w:tcBorders>
                  <w:noWrap w:val="0"/>
                  <w:vAlign w:val="center"/>
                </w:tcPr>
                <w:p w14:paraId="0C979206">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B级</w:t>
                  </w:r>
                </w:p>
              </w:tc>
              <w:tc>
                <w:tcPr>
                  <w:tcW w:w="907" w:type="pct"/>
                  <w:tcBorders>
                    <w:tl2br w:val="nil"/>
                    <w:tr2bl w:val="nil"/>
                  </w:tcBorders>
                  <w:noWrap w:val="0"/>
                  <w:vAlign w:val="center"/>
                </w:tcPr>
                <w:p w14:paraId="5A33E51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C级</w:t>
                  </w:r>
                </w:p>
              </w:tc>
            </w:tr>
            <w:tr w14:paraId="67A7B9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tcBorders>
                    <w:tl2br w:val="nil"/>
                    <w:tr2bl w:val="nil"/>
                  </w:tcBorders>
                  <w:noWrap w:val="0"/>
                  <w:vAlign w:val="center"/>
                </w:tcPr>
                <w:p w14:paraId="52810F7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w:t>
                  </w:r>
                </w:p>
              </w:tc>
              <w:tc>
                <w:tcPr>
                  <w:tcW w:w="1597" w:type="pct"/>
                  <w:tcBorders>
                    <w:tl2br w:val="nil"/>
                    <w:tr2bl w:val="nil"/>
                  </w:tcBorders>
                  <w:noWrap w:val="0"/>
                  <w:vAlign w:val="center"/>
                </w:tcPr>
                <w:p w14:paraId="0735480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pH值</w:t>
                  </w:r>
                </w:p>
              </w:tc>
              <w:tc>
                <w:tcPr>
                  <w:tcW w:w="2885" w:type="pct"/>
                  <w:gridSpan w:val="3"/>
                  <w:tcBorders>
                    <w:tl2br w:val="nil"/>
                    <w:tr2bl w:val="nil"/>
                  </w:tcBorders>
                  <w:noWrap w:val="0"/>
                  <w:vAlign w:val="center"/>
                </w:tcPr>
                <w:p w14:paraId="2FBAB401">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6-9</w:t>
                  </w:r>
                </w:p>
              </w:tc>
            </w:tr>
            <w:tr w14:paraId="3E1169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tcBorders>
                    <w:tl2br w:val="nil"/>
                    <w:tr2bl w:val="nil"/>
                  </w:tcBorders>
                  <w:noWrap w:val="0"/>
                  <w:vAlign w:val="center"/>
                </w:tcPr>
                <w:p w14:paraId="37C62853">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c>
                <w:tcPr>
                  <w:tcW w:w="1597" w:type="pct"/>
                  <w:tcBorders>
                    <w:tl2br w:val="nil"/>
                    <w:tr2bl w:val="nil"/>
                  </w:tcBorders>
                  <w:noWrap w:val="0"/>
                  <w:vAlign w:val="center"/>
                </w:tcPr>
                <w:p w14:paraId="21D7FDE0">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化学需氧量，mg/L</w:t>
                  </w:r>
                </w:p>
              </w:tc>
              <w:tc>
                <w:tcPr>
                  <w:tcW w:w="1000" w:type="pct"/>
                  <w:tcBorders>
                    <w:tl2br w:val="nil"/>
                    <w:tr2bl w:val="nil"/>
                  </w:tcBorders>
                  <w:noWrap w:val="0"/>
                  <w:vAlign w:val="center"/>
                </w:tcPr>
                <w:p w14:paraId="0F719A45">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60</w:t>
                  </w:r>
                </w:p>
              </w:tc>
              <w:tc>
                <w:tcPr>
                  <w:tcW w:w="977" w:type="pct"/>
                  <w:tcBorders>
                    <w:tl2br w:val="nil"/>
                    <w:tr2bl w:val="nil"/>
                  </w:tcBorders>
                  <w:noWrap w:val="0"/>
                  <w:vAlign w:val="center"/>
                </w:tcPr>
                <w:p w14:paraId="7B233A04">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180</w:t>
                  </w:r>
                </w:p>
              </w:tc>
              <w:tc>
                <w:tcPr>
                  <w:tcW w:w="907" w:type="pct"/>
                  <w:tcBorders>
                    <w:tl2br w:val="nil"/>
                    <w:tr2bl w:val="nil"/>
                  </w:tcBorders>
                  <w:noWrap w:val="0"/>
                  <w:vAlign w:val="center"/>
                </w:tcPr>
                <w:p w14:paraId="08E61A7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200</w:t>
                  </w:r>
                </w:p>
              </w:tc>
            </w:tr>
            <w:tr w14:paraId="5C794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tcBorders>
                    <w:tl2br w:val="nil"/>
                    <w:tr2bl w:val="nil"/>
                  </w:tcBorders>
                  <w:noWrap w:val="0"/>
                  <w:vAlign w:val="center"/>
                </w:tcPr>
                <w:p w14:paraId="187871B0">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w:t>
                  </w:r>
                </w:p>
              </w:tc>
              <w:tc>
                <w:tcPr>
                  <w:tcW w:w="1597" w:type="pct"/>
                  <w:tcBorders>
                    <w:tl2br w:val="nil"/>
                    <w:tr2bl w:val="nil"/>
                  </w:tcBorders>
                  <w:noWrap w:val="0"/>
                  <w:vAlign w:val="center"/>
                </w:tcPr>
                <w:p w14:paraId="5A59C6F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悬浮物，mg/L</w:t>
                  </w:r>
                </w:p>
              </w:tc>
              <w:tc>
                <w:tcPr>
                  <w:tcW w:w="1000" w:type="pct"/>
                  <w:tcBorders>
                    <w:tl2br w:val="nil"/>
                    <w:tr2bl w:val="nil"/>
                  </w:tcBorders>
                  <w:noWrap w:val="0"/>
                  <w:vAlign w:val="center"/>
                </w:tcPr>
                <w:p w14:paraId="1E698D04">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30</w:t>
                  </w:r>
                </w:p>
              </w:tc>
              <w:tc>
                <w:tcPr>
                  <w:tcW w:w="977" w:type="pct"/>
                  <w:tcBorders>
                    <w:tl2br w:val="nil"/>
                    <w:tr2bl w:val="nil"/>
                  </w:tcBorders>
                  <w:noWrap w:val="0"/>
                  <w:vAlign w:val="center"/>
                </w:tcPr>
                <w:p w14:paraId="6557614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90</w:t>
                  </w:r>
                </w:p>
              </w:tc>
              <w:tc>
                <w:tcPr>
                  <w:tcW w:w="907" w:type="pct"/>
                  <w:tcBorders>
                    <w:tl2br w:val="nil"/>
                    <w:tr2bl w:val="nil"/>
                  </w:tcBorders>
                  <w:noWrap w:val="0"/>
                  <w:vAlign w:val="center"/>
                </w:tcPr>
                <w:p w14:paraId="4AF35C2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w:t>
                  </w:r>
                </w:p>
              </w:tc>
            </w:tr>
            <w:tr w14:paraId="0DD90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tcBorders>
                    <w:tl2br w:val="nil"/>
                    <w:tr2bl w:val="nil"/>
                  </w:tcBorders>
                  <w:noWrap w:val="0"/>
                  <w:vAlign w:val="center"/>
                </w:tcPr>
                <w:p w14:paraId="7E283903">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w:t>
                  </w:r>
                </w:p>
              </w:tc>
              <w:tc>
                <w:tcPr>
                  <w:tcW w:w="1597" w:type="pct"/>
                  <w:tcBorders>
                    <w:tl2br w:val="nil"/>
                    <w:tr2bl w:val="nil"/>
                  </w:tcBorders>
                  <w:noWrap w:val="0"/>
                  <w:vAlign w:val="center"/>
                </w:tcPr>
                <w:p w14:paraId="7797912D">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粪大肠菌群，MPN/L</w:t>
                  </w:r>
                </w:p>
              </w:tc>
              <w:tc>
                <w:tcPr>
                  <w:tcW w:w="1000" w:type="pct"/>
                  <w:tcBorders>
                    <w:tl2br w:val="nil"/>
                    <w:tr2bl w:val="nil"/>
                  </w:tcBorders>
                  <w:noWrap w:val="0"/>
                  <w:vAlign w:val="center"/>
                </w:tcPr>
                <w:p w14:paraId="4F1BC9DB">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10000</w:t>
                  </w:r>
                </w:p>
              </w:tc>
              <w:tc>
                <w:tcPr>
                  <w:tcW w:w="1884" w:type="pct"/>
                  <w:gridSpan w:val="2"/>
                  <w:tcBorders>
                    <w:tl2br w:val="nil"/>
                    <w:tr2bl w:val="nil"/>
                  </w:tcBorders>
                  <w:noWrap w:val="0"/>
                  <w:vAlign w:val="center"/>
                </w:tcPr>
                <w:p w14:paraId="2114E6AE">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40000</w:t>
                  </w:r>
                </w:p>
              </w:tc>
            </w:tr>
            <w:tr w14:paraId="747FD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tcBorders>
                    <w:tl2br w:val="nil"/>
                    <w:tr2bl w:val="nil"/>
                  </w:tcBorders>
                  <w:noWrap w:val="0"/>
                  <w:vAlign w:val="center"/>
                </w:tcPr>
                <w:p w14:paraId="1F8353EA">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w:t>
                  </w:r>
                </w:p>
              </w:tc>
              <w:tc>
                <w:tcPr>
                  <w:tcW w:w="1597" w:type="pct"/>
                  <w:tcBorders>
                    <w:tl2br w:val="nil"/>
                    <w:tr2bl w:val="nil"/>
                  </w:tcBorders>
                  <w:noWrap w:val="0"/>
                  <w:vAlign w:val="center"/>
                </w:tcPr>
                <w:p w14:paraId="20367938">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蛔虫卵个数，个/L</w:t>
                  </w:r>
                </w:p>
              </w:tc>
              <w:tc>
                <w:tcPr>
                  <w:tcW w:w="2885" w:type="pct"/>
                  <w:gridSpan w:val="3"/>
                  <w:tcBorders>
                    <w:tl2br w:val="nil"/>
                    <w:tr2bl w:val="nil"/>
                  </w:tcBorders>
                  <w:noWrap w:val="0"/>
                  <w:vAlign w:val="center"/>
                </w:tcPr>
                <w:p w14:paraId="4EFC964F">
                  <w:pPr>
                    <w:pStyle w:val="6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w:t>
                  </w:r>
                </w:p>
              </w:tc>
            </w:tr>
          </w:tbl>
          <w:p w14:paraId="1C98F1C2">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（3）噪声排放标准</w:t>
            </w:r>
          </w:p>
          <w:p w14:paraId="35DA0583">
            <w:pPr>
              <w:pStyle w:val="53"/>
              <w:bidi w:val="0"/>
              <w:rPr>
                <w:rFonts w:hint="eastAsia" w:cs="Times New Roman"/>
                <w:color w:val="000000" w:themeColor="text1"/>
                <w:sz w:val="24"/>
                <w:szCs w:val="24"/>
                <w:highlight w:val="none"/>
                <w:lang w:eastAsia="zh-CN"/>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施工、勘探作业场界噪声排放执行《建筑施工噪声排放标准》（GB</w:t>
            </w:r>
            <w:r>
              <w:rPr>
                <w:rFonts w:hint="eastAsia" w:cs="Times New Roman"/>
                <w:color w:val="000000" w:themeColor="text1"/>
                <w:sz w:val="24"/>
                <w:szCs w:val="24"/>
                <w:highlight w:val="none"/>
                <w:lang w:val="en-US" w:eastAsia="zh-CN"/>
                <w14:textFill>
                  <w14:solidFill>
                    <w14:schemeClr w14:val="tx1"/>
                  </w14:solidFill>
                </w14:textFill>
              </w:rPr>
              <w:t xml:space="preserve"> </w:t>
            </w:r>
            <w:r>
              <w:rPr>
                <w:rFonts w:hint="eastAsia" w:cs="Times New Roman"/>
                <w:color w:val="000000" w:themeColor="text1"/>
                <w:sz w:val="24"/>
                <w:szCs w:val="24"/>
                <w:highlight w:val="none"/>
                <w:lang w:eastAsia="zh-CN"/>
                <w14:textFill>
                  <w14:solidFill>
                    <w14:schemeClr w14:val="tx1"/>
                  </w14:solidFill>
                </w14:textFill>
              </w:rPr>
              <w:t>12523—2025</w:t>
            </w:r>
            <w:r>
              <w:rPr>
                <w:rFonts w:ascii="Times New Roman" w:hAnsi="Times New Roman" w:eastAsia="宋体" w:cs="Times New Roman"/>
                <w:color w:val="000000" w:themeColor="text1"/>
                <w:sz w:val="24"/>
                <w:szCs w:val="24"/>
                <w:highlight w:val="none"/>
                <w14:textFill>
                  <w14:solidFill>
                    <w14:schemeClr w14:val="tx1"/>
                  </w14:solidFill>
                </w14:textFill>
              </w:rPr>
              <w:t>），场界噪声等效声级限值：昼间70dB</w:t>
            </w:r>
            <w:r>
              <w:rPr>
                <w:rFonts w:hint="eastAsia" w:cs="Times New Roman"/>
                <w:color w:val="000000" w:themeColor="text1"/>
                <w:sz w:val="24"/>
                <w:szCs w:val="24"/>
                <w:highlight w:val="none"/>
                <w:lang w:eastAsia="zh-CN"/>
                <w14:textFill>
                  <w14:solidFill>
                    <w14:schemeClr w14:val="tx1"/>
                  </w14:solidFill>
                </w14:textFill>
              </w:rPr>
              <w:t>（</w:t>
            </w:r>
            <w:r>
              <w:rPr>
                <w:rFonts w:ascii="Times New Roman" w:hAnsi="Times New Roman" w:eastAsia="宋体" w:cs="Times New Roman"/>
                <w:color w:val="000000" w:themeColor="text1"/>
                <w:sz w:val="24"/>
                <w:szCs w:val="24"/>
                <w:highlight w:val="none"/>
                <w14:textFill>
                  <w14:solidFill>
                    <w14:schemeClr w14:val="tx1"/>
                  </w14:solidFill>
                </w14:textFill>
              </w:rPr>
              <w:t>A</w:t>
            </w:r>
            <w:r>
              <w:rPr>
                <w:rFonts w:hint="eastAsia" w:cs="Times New Roman"/>
                <w:color w:val="000000" w:themeColor="text1"/>
                <w:sz w:val="24"/>
                <w:szCs w:val="24"/>
                <w:highlight w:val="none"/>
                <w:lang w:eastAsia="zh-CN"/>
                <w14:textFill>
                  <w14:solidFill>
                    <w14:schemeClr w14:val="tx1"/>
                  </w14:solidFill>
                </w14:textFill>
              </w:rPr>
              <w:t>）</w:t>
            </w:r>
            <w:r>
              <w:rPr>
                <w:rFonts w:ascii="Times New Roman" w:hAnsi="Times New Roman" w:eastAsia="宋体" w:cs="Times New Roman"/>
                <w:color w:val="000000" w:themeColor="text1"/>
                <w:sz w:val="24"/>
                <w:szCs w:val="24"/>
                <w:highlight w:val="none"/>
                <w14:textFill>
                  <w14:solidFill>
                    <w14:schemeClr w14:val="tx1"/>
                  </w14:solidFill>
                </w14:textFill>
              </w:rPr>
              <w:t>，夜间55dB</w:t>
            </w:r>
            <w:r>
              <w:rPr>
                <w:rFonts w:hint="eastAsia" w:cs="Times New Roman"/>
                <w:color w:val="000000" w:themeColor="text1"/>
                <w:sz w:val="24"/>
                <w:szCs w:val="24"/>
                <w:highlight w:val="none"/>
                <w:lang w:eastAsia="zh-CN"/>
                <w14:textFill>
                  <w14:solidFill>
                    <w14:schemeClr w14:val="tx1"/>
                  </w14:solidFill>
                </w14:textFill>
              </w:rPr>
              <w:t>（</w:t>
            </w:r>
            <w:r>
              <w:rPr>
                <w:rFonts w:ascii="Times New Roman" w:hAnsi="Times New Roman" w:eastAsia="宋体" w:cs="Times New Roman"/>
                <w:color w:val="000000" w:themeColor="text1"/>
                <w:sz w:val="24"/>
                <w:szCs w:val="24"/>
                <w:highlight w:val="none"/>
                <w14:textFill>
                  <w14:solidFill>
                    <w14:schemeClr w14:val="tx1"/>
                  </w14:solidFill>
                </w14:textFill>
              </w:rPr>
              <w:t>A</w:t>
            </w:r>
            <w:r>
              <w:rPr>
                <w:rFonts w:hint="eastAsia" w:cs="Times New Roman"/>
                <w:color w:val="000000" w:themeColor="text1"/>
                <w:sz w:val="24"/>
                <w:szCs w:val="24"/>
                <w:highlight w:val="none"/>
                <w:lang w:eastAsia="zh-CN"/>
                <w14:textFill>
                  <w14:solidFill>
                    <w14:schemeClr w14:val="tx1"/>
                  </w14:solidFill>
                </w14:textFill>
              </w:rPr>
              <w:t>）。</w:t>
            </w:r>
          </w:p>
          <w:p w14:paraId="74D1D95C">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（4）固体废弃物</w:t>
            </w:r>
          </w:p>
          <w:p w14:paraId="126AAFD5">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本项目产生的一般固废执行《一般工业固体废物贮存和填埋污染控制标准》（GB18599-2020）中相关标准。</w:t>
            </w:r>
          </w:p>
        </w:tc>
      </w:tr>
      <w:tr w14:paraId="329D683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dxa"/>
            <w:noWrap w:val="0"/>
            <w:vAlign w:val="center"/>
          </w:tcPr>
          <w:p w14:paraId="5008D5E8">
            <w:pPr>
              <w:adjustRightInd w:val="0"/>
              <w:snapToGrid w:val="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其他</w:t>
            </w:r>
          </w:p>
        </w:tc>
        <w:tc>
          <w:tcPr>
            <w:tcW w:w="8374" w:type="dxa"/>
            <w:noWrap w:val="0"/>
            <w:vAlign w:val="center"/>
          </w:tcPr>
          <w:p w14:paraId="5FA4EA47">
            <w:pPr>
              <w:pStyle w:val="53"/>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无</w:t>
            </w:r>
          </w:p>
        </w:tc>
      </w:tr>
    </w:tbl>
    <w:p w14:paraId="7629B665">
      <w:pPr>
        <w:pStyle w:val="25"/>
        <w:adjustRightInd w:val="0"/>
        <w:snapToGrid w:val="0"/>
        <w:spacing w:before="0" w:beforeAutospacing="0" w:after="0" w:afterAutospacing="0" w:line="14" w:lineRule="auto"/>
        <w:jc w:val="center"/>
        <w:outlineLvl w:val="0"/>
        <w:rPr>
          <w:rFonts w:hint="default" w:ascii="Times New Roman" w:hAnsi="Times New Roman" w:eastAsia="黑体" w:cs="Times New Roman"/>
          <w:snapToGrid w:val="0"/>
          <w:color w:val="000000" w:themeColor="text1"/>
          <w:kern w:val="2"/>
          <w:sz w:val="36"/>
          <w:szCs w:val="36"/>
          <w:highlight w:val="none"/>
          <w14:textFill>
            <w14:solidFill>
              <w14:schemeClr w14:val="tx1"/>
            </w14:solidFill>
          </w14:textFill>
        </w:rPr>
      </w:pPr>
    </w:p>
    <w:p w14:paraId="25B3141F">
      <w:pPr>
        <w:pStyle w:val="25"/>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kern w:val="2"/>
          <w:sz w:val="36"/>
          <w:szCs w:val="36"/>
          <w:highlight w:val="none"/>
          <w14:textFill>
            <w14:solidFill>
              <w14:schemeClr w14:val="tx1"/>
            </w14:solidFill>
          </w14:textFill>
        </w:rPr>
        <w:br w:type="page"/>
      </w: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四、生态环境影响分析</w:t>
      </w:r>
    </w:p>
    <w:tbl>
      <w:tblPr>
        <w:tblStyle w:val="28"/>
        <w:tblW w:w="8296" w:type="dxa"/>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7699"/>
      </w:tblGrid>
      <w:tr w14:paraId="47C766A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97" w:type="dxa"/>
            <w:shd w:val="clear" w:color="auto" w:fill="auto"/>
            <w:noWrap w:val="0"/>
            <w:tcMar>
              <w:left w:w="28" w:type="dxa"/>
              <w:right w:w="28" w:type="dxa"/>
            </w:tcMar>
            <w:vAlign w:val="center"/>
          </w:tcPr>
          <w:p w14:paraId="424CCA3A">
            <w:pPr>
              <w:pStyle w:val="25"/>
              <w:adjustRightInd w:val="0"/>
              <w:snapToGrid w:val="0"/>
              <w:spacing w:before="0" w:beforeAutospacing="0" w:after="0" w:afterAutospacing="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4"/>
                <w:szCs w:val="24"/>
                <w:highlight w:val="none"/>
                <w14:textFill>
                  <w14:solidFill>
                    <w14:schemeClr w14:val="tx1"/>
                  </w14:solidFill>
                </w14:textFill>
              </w:rPr>
              <w:t>施工期</w:t>
            </w:r>
            <w:r>
              <w:rPr>
                <w:rFonts w:hint="default" w:ascii="Times New Roman" w:hAnsi="Times New Roman" w:cs="Times New Roman"/>
                <w:bCs/>
                <w:color w:val="000000" w:themeColor="text1"/>
                <w:spacing w:val="10"/>
                <w:kern w:val="2"/>
                <w:sz w:val="24"/>
                <w:szCs w:val="24"/>
                <w:highlight w:val="none"/>
                <w14:textFill>
                  <w14:solidFill>
                    <w14:schemeClr w14:val="tx1"/>
                  </w14:solidFill>
                </w14:textFill>
              </w:rPr>
              <w:t>生态环境影响分析</w:t>
            </w:r>
          </w:p>
        </w:tc>
        <w:tc>
          <w:tcPr>
            <w:tcW w:w="7699" w:type="dxa"/>
            <w:shd w:val="clear" w:color="auto" w:fill="auto"/>
            <w:noWrap w:val="0"/>
            <w:vAlign w:val="top"/>
          </w:tcPr>
          <w:p w14:paraId="2B10805A">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本项目探矿期间主要的环境影响为探矿过</w:t>
            </w:r>
            <w:r>
              <w:rPr>
                <w:rFonts w:hint="eastAsia"/>
                <w:color w:val="000000" w:themeColor="text1"/>
                <w:highlight w:val="none"/>
                <w:lang w:eastAsia="zh-CN"/>
                <w14:textFill>
                  <w14:solidFill>
                    <w14:schemeClr w14:val="tx1"/>
                  </w14:solidFill>
                </w14:textFill>
              </w:rPr>
              <w:t>程中</w:t>
            </w:r>
            <w:r>
              <w:rPr>
                <w:rFonts w:hint="eastAsia"/>
                <w:color w:val="000000" w:themeColor="text1"/>
                <w:highlight w:val="none"/>
                <w14:textFill>
                  <w14:solidFill>
                    <w14:schemeClr w14:val="tx1"/>
                  </w14:solidFill>
                </w14:textFill>
              </w:rPr>
              <w:t>产生的废水、废气、噪声、固体废物排放对环境的影响及生态保护措施。</w:t>
            </w:r>
          </w:p>
          <w:p w14:paraId="00FF2E10">
            <w:pPr>
              <w:pStyle w:val="55"/>
              <w:bidi w:val="0"/>
              <w:ind w:firstLine="482"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4.1施工期大气环境影响分析</w:t>
            </w:r>
          </w:p>
          <w:p w14:paraId="4A56C366">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结合项目施工特点及施工内容，本项目施工期大气污染源主要</w:t>
            </w:r>
            <w:r>
              <w:rPr>
                <w:rFonts w:hint="eastAsia"/>
                <w:color w:val="000000" w:themeColor="text1"/>
                <w:highlight w:val="none"/>
                <w:lang w:eastAsia="zh-CN"/>
                <w14:textFill>
                  <w14:solidFill>
                    <w14:schemeClr w14:val="tx1"/>
                  </w14:solidFill>
                </w14:textFill>
              </w:rPr>
              <w:t>来自</w:t>
            </w:r>
            <w:r>
              <w:rPr>
                <w:rFonts w:hint="eastAsia"/>
                <w:color w:val="000000" w:themeColor="text1"/>
                <w:highlight w:val="none"/>
                <w14:textFill>
                  <w14:solidFill>
                    <w14:schemeClr w14:val="tx1"/>
                  </w14:solidFill>
                </w14:textFill>
              </w:rPr>
              <w:t>钻探、槽探等工程中产生的扬尘以及运输车辆、柴油发电机废气和施工机械等产生的燃油烟气。</w:t>
            </w:r>
          </w:p>
          <w:p w14:paraId="2BC0A563">
            <w:pPr>
              <w:pStyle w:val="53"/>
              <w:widowControl w:val="0"/>
              <w:bidi w:val="0"/>
              <w:adjustRightInd w:val="0"/>
              <w:snapToGrid w:val="0"/>
              <w:ind w:firstLineChars="200"/>
              <w:jc w:val="both"/>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4.1.1扬尘</w:t>
            </w:r>
          </w:p>
          <w:p w14:paraId="18958BC0">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在勘查过程中，扬尘污染主要来源于：钻探工程产生的扬尘，土石方堆放时因风力作用产生的扬尘以及运输扬尘。</w:t>
            </w:r>
          </w:p>
          <w:p w14:paraId="3C1F14D9">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①钻探、槽探粉尘</w:t>
            </w:r>
          </w:p>
          <w:p w14:paraId="0F6FA958">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据有关研究，在不设置围挡时，扬尘影响主要在下风向距离250m范围内；有围挡时，扬尘影响主要在下风向距离200m范围内。因此，</w:t>
            </w:r>
            <w:r>
              <w:rPr>
                <w:rFonts w:hint="eastAsia"/>
                <w:color w:val="000000" w:themeColor="text1"/>
                <w:highlight w:val="none"/>
                <w:lang w:eastAsia="zh-CN"/>
                <w14:textFill>
                  <w14:solidFill>
                    <w14:schemeClr w14:val="tx1"/>
                  </w14:solidFill>
                </w14:textFill>
              </w:rPr>
              <w:t>在</w:t>
            </w:r>
            <w:r>
              <w:rPr>
                <w:rFonts w:hint="eastAsia"/>
                <w:color w:val="000000" w:themeColor="text1"/>
                <w:highlight w:val="none"/>
                <w14:textFill>
                  <w14:solidFill>
                    <w14:schemeClr w14:val="tx1"/>
                  </w14:solidFill>
                </w14:textFill>
              </w:rPr>
              <w:t>作业场界设置围挡并辅以现场洒水抑尘等措施，抑尘效率70%～80%，能有效减少扬尘的影响。</w:t>
            </w:r>
          </w:p>
          <w:p w14:paraId="49C046A5">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本项目各作业点施工量较小，且均在山区进行，周边有山体和植被作为天然防尘屏障，同时</w:t>
            </w:r>
            <w:r>
              <w:rPr>
                <w:rFonts w:hint="eastAsia"/>
                <w:color w:val="000000" w:themeColor="text1"/>
                <w:highlight w:val="none"/>
                <w:lang w:eastAsia="zh-CN"/>
                <w14:textFill>
                  <w14:solidFill>
                    <w14:schemeClr w14:val="tx1"/>
                  </w14:solidFill>
                </w14:textFill>
              </w:rPr>
              <w:t>，在</w:t>
            </w:r>
            <w:r>
              <w:rPr>
                <w:rFonts w:hint="eastAsia"/>
                <w:color w:val="000000" w:themeColor="text1"/>
                <w:highlight w:val="none"/>
                <w14:textFill>
                  <w14:solidFill>
                    <w14:schemeClr w14:val="tx1"/>
                  </w14:solidFill>
                </w14:textFill>
              </w:rPr>
              <w:t>加强作业区洒水抑尘的情况下，扬尘影响主要集中在施工场地内，对外环境影响较小。但为确保工人身体健康</w:t>
            </w:r>
            <w:r>
              <w:rPr>
                <w:rFonts w:hint="eastAsia"/>
                <w:color w:val="000000" w:themeColor="text1"/>
                <w:highlight w:val="none"/>
                <w:lang w:eastAsia="zh-CN"/>
                <w14:textFill>
                  <w14:solidFill>
                    <w14:schemeClr w14:val="tx1"/>
                  </w14:solidFill>
                </w14:textFill>
              </w:rPr>
              <w:t>，必</w:t>
            </w:r>
            <w:r>
              <w:rPr>
                <w:rFonts w:hint="eastAsia"/>
                <w:color w:val="000000" w:themeColor="text1"/>
                <w:highlight w:val="none"/>
                <w14:textFill>
                  <w14:solidFill>
                    <w14:schemeClr w14:val="tx1"/>
                  </w14:solidFill>
                </w14:textFill>
              </w:rPr>
              <w:t>须佩戴防护口罩。</w:t>
            </w:r>
          </w:p>
          <w:p w14:paraId="70631230">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②临时堆放扬尘</w:t>
            </w:r>
          </w:p>
          <w:p w14:paraId="26597CE7">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对临时堆放的渣土表面进行压实，必要时设置</w:t>
            </w:r>
            <w:r>
              <w:rPr>
                <w:rFonts w:hint="eastAsia"/>
                <w:color w:val="000000" w:themeColor="text1"/>
                <w:highlight w:val="none"/>
                <w:lang w:val="en-US" w:eastAsia="zh-CN"/>
                <w14:textFill>
                  <w14:solidFill>
                    <w14:schemeClr w14:val="tx1"/>
                  </w14:solidFill>
                </w14:textFill>
              </w:rPr>
              <w:t>防尘网或篷布覆盖</w:t>
            </w:r>
            <w:r>
              <w:rPr>
                <w:rFonts w:hint="eastAsia"/>
                <w:color w:val="000000" w:themeColor="text1"/>
                <w:highlight w:val="none"/>
                <w14:textFill>
                  <w14:solidFill>
                    <w14:schemeClr w14:val="tx1"/>
                  </w14:solidFill>
                </w14:textFill>
              </w:rPr>
              <w:t>，并辅以洒水抑尘，可有效控制尘源，进一步减轻对环境的影响。</w:t>
            </w:r>
          </w:p>
          <w:p w14:paraId="3E563109">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③运输道路扬尘</w:t>
            </w:r>
          </w:p>
          <w:p w14:paraId="0BA400C9">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勘查区内部道路平整过程以及车辆运输样品及生活用品时会产生一定扬尘。施工扬尘的污染程度与风速、风速、物料含水率和汽车行驶速度等因素有关，汽车行驶速度和风速增大，起尘量相应增大，粉尘污染范围扩大；物料含水率增大，粉尘污染范围相应减小。施工扬尘会造成局部地段降尘量增多，对施工现场周围的大气环境会产生一定影响。通过采取洒水降尘、控制车速、物料运输苫盖等措施，可有效减轻扬尘污染。这种污染是局部的、短期的，施工结束后影响即消失。</w:t>
            </w:r>
          </w:p>
          <w:p w14:paraId="2DBEE2AE">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查阅资料，施工扬尘对施工区周围15m内的范围影响最大，15m之外的降尘浓度衰减较快，到200m处达到平衡点。据现场踏勘，项目200m内均无居民点，项目各施工段均不会对项目周围的居民点居民生活环境造成明显影响。</w:t>
            </w:r>
          </w:p>
          <w:p w14:paraId="69468A36">
            <w:pPr>
              <w:pStyle w:val="53"/>
              <w:widowControl w:val="0"/>
              <w:bidi w:val="0"/>
              <w:adjustRightInd w:val="0"/>
              <w:snapToGrid w:val="0"/>
              <w:ind w:firstLineChars="200"/>
              <w:jc w:val="both"/>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4.1.2燃油废气</w:t>
            </w:r>
          </w:p>
          <w:p w14:paraId="523132A0">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本项目施工过程中采用自备发电机发电，整个施工期耗费柴油总量为</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t。施工期为</w:t>
            </w:r>
            <w:r>
              <w:rPr>
                <w:rFonts w:hint="eastAsia"/>
                <w:color w:val="000000" w:themeColor="text1"/>
                <w:highlight w:val="none"/>
                <w:lang w:val="en-US" w:eastAsia="zh-CN"/>
                <w14:textFill>
                  <w14:solidFill>
                    <w14:schemeClr w14:val="tx1"/>
                  </w14:solidFill>
                </w14:textFill>
              </w:rPr>
              <w:t>700天</w:t>
            </w:r>
            <w:r>
              <w:rPr>
                <w:rFonts w:hint="eastAsia"/>
                <w:color w:val="000000" w:themeColor="text1"/>
                <w:highlight w:val="none"/>
                <w14:textFill>
                  <w14:solidFill>
                    <w14:schemeClr w14:val="tx1"/>
                  </w14:solidFill>
                </w14:textFill>
              </w:rPr>
              <w:t>，柴油消耗主要在野外施工期间。根据《非道路移动源大气污染物排放清单编制技术指南》中非道路移动机械（包括柴油发电机组）大气污染物排放量计算方法1，计算CO、NO</w:t>
            </w:r>
            <w:r>
              <w:rPr>
                <w:rFonts w:hint="eastAsia"/>
                <w:color w:val="000000" w:themeColor="text1"/>
                <w:highlight w:val="none"/>
                <w:vertAlign w:val="subscript"/>
                <w14:textFill>
                  <w14:solidFill>
                    <w14:schemeClr w14:val="tx1"/>
                  </w14:solidFill>
                </w14:textFill>
              </w:rPr>
              <w:t>X</w:t>
            </w:r>
            <w:r>
              <w:rPr>
                <w:rFonts w:hint="eastAsia"/>
                <w:color w:val="000000" w:themeColor="text1"/>
                <w:highlight w:val="none"/>
                <w14:textFill>
                  <w14:solidFill>
                    <w14:schemeClr w14:val="tx1"/>
                  </w14:solidFill>
                </w14:textFill>
              </w:rPr>
              <w:t>和HC、PM</w:t>
            </w:r>
            <w:r>
              <w:rPr>
                <w:rFonts w:hint="eastAsia"/>
                <w:color w:val="000000" w:themeColor="text1"/>
                <w:highlight w:val="none"/>
                <w:vertAlign w:val="subscript"/>
                <w14:textFill>
                  <w14:solidFill>
                    <w14:schemeClr w14:val="tx1"/>
                  </w14:solidFill>
                </w14:textFill>
              </w:rPr>
              <w:t>2.5</w:t>
            </w:r>
            <w:r>
              <w:rPr>
                <w:rFonts w:hint="eastAsia"/>
                <w:color w:val="000000" w:themeColor="text1"/>
                <w:highlight w:val="none"/>
                <w14:textFill>
                  <w14:solidFill>
                    <w14:schemeClr w14:val="tx1"/>
                  </w14:solidFill>
                </w14:textFill>
              </w:rPr>
              <w:t>和PM</w:t>
            </w:r>
            <w:r>
              <w:rPr>
                <w:rFonts w:hint="eastAsia"/>
                <w:color w:val="000000" w:themeColor="text1"/>
                <w:highlight w:val="none"/>
                <w:vertAlign w:val="subscript"/>
                <w14:textFill>
                  <w14:solidFill>
                    <w14:schemeClr w14:val="tx1"/>
                  </w14:solidFill>
                </w14:textFill>
              </w:rPr>
              <w:t>10</w:t>
            </w:r>
            <w:r>
              <w:rPr>
                <w:rFonts w:hint="eastAsia"/>
                <w:color w:val="000000" w:themeColor="text1"/>
                <w:highlight w:val="none"/>
                <w14:textFill>
                  <w14:solidFill>
                    <w14:schemeClr w14:val="tx1"/>
                  </w14:solidFill>
                </w14:textFill>
              </w:rPr>
              <w:t>的排放量。计算公式如下：</w:t>
            </w:r>
          </w:p>
          <w:p w14:paraId="44700B60">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E=（Y×EF）×10</w:t>
            </w:r>
            <w:r>
              <w:rPr>
                <w:rFonts w:hint="eastAsia"/>
                <w:color w:val="000000" w:themeColor="text1"/>
                <w:highlight w:val="none"/>
                <w:vertAlign w:val="superscript"/>
                <w14:textFill>
                  <w14:solidFill>
                    <w14:schemeClr w14:val="tx1"/>
                  </w14:solidFill>
                </w14:textFill>
              </w:rPr>
              <w:t>-6</w:t>
            </w:r>
          </w:p>
          <w:p w14:paraId="19714741">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式中，E为非道路移动机械的CO、HC、NO</w:t>
            </w:r>
            <w:r>
              <w:rPr>
                <w:rFonts w:hint="eastAsia"/>
                <w:color w:val="000000" w:themeColor="text1"/>
                <w:highlight w:val="none"/>
                <w:vertAlign w:val="subscript"/>
                <w14:textFill>
                  <w14:solidFill>
                    <w14:schemeClr w14:val="tx1"/>
                  </w14:solidFill>
                </w14:textFill>
              </w:rPr>
              <w:t>X</w:t>
            </w:r>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2.5</w:t>
            </w:r>
            <w:r>
              <w:rPr>
                <w:rFonts w:hint="eastAsia"/>
                <w:color w:val="000000" w:themeColor="text1"/>
                <w:highlight w:val="none"/>
                <w14:textFill>
                  <w14:solidFill>
                    <w14:schemeClr w14:val="tx1"/>
                  </w14:solidFill>
                </w14:textFill>
              </w:rPr>
              <w:t>和PM</w:t>
            </w:r>
            <w:r>
              <w:rPr>
                <w:rFonts w:hint="eastAsia"/>
                <w:color w:val="000000" w:themeColor="text1"/>
                <w:highlight w:val="none"/>
                <w:vertAlign w:val="subscript"/>
                <w14:textFill>
                  <w14:solidFill>
                    <w14:schemeClr w14:val="tx1"/>
                  </w14:solidFill>
                </w14:textFill>
              </w:rPr>
              <w:t>10</w:t>
            </w:r>
            <w:r>
              <w:rPr>
                <w:rFonts w:hint="eastAsia"/>
                <w:color w:val="000000" w:themeColor="text1"/>
                <w:highlight w:val="none"/>
                <w14:textFill>
                  <w14:solidFill>
                    <w14:schemeClr w14:val="tx1"/>
                  </w14:solidFill>
                </w14:textFill>
              </w:rPr>
              <w:t>排放量，单位为吨；Y为燃油消耗量，单位为千克；EF为排放系数，单位为g/kg燃料。</w:t>
            </w:r>
          </w:p>
          <w:p w14:paraId="29C7593D">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根据该指南方法1适用的非道路移动机械平均排放系数（g/kg燃料），柴油发电机组CO、HC、NO</w:t>
            </w:r>
            <w:r>
              <w:rPr>
                <w:rFonts w:hint="eastAsia"/>
                <w:color w:val="000000" w:themeColor="text1"/>
                <w:highlight w:val="none"/>
                <w:vertAlign w:val="subscript"/>
                <w14:textFill>
                  <w14:solidFill>
                    <w14:schemeClr w14:val="tx1"/>
                  </w14:solidFill>
                </w14:textFill>
              </w:rPr>
              <w:t>X</w:t>
            </w:r>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2.5</w:t>
            </w:r>
            <w:r>
              <w:rPr>
                <w:rFonts w:hint="eastAsia"/>
                <w:color w:val="000000" w:themeColor="text1"/>
                <w:highlight w:val="none"/>
                <w14:textFill>
                  <w14:solidFill>
                    <w14:schemeClr w14:val="tx1"/>
                  </w14:solidFill>
                </w14:textFill>
              </w:rPr>
              <w:t>和PM</w:t>
            </w:r>
            <w:r>
              <w:rPr>
                <w:rFonts w:hint="eastAsia"/>
                <w:color w:val="000000" w:themeColor="text1"/>
                <w:highlight w:val="none"/>
                <w:vertAlign w:val="subscript"/>
                <w14:textFill>
                  <w14:solidFill>
                    <w14:schemeClr w14:val="tx1"/>
                  </w14:solidFill>
                </w14:textFill>
              </w:rPr>
              <w:t>10</w:t>
            </w:r>
            <w:r>
              <w:rPr>
                <w:rFonts w:hint="eastAsia"/>
                <w:color w:val="000000" w:themeColor="text1"/>
                <w:highlight w:val="none"/>
                <w14:textFill>
                  <w14:solidFill>
                    <w14:schemeClr w14:val="tx1"/>
                  </w14:solidFill>
                </w14:textFill>
              </w:rPr>
              <w:t>的排放系数分别为10.72g/kg燃料、3.39g/kg燃料、32.79g/kg燃料、2.09g/kg燃料、2.09g/kg燃料。</w:t>
            </w:r>
          </w:p>
          <w:p w14:paraId="5FB73DB8">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本项目施工地点较为开阔，扩散条件较好，不会对周边环境产生影响。项目施工期间排放的大气污染物将随工程的结束而消失。则本项目施工期间机械设备的尾气产生情况见表4-1。</w:t>
            </w:r>
          </w:p>
          <w:p w14:paraId="13C79D67">
            <w:pPr>
              <w:pStyle w:val="84"/>
              <w:spacing w:before="156"/>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表4-1  发电机产排污情况一览表</w:t>
            </w:r>
          </w:p>
          <w:tbl>
            <w:tblPr>
              <w:tblStyle w:val="28"/>
              <w:tblW w:w="4999" w:type="pct"/>
              <w:tblInd w:w="15"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97"/>
              <w:gridCol w:w="1407"/>
              <w:gridCol w:w="1726"/>
              <w:gridCol w:w="1726"/>
              <w:gridCol w:w="1726"/>
            </w:tblGrid>
            <w:tr w14:paraId="013326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9" w:type="pct"/>
                  <w:tcBorders>
                    <w:tl2br w:val="nil"/>
                    <w:tr2bl w:val="nil"/>
                  </w:tcBorders>
                  <w:shd w:val="clear" w:color="auto" w:fill="auto"/>
                  <w:vAlign w:val="center"/>
                </w:tcPr>
                <w:p w14:paraId="6BEE3EEC">
                  <w:pPr>
                    <w:pStyle w:val="81"/>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940" w:type="pct"/>
                  <w:tcBorders>
                    <w:tl2br w:val="nil"/>
                    <w:tr2bl w:val="nil"/>
                  </w:tcBorders>
                  <w:shd w:val="clear" w:color="auto" w:fill="auto"/>
                  <w:vAlign w:val="center"/>
                </w:tcPr>
                <w:p w14:paraId="2DF0E104">
                  <w:pPr>
                    <w:pStyle w:val="81"/>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污染物</w:t>
                  </w:r>
                </w:p>
              </w:tc>
              <w:tc>
                <w:tcPr>
                  <w:tcW w:w="1153" w:type="pct"/>
                  <w:tcBorders>
                    <w:tl2br w:val="nil"/>
                    <w:tr2bl w:val="nil"/>
                  </w:tcBorders>
                  <w:shd w:val="clear" w:color="auto" w:fill="auto"/>
                  <w:vAlign w:val="center"/>
                </w:tcPr>
                <w:p w14:paraId="0CF524E8">
                  <w:pPr>
                    <w:pStyle w:val="81"/>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燃烧产污系数</w:t>
                  </w:r>
                </w:p>
              </w:tc>
              <w:tc>
                <w:tcPr>
                  <w:tcW w:w="1153" w:type="pct"/>
                  <w:tcBorders>
                    <w:tl2br w:val="nil"/>
                    <w:tr2bl w:val="nil"/>
                  </w:tcBorders>
                  <w:shd w:val="clear" w:color="auto" w:fill="auto"/>
                  <w:vAlign w:val="center"/>
                </w:tcPr>
                <w:p w14:paraId="7DA70B76">
                  <w:pPr>
                    <w:pStyle w:val="81"/>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污染物产生量</w:t>
                  </w:r>
                </w:p>
                <w:p w14:paraId="3395929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（t/施工期）</w:t>
                  </w:r>
                </w:p>
              </w:tc>
              <w:tc>
                <w:tcPr>
                  <w:tcW w:w="1153" w:type="pct"/>
                  <w:tcBorders>
                    <w:tl2br w:val="nil"/>
                    <w:tr2bl w:val="nil"/>
                  </w:tcBorders>
                  <w:shd w:val="clear" w:color="auto" w:fill="auto"/>
                  <w:vAlign w:val="center"/>
                </w:tcPr>
                <w:p w14:paraId="387C6FBB">
                  <w:pPr>
                    <w:pStyle w:val="81"/>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污染物排放量</w:t>
                  </w:r>
                </w:p>
                <w:p w14:paraId="0C24F762">
                  <w:pPr>
                    <w:pStyle w:val="81"/>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（t/施工期）</w:t>
                  </w:r>
                </w:p>
              </w:tc>
            </w:tr>
            <w:tr w14:paraId="3BE055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599" w:type="pct"/>
                  <w:tcBorders>
                    <w:tl2br w:val="nil"/>
                    <w:tr2bl w:val="nil"/>
                  </w:tcBorders>
                  <w:shd w:val="clear" w:color="auto" w:fill="auto"/>
                  <w:vAlign w:val="center"/>
                </w:tcPr>
                <w:p w14:paraId="224F08D8">
                  <w:pPr>
                    <w:pStyle w:val="81"/>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940" w:type="pct"/>
                  <w:tcBorders>
                    <w:tl2br w:val="nil"/>
                    <w:tr2bl w:val="nil"/>
                  </w:tcBorders>
                  <w:shd w:val="clear" w:color="auto" w:fill="auto"/>
                  <w:vAlign w:val="center"/>
                </w:tcPr>
                <w:p w14:paraId="4D1304A9">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CO</w:t>
                  </w:r>
                </w:p>
              </w:tc>
              <w:tc>
                <w:tcPr>
                  <w:tcW w:w="1153" w:type="pct"/>
                  <w:tcBorders>
                    <w:tl2br w:val="nil"/>
                    <w:tr2bl w:val="nil"/>
                  </w:tcBorders>
                  <w:shd w:val="clear" w:color="auto" w:fill="auto"/>
                  <w:vAlign w:val="center"/>
                </w:tcPr>
                <w:p w14:paraId="6DA6A397">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10.72g/kg</w:t>
                  </w:r>
                </w:p>
              </w:tc>
              <w:tc>
                <w:tcPr>
                  <w:tcW w:w="1153" w:type="pct"/>
                  <w:tcBorders>
                    <w:tl2br w:val="nil"/>
                    <w:tr2bl w:val="nil"/>
                  </w:tcBorders>
                  <w:shd w:val="clear" w:color="auto" w:fill="auto"/>
                  <w:vAlign w:val="center"/>
                </w:tcPr>
                <w:p w14:paraId="2CDED86F">
                  <w:pPr>
                    <w:pStyle w:val="81"/>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0.054</w:t>
                  </w:r>
                </w:p>
              </w:tc>
              <w:tc>
                <w:tcPr>
                  <w:tcW w:w="1153" w:type="pct"/>
                  <w:tcBorders>
                    <w:tl2br w:val="nil"/>
                    <w:tr2bl w:val="nil"/>
                  </w:tcBorders>
                  <w:shd w:val="clear" w:color="auto" w:fill="auto"/>
                  <w:vAlign w:val="center"/>
                </w:tcPr>
                <w:p w14:paraId="7C21E879">
                  <w:pPr>
                    <w:pStyle w:val="81"/>
                    <w:ind w:left="0" w:leftChars="0" w:firstLine="0" w:firstLineChars="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0.054</w:t>
                  </w:r>
                </w:p>
              </w:tc>
            </w:tr>
            <w:tr w14:paraId="139A9A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599" w:type="pct"/>
                  <w:tcBorders>
                    <w:tl2br w:val="nil"/>
                    <w:tr2bl w:val="nil"/>
                  </w:tcBorders>
                  <w:shd w:val="clear" w:color="auto" w:fill="auto"/>
                  <w:vAlign w:val="center"/>
                </w:tcPr>
                <w:p w14:paraId="282DBD0F">
                  <w:pPr>
                    <w:pStyle w:val="81"/>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940" w:type="pct"/>
                  <w:tcBorders>
                    <w:tl2br w:val="nil"/>
                    <w:tr2bl w:val="nil"/>
                  </w:tcBorders>
                  <w:shd w:val="clear" w:color="auto" w:fill="auto"/>
                  <w:vAlign w:val="center"/>
                </w:tcPr>
                <w:p w14:paraId="7DBAB087">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HC</w:t>
                  </w:r>
                </w:p>
              </w:tc>
              <w:tc>
                <w:tcPr>
                  <w:tcW w:w="1153" w:type="pct"/>
                  <w:tcBorders>
                    <w:tl2br w:val="nil"/>
                    <w:tr2bl w:val="nil"/>
                  </w:tcBorders>
                  <w:shd w:val="clear" w:color="auto" w:fill="auto"/>
                  <w:vAlign w:val="center"/>
                </w:tcPr>
                <w:p w14:paraId="7E132134">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3.39g/kg</w:t>
                  </w:r>
                </w:p>
              </w:tc>
              <w:tc>
                <w:tcPr>
                  <w:tcW w:w="1153" w:type="pct"/>
                  <w:tcBorders>
                    <w:tl2br w:val="nil"/>
                    <w:tr2bl w:val="nil"/>
                  </w:tcBorders>
                  <w:shd w:val="clear" w:color="auto" w:fill="auto"/>
                  <w:vAlign w:val="center"/>
                </w:tcPr>
                <w:p w14:paraId="3EEDB2F7">
                  <w:pPr>
                    <w:pStyle w:val="81"/>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0.017</w:t>
                  </w:r>
                </w:p>
              </w:tc>
              <w:tc>
                <w:tcPr>
                  <w:tcW w:w="1153" w:type="pct"/>
                  <w:tcBorders>
                    <w:tl2br w:val="nil"/>
                    <w:tr2bl w:val="nil"/>
                  </w:tcBorders>
                  <w:shd w:val="clear" w:color="auto" w:fill="auto"/>
                  <w:vAlign w:val="center"/>
                </w:tcPr>
                <w:p w14:paraId="3FF776F0">
                  <w:pPr>
                    <w:pStyle w:val="81"/>
                    <w:ind w:left="0" w:leftChars="0" w:firstLine="0" w:firstLineChars="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0.017</w:t>
                  </w:r>
                </w:p>
              </w:tc>
            </w:tr>
            <w:tr w14:paraId="0F7C65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trPr>
              <w:tc>
                <w:tcPr>
                  <w:tcW w:w="599" w:type="pct"/>
                  <w:tcBorders>
                    <w:tl2br w:val="nil"/>
                    <w:tr2bl w:val="nil"/>
                  </w:tcBorders>
                  <w:shd w:val="clear" w:color="auto" w:fill="auto"/>
                  <w:vAlign w:val="center"/>
                </w:tcPr>
                <w:p w14:paraId="2D22F4C8">
                  <w:pPr>
                    <w:pStyle w:val="81"/>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940" w:type="pct"/>
                  <w:tcBorders>
                    <w:tl2br w:val="nil"/>
                    <w:tr2bl w:val="nil"/>
                  </w:tcBorders>
                  <w:shd w:val="clear" w:color="auto" w:fill="auto"/>
                  <w:vAlign w:val="center"/>
                </w:tcPr>
                <w:p w14:paraId="31156470">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NO</w:t>
                  </w:r>
                  <w:r>
                    <w:rPr>
                      <w:rFonts w:hint="eastAsia"/>
                      <w:color w:val="000000" w:themeColor="text1"/>
                      <w:highlight w:val="none"/>
                      <w:vertAlign w:val="subscript"/>
                      <w14:textFill>
                        <w14:solidFill>
                          <w14:schemeClr w14:val="tx1"/>
                        </w14:solidFill>
                      </w14:textFill>
                    </w:rPr>
                    <w:t>X</w:t>
                  </w:r>
                </w:p>
              </w:tc>
              <w:tc>
                <w:tcPr>
                  <w:tcW w:w="1153" w:type="pct"/>
                  <w:tcBorders>
                    <w:tl2br w:val="nil"/>
                    <w:tr2bl w:val="nil"/>
                  </w:tcBorders>
                  <w:shd w:val="clear" w:color="auto" w:fill="auto"/>
                  <w:vAlign w:val="center"/>
                </w:tcPr>
                <w:p w14:paraId="1CBAF6FB">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32.79g/kg</w:t>
                  </w:r>
                </w:p>
              </w:tc>
              <w:tc>
                <w:tcPr>
                  <w:tcW w:w="1153" w:type="pct"/>
                  <w:tcBorders>
                    <w:tl2br w:val="nil"/>
                    <w:tr2bl w:val="nil"/>
                  </w:tcBorders>
                  <w:shd w:val="clear" w:color="auto" w:fill="auto"/>
                  <w:vAlign w:val="center"/>
                </w:tcPr>
                <w:p w14:paraId="4BA1A9F0">
                  <w:pPr>
                    <w:pStyle w:val="81"/>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0.164</w:t>
                  </w:r>
                </w:p>
              </w:tc>
              <w:tc>
                <w:tcPr>
                  <w:tcW w:w="1153" w:type="pct"/>
                  <w:tcBorders>
                    <w:tl2br w:val="nil"/>
                    <w:tr2bl w:val="nil"/>
                  </w:tcBorders>
                  <w:shd w:val="clear" w:color="auto" w:fill="auto"/>
                  <w:vAlign w:val="center"/>
                </w:tcPr>
                <w:p w14:paraId="14014338">
                  <w:pPr>
                    <w:pStyle w:val="81"/>
                    <w:ind w:left="0" w:leftChars="0" w:firstLine="0" w:firstLineChars="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0.164</w:t>
                  </w:r>
                </w:p>
              </w:tc>
            </w:tr>
            <w:tr w14:paraId="1B0267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trPr>
              <w:tc>
                <w:tcPr>
                  <w:tcW w:w="599" w:type="pct"/>
                  <w:tcBorders>
                    <w:tl2br w:val="nil"/>
                    <w:tr2bl w:val="nil"/>
                  </w:tcBorders>
                  <w:shd w:val="clear" w:color="auto" w:fill="auto"/>
                  <w:vAlign w:val="center"/>
                </w:tcPr>
                <w:p w14:paraId="324CF021">
                  <w:pPr>
                    <w:pStyle w:val="81"/>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940" w:type="pct"/>
                  <w:tcBorders>
                    <w:tl2br w:val="nil"/>
                    <w:tr2bl w:val="nil"/>
                  </w:tcBorders>
                  <w:shd w:val="clear" w:color="auto" w:fill="auto"/>
                  <w:vAlign w:val="center"/>
                </w:tcPr>
                <w:p w14:paraId="4CA4E56C">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2.5</w:t>
                  </w:r>
                </w:p>
              </w:tc>
              <w:tc>
                <w:tcPr>
                  <w:tcW w:w="1153" w:type="pct"/>
                  <w:tcBorders>
                    <w:tl2br w:val="nil"/>
                    <w:tr2bl w:val="nil"/>
                  </w:tcBorders>
                  <w:shd w:val="clear" w:color="auto" w:fill="auto"/>
                  <w:vAlign w:val="center"/>
                </w:tcPr>
                <w:p w14:paraId="6D024C5A">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2.09g/kg</w:t>
                  </w:r>
                </w:p>
              </w:tc>
              <w:tc>
                <w:tcPr>
                  <w:tcW w:w="1153" w:type="pct"/>
                  <w:tcBorders>
                    <w:tl2br w:val="nil"/>
                    <w:tr2bl w:val="nil"/>
                  </w:tcBorders>
                  <w:shd w:val="clear" w:color="auto" w:fill="auto"/>
                </w:tcPr>
                <w:p w14:paraId="0C381D06">
                  <w:pPr>
                    <w:pStyle w:val="81"/>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0.010</w:t>
                  </w:r>
                </w:p>
              </w:tc>
              <w:tc>
                <w:tcPr>
                  <w:tcW w:w="1153" w:type="pct"/>
                  <w:tcBorders>
                    <w:tl2br w:val="nil"/>
                    <w:tr2bl w:val="nil"/>
                  </w:tcBorders>
                  <w:shd w:val="clear" w:color="auto" w:fill="auto"/>
                  <w:vAlign w:val="top"/>
                </w:tcPr>
                <w:p w14:paraId="5FBE1A43">
                  <w:pPr>
                    <w:pStyle w:val="81"/>
                    <w:ind w:left="0" w:leftChars="0" w:firstLine="0" w:firstLineChars="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0.010</w:t>
                  </w:r>
                </w:p>
              </w:tc>
            </w:tr>
            <w:tr w14:paraId="465F35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trPr>
              <w:tc>
                <w:tcPr>
                  <w:tcW w:w="599" w:type="pct"/>
                  <w:tcBorders>
                    <w:tl2br w:val="nil"/>
                    <w:tr2bl w:val="nil"/>
                  </w:tcBorders>
                  <w:shd w:val="clear" w:color="auto" w:fill="auto"/>
                  <w:vAlign w:val="center"/>
                </w:tcPr>
                <w:p w14:paraId="463D7707">
                  <w:pPr>
                    <w:pStyle w:val="81"/>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p>
              </w:tc>
              <w:tc>
                <w:tcPr>
                  <w:tcW w:w="940" w:type="pct"/>
                  <w:tcBorders>
                    <w:tl2br w:val="nil"/>
                    <w:tr2bl w:val="nil"/>
                  </w:tcBorders>
                  <w:shd w:val="clear" w:color="auto" w:fill="auto"/>
                  <w:vAlign w:val="center"/>
                </w:tcPr>
                <w:p w14:paraId="3F0C122C">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10</w:t>
                  </w:r>
                </w:p>
              </w:tc>
              <w:tc>
                <w:tcPr>
                  <w:tcW w:w="1153" w:type="pct"/>
                  <w:tcBorders>
                    <w:tl2br w:val="nil"/>
                    <w:tr2bl w:val="nil"/>
                  </w:tcBorders>
                  <w:shd w:val="clear" w:color="auto" w:fill="auto"/>
                  <w:vAlign w:val="center"/>
                </w:tcPr>
                <w:p w14:paraId="4D21F887">
                  <w:pPr>
                    <w:pStyle w:val="81"/>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2.09g/kg</w:t>
                  </w:r>
                </w:p>
              </w:tc>
              <w:tc>
                <w:tcPr>
                  <w:tcW w:w="1153" w:type="pct"/>
                  <w:tcBorders>
                    <w:tl2br w:val="nil"/>
                    <w:tr2bl w:val="nil"/>
                  </w:tcBorders>
                  <w:shd w:val="clear" w:color="auto" w:fill="auto"/>
                  <w:vAlign w:val="center"/>
                </w:tcPr>
                <w:p w14:paraId="2B482504">
                  <w:pPr>
                    <w:pStyle w:val="81"/>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0.010</w:t>
                  </w:r>
                </w:p>
              </w:tc>
              <w:tc>
                <w:tcPr>
                  <w:tcW w:w="1153" w:type="pct"/>
                  <w:tcBorders>
                    <w:tl2br w:val="nil"/>
                    <w:tr2bl w:val="nil"/>
                  </w:tcBorders>
                  <w:shd w:val="clear" w:color="auto" w:fill="auto"/>
                  <w:vAlign w:val="center"/>
                </w:tcPr>
                <w:p w14:paraId="09C0D95B">
                  <w:pPr>
                    <w:pStyle w:val="81"/>
                    <w:ind w:left="0" w:leftChars="0" w:firstLine="0" w:firstLineChars="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0.010</w:t>
                  </w:r>
                </w:p>
              </w:tc>
            </w:tr>
          </w:tbl>
          <w:p w14:paraId="4D9FC6B9">
            <w:pPr>
              <w:pStyle w:val="55"/>
              <w:bidi w:val="0"/>
              <w:ind w:firstLine="482"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4.2施工期废水污染物影响分析</w:t>
            </w:r>
          </w:p>
          <w:p w14:paraId="05978B77">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钻探废水经沉淀池处理后，上清液循环复用、定期补水，不外排。由于本项目未涉及大规模用水环节，因此产生的生活污水量也较少。生活污水排入一体化污水处理设备处理达到《农村生活污水处理排放标准》（DB65 4275-2019）表2中</w:t>
            </w:r>
            <w:r>
              <w:rPr>
                <w:rFonts w:hint="eastAsia"/>
                <w:color w:val="000000" w:themeColor="text1"/>
                <w:highlight w:val="none"/>
                <w:lang w:val="en-US" w:eastAsia="zh-CN"/>
                <w14:textFill>
                  <w14:solidFill>
                    <w14:schemeClr w14:val="tx1"/>
                  </w14:solidFill>
                </w14:textFill>
              </w:rPr>
              <w:t>A</w:t>
            </w:r>
            <w:r>
              <w:rPr>
                <w:rFonts w:hint="eastAsia"/>
                <w:color w:val="000000" w:themeColor="text1"/>
                <w:highlight w:val="none"/>
                <w14:textFill>
                  <w14:solidFill>
                    <w14:schemeClr w14:val="tx1"/>
                  </w14:solidFill>
                </w14:textFill>
              </w:rPr>
              <w:t>级标准后，用于</w:t>
            </w:r>
            <w:r>
              <w:rPr>
                <w:rFonts w:hint="eastAsia"/>
                <w:color w:val="000000" w:themeColor="text1"/>
                <w:highlight w:val="none"/>
                <w:lang w:eastAsia="zh-CN"/>
                <w14:textFill>
                  <w14:solidFill>
                    <w14:schemeClr w14:val="tx1"/>
                  </w14:solidFill>
                </w14:textFill>
              </w:rPr>
              <w:t>草地生态恢复回用</w:t>
            </w:r>
            <w:r>
              <w:rPr>
                <w:rFonts w:hint="eastAsia"/>
                <w:color w:val="000000" w:themeColor="text1"/>
                <w:highlight w:val="none"/>
                <w14:textFill>
                  <w14:solidFill>
                    <w14:schemeClr w14:val="tx1"/>
                  </w14:solidFill>
                </w14:textFill>
              </w:rPr>
              <w:t>，不外排。</w:t>
            </w:r>
          </w:p>
          <w:p w14:paraId="21CE090F">
            <w:pPr>
              <w:pStyle w:val="55"/>
              <w:bidi w:val="0"/>
              <w:ind w:firstLine="482"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4.3施工期噪声影响分析</w:t>
            </w:r>
          </w:p>
          <w:p w14:paraId="0647AD06">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本项目施工期主要噪声源为钻机、柴油发电机、</w:t>
            </w:r>
            <w:r>
              <w:rPr>
                <w:rFonts w:hint="eastAsia"/>
                <w:color w:val="000000" w:themeColor="text1"/>
                <w:highlight w:val="none"/>
                <w:lang w:val="en-US" w:eastAsia="zh-CN"/>
                <w14:textFill>
                  <w14:solidFill>
                    <w14:schemeClr w14:val="tx1"/>
                  </w14:solidFill>
                </w14:textFill>
              </w:rPr>
              <w:t>挖掘机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越野车（运输车辆），各噪声源强均为距声源1m处测定值，详见下表。</w:t>
            </w:r>
          </w:p>
          <w:p w14:paraId="06C56DDD">
            <w:pPr>
              <w:pStyle w:val="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表4-</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 xml:space="preserve">  主要噪声源及声级一览表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00"/>
              <w:gridCol w:w="2050"/>
              <w:gridCol w:w="1702"/>
              <w:gridCol w:w="1199"/>
              <w:gridCol w:w="1732"/>
            </w:tblGrid>
            <w:tr w14:paraId="5972AA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34" w:type="pct"/>
                  <w:tcBorders>
                    <w:tl2br w:val="nil"/>
                    <w:tr2bl w:val="nil"/>
                  </w:tcBorders>
                  <w:vAlign w:val="center"/>
                </w:tcPr>
                <w:p w14:paraId="5F1470FA">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序号</w:t>
                  </w:r>
                </w:p>
              </w:tc>
              <w:tc>
                <w:tcPr>
                  <w:tcW w:w="1369" w:type="pct"/>
                  <w:tcBorders>
                    <w:tl2br w:val="nil"/>
                    <w:tr2bl w:val="nil"/>
                  </w:tcBorders>
                  <w:vAlign w:val="center"/>
                </w:tcPr>
                <w:p w14:paraId="2E3F21C7">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声源名称</w:t>
                  </w:r>
                </w:p>
              </w:tc>
              <w:tc>
                <w:tcPr>
                  <w:tcW w:w="1137" w:type="pct"/>
                  <w:tcBorders>
                    <w:tl2br w:val="nil"/>
                    <w:tr2bl w:val="nil"/>
                  </w:tcBorders>
                  <w:vAlign w:val="center"/>
                </w:tcPr>
                <w:p w14:paraId="46FFABE7">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噪声</w:t>
                  </w:r>
                  <w:r>
                    <w:rPr>
                      <w:rFonts w:hint="eastAsia" w:ascii="Times New Roman" w:hAnsi="Times New Roman" w:eastAsiaTheme="minorEastAsia"/>
                      <w:color w:val="000000" w:themeColor="text1"/>
                      <w:sz w:val="21"/>
                      <w:szCs w:val="21"/>
                      <w:highlight w:val="none"/>
                      <w14:textFill>
                        <w14:solidFill>
                          <w14:schemeClr w14:val="tx1"/>
                        </w14:solidFill>
                      </w14:textFill>
                    </w:rPr>
                    <w:t>强度</w:t>
                  </w:r>
                  <w:r>
                    <w:rPr>
                      <w:rFonts w:ascii="Times New Roman" w:hAnsi="Times New Roman" w:eastAsiaTheme="minorEastAsia"/>
                      <w:color w:val="000000" w:themeColor="text1"/>
                      <w:sz w:val="21"/>
                      <w:szCs w:val="21"/>
                      <w:highlight w:val="none"/>
                      <w14:textFill>
                        <w14:solidFill>
                          <w14:schemeClr w14:val="tx1"/>
                        </w14:solidFill>
                      </w14:textFill>
                    </w:rPr>
                    <w:t>dB(A)</w:t>
                  </w:r>
                </w:p>
              </w:tc>
              <w:tc>
                <w:tcPr>
                  <w:tcW w:w="801" w:type="pct"/>
                  <w:tcBorders>
                    <w:tl2br w:val="nil"/>
                    <w:tr2bl w:val="nil"/>
                  </w:tcBorders>
                </w:tcPr>
                <w:p w14:paraId="06A42799">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测定距离</w:t>
                  </w:r>
                </w:p>
              </w:tc>
              <w:tc>
                <w:tcPr>
                  <w:tcW w:w="1157" w:type="pct"/>
                  <w:tcBorders>
                    <w:tl2br w:val="nil"/>
                    <w:tr2bl w:val="nil"/>
                  </w:tcBorders>
                  <w:vAlign w:val="center"/>
                </w:tcPr>
                <w:p w14:paraId="6A4709CA">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备注</w:t>
                  </w:r>
                </w:p>
              </w:tc>
            </w:tr>
            <w:tr w14:paraId="66242D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86" w:hRule="atLeast"/>
                <w:jc w:val="center"/>
              </w:trPr>
              <w:tc>
                <w:tcPr>
                  <w:tcW w:w="534" w:type="pct"/>
                  <w:tcBorders>
                    <w:tl2br w:val="nil"/>
                    <w:tr2bl w:val="nil"/>
                  </w:tcBorders>
                  <w:vAlign w:val="center"/>
                </w:tcPr>
                <w:p w14:paraId="1EF9C087">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1</w:t>
                  </w:r>
                </w:p>
              </w:tc>
              <w:tc>
                <w:tcPr>
                  <w:tcW w:w="1369" w:type="pct"/>
                  <w:tcBorders>
                    <w:tl2br w:val="nil"/>
                    <w:tr2bl w:val="nil"/>
                  </w:tcBorders>
                  <w:vAlign w:val="center"/>
                </w:tcPr>
                <w:p w14:paraId="6E5BB0C4">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钻机</w:t>
                  </w:r>
                </w:p>
              </w:tc>
              <w:tc>
                <w:tcPr>
                  <w:tcW w:w="1137" w:type="pct"/>
                  <w:tcBorders>
                    <w:tl2br w:val="nil"/>
                    <w:tr2bl w:val="nil"/>
                  </w:tcBorders>
                  <w:vAlign w:val="center"/>
                </w:tcPr>
                <w:p w14:paraId="4E99321C">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90</w:t>
                  </w:r>
                </w:p>
              </w:tc>
              <w:tc>
                <w:tcPr>
                  <w:tcW w:w="801" w:type="pct"/>
                  <w:tcBorders>
                    <w:tl2br w:val="nil"/>
                    <w:tr2bl w:val="nil"/>
                  </w:tcBorders>
                </w:tcPr>
                <w:p w14:paraId="404C7BDD">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1m</w:t>
                  </w:r>
                </w:p>
              </w:tc>
              <w:tc>
                <w:tcPr>
                  <w:tcW w:w="1157" w:type="pct"/>
                  <w:tcBorders>
                    <w:tl2br w:val="nil"/>
                    <w:tr2bl w:val="nil"/>
                  </w:tcBorders>
                  <w:vAlign w:val="center"/>
                </w:tcPr>
                <w:p w14:paraId="7F569BBD">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连续</w:t>
                  </w:r>
                </w:p>
              </w:tc>
            </w:tr>
            <w:tr w14:paraId="24603F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86" w:hRule="atLeast"/>
                <w:jc w:val="center"/>
              </w:trPr>
              <w:tc>
                <w:tcPr>
                  <w:tcW w:w="534" w:type="pct"/>
                  <w:tcBorders>
                    <w:tl2br w:val="nil"/>
                    <w:tr2bl w:val="nil"/>
                  </w:tcBorders>
                  <w:shd w:val="clear" w:color="auto" w:fill="auto"/>
                  <w:vAlign w:val="center"/>
                </w:tcPr>
                <w:p w14:paraId="14764E61">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2</w:t>
                  </w:r>
                </w:p>
              </w:tc>
              <w:tc>
                <w:tcPr>
                  <w:tcW w:w="1369" w:type="pct"/>
                  <w:tcBorders>
                    <w:tl2br w:val="nil"/>
                    <w:tr2bl w:val="nil"/>
                  </w:tcBorders>
                  <w:shd w:val="clear" w:color="auto" w:fill="auto"/>
                  <w:vAlign w:val="center"/>
                </w:tcPr>
                <w:p w14:paraId="73851FED">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lang w:val="en-US" w:eastAsia="zh-CN"/>
                      <w14:textFill>
                        <w14:solidFill>
                          <w14:schemeClr w14:val="tx1"/>
                        </w14:solidFill>
                      </w14:textFill>
                    </w:rPr>
                    <w:t>挖掘机</w:t>
                  </w:r>
                </w:p>
              </w:tc>
              <w:tc>
                <w:tcPr>
                  <w:tcW w:w="1137" w:type="pct"/>
                  <w:tcBorders>
                    <w:tl2br w:val="nil"/>
                    <w:tr2bl w:val="nil"/>
                  </w:tcBorders>
                  <w:shd w:val="clear" w:color="auto" w:fill="auto"/>
                  <w:vAlign w:val="center"/>
                </w:tcPr>
                <w:p w14:paraId="6EFB3B25">
                  <w:pPr>
                    <w:pStyle w:val="23"/>
                    <w:spacing w:line="240" w:lineRule="auto"/>
                    <w:ind w:firstLine="0" w:firstLineChars="0"/>
                    <w:jc w:val="center"/>
                    <w:rPr>
                      <w:rFonts w:hint="default"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lang w:val="en-US" w:eastAsia="zh-CN"/>
                      <w14:textFill>
                        <w14:solidFill>
                          <w14:schemeClr w14:val="tx1"/>
                        </w14:solidFill>
                      </w14:textFill>
                    </w:rPr>
                    <w:t>85</w:t>
                  </w:r>
                </w:p>
              </w:tc>
              <w:tc>
                <w:tcPr>
                  <w:tcW w:w="801" w:type="pct"/>
                  <w:tcBorders>
                    <w:tl2br w:val="nil"/>
                    <w:tr2bl w:val="nil"/>
                  </w:tcBorders>
                  <w:shd w:val="clear" w:color="auto" w:fill="auto"/>
                  <w:vAlign w:val="center"/>
                </w:tcPr>
                <w:p w14:paraId="17202329">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1m</w:t>
                  </w:r>
                </w:p>
              </w:tc>
              <w:tc>
                <w:tcPr>
                  <w:tcW w:w="1157" w:type="pct"/>
                  <w:tcBorders>
                    <w:tl2br w:val="nil"/>
                    <w:tr2bl w:val="nil"/>
                  </w:tcBorders>
                  <w:shd w:val="clear" w:color="auto" w:fill="auto"/>
                  <w:vAlign w:val="center"/>
                </w:tcPr>
                <w:p w14:paraId="63D4AB42">
                  <w:pPr>
                    <w:pStyle w:val="23"/>
                    <w:spacing w:line="240" w:lineRule="auto"/>
                    <w:ind w:firstLine="0" w:firstLineChars="0"/>
                    <w:jc w:val="center"/>
                    <w:rPr>
                      <w:rFonts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间歇</w:t>
                  </w:r>
                </w:p>
              </w:tc>
            </w:tr>
            <w:tr w14:paraId="041AA7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34" w:type="pct"/>
                  <w:tcBorders>
                    <w:tl2br w:val="nil"/>
                    <w:tr2bl w:val="nil"/>
                  </w:tcBorders>
                  <w:shd w:val="clear" w:color="auto" w:fill="auto"/>
                  <w:vAlign w:val="center"/>
                </w:tcPr>
                <w:p w14:paraId="14DFF249">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lang w:val="en-US" w:eastAsia="zh-CN"/>
                      <w14:textFill>
                        <w14:solidFill>
                          <w14:schemeClr w14:val="tx1"/>
                        </w14:solidFill>
                      </w14:textFill>
                    </w:rPr>
                    <w:t>3</w:t>
                  </w:r>
                </w:p>
              </w:tc>
              <w:tc>
                <w:tcPr>
                  <w:tcW w:w="1369" w:type="pct"/>
                  <w:tcBorders>
                    <w:tl2br w:val="nil"/>
                    <w:tr2bl w:val="nil"/>
                  </w:tcBorders>
                  <w:vAlign w:val="center"/>
                </w:tcPr>
                <w:p w14:paraId="6E5E8959">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柴油发电机</w:t>
                  </w:r>
                </w:p>
              </w:tc>
              <w:tc>
                <w:tcPr>
                  <w:tcW w:w="1137" w:type="pct"/>
                  <w:tcBorders>
                    <w:tl2br w:val="nil"/>
                    <w:tr2bl w:val="nil"/>
                  </w:tcBorders>
                  <w:vAlign w:val="center"/>
                </w:tcPr>
                <w:p w14:paraId="3BC80954">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90</w:t>
                  </w:r>
                </w:p>
              </w:tc>
              <w:tc>
                <w:tcPr>
                  <w:tcW w:w="801" w:type="pct"/>
                  <w:tcBorders>
                    <w:tl2br w:val="nil"/>
                    <w:tr2bl w:val="nil"/>
                  </w:tcBorders>
                  <w:vAlign w:val="center"/>
                </w:tcPr>
                <w:p w14:paraId="06C938C8">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1m</w:t>
                  </w:r>
                </w:p>
              </w:tc>
              <w:tc>
                <w:tcPr>
                  <w:tcW w:w="1157" w:type="pct"/>
                  <w:tcBorders>
                    <w:tl2br w:val="nil"/>
                    <w:tr2bl w:val="nil"/>
                  </w:tcBorders>
                  <w:vAlign w:val="center"/>
                </w:tcPr>
                <w:p w14:paraId="2D553B3E">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连续</w:t>
                  </w:r>
                </w:p>
              </w:tc>
            </w:tr>
            <w:tr w14:paraId="58B9DA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534" w:type="pct"/>
                  <w:tcBorders>
                    <w:tl2br w:val="nil"/>
                    <w:tr2bl w:val="nil"/>
                  </w:tcBorders>
                  <w:vAlign w:val="center"/>
                </w:tcPr>
                <w:p w14:paraId="3E37A318">
                  <w:pPr>
                    <w:pStyle w:val="23"/>
                    <w:spacing w:line="240" w:lineRule="auto"/>
                    <w:ind w:firstLine="0" w:firstLineChars="0"/>
                    <w:jc w:val="center"/>
                    <w:rPr>
                      <w:rFonts w:hint="default" w:ascii="Times New Roman" w:hAnsi="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eastAsiaTheme="minorEastAsia"/>
                      <w:color w:val="000000" w:themeColor="text1"/>
                      <w:sz w:val="21"/>
                      <w:szCs w:val="21"/>
                      <w:highlight w:val="none"/>
                      <w:lang w:val="en-US" w:eastAsia="zh-CN"/>
                      <w14:textFill>
                        <w14:solidFill>
                          <w14:schemeClr w14:val="tx1"/>
                        </w14:solidFill>
                      </w14:textFill>
                    </w:rPr>
                    <w:t>4</w:t>
                  </w:r>
                </w:p>
              </w:tc>
              <w:tc>
                <w:tcPr>
                  <w:tcW w:w="1369" w:type="pct"/>
                  <w:tcBorders>
                    <w:tl2br w:val="nil"/>
                    <w:tr2bl w:val="nil"/>
                  </w:tcBorders>
                  <w:vAlign w:val="center"/>
                </w:tcPr>
                <w:p w14:paraId="7778927A">
                  <w:pPr>
                    <w:pStyle w:val="23"/>
                    <w:spacing w:line="240" w:lineRule="auto"/>
                    <w:ind w:firstLine="0" w:firstLineChars="0"/>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越野车（运输车辆）</w:t>
                  </w:r>
                </w:p>
              </w:tc>
              <w:tc>
                <w:tcPr>
                  <w:tcW w:w="1137" w:type="pct"/>
                  <w:tcBorders>
                    <w:tl2br w:val="nil"/>
                    <w:tr2bl w:val="nil"/>
                  </w:tcBorders>
                  <w:vAlign w:val="center"/>
                </w:tcPr>
                <w:p w14:paraId="67984C74">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85</w:t>
                  </w:r>
                </w:p>
              </w:tc>
              <w:tc>
                <w:tcPr>
                  <w:tcW w:w="801" w:type="pct"/>
                  <w:tcBorders>
                    <w:tl2br w:val="nil"/>
                    <w:tr2bl w:val="nil"/>
                  </w:tcBorders>
                  <w:vAlign w:val="center"/>
                </w:tcPr>
                <w:p w14:paraId="51398A7A">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1m</w:t>
                  </w:r>
                </w:p>
              </w:tc>
              <w:tc>
                <w:tcPr>
                  <w:tcW w:w="1157" w:type="pct"/>
                  <w:tcBorders>
                    <w:tl2br w:val="nil"/>
                    <w:tr2bl w:val="nil"/>
                  </w:tcBorders>
                  <w:vAlign w:val="center"/>
                </w:tcPr>
                <w:p w14:paraId="5DCCE8C8">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流动</w:t>
                  </w:r>
                </w:p>
              </w:tc>
            </w:tr>
          </w:tbl>
          <w:p w14:paraId="6D1284AE">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（1）预测模式</w:t>
            </w:r>
          </w:p>
          <w:p w14:paraId="7A78FB92">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施工过</w:t>
            </w:r>
            <w:r>
              <w:rPr>
                <w:rFonts w:hint="eastAsia"/>
                <w:color w:val="000000" w:themeColor="text1"/>
                <w:highlight w:val="none"/>
                <w:lang w:eastAsia="zh-CN"/>
                <w14:textFill>
                  <w14:solidFill>
                    <w14:schemeClr w14:val="tx1"/>
                  </w14:solidFill>
                </w14:textFill>
              </w:rPr>
              <w:t>程中</w:t>
            </w:r>
            <w:r>
              <w:rPr>
                <w:rFonts w:hint="eastAsia"/>
                <w:color w:val="000000" w:themeColor="text1"/>
                <w:highlight w:val="none"/>
                <w14:textFill>
                  <w14:solidFill>
                    <w14:schemeClr w14:val="tx1"/>
                  </w14:solidFill>
                </w14:textFill>
              </w:rPr>
              <w:t>使用的施工机械产生的噪声主要属于中低频率噪声，且为户外噪声，在预测其影响时只考虑其距离扩散衰减。</w:t>
            </w:r>
          </w:p>
          <w:p w14:paraId="0E5813B1">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根据《环境影响评价技术导则声环境》（HJ2.4-2021）中附录A“户外声传播的衰减”推荐的预测模式，预测分析项目施工期噪声对声环境的影响。预测模式及参数：</w:t>
            </w:r>
          </w:p>
          <w:p w14:paraId="63F82652">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点声源的几何发散衰减公式：</w:t>
            </w:r>
          </w:p>
          <w:p w14:paraId="22847C2B">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drawing>
                <wp:anchor distT="0" distB="0" distL="0" distR="0" simplePos="0" relativeHeight="251659264" behindDoc="1" locked="0" layoutInCell="1" allowOverlap="1">
                  <wp:simplePos x="0" y="0"/>
                  <wp:positionH relativeFrom="column">
                    <wp:posOffset>287655</wp:posOffset>
                  </wp:positionH>
                  <wp:positionV relativeFrom="paragraph">
                    <wp:posOffset>24765</wp:posOffset>
                  </wp:positionV>
                  <wp:extent cx="2406650" cy="360045"/>
                  <wp:effectExtent l="0" t="0" r="12700" b="190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2421308" cy="362425"/>
                          </a:xfrm>
                          <a:prstGeom prst="rect">
                            <a:avLst/>
                          </a:prstGeom>
                        </pic:spPr>
                      </pic:pic>
                    </a:graphicData>
                  </a:graphic>
                </wp:anchor>
              </w:drawing>
            </w:r>
          </w:p>
          <w:p w14:paraId="3BACD008">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式中：Lp（r）——预测点处声压级，dB；</w:t>
            </w:r>
          </w:p>
          <w:p w14:paraId="6FB5867D">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Lp（r0）——参考位置r0处的声压级，dB；</w:t>
            </w:r>
          </w:p>
          <w:p w14:paraId="21F56378">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r——预测点距声源的距离；</w:t>
            </w:r>
          </w:p>
          <w:p w14:paraId="5DF5C863">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r0——参考位置距声源的距离。</w:t>
            </w:r>
          </w:p>
          <w:p w14:paraId="391556FB">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（2）噪声预测值</w:t>
            </w:r>
          </w:p>
          <w:p w14:paraId="02B6ACEF">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将项目各种噪声源均简化为点声源，项目主要机械设备在不同距离的贡献值预测结果见下表。</w:t>
            </w:r>
          </w:p>
          <w:p w14:paraId="351506D2">
            <w:pPr>
              <w:pStyle w:val="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表4-</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生产机械噪声预测一览表</w:t>
            </w:r>
          </w:p>
          <w:tbl>
            <w:tblPr>
              <w:tblStyle w:val="28"/>
              <w:tblW w:w="5000" w:type="pct"/>
              <w:tblInd w:w="15"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994"/>
              <w:gridCol w:w="840"/>
              <w:gridCol w:w="590"/>
              <w:gridCol w:w="632"/>
              <w:gridCol w:w="632"/>
              <w:gridCol w:w="632"/>
              <w:gridCol w:w="701"/>
              <w:gridCol w:w="711"/>
              <w:gridCol w:w="751"/>
            </w:tblGrid>
            <w:tr w14:paraId="50D2CD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 w:hRule="atLeast"/>
              </w:trPr>
              <w:tc>
                <w:tcPr>
                  <w:tcW w:w="1333" w:type="pct"/>
                  <w:vMerge w:val="restart"/>
                  <w:tcBorders>
                    <w:tl2br w:val="nil"/>
                    <w:tr2bl w:val="nil"/>
                  </w:tcBorders>
                  <w:vAlign w:val="center"/>
                </w:tcPr>
                <w:p w14:paraId="02B37066">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机械类型</w:t>
                  </w:r>
                </w:p>
              </w:tc>
              <w:tc>
                <w:tcPr>
                  <w:tcW w:w="561" w:type="pct"/>
                  <w:vMerge w:val="restart"/>
                  <w:tcBorders>
                    <w:tl2br w:val="nil"/>
                    <w:tr2bl w:val="nil"/>
                  </w:tcBorders>
                  <w:vAlign w:val="center"/>
                </w:tcPr>
                <w:p w14:paraId="38EBB5D3">
                  <w:pPr>
                    <w:pStyle w:val="23"/>
                    <w:spacing w:line="240" w:lineRule="auto"/>
                    <w:ind w:firstLine="0" w:firstLineChars="0"/>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源强（1m处）</w:t>
                  </w:r>
                </w:p>
              </w:tc>
              <w:tc>
                <w:tcPr>
                  <w:tcW w:w="3105" w:type="pct"/>
                  <w:gridSpan w:val="7"/>
                  <w:tcBorders>
                    <w:tl2br w:val="nil"/>
                    <w:tr2bl w:val="nil"/>
                  </w:tcBorders>
                  <w:vAlign w:val="center"/>
                </w:tcPr>
                <w:p w14:paraId="45AB1F0B">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噪声</w:t>
                  </w:r>
                  <w:r>
                    <w:rPr>
                      <w:rFonts w:hint="eastAsia" w:ascii="Times New Roman" w:hAnsi="Times New Roman" w:eastAsiaTheme="minorEastAsia"/>
                      <w:color w:val="000000" w:themeColor="text1"/>
                      <w:sz w:val="21"/>
                      <w:szCs w:val="21"/>
                      <w:highlight w:val="none"/>
                      <w14:textFill>
                        <w14:solidFill>
                          <w14:schemeClr w14:val="tx1"/>
                        </w14:solidFill>
                      </w14:textFill>
                    </w:rPr>
                    <w:t>强度</w:t>
                  </w:r>
                  <w:r>
                    <w:rPr>
                      <w:rFonts w:ascii="Times New Roman" w:hAnsi="Times New Roman" w:eastAsiaTheme="minorEastAsia"/>
                      <w:color w:val="000000" w:themeColor="text1"/>
                      <w:sz w:val="21"/>
                      <w:szCs w:val="21"/>
                      <w:highlight w:val="none"/>
                      <w14:textFill>
                        <w14:solidFill>
                          <w14:schemeClr w14:val="tx1"/>
                        </w14:solidFill>
                      </w14:textFill>
                    </w:rPr>
                    <w:t>dB</w:t>
                  </w:r>
                  <w:r>
                    <w:rPr>
                      <w:rFonts w:hint="eastAsia" w:ascii="Times New Roman" w:hAnsi="Times New Roman" w:eastAsiaTheme="minorEastAsia"/>
                      <w:color w:val="000000" w:themeColor="text1"/>
                      <w:sz w:val="21"/>
                      <w:szCs w:val="21"/>
                      <w:highlight w:val="none"/>
                      <w14:textFill>
                        <w14:solidFill>
                          <w14:schemeClr w14:val="tx1"/>
                        </w14:solidFill>
                      </w14:textFill>
                    </w:rPr>
                    <w:t>（A）</w:t>
                  </w:r>
                </w:p>
              </w:tc>
            </w:tr>
            <w:tr w14:paraId="790BFB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06" w:hRule="atLeast"/>
              </w:trPr>
              <w:tc>
                <w:tcPr>
                  <w:tcW w:w="1333" w:type="pct"/>
                  <w:vMerge w:val="continue"/>
                  <w:tcBorders>
                    <w:tl2br w:val="nil"/>
                    <w:tr2bl w:val="nil"/>
                  </w:tcBorders>
                  <w:vAlign w:val="center"/>
                </w:tcPr>
                <w:p w14:paraId="42132BB2">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p>
              </w:tc>
              <w:tc>
                <w:tcPr>
                  <w:tcW w:w="561" w:type="pct"/>
                  <w:vMerge w:val="continue"/>
                  <w:tcBorders>
                    <w:tl2br w:val="nil"/>
                    <w:tr2bl w:val="nil"/>
                  </w:tcBorders>
                  <w:vAlign w:val="center"/>
                </w:tcPr>
                <w:p w14:paraId="74802FEA">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p>
              </w:tc>
              <w:tc>
                <w:tcPr>
                  <w:tcW w:w="394" w:type="pct"/>
                  <w:tcBorders>
                    <w:tl2br w:val="nil"/>
                    <w:tr2bl w:val="nil"/>
                  </w:tcBorders>
                  <w:vAlign w:val="center"/>
                </w:tcPr>
                <w:p w14:paraId="74BB258E">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1</w:t>
                  </w:r>
                  <w:r>
                    <w:rPr>
                      <w:rFonts w:ascii="Times New Roman" w:hAnsi="Times New Roman" w:eastAsiaTheme="minorEastAsia"/>
                      <w:color w:val="000000" w:themeColor="text1"/>
                      <w:sz w:val="21"/>
                      <w:szCs w:val="21"/>
                      <w:highlight w:val="none"/>
                      <w14:textFill>
                        <w14:solidFill>
                          <w14:schemeClr w14:val="tx1"/>
                        </w14:solidFill>
                      </w14:textFill>
                    </w:rPr>
                    <w:t>0m</w:t>
                  </w:r>
                </w:p>
              </w:tc>
              <w:tc>
                <w:tcPr>
                  <w:tcW w:w="422" w:type="pct"/>
                  <w:tcBorders>
                    <w:tl2br w:val="nil"/>
                    <w:tr2bl w:val="nil"/>
                  </w:tcBorders>
                  <w:vAlign w:val="center"/>
                </w:tcPr>
                <w:p w14:paraId="4A9CBB09">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20m</w:t>
                  </w:r>
                </w:p>
              </w:tc>
              <w:tc>
                <w:tcPr>
                  <w:tcW w:w="422" w:type="pct"/>
                  <w:tcBorders>
                    <w:tl2br w:val="nil"/>
                    <w:tr2bl w:val="nil"/>
                  </w:tcBorders>
                  <w:vAlign w:val="center"/>
                </w:tcPr>
                <w:p w14:paraId="79C02B3F">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30m</w:t>
                  </w:r>
                </w:p>
              </w:tc>
              <w:tc>
                <w:tcPr>
                  <w:tcW w:w="422" w:type="pct"/>
                  <w:tcBorders>
                    <w:tl2br w:val="nil"/>
                    <w:tr2bl w:val="nil"/>
                  </w:tcBorders>
                  <w:vAlign w:val="center"/>
                </w:tcPr>
                <w:p w14:paraId="5C480E11">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40m</w:t>
                  </w:r>
                </w:p>
              </w:tc>
              <w:tc>
                <w:tcPr>
                  <w:tcW w:w="468" w:type="pct"/>
                  <w:tcBorders>
                    <w:tl2br w:val="nil"/>
                    <w:tr2bl w:val="nil"/>
                  </w:tcBorders>
                  <w:vAlign w:val="center"/>
                </w:tcPr>
                <w:p w14:paraId="53507785">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50m</w:t>
                  </w:r>
                </w:p>
              </w:tc>
              <w:tc>
                <w:tcPr>
                  <w:tcW w:w="475" w:type="pct"/>
                  <w:tcBorders>
                    <w:tl2br w:val="nil"/>
                    <w:tr2bl w:val="nil"/>
                  </w:tcBorders>
                  <w:vAlign w:val="center"/>
                </w:tcPr>
                <w:p w14:paraId="5105FEE2">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1</w:t>
                  </w:r>
                  <w:r>
                    <w:rPr>
                      <w:rFonts w:ascii="Times New Roman" w:hAnsi="Times New Roman" w:eastAsiaTheme="minorEastAsia"/>
                      <w:color w:val="000000" w:themeColor="text1"/>
                      <w:sz w:val="21"/>
                      <w:szCs w:val="21"/>
                      <w:highlight w:val="none"/>
                      <w14:textFill>
                        <w14:solidFill>
                          <w14:schemeClr w14:val="tx1"/>
                        </w14:solidFill>
                      </w14:textFill>
                    </w:rPr>
                    <w:t>00m</w:t>
                  </w:r>
                </w:p>
              </w:tc>
              <w:tc>
                <w:tcPr>
                  <w:tcW w:w="497" w:type="pct"/>
                  <w:tcBorders>
                    <w:tl2br w:val="nil"/>
                    <w:tr2bl w:val="nil"/>
                  </w:tcBorders>
                  <w:vAlign w:val="center"/>
                </w:tcPr>
                <w:p w14:paraId="6E100E92">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200m</w:t>
                  </w:r>
                </w:p>
              </w:tc>
            </w:tr>
            <w:tr w14:paraId="02EE15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1333" w:type="pct"/>
                  <w:tcBorders>
                    <w:tl2br w:val="nil"/>
                    <w:tr2bl w:val="nil"/>
                  </w:tcBorders>
                  <w:vAlign w:val="center"/>
                </w:tcPr>
                <w:p w14:paraId="5BBCAFD3">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钻机</w:t>
                  </w:r>
                </w:p>
              </w:tc>
              <w:tc>
                <w:tcPr>
                  <w:tcW w:w="561" w:type="pct"/>
                  <w:tcBorders>
                    <w:tl2br w:val="nil"/>
                    <w:tr2bl w:val="nil"/>
                  </w:tcBorders>
                  <w:vAlign w:val="center"/>
                </w:tcPr>
                <w:p w14:paraId="70B20665">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90</w:t>
                  </w:r>
                </w:p>
              </w:tc>
              <w:tc>
                <w:tcPr>
                  <w:tcW w:w="394" w:type="pct"/>
                  <w:tcBorders>
                    <w:tl2br w:val="nil"/>
                    <w:tr2bl w:val="nil"/>
                  </w:tcBorders>
                  <w:vAlign w:val="center"/>
                </w:tcPr>
                <w:p w14:paraId="78AC3B3C">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7</w:t>
                  </w:r>
                  <w:r>
                    <w:rPr>
                      <w:rFonts w:ascii="Times New Roman" w:hAnsi="Times New Roman" w:eastAsiaTheme="minorEastAsia"/>
                      <w:color w:val="000000" w:themeColor="text1"/>
                      <w:sz w:val="21"/>
                      <w:szCs w:val="21"/>
                      <w:highlight w:val="none"/>
                      <w14:textFill>
                        <w14:solidFill>
                          <w14:schemeClr w14:val="tx1"/>
                        </w14:solidFill>
                      </w14:textFill>
                    </w:rPr>
                    <w:t>0.0</w:t>
                  </w:r>
                </w:p>
              </w:tc>
              <w:tc>
                <w:tcPr>
                  <w:tcW w:w="422" w:type="pct"/>
                  <w:tcBorders>
                    <w:tl2br w:val="nil"/>
                    <w:tr2bl w:val="nil"/>
                  </w:tcBorders>
                  <w:vAlign w:val="center"/>
                </w:tcPr>
                <w:p w14:paraId="02697864">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6</w:t>
                  </w:r>
                  <w:r>
                    <w:rPr>
                      <w:rFonts w:ascii="Times New Roman" w:hAnsi="Times New Roman" w:eastAsiaTheme="minorEastAsia"/>
                      <w:color w:val="000000" w:themeColor="text1"/>
                      <w:sz w:val="21"/>
                      <w:szCs w:val="21"/>
                      <w:highlight w:val="none"/>
                      <w14:textFill>
                        <w14:solidFill>
                          <w14:schemeClr w14:val="tx1"/>
                        </w14:solidFill>
                      </w14:textFill>
                    </w:rPr>
                    <w:t>4.0</w:t>
                  </w:r>
                </w:p>
              </w:tc>
              <w:tc>
                <w:tcPr>
                  <w:tcW w:w="422" w:type="pct"/>
                  <w:tcBorders>
                    <w:tl2br w:val="nil"/>
                    <w:tr2bl w:val="nil"/>
                  </w:tcBorders>
                  <w:vAlign w:val="center"/>
                </w:tcPr>
                <w:p w14:paraId="233C5717">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6</w:t>
                  </w:r>
                  <w:r>
                    <w:rPr>
                      <w:rFonts w:ascii="Times New Roman" w:hAnsi="Times New Roman" w:eastAsiaTheme="minorEastAsia"/>
                      <w:color w:val="000000" w:themeColor="text1"/>
                      <w:sz w:val="21"/>
                      <w:szCs w:val="21"/>
                      <w:highlight w:val="none"/>
                      <w14:textFill>
                        <w14:solidFill>
                          <w14:schemeClr w14:val="tx1"/>
                        </w14:solidFill>
                      </w14:textFill>
                    </w:rPr>
                    <w:t>0.5</w:t>
                  </w:r>
                </w:p>
              </w:tc>
              <w:tc>
                <w:tcPr>
                  <w:tcW w:w="422" w:type="pct"/>
                  <w:tcBorders>
                    <w:tl2br w:val="nil"/>
                    <w:tr2bl w:val="nil"/>
                  </w:tcBorders>
                  <w:vAlign w:val="center"/>
                </w:tcPr>
                <w:p w14:paraId="5CE5E120">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8.0</w:t>
                  </w:r>
                </w:p>
              </w:tc>
              <w:tc>
                <w:tcPr>
                  <w:tcW w:w="468" w:type="pct"/>
                  <w:tcBorders>
                    <w:tl2br w:val="nil"/>
                    <w:tr2bl w:val="nil"/>
                  </w:tcBorders>
                  <w:vAlign w:val="center"/>
                </w:tcPr>
                <w:p w14:paraId="79FA7C50">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6.0</w:t>
                  </w:r>
                </w:p>
              </w:tc>
              <w:tc>
                <w:tcPr>
                  <w:tcW w:w="475" w:type="pct"/>
                  <w:tcBorders>
                    <w:tl2br w:val="nil"/>
                    <w:tr2bl w:val="nil"/>
                  </w:tcBorders>
                  <w:vAlign w:val="center"/>
                </w:tcPr>
                <w:p w14:paraId="197FF44A">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0.0</w:t>
                  </w:r>
                </w:p>
              </w:tc>
              <w:tc>
                <w:tcPr>
                  <w:tcW w:w="497" w:type="pct"/>
                  <w:tcBorders>
                    <w:tl2br w:val="nil"/>
                    <w:tr2bl w:val="nil"/>
                  </w:tcBorders>
                  <w:vAlign w:val="center"/>
                </w:tcPr>
                <w:p w14:paraId="5CCB6BA9">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4</w:t>
                  </w:r>
                  <w:r>
                    <w:rPr>
                      <w:rFonts w:ascii="Times New Roman" w:hAnsi="Times New Roman" w:eastAsiaTheme="minorEastAsia"/>
                      <w:color w:val="000000" w:themeColor="text1"/>
                      <w:sz w:val="21"/>
                      <w:szCs w:val="21"/>
                      <w:highlight w:val="none"/>
                      <w14:textFill>
                        <w14:solidFill>
                          <w14:schemeClr w14:val="tx1"/>
                        </w14:solidFill>
                      </w14:textFill>
                    </w:rPr>
                    <w:t>4.0</w:t>
                  </w:r>
                </w:p>
              </w:tc>
            </w:tr>
            <w:tr w14:paraId="6C90B3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1333" w:type="pct"/>
                  <w:tcBorders>
                    <w:tl2br w:val="nil"/>
                    <w:tr2bl w:val="nil"/>
                  </w:tcBorders>
                  <w:shd w:val="clear" w:color="auto" w:fill="auto"/>
                  <w:vAlign w:val="center"/>
                </w:tcPr>
                <w:p w14:paraId="07888D71">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lang w:val="en-US" w:eastAsia="zh-CN"/>
                      <w14:textFill>
                        <w14:solidFill>
                          <w14:schemeClr w14:val="tx1"/>
                        </w14:solidFill>
                      </w14:textFill>
                    </w:rPr>
                    <w:t>挖掘机</w:t>
                  </w:r>
                </w:p>
              </w:tc>
              <w:tc>
                <w:tcPr>
                  <w:tcW w:w="561" w:type="pct"/>
                  <w:tcBorders>
                    <w:tl2br w:val="nil"/>
                    <w:tr2bl w:val="nil"/>
                  </w:tcBorders>
                  <w:shd w:val="clear" w:color="auto" w:fill="auto"/>
                  <w:vAlign w:val="center"/>
                </w:tcPr>
                <w:p w14:paraId="35CA99F1">
                  <w:pPr>
                    <w:pStyle w:val="23"/>
                    <w:spacing w:line="240" w:lineRule="auto"/>
                    <w:ind w:firstLine="0" w:firstLineChars="0"/>
                    <w:jc w:val="center"/>
                    <w:rPr>
                      <w:rFonts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85</w:t>
                  </w:r>
                </w:p>
              </w:tc>
              <w:tc>
                <w:tcPr>
                  <w:tcW w:w="394" w:type="pct"/>
                  <w:tcBorders>
                    <w:tl2br w:val="nil"/>
                    <w:tr2bl w:val="nil"/>
                  </w:tcBorders>
                  <w:shd w:val="clear" w:color="auto" w:fill="auto"/>
                  <w:vAlign w:val="center"/>
                </w:tcPr>
                <w:p w14:paraId="25CC4392">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6</w:t>
                  </w:r>
                  <w:r>
                    <w:rPr>
                      <w:rFonts w:ascii="Times New Roman" w:hAnsi="Times New Roman" w:eastAsiaTheme="minorEastAsia"/>
                      <w:color w:val="000000" w:themeColor="text1"/>
                      <w:sz w:val="21"/>
                      <w:szCs w:val="21"/>
                      <w:highlight w:val="none"/>
                      <w14:textFill>
                        <w14:solidFill>
                          <w14:schemeClr w14:val="tx1"/>
                        </w14:solidFill>
                      </w14:textFill>
                    </w:rPr>
                    <w:t>5.0</w:t>
                  </w:r>
                </w:p>
              </w:tc>
              <w:tc>
                <w:tcPr>
                  <w:tcW w:w="422" w:type="pct"/>
                  <w:tcBorders>
                    <w:tl2br w:val="nil"/>
                    <w:tr2bl w:val="nil"/>
                  </w:tcBorders>
                  <w:shd w:val="clear" w:color="auto" w:fill="auto"/>
                  <w:vAlign w:val="center"/>
                </w:tcPr>
                <w:p w14:paraId="1C82B8E4">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9.0</w:t>
                  </w:r>
                </w:p>
              </w:tc>
              <w:tc>
                <w:tcPr>
                  <w:tcW w:w="422" w:type="pct"/>
                  <w:tcBorders>
                    <w:tl2br w:val="nil"/>
                    <w:tr2bl w:val="nil"/>
                  </w:tcBorders>
                  <w:shd w:val="clear" w:color="auto" w:fill="auto"/>
                  <w:vAlign w:val="center"/>
                </w:tcPr>
                <w:p w14:paraId="370B4563">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5.5</w:t>
                  </w:r>
                </w:p>
              </w:tc>
              <w:tc>
                <w:tcPr>
                  <w:tcW w:w="422" w:type="pct"/>
                  <w:tcBorders>
                    <w:tl2br w:val="nil"/>
                    <w:tr2bl w:val="nil"/>
                  </w:tcBorders>
                  <w:shd w:val="clear" w:color="auto" w:fill="auto"/>
                  <w:vAlign w:val="center"/>
                </w:tcPr>
                <w:p w14:paraId="45B9C5A2">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3.0</w:t>
                  </w:r>
                </w:p>
              </w:tc>
              <w:tc>
                <w:tcPr>
                  <w:tcW w:w="468" w:type="pct"/>
                  <w:tcBorders>
                    <w:tl2br w:val="nil"/>
                    <w:tr2bl w:val="nil"/>
                  </w:tcBorders>
                  <w:shd w:val="clear" w:color="auto" w:fill="auto"/>
                  <w:vAlign w:val="center"/>
                </w:tcPr>
                <w:p w14:paraId="58C4FB26">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1.0</w:t>
                  </w:r>
                </w:p>
              </w:tc>
              <w:tc>
                <w:tcPr>
                  <w:tcW w:w="475" w:type="pct"/>
                  <w:tcBorders>
                    <w:tl2br w:val="nil"/>
                    <w:tr2bl w:val="nil"/>
                  </w:tcBorders>
                  <w:shd w:val="clear" w:color="auto" w:fill="auto"/>
                  <w:vAlign w:val="center"/>
                </w:tcPr>
                <w:p w14:paraId="7F2170C1">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4</w:t>
                  </w:r>
                  <w:r>
                    <w:rPr>
                      <w:rFonts w:ascii="Times New Roman" w:hAnsi="Times New Roman" w:eastAsiaTheme="minorEastAsia"/>
                      <w:color w:val="000000" w:themeColor="text1"/>
                      <w:sz w:val="21"/>
                      <w:szCs w:val="21"/>
                      <w:highlight w:val="none"/>
                      <w14:textFill>
                        <w14:solidFill>
                          <w14:schemeClr w14:val="tx1"/>
                        </w14:solidFill>
                      </w14:textFill>
                    </w:rPr>
                    <w:t>5.0</w:t>
                  </w:r>
                </w:p>
              </w:tc>
              <w:tc>
                <w:tcPr>
                  <w:tcW w:w="497" w:type="pct"/>
                  <w:tcBorders>
                    <w:tl2br w:val="nil"/>
                    <w:tr2bl w:val="nil"/>
                  </w:tcBorders>
                  <w:shd w:val="clear" w:color="auto" w:fill="auto"/>
                  <w:vAlign w:val="center"/>
                </w:tcPr>
                <w:p w14:paraId="6082CDEC">
                  <w:pPr>
                    <w:pStyle w:val="23"/>
                    <w:spacing w:line="240" w:lineRule="auto"/>
                    <w:ind w:firstLine="0" w:firstLineChars="0"/>
                    <w:jc w:val="center"/>
                    <w:rPr>
                      <w:rFonts w:hint="eastAsia" w:ascii="Times New Roman" w:hAnsi="Times New Roman" w:cs="Times New Roman" w:eastAsiaTheme="minorEastAsia"/>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3</w:t>
                  </w:r>
                  <w:r>
                    <w:rPr>
                      <w:rFonts w:ascii="Times New Roman" w:hAnsi="Times New Roman" w:eastAsiaTheme="minorEastAsia"/>
                      <w:color w:val="000000" w:themeColor="text1"/>
                      <w:sz w:val="21"/>
                      <w:szCs w:val="21"/>
                      <w:highlight w:val="none"/>
                      <w14:textFill>
                        <w14:solidFill>
                          <w14:schemeClr w14:val="tx1"/>
                        </w14:solidFill>
                      </w14:textFill>
                    </w:rPr>
                    <w:t>9.0</w:t>
                  </w:r>
                </w:p>
              </w:tc>
            </w:tr>
            <w:tr w14:paraId="7003EB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1333" w:type="pct"/>
                  <w:tcBorders>
                    <w:tl2br w:val="nil"/>
                    <w:tr2bl w:val="nil"/>
                  </w:tcBorders>
                  <w:vAlign w:val="center"/>
                </w:tcPr>
                <w:p w14:paraId="02C53B0C">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柴油发电机</w:t>
                  </w:r>
                </w:p>
              </w:tc>
              <w:tc>
                <w:tcPr>
                  <w:tcW w:w="561" w:type="pct"/>
                  <w:tcBorders>
                    <w:tl2br w:val="nil"/>
                    <w:tr2bl w:val="nil"/>
                  </w:tcBorders>
                  <w:vAlign w:val="center"/>
                </w:tcPr>
                <w:p w14:paraId="6376FC19">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90</w:t>
                  </w:r>
                </w:p>
              </w:tc>
              <w:tc>
                <w:tcPr>
                  <w:tcW w:w="394" w:type="pct"/>
                  <w:tcBorders>
                    <w:tl2br w:val="nil"/>
                    <w:tr2bl w:val="nil"/>
                  </w:tcBorders>
                  <w:vAlign w:val="center"/>
                </w:tcPr>
                <w:p w14:paraId="66B23985">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7</w:t>
                  </w:r>
                  <w:r>
                    <w:rPr>
                      <w:rFonts w:ascii="Times New Roman" w:hAnsi="Times New Roman" w:eastAsiaTheme="minorEastAsia"/>
                      <w:color w:val="000000" w:themeColor="text1"/>
                      <w:sz w:val="21"/>
                      <w:szCs w:val="21"/>
                      <w:highlight w:val="none"/>
                      <w14:textFill>
                        <w14:solidFill>
                          <w14:schemeClr w14:val="tx1"/>
                        </w14:solidFill>
                      </w14:textFill>
                    </w:rPr>
                    <w:t>0.0</w:t>
                  </w:r>
                </w:p>
              </w:tc>
              <w:tc>
                <w:tcPr>
                  <w:tcW w:w="422" w:type="pct"/>
                  <w:tcBorders>
                    <w:tl2br w:val="nil"/>
                    <w:tr2bl w:val="nil"/>
                  </w:tcBorders>
                  <w:vAlign w:val="center"/>
                </w:tcPr>
                <w:p w14:paraId="5E5591D6">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6</w:t>
                  </w:r>
                  <w:r>
                    <w:rPr>
                      <w:rFonts w:ascii="Times New Roman" w:hAnsi="Times New Roman" w:eastAsiaTheme="minorEastAsia"/>
                      <w:color w:val="000000" w:themeColor="text1"/>
                      <w:sz w:val="21"/>
                      <w:szCs w:val="21"/>
                      <w:highlight w:val="none"/>
                      <w14:textFill>
                        <w14:solidFill>
                          <w14:schemeClr w14:val="tx1"/>
                        </w14:solidFill>
                      </w14:textFill>
                    </w:rPr>
                    <w:t>4.0</w:t>
                  </w:r>
                </w:p>
              </w:tc>
              <w:tc>
                <w:tcPr>
                  <w:tcW w:w="422" w:type="pct"/>
                  <w:tcBorders>
                    <w:tl2br w:val="nil"/>
                    <w:tr2bl w:val="nil"/>
                  </w:tcBorders>
                  <w:vAlign w:val="center"/>
                </w:tcPr>
                <w:p w14:paraId="13C89583">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6</w:t>
                  </w:r>
                  <w:r>
                    <w:rPr>
                      <w:rFonts w:ascii="Times New Roman" w:hAnsi="Times New Roman" w:eastAsiaTheme="minorEastAsia"/>
                      <w:color w:val="000000" w:themeColor="text1"/>
                      <w:sz w:val="21"/>
                      <w:szCs w:val="21"/>
                      <w:highlight w:val="none"/>
                      <w14:textFill>
                        <w14:solidFill>
                          <w14:schemeClr w14:val="tx1"/>
                        </w14:solidFill>
                      </w14:textFill>
                    </w:rPr>
                    <w:t>0.5</w:t>
                  </w:r>
                </w:p>
              </w:tc>
              <w:tc>
                <w:tcPr>
                  <w:tcW w:w="422" w:type="pct"/>
                  <w:tcBorders>
                    <w:tl2br w:val="nil"/>
                    <w:tr2bl w:val="nil"/>
                  </w:tcBorders>
                  <w:vAlign w:val="center"/>
                </w:tcPr>
                <w:p w14:paraId="111C831B">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8.0</w:t>
                  </w:r>
                </w:p>
              </w:tc>
              <w:tc>
                <w:tcPr>
                  <w:tcW w:w="468" w:type="pct"/>
                  <w:tcBorders>
                    <w:tl2br w:val="nil"/>
                    <w:tr2bl w:val="nil"/>
                  </w:tcBorders>
                  <w:vAlign w:val="center"/>
                </w:tcPr>
                <w:p w14:paraId="0DDE6559">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6.0</w:t>
                  </w:r>
                </w:p>
              </w:tc>
              <w:tc>
                <w:tcPr>
                  <w:tcW w:w="475" w:type="pct"/>
                  <w:tcBorders>
                    <w:tl2br w:val="nil"/>
                    <w:tr2bl w:val="nil"/>
                  </w:tcBorders>
                  <w:vAlign w:val="center"/>
                </w:tcPr>
                <w:p w14:paraId="27E2C633">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0.0</w:t>
                  </w:r>
                </w:p>
              </w:tc>
              <w:tc>
                <w:tcPr>
                  <w:tcW w:w="497" w:type="pct"/>
                  <w:tcBorders>
                    <w:tl2br w:val="nil"/>
                    <w:tr2bl w:val="nil"/>
                  </w:tcBorders>
                  <w:vAlign w:val="center"/>
                </w:tcPr>
                <w:p w14:paraId="41DA5537">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4</w:t>
                  </w:r>
                  <w:r>
                    <w:rPr>
                      <w:rFonts w:ascii="Times New Roman" w:hAnsi="Times New Roman" w:eastAsiaTheme="minorEastAsia"/>
                      <w:color w:val="000000" w:themeColor="text1"/>
                      <w:sz w:val="21"/>
                      <w:szCs w:val="21"/>
                      <w:highlight w:val="none"/>
                      <w14:textFill>
                        <w14:solidFill>
                          <w14:schemeClr w14:val="tx1"/>
                        </w14:solidFill>
                      </w14:textFill>
                    </w:rPr>
                    <w:t>4.0</w:t>
                  </w:r>
                </w:p>
              </w:tc>
            </w:tr>
            <w:tr w14:paraId="284111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 w:hRule="atLeast"/>
              </w:trPr>
              <w:tc>
                <w:tcPr>
                  <w:tcW w:w="1333" w:type="pct"/>
                  <w:tcBorders>
                    <w:tl2br w:val="nil"/>
                    <w:tr2bl w:val="nil"/>
                  </w:tcBorders>
                  <w:vAlign w:val="center"/>
                </w:tcPr>
                <w:p w14:paraId="6545E9EA">
                  <w:pPr>
                    <w:pStyle w:val="23"/>
                    <w:spacing w:line="240" w:lineRule="auto"/>
                    <w:ind w:firstLine="0" w:firstLineChars="0"/>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越野车（运输车辆）</w:t>
                  </w:r>
                </w:p>
              </w:tc>
              <w:tc>
                <w:tcPr>
                  <w:tcW w:w="561" w:type="pct"/>
                  <w:tcBorders>
                    <w:tl2br w:val="nil"/>
                    <w:tr2bl w:val="nil"/>
                  </w:tcBorders>
                  <w:vAlign w:val="center"/>
                </w:tcPr>
                <w:p w14:paraId="462BA19B">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ascii="Times New Roman" w:hAnsi="Times New Roman" w:eastAsiaTheme="minorEastAsia"/>
                      <w:color w:val="000000" w:themeColor="text1"/>
                      <w:sz w:val="21"/>
                      <w:szCs w:val="21"/>
                      <w:highlight w:val="none"/>
                      <w14:textFill>
                        <w14:solidFill>
                          <w14:schemeClr w14:val="tx1"/>
                        </w14:solidFill>
                      </w14:textFill>
                    </w:rPr>
                    <w:t>85</w:t>
                  </w:r>
                </w:p>
              </w:tc>
              <w:tc>
                <w:tcPr>
                  <w:tcW w:w="394" w:type="pct"/>
                  <w:tcBorders>
                    <w:tl2br w:val="nil"/>
                    <w:tr2bl w:val="nil"/>
                  </w:tcBorders>
                  <w:vAlign w:val="center"/>
                </w:tcPr>
                <w:p w14:paraId="12E38ADB">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6</w:t>
                  </w:r>
                  <w:r>
                    <w:rPr>
                      <w:rFonts w:ascii="Times New Roman" w:hAnsi="Times New Roman" w:eastAsiaTheme="minorEastAsia"/>
                      <w:color w:val="000000" w:themeColor="text1"/>
                      <w:sz w:val="21"/>
                      <w:szCs w:val="21"/>
                      <w:highlight w:val="none"/>
                      <w14:textFill>
                        <w14:solidFill>
                          <w14:schemeClr w14:val="tx1"/>
                        </w14:solidFill>
                      </w14:textFill>
                    </w:rPr>
                    <w:t>5.0</w:t>
                  </w:r>
                </w:p>
              </w:tc>
              <w:tc>
                <w:tcPr>
                  <w:tcW w:w="422" w:type="pct"/>
                  <w:tcBorders>
                    <w:tl2br w:val="nil"/>
                    <w:tr2bl w:val="nil"/>
                  </w:tcBorders>
                  <w:vAlign w:val="center"/>
                </w:tcPr>
                <w:p w14:paraId="3E52BB57">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9.0</w:t>
                  </w:r>
                </w:p>
              </w:tc>
              <w:tc>
                <w:tcPr>
                  <w:tcW w:w="422" w:type="pct"/>
                  <w:tcBorders>
                    <w:tl2br w:val="nil"/>
                    <w:tr2bl w:val="nil"/>
                  </w:tcBorders>
                  <w:vAlign w:val="center"/>
                </w:tcPr>
                <w:p w14:paraId="06E9D2E6">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5.5</w:t>
                  </w:r>
                </w:p>
              </w:tc>
              <w:tc>
                <w:tcPr>
                  <w:tcW w:w="422" w:type="pct"/>
                  <w:tcBorders>
                    <w:tl2br w:val="nil"/>
                    <w:tr2bl w:val="nil"/>
                  </w:tcBorders>
                  <w:vAlign w:val="center"/>
                </w:tcPr>
                <w:p w14:paraId="534C704F">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3.0</w:t>
                  </w:r>
                </w:p>
              </w:tc>
              <w:tc>
                <w:tcPr>
                  <w:tcW w:w="468" w:type="pct"/>
                  <w:tcBorders>
                    <w:tl2br w:val="nil"/>
                    <w:tr2bl w:val="nil"/>
                  </w:tcBorders>
                  <w:vAlign w:val="center"/>
                </w:tcPr>
                <w:p w14:paraId="367D6DBA">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5</w:t>
                  </w:r>
                  <w:r>
                    <w:rPr>
                      <w:rFonts w:ascii="Times New Roman" w:hAnsi="Times New Roman" w:eastAsiaTheme="minorEastAsia"/>
                      <w:color w:val="000000" w:themeColor="text1"/>
                      <w:sz w:val="21"/>
                      <w:szCs w:val="21"/>
                      <w:highlight w:val="none"/>
                      <w14:textFill>
                        <w14:solidFill>
                          <w14:schemeClr w14:val="tx1"/>
                        </w14:solidFill>
                      </w14:textFill>
                    </w:rPr>
                    <w:t>1.0</w:t>
                  </w:r>
                </w:p>
              </w:tc>
              <w:tc>
                <w:tcPr>
                  <w:tcW w:w="475" w:type="pct"/>
                  <w:tcBorders>
                    <w:tl2br w:val="nil"/>
                    <w:tr2bl w:val="nil"/>
                  </w:tcBorders>
                  <w:vAlign w:val="center"/>
                </w:tcPr>
                <w:p w14:paraId="04E7490C">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4</w:t>
                  </w:r>
                  <w:r>
                    <w:rPr>
                      <w:rFonts w:ascii="Times New Roman" w:hAnsi="Times New Roman" w:eastAsiaTheme="minorEastAsia"/>
                      <w:color w:val="000000" w:themeColor="text1"/>
                      <w:sz w:val="21"/>
                      <w:szCs w:val="21"/>
                      <w:highlight w:val="none"/>
                      <w14:textFill>
                        <w14:solidFill>
                          <w14:schemeClr w14:val="tx1"/>
                        </w14:solidFill>
                      </w14:textFill>
                    </w:rPr>
                    <w:t>5.0</w:t>
                  </w:r>
                </w:p>
              </w:tc>
              <w:tc>
                <w:tcPr>
                  <w:tcW w:w="497" w:type="pct"/>
                  <w:tcBorders>
                    <w:tl2br w:val="nil"/>
                    <w:tr2bl w:val="nil"/>
                  </w:tcBorders>
                  <w:vAlign w:val="center"/>
                </w:tcPr>
                <w:p w14:paraId="37EA07FC">
                  <w:pPr>
                    <w:pStyle w:val="23"/>
                    <w:spacing w:line="240" w:lineRule="auto"/>
                    <w:ind w:firstLine="0" w:firstLineChars="0"/>
                    <w:jc w:val="center"/>
                    <w:rPr>
                      <w:rFonts w:ascii="Times New Roman" w:hAnsi="Times New Roman" w:eastAsiaTheme="minorEastAsia"/>
                      <w:color w:val="000000" w:themeColor="text1"/>
                      <w:sz w:val="21"/>
                      <w:szCs w:val="21"/>
                      <w:highlight w:val="none"/>
                      <w14:textFill>
                        <w14:solidFill>
                          <w14:schemeClr w14:val="tx1"/>
                        </w14:solidFill>
                      </w14:textFill>
                    </w:rPr>
                  </w:pPr>
                  <w:r>
                    <w:rPr>
                      <w:rFonts w:hint="eastAsia" w:ascii="Times New Roman" w:hAnsi="Times New Roman" w:eastAsiaTheme="minorEastAsia"/>
                      <w:color w:val="000000" w:themeColor="text1"/>
                      <w:sz w:val="21"/>
                      <w:szCs w:val="21"/>
                      <w:highlight w:val="none"/>
                      <w14:textFill>
                        <w14:solidFill>
                          <w14:schemeClr w14:val="tx1"/>
                        </w14:solidFill>
                      </w14:textFill>
                    </w:rPr>
                    <w:t>3</w:t>
                  </w:r>
                  <w:r>
                    <w:rPr>
                      <w:rFonts w:ascii="Times New Roman" w:hAnsi="Times New Roman" w:eastAsiaTheme="minorEastAsia"/>
                      <w:color w:val="000000" w:themeColor="text1"/>
                      <w:sz w:val="21"/>
                      <w:szCs w:val="21"/>
                      <w:highlight w:val="none"/>
                      <w14:textFill>
                        <w14:solidFill>
                          <w14:schemeClr w14:val="tx1"/>
                        </w14:solidFill>
                      </w14:textFill>
                    </w:rPr>
                    <w:t>9.0</w:t>
                  </w:r>
                </w:p>
              </w:tc>
            </w:tr>
          </w:tbl>
          <w:p w14:paraId="635BB64E">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由表4-3预测结果可知，单台设备在10m处昼间贡献值为70.0dB（A），满足《建筑施工噪声排放标准》（GB12523-2025）昼间70dB（A）的排放限值要求。施工期各噪声源设备距场界均有一定距离，经距离衰减后场界处昼间噪声贡献值可满足标准限值要求，且周边200m范围内无声环境敏感目标。项目施工主要集中在昼间，严禁夜间施工，施工噪声对周围声环境影响可接受。</w:t>
            </w:r>
          </w:p>
          <w:p w14:paraId="506DAC4C">
            <w:pPr>
              <w:pStyle w:val="55"/>
              <w:bidi w:val="0"/>
              <w:ind w:firstLine="482"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4.4施工期固体废物</w:t>
            </w:r>
          </w:p>
          <w:p w14:paraId="1A77B0E9">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本项目固体废物分为一般固体废物和危险废物。一般固体废物主要为钻探产生的临时土石方、钻探泥浆、钻孔岩屑及施工人员产生的生活垃圾。危险废物包括废润滑油。</w:t>
            </w:r>
          </w:p>
          <w:p w14:paraId="7CCA9130">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①土石方</w:t>
            </w:r>
          </w:p>
          <w:p w14:paraId="0230E7A3">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根据表2-7土石方平衡一览表，本项目施工期产生的土石方总量为</w:t>
            </w:r>
            <w:r>
              <w:rPr>
                <w:rFonts w:hint="eastAsia"/>
                <w:color w:val="000000" w:themeColor="text1"/>
                <w:highlight w:val="none"/>
                <w:lang w:val="en-US" w:eastAsia="zh-CN"/>
                <w14:textFill>
                  <w14:solidFill>
                    <w14:schemeClr w14:val="tx1"/>
                  </w14:solidFill>
                </w14:textFill>
              </w:rPr>
              <w:t>1862.9</w:t>
            </w:r>
            <w:r>
              <w:rPr>
                <w:rFonts w:hint="eastAsia"/>
                <w:color w:val="000000" w:themeColor="text1"/>
                <w:highlight w:val="none"/>
                <w14:textFill>
                  <w14:solidFill>
                    <w14:schemeClr w14:val="tx1"/>
                  </w14:solidFill>
                </w14:textFill>
              </w:rPr>
              <w:t>m³，其中剥离表土与废石分区暂存于各作业点附近的临时堆场。剥离表土</w:t>
            </w:r>
            <w:r>
              <w:rPr>
                <w:rFonts w:hint="default"/>
                <w:color w:val="000000" w:themeColor="text1"/>
                <w:highlight w:val="none"/>
                <w:lang w:val="en-US" w:eastAsia="zh-CN"/>
                <w14:textFill>
                  <w14:solidFill>
                    <w14:schemeClr w14:val="tx1"/>
                  </w14:solidFill>
                </w14:textFill>
              </w:rPr>
              <w:t>于临时堆放场暂存</w:t>
            </w:r>
            <w:r>
              <w:rPr>
                <w:rFonts w:hint="eastAsia"/>
                <w:color w:val="000000" w:themeColor="text1"/>
                <w:highlight w:val="none"/>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探槽、钻探结束后用于探槽、平台区域覆土，恢复地貌</w:t>
            </w:r>
            <w:r>
              <w:rPr>
                <w:rFonts w:hint="eastAsia"/>
                <w:color w:val="000000" w:themeColor="text1"/>
                <w:highlight w:val="none"/>
                <w14:textFill>
                  <w14:solidFill>
                    <w14:schemeClr w14:val="tx1"/>
                  </w14:solidFill>
                </w14:textFill>
              </w:rPr>
              <w:t>；废石及弃土优先用于回填槽探及场地平整，剩余部分妥善处置，不得随意弃置。临时堆存的剥离表土在最终回填时按原土层顺序分层回填，以保护表土资源。</w:t>
            </w:r>
          </w:p>
          <w:p w14:paraId="2932FBCF">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②钻探泥浆</w:t>
            </w:r>
          </w:p>
          <w:p w14:paraId="23F2F265">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钻探使用的泥浆采用水基非磺化泥浆，从钻孔孔口返回后引至沉淀池，通过沉淀处理后，上清液循环使用，不外排。该类固废主要为岩屑胶结水团与泥沙混合物，属于一般固体废物，根据业主提供的施工经验数据，在现有施工机具及环境条件下产生泥浆0.5t/100m。本项目钻探工作量为</w:t>
            </w:r>
            <w:r>
              <w:rPr>
                <w:rFonts w:hint="eastAsia"/>
                <w:color w:val="000000" w:themeColor="text1"/>
                <w:highlight w:val="none"/>
                <w:lang w:val="en-US" w:eastAsia="zh-CN"/>
                <w14:textFill>
                  <w14:solidFill>
                    <w14:schemeClr w14:val="tx1"/>
                  </w14:solidFill>
                </w14:textFill>
              </w:rPr>
              <w:t>4200</w:t>
            </w:r>
            <w:r>
              <w:rPr>
                <w:rFonts w:hint="eastAsia"/>
                <w:color w:val="000000" w:themeColor="text1"/>
                <w:highlight w:val="none"/>
                <w14:textFill>
                  <w14:solidFill>
                    <w14:schemeClr w14:val="tx1"/>
                  </w14:solidFill>
                </w14:textFill>
              </w:rPr>
              <w:t>m，则整个探矿期泥浆产生量约为</w:t>
            </w:r>
            <w:r>
              <w:rPr>
                <w:rFonts w:hint="eastAsia"/>
                <w:color w:val="000000" w:themeColor="text1"/>
                <w:highlight w:val="none"/>
                <w:lang w:val="en-US" w:eastAsia="zh-CN"/>
                <w14:textFill>
                  <w14:solidFill>
                    <w14:schemeClr w14:val="tx1"/>
                  </w14:solidFill>
                </w14:textFill>
              </w:rPr>
              <w:t>21</w:t>
            </w:r>
            <w:r>
              <w:rPr>
                <w:rFonts w:hint="eastAsia"/>
                <w:color w:val="000000" w:themeColor="text1"/>
                <w:highlight w:val="none"/>
                <w14:textFill>
                  <w14:solidFill>
                    <w14:schemeClr w14:val="tx1"/>
                  </w14:solidFill>
                </w14:textFill>
              </w:rPr>
              <w:t>t。</w:t>
            </w:r>
            <w:r>
              <w:rPr>
                <w:rFonts w:hint="eastAsia" w:cs="Times New Roman"/>
                <w:color w:val="000000" w:themeColor="text1"/>
                <w:highlight w:val="none"/>
                <w:lang w:val="en-US" w:eastAsia="zh-CN"/>
                <w14:textFill>
                  <w14:solidFill>
                    <w14:schemeClr w14:val="tx1"/>
                  </w14:solidFill>
                </w14:textFill>
              </w:rPr>
              <w:t>钻井泥浆固化就地填埋</w:t>
            </w:r>
            <w:r>
              <w:rPr>
                <w:rFonts w:hint="eastAsia"/>
                <w:color w:val="000000" w:themeColor="text1"/>
                <w:highlight w:val="none"/>
                <w14:textFill>
                  <w14:solidFill>
                    <w14:schemeClr w14:val="tx1"/>
                  </w14:solidFill>
                </w14:textFill>
              </w:rPr>
              <w:t>。</w:t>
            </w:r>
          </w:p>
          <w:p w14:paraId="3A49CE08">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 3 \* GB3 \* MERGEFORMAT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③</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t>钻孔岩屑</w:t>
            </w:r>
          </w:p>
          <w:p w14:paraId="3C71CB5E">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钻孔岩屑是在钻孔过程中钻头切屑地层岩石而产生的碎屑，并通过钻井泥浆带出至地面，主要成分为岩石（屑）。每个钻孔完毕后，钻孔岩屑用于封孔，对钻孔进行密封。</w:t>
            </w:r>
          </w:p>
          <w:p w14:paraId="7493B368">
            <w:pPr>
              <w:pStyle w:val="53"/>
              <w:widowControl w:val="0"/>
              <w:bidi w:val="0"/>
              <w:adjustRightInd w:val="0"/>
              <w:snapToGrid w:val="0"/>
              <w:ind w:firstLineChars="2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钻屑产生量参考同类型项目经验公式进行计算：</w:t>
            </w:r>
          </w:p>
          <w:p w14:paraId="1BF9635E">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V=π×r²×h×k</w:t>
            </w:r>
          </w:p>
          <w:p w14:paraId="4FF72224">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其中：V——钻屑体积，m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56E5AA60">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π——圆周率，圆的周长与直径的比值，本次取3.14；</w:t>
            </w:r>
          </w:p>
          <w:p w14:paraId="43C602E9">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r—钻井半径，m，0.0375m；</w:t>
            </w:r>
          </w:p>
          <w:p w14:paraId="1E6A7CEA">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h——钻探总进尺，m，4200m；</w:t>
            </w:r>
          </w:p>
          <w:p w14:paraId="7646CF6E">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k——井眼扩大率，本次取，10%；</w:t>
            </w:r>
          </w:p>
          <w:p w14:paraId="6C03FFC3">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经计算，钻孔岩屑产生量为20.40m³。钻孔施工完毕后，该部分岩屑全部用于人工回填。</w:t>
            </w:r>
          </w:p>
          <w:p w14:paraId="7077CB2E">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fldChar w:fldCharType="begin"/>
            </w:r>
            <w:r>
              <w:rPr>
                <w:rFonts w:hint="eastAsia"/>
                <w:color w:val="000000" w:themeColor="text1"/>
                <w:highlight w:val="none"/>
                <w:lang w:val="en-US" w:eastAsia="zh-CN"/>
                <w14:textFill>
                  <w14:solidFill>
                    <w14:schemeClr w14:val="tx1"/>
                  </w14:solidFill>
                </w14:textFill>
              </w:rPr>
              <w:instrText xml:space="preserve"> = 4 \* GB3 </w:instrText>
            </w:r>
            <w:r>
              <w:rPr>
                <w:rFonts w:hint="eastAsia"/>
                <w:color w:val="000000" w:themeColor="text1"/>
                <w:highlight w:val="none"/>
                <w:lang w:val="en-US" w:eastAsia="zh-CN"/>
                <w14:textFill>
                  <w14:solidFill>
                    <w14:schemeClr w14:val="tx1"/>
                  </w14:solidFill>
                </w14:textFill>
              </w:rPr>
              <w:fldChar w:fldCharType="separate"/>
            </w:r>
            <w:r>
              <w:rPr>
                <w:rFonts w:hint="eastAsia"/>
                <w:color w:val="000000" w:themeColor="text1"/>
                <w:highlight w:val="none"/>
                <w:lang w:val="en-US" w:eastAsia="zh-CN"/>
                <w14:textFill>
                  <w14:solidFill>
                    <w14:schemeClr w14:val="tx1"/>
                  </w14:solidFill>
                </w14:textFill>
              </w:rPr>
              <w:t>④</w:t>
            </w:r>
            <w:r>
              <w:rPr>
                <w:rFonts w:hint="eastAsia"/>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生活垃圾</w:t>
            </w:r>
          </w:p>
          <w:p w14:paraId="2D888AFB">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活垃圾主要为勘查人员日常生活产生，以纸张、塑料瓶等废弃物为主。本项目野外勘查作业人员为10人，按每人每天产生0.35kg生活垃圾计算，则生活垃圾产生量为多少2.45t。生活垃圾采用垃圾桶集中收集后，运出勘查区，由环卫部门统一清运。严禁在勘查区内随意遗弃生活垃圾。</w:t>
            </w:r>
          </w:p>
          <w:p w14:paraId="18BC1EEE">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fldChar w:fldCharType="begin"/>
            </w:r>
            <w:r>
              <w:rPr>
                <w:rFonts w:hint="eastAsia"/>
                <w:color w:val="000000" w:themeColor="text1"/>
                <w:highlight w:val="none"/>
                <w:lang w:val="en-US" w:eastAsia="zh-CN"/>
                <w14:textFill>
                  <w14:solidFill>
                    <w14:schemeClr w14:val="tx1"/>
                  </w14:solidFill>
                </w14:textFill>
              </w:rPr>
              <w:instrText xml:space="preserve"> = 5 \* GB3 </w:instrText>
            </w:r>
            <w:r>
              <w:rPr>
                <w:rFonts w:hint="eastAsia"/>
                <w:color w:val="000000" w:themeColor="text1"/>
                <w:highlight w:val="none"/>
                <w:lang w:val="en-US" w:eastAsia="zh-CN"/>
                <w14:textFill>
                  <w14:solidFill>
                    <w14:schemeClr w14:val="tx1"/>
                  </w14:solidFill>
                </w14:textFill>
              </w:rPr>
              <w:fldChar w:fldCharType="separate"/>
            </w:r>
            <w:r>
              <w:rPr>
                <w:rFonts w:hint="eastAsia"/>
                <w:color w:val="000000" w:themeColor="text1"/>
                <w:highlight w:val="none"/>
                <w:lang w:val="en-US" w:eastAsia="zh-CN"/>
                <w14:textFill>
                  <w14:solidFill>
                    <w14:schemeClr w14:val="tx1"/>
                  </w14:solidFill>
                </w14:textFill>
              </w:rPr>
              <w:t>⑤</w:t>
            </w:r>
            <w:r>
              <w:rPr>
                <w:rFonts w:hint="eastAsia"/>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沉淀池沉渣</w:t>
            </w:r>
          </w:p>
          <w:p w14:paraId="03FB55D9">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沉淀池沉渣就地掩埋。</w:t>
            </w:r>
          </w:p>
          <w:p w14:paraId="0A37EFC1">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fldChar w:fldCharType="begin"/>
            </w:r>
            <w:r>
              <w:rPr>
                <w:rFonts w:hint="eastAsia"/>
                <w:color w:val="000000" w:themeColor="text1"/>
                <w:highlight w:val="none"/>
                <w:lang w:val="en-US" w:eastAsia="zh-CN"/>
                <w14:textFill>
                  <w14:solidFill>
                    <w14:schemeClr w14:val="tx1"/>
                  </w14:solidFill>
                </w14:textFill>
              </w:rPr>
              <w:instrText xml:space="preserve"> = 6 \* GB3 </w:instrText>
            </w:r>
            <w:r>
              <w:rPr>
                <w:rFonts w:hint="eastAsia"/>
                <w:color w:val="000000" w:themeColor="text1"/>
                <w:highlight w:val="none"/>
                <w:lang w:val="en-US" w:eastAsia="zh-CN"/>
                <w14:textFill>
                  <w14:solidFill>
                    <w14:schemeClr w14:val="tx1"/>
                  </w14:solidFill>
                </w14:textFill>
              </w:rPr>
              <w:fldChar w:fldCharType="separate"/>
            </w:r>
            <w:r>
              <w:rPr>
                <w:rFonts w:hint="eastAsia"/>
                <w:color w:val="000000" w:themeColor="text1"/>
                <w:highlight w:val="none"/>
                <w:lang w:val="en-US" w:eastAsia="zh-CN"/>
                <w14:textFill>
                  <w14:solidFill>
                    <w14:schemeClr w14:val="tx1"/>
                  </w14:solidFill>
                </w14:textFill>
              </w:rPr>
              <w:t>⑥</w:t>
            </w:r>
            <w:r>
              <w:rPr>
                <w:rFonts w:hint="eastAsia"/>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废润滑油</w:t>
            </w:r>
          </w:p>
          <w:p w14:paraId="1EF566D4">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钻机、柴油发电机等设备在运行及日常维护过程中会产生少量废润滑油，施工期产生量约为0.1t。根据《国家危险废物名录》（2025年版），废润滑油属于危险废物，废物类别为HW08废矿物油与含矿物油废物，废物代码为900-214-08。产生的废润滑油应规范收集，贮存于施工营地内设置的临时危险废物贮存点（配备防渗托盘），定期交由有资质单位处置。施工现场配备吸油毡等应急物资，油料泄漏时可及时处置。</w:t>
            </w:r>
          </w:p>
          <w:p w14:paraId="477690D5">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综上，本项目产生的固废均能够妥善处置。固体废物产生明细见表4-4。</w:t>
            </w:r>
          </w:p>
          <w:p w14:paraId="2A9F0F9A">
            <w:pPr>
              <w:pStyle w:val="84"/>
              <w:spacing w:before="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表4-</w:t>
            </w:r>
            <w:r>
              <w:rPr>
                <w:color w:val="000000" w:themeColor="text1"/>
                <w:highlight w:val="none"/>
                <w14:textFill>
                  <w14:solidFill>
                    <w14:schemeClr w14:val="tx1"/>
                  </w14:solidFill>
                </w14:textFill>
              </w:rPr>
              <w:t xml:space="preserve">4  </w:t>
            </w:r>
            <w:r>
              <w:rPr>
                <w:rFonts w:hint="eastAsia"/>
                <w:color w:val="000000" w:themeColor="text1"/>
                <w:highlight w:val="none"/>
                <w14:textFill>
                  <w14:solidFill>
                    <w14:schemeClr w14:val="tx1"/>
                  </w14:solidFill>
                </w14:textFill>
              </w:rPr>
              <w:t>项目固体废物产生情况明细</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130"/>
              <w:gridCol w:w="789"/>
              <w:gridCol w:w="1313"/>
              <w:gridCol w:w="1152"/>
              <w:gridCol w:w="874"/>
              <w:gridCol w:w="1529"/>
            </w:tblGrid>
            <w:tr w14:paraId="698573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tcBorders>
                    <w:tl2br w:val="nil"/>
                    <w:tr2bl w:val="nil"/>
                  </w:tcBorders>
                  <w:vAlign w:val="center"/>
                </w:tcPr>
                <w:p w14:paraId="332640B7">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废物属性</w:t>
                  </w:r>
                </w:p>
              </w:tc>
              <w:tc>
                <w:tcPr>
                  <w:tcW w:w="758" w:type="pct"/>
                  <w:tcBorders>
                    <w:tl2br w:val="nil"/>
                    <w:tr2bl w:val="nil"/>
                  </w:tcBorders>
                  <w:vAlign w:val="center"/>
                </w:tcPr>
                <w:p w14:paraId="5D8D880B">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w:t>
                  </w:r>
                </w:p>
              </w:tc>
              <w:tc>
                <w:tcPr>
                  <w:tcW w:w="530" w:type="pct"/>
                  <w:tcBorders>
                    <w:tl2br w:val="nil"/>
                    <w:tr2bl w:val="nil"/>
                  </w:tcBorders>
                  <w:vAlign w:val="center"/>
                </w:tcPr>
                <w:p w14:paraId="19A8E67D">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废物类别</w:t>
                  </w:r>
                </w:p>
              </w:tc>
              <w:tc>
                <w:tcPr>
                  <w:tcW w:w="862" w:type="pct"/>
                  <w:tcBorders>
                    <w:tl2br w:val="nil"/>
                    <w:tr2bl w:val="nil"/>
                  </w:tcBorders>
                  <w:vAlign w:val="center"/>
                </w:tcPr>
                <w:p w14:paraId="7F9F10BD">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废物代码</w:t>
                  </w:r>
                </w:p>
              </w:tc>
              <w:tc>
                <w:tcPr>
                  <w:tcW w:w="773" w:type="pct"/>
                  <w:tcBorders>
                    <w:tl2br w:val="nil"/>
                    <w:tr2bl w:val="nil"/>
                  </w:tcBorders>
                  <w:vAlign w:val="center"/>
                </w:tcPr>
                <w:p w14:paraId="14521FDE">
                  <w:pPr>
                    <w:pStyle w:val="63"/>
                    <w:adjustRightInd w:val="0"/>
                    <w:snapToGrid w:val="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产生量（施工期）</w:t>
                  </w:r>
                </w:p>
              </w:tc>
              <w:tc>
                <w:tcPr>
                  <w:tcW w:w="587" w:type="pct"/>
                  <w:tcBorders>
                    <w:tl2br w:val="nil"/>
                    <w:tr2bl w:val="nil"/>
                  </w:tcBorders>
                  <w:vAlign w:val="center"/>
                </w:tcPr>
                <w:p w14:paraId="2D9D4F35">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危险特性</w:t>
                  </w:r>
                </w:p>
              </w:tc>
              <w:tc>
                <w:tcPr>
                  <w:tcW w:w="1024" w:type="pct"/>
                  <w:tcBorders>
                    <w:tl2br w:val="nil"/>
                    <w:tr2bl w:val="nil"/>
                  </w:tcBorders>
                  <w:vAlign w:val="center"/>
                </w:tcPr>
                <w:p w14:paraId="06F469A4">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去向</w:t>
                  </w:r>
                </w:p>
              </w:tc>
            </w:tr>
            <w:tr w14:paraId="560118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466" w:type="pct"/>
                  <w:vMerge w:val="restart"/>
                  <w:tcBorders>
                    <w:tl2br w:val="nil"/>
                    <w:tr2bl w:val="nil"/>
                  </w:tcBorders>
                  <w:vAlign w:val="center"/>
                </w:tcPr>
                <w:p w14:paraId="3FB45991">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一般固废</w:t>
                  </w:r>
                </w:p>
              </w:tc>
              <w:tc>
                <w:tcPr>
                  <w:tcW w:w="758" w:type="pct"/>
                  <w:tcBorders>
                    <w:tl2br w:val="nil"/>
                    <w:tr2bl w:val="nil"/>
                  </w:tcBorders>
                  <w:vAlign w:val="center"/>
                </w:tcPr>
                <w:p w14:paraId="04DCEAB8">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土石方</w:t>
                  </w:r>
                </w:p>
              </w:tc>
              <w:tc>
                <w:tcPr>
                  <w:tcW w:w="530" w:type="pct"/>
                  <w:tcBorders>
                    <w:tl2br w:val="nil"/>
                    <w:tr2bl w:val="nil"/>
                  </w:tcBorders>
                  <w:vAlign w:val="center"/>
                </w:tcPr>
                <w:p w14:paraId="2A253C8F">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SW</w:t>
                  </w:r>
                  <w:r>
                    <w:rPr>
                      <w:color w:val="000000" w:themeColor="text1"/>
                      <w:highlight w:val="none"/>
                      <w14:textFill>
                        <w14:solidFill>
                          <w14:schemeClr w14:val="tx1"/>
                        </w14:solidFill>
                      </w14:textFill>
                    </w:rPr>
                    <w:t>70</w:t>
                  </w:r>
                </w:p>
              </w:tc>
              <w:tc>
                <w:tcPr>
                  <w:tcW w:w="862" w:type="pct"/>
                  <w:tcBorders>
                    <w:tl2br w:val="nil"/>
                    <w:tr2bl w:val="nil"/>
                  </w:tcBorders>
                  <w:vAlign w:val="center"/>
                </w:tcPr>
                <w:p w14:paraId="7190F7C3">
                  <w:pPr>
                    <w:pStyle w:val="63"/>
                    <w:adjustRightInd w:val="0"/>
                    <w:snapToGrid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900-001-S70</w:t>
                  </w:r>
                </w:p>
              </w:tc>
              <w:tc>
                <w:tcPr>
                  <w:tcW w:w="773" w:type="pct"/>
                  <w:tcBorders>
                    <w:tl2br w:val="nil"/>
                    <w:tr2bl w:val="nil"/>
                  </w:tcBorders>
                  <w:vAlign w:val="center"/>
                </w:tcPr>
                <w:p w14:paraId="617DEE6C">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1842.9</w:t>
                  </w:r>
                  <w:r>
                    <w:rPr>
                      <w:color w:val="000000" w:themeColor="text1"/>
                      <w:highlight w:val="none"/>
                      <w14:textFill>
                        <w14:solidFill>
                          <w14:schemeClr w14:val="tx1"/>
                        </w14:solidFill>
                      </w14:textFill>
                    </w:rPr>
                    <w:t>m</w:t>
                  </w:r>
                  <w:r>
                    <w:rPr>
                      <w:color w:val="000000" w:themeColor="text1"/>
                      <w:highlight w:val="none"/>
                      <w:vertAlign w:val="superscript"/>
                      <w14:textFill>
                        <w14:solidFill>
                          <w14:schemeClr w14:val="tx1"/>
                        </w14:solidFill>
                      </w14:textFill>
                    </w:rPr>
                    <w:t>3</w:t>
                  </w:r>
                </w:p>
              </w:tc>
              <w:tc>
                <w:tcPr>
                  <w:tcW w:w="587" w:type="pct"/>
                  <w:tcBorders>
                    <w:tl2br w:val="nil"/>
                    <w:tr2bl w:val="nil"/>
                  </w:tcBorders>
                  <w:vAlign w:val="center"/>
                </w:tcPr>
                <w:p w14:paraId="3730855E">
                  <w:pPr>
                    <w:pStyle w:val="63"/>
                    <w:adjustRightInd w:val="0"/>
                    <w:snapToGrid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024" w:type="pct"/>
                  <w:vMerge w:val="restart"/>
                  <w:tcBorders>
                    <w:tl2br w:val="nil"/>
                    <w:tr2bl w:val="nil"/>
                  </w:tcBorders>
                  <w:vAlign w:val="center"/>
                </w:tcPr>
                <w:p w14:paraId="5B7942B6">
                  <w:pPr>
                    <w:pStyle w:val="63"/>
                    <w:adjustRightInd w:val="0"/>
                    <w:snapToGrid w:val="0"/>
                    <w:jc w:val="both"/>
                    <w:rPr>
                      <w:color w:val="000000" w:themeColor="text1"/>
                      <w:highlight w:val="none"/>
                      <w14:textFill>
                        <w14:solidFill>
                          <w14:schemeClr w14:val="tx1"/>
                        </w14:solidFill>
                      </w14:textFill>
                    </w:rPr>
                  </w:pPr>
                  <w:r>
                    <w:rPr>
                      <w:rFonts w:hint="eastAsia" w:ascii="Segoe UI" w:hAnsi="Segoe UI" w:cs="Segoe UI"/>
                      <w:color w:val="000000" w:themeColor="text1"/>
                      <w:highlight w:val="none"/>
                      <w:shd w:val="clear" w:color="auto" w:fill="FFFFFF"/>
                      <w14:textFill>
                        <w14:solidFill>
                          <w14:schemeClr w14:val="tx1"/>
                        </w14:solidFill>
                      </w14:textFill>
                    </w:rPr>
                    <w:t>表土单独堆存并分层回填用于复垦，废石优先回填利用，剩余妥善处置，不随意弃置；钻探岩屑人工回填</w:t>
                  </w:r>
                </w:p>
              </w:tc>
            </w:tr>
            <w:tr w14:paraId="639C6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66" w:type="pct"/>
                  <w:vMerge w:val="continue"/>
                  <w:tcBorders>
                    <w:tl2br w:val="nil"/>
                    <w:tr2bl w:val="nil"/>
                  </w:tcBorders>
                  <w:vAlign w:val="center"/>
                </w:tcPr>
                <w:p w14:paraId="0319E002">
                  <w:pPr>
                    <w:pStyle w:val="63"/>
                    <w:adjustRightInd w:val="0"/>
                    <w:snapToGrid w:val="0"/>
                    <w:rPr>
                      <w:color w:val="000000" w:themeColor="text1"/>
                      <w:highlight w:val="none"/>
                      <w14:textFill>
                        <w14:solidFill>
                          <w14:schemeClr w14:val="tx1"/>
                        </w14:solidFill>
                      </w14:textFill>
                    </w:rPr>
                  </w:pPr>
                </w:p>
              </w:tc>
              <w:tc>
                <w:tcPr>
                  <w:tcW w:w="758" w:type="pct"/>
                  <w:tcBorders>
                    <w:tl2br w:val="nil"/>
                    <w:tr2bl w:val="nil"/>
                  </w:tcBorders>
                  <w:vAlign w:val="center"/>
                </w:tcPr>
                <w:p w14:paraId="12B35D35">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钻孔岩屑</w:t>
                  </w:r>
                </w:p>
              </w:tc>
              <w:tc>
                <w:tcPr>
                  <w:tcW w:w="530" w:type="pct"/>
                  <w:tcBorders>
                    <w:tl2br w:val="nil"/>
                    <w:tr2bl w:val="nil"/>
                  </w:tcBorders>
                  <w:vAlign w:val="center"/>
                </w:tcPr>
                <w:p w14:paraId="060B81BE">
                  <w:pPr>
                    <w:pStyle w:val="6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SW12</w:t>
                  </w:r>
                </w:p>
              </w:tc>
              <w:tc>
                <w:tcPr>
                  <w:tcW w:w="862" w:type="pct"/>
                  <w:tcBorders>
                    <w:tl2br w:val="nil"/>
                    <w:tr2bl w:val="nil"/>
                  </w:tcBorders>
                  <w:vAlign w:val="center"/>
                </w:tcPr>
                <w:p w14:paraId="027D0515">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900-099-S12</w:t>
                  </w:r>
                </w:p>
              </w:tc>
              <w:tc>
                <w:tcPr>
                  <w:tcW w:w="773" w:type="pct"/>
                  <w:tcBorders>
                    <w:tl2br w:val="nil"/>
                    <w:tr2bl w:val="nil"/>
                  </w:tcBorders>
                  <w:vAlign w:val="center"/>
                </w:tcPr>
                <w:p w14:paraId="1138ACCE">
                  <w:pPr>
                    <w:pStyle w:val="63"/>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20.40</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p>
              </w:tc>
              <w:tc>
                <w:tcPr>
                  <w:tcW w:w="587" w:type="pct"/>
                  <w:tcBorders>
                    <w:tl2br w:val="nil"/>
                    <w:tr2bl w:val="nil"/>
                  </w:tcBorders>
                  <w:vAlign w:val="center"/>
                </w:tcPr>
                <w:p w14:paraId="464A1AD4">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24" w:type="pct"/>
                  <w:vMerge w:val="continue"/>
                  <w:tcBorders>
                    <w:tl2br w:val="nil"/>
                    <w:tr2bl w:val="nil"/>
                  </w:tcBorders>
                  <w:vAlign w:val="center"/>
                </w:tcPr>
                <w:p w14:paraId="23F40624">
                  <w:pPr>
                    <w:pStyle w:val="63"/>
                    <w:rPr>
                      <w:color w:val="000000" w:themeColor="text1"/>
                      <w:highlight w:val="none"/>
                      <w14:textFill>
                        <w14:solidFill>
                          <w14:schemeClr w14:val="tx1"/>
                        </w14:solidFill>
                      </w14:textFill>
                    </w:rPr>
                  </w:pPr>
                </w:p>
              </w:tc>
            </w:tr>
            <w:tr w14:paraId="52F599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66" w:type="pct"/>
                  <w:vMerge w:val="continue"/>
                  <w:tcBorders>
                    <w:tl2br w:val="nil"/>
                    <w:tr2bl w:val="nil"/>
                  </w:tcBorders>
                  <w:vAlign w:val="center"/>
                </w:tcPr>
                <w:p w14:paraId="01F75176">
                  <w:pPr>
                    <w:pStyle w:val="63"/>
                    <w:adjustRightInd w:val="0"/>
                    <w:snapToGrid w:val="0"/>
                    <w:rPr>
                      <w:color w:val="000000" w:themeColor="text1"/>
                      <w:highlight w:val="none"/>
                      <w14:textFill>
                        <w14:solidFill>
                          <w14:schemeClr w14:val="tx1"/>
                        </w14:solidFill>
                      </w14:textFill>
                    </w:rPr>
                  </w:pPr>
                </w:p>
              </w:tc>
              <w:tc>
                <w:tcPr>
                  <w:tcW w:w="758" w:type="pct"/>
                  <w:tcBorders>
                    <w:tl2br w:val="nil"/>
                    <w:tr2bl w:val="nil"/>
                  </w:tcBorders>
                  <w:vAlign w:val="center"/>
                </w:tcPr>
                <w:p w14:paraId="07FCDAE3">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钻探泥浆</w:t>
                  </w:r>
                </w:p>
              </w:tc>
              <w:tc>
                <w:tcPr>
                  <w:tcW w:w="530" w:type="pct"/>
                  <w:tcBorders>
                    <w:tl2br w:val="nil"/>
                    <w:tr2bl w:val="nil"/>
                  </w:tcBorders>
                  <w:vAlign w:val="center"/>
                </w:tcPr>
                <w:p w14:paraId="0A65E0BB">
                  <w:pPr>
                    <w:pStyle w:val="6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SW7</w:t>
                  </w:r>
                  <w:r>
                    <w:rPr>
                      <w:rFonts w:hint="eastAsia"/>
                      <w:color w:val="000000" w:themeColor="text1"/>
                      <w:highlight w:val="none"/>
                      <w14:textFill>
                        <w14:solidFill>
                          <w14:schemeClr w14:val="tx1"/>
                        </w14:solidFill>
                      </w14:textFill>
                    </w:rPr>
                    <w:t>1</w:t>
                  </w:r>
                </w:p>
              </w:tc>
              <w:tc>
                <w:tcPr>
                  <w:tcW w:w="862" w:type="pct"/>
                  <w:tcBorders>
                    <w:tl2br w:val="nil"/>
                    <w:tr2bl w:val="nil"/>
                  </w:tcBorders>
                  <w:vAlign w:val="center"/>
                </w:tcPr>
                <w:p w14:paraId="016B1B21">
                  <w:pPr>
                    <w:pStyle w:val="6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900-001-S7</w:t>
                  </w:r>
                  <w:r>
                    <w:rPr>
                      <w:rFonts w:hint="eastAsia"/>
                      <w:color w:val="000000" w:themeColor="text1"/>
                      <w:highlight w:val="none"/>
                      <w14:textFill>
                        <w14:solidFill>
                          <w14:schemeClr w14:val="tx1"/>
                        </w14:solidFill>
                      </w14:textFill>
                    </w:rPr>
                    <w:t>1</w:t>
                  </w:r>
                </w:p>
              </w:tc>
              <w:tc>
                <w:tcPr>
                  <w:tcW w:w="773" w:type="pct"/>
                  <w:tcBorders>
                    <w:tl2br w:val="nil"/>
                    <w:tr2bl w:val="nil"/>
                  </w:tcBorders>
                  <w:vAlign w:val="center"/>
                </w:tcPr>
                <w:p w14:paraId="04FC63DD">
                  <w:pPr>
                    <w:pStyle w:val="63"/>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w:t>
                  </w:r>
                  <w:r>
                    <w:rPr>
                      <w:rFonts w:hint="eastAsia"/>
                      <w:color w:val="000000" w:themeColor="text1"/>
                      <w:highlight w:val="none"/>
                      <w14:textFill>
                        <w14:solidFill>
                          <w14:schemeClr w14:val="tx1"/>
                        </w14:solidFill>
                      </w14:textFill>
                    </w:rPr>
                    <w:t>t</w:t>
                  </w:r>
                </w:p>
              </w:tc>
              <w:tc>
                <w:tcPr>
                  <w:tcW w:w="587" w:type="pct"/>
                  <w:tcBorders>
                    <w:tl2br w:val="nil"/>
                    <w:tr2bl w:val="nil"/>
                  </w:tcBorders>
                  <w:vAlign w:val="center"/>
                </w:tcPr>
                <w:p w14:paraId="618FBB90">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24" w:type="pct"/>
                  <w:tcBorders>
                    <w:tl2br w:val="nil"/>
                    <w:tr2bl w:val="nil"/>
                  </w:tcBorders>
                  <w:vAlign w:val="center"/>
                </w:tcPr>
                <w:p w14:paraId="621B78C9">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钻井泥浆固化后鉴别为一般工业固废方可送入和静县工业固体废物填埋场；若鉴别判定属于危险废物，须委托巴州具备相应危废资质单位处置</w:t>
                  </w:r>
                </w:p>
              </w:tc>
            </w:tr>
            <w:tr w14:paraId="4FD409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Merge w:val="continue"/>
                  <w:tcBorders>
                    <w:tl2br w:val="nil"/>
                    <w:tr2bl w:val="nil"/>
                  </w:tcBorders>
                  <w:vAlign w:val="center"/>
                </w:tcPr>
                <w:p w14:paraId="33D17325">
                  <w:pPr>
                    <w:pStyle w:val="63"/>
                    <w:adjustRightInd w:val="0"/>
                    <w:snapToGrid w:val="0"/>
                    <w:rPr>
                      <w:color w:val="000000" w:themeColor="text1"/>
                      <w:highlight w:val="none"/>
                      <w14:textFill>
                        <w14:solidFill>
                          <w14:schemeClr w14:val="tx1"/>
                        </w14:solidFill>
                      </w14:textFill>
                    </w:rPr>
                  </w:pPr>
                </w:p>
              </w:tc>
              <w:tc>
                <w:tcPr>
                  <w:tcW w:w="758" w:type="pct"/>
                  <w:tcBorders>
                    <w:tl2br w:val="nil"/>
                    <w:tr2bl w:val="nil"/>
                  </w:tcBorders>
                  <w:vAlign w:val="center"/>
                </w:tcPr>
                <w:p w14:paraId="053B23D1">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沉淀池沉渣</w:t>
                  </w:r>
                </w:p>
              </w:tc>
              <w:tc>
                <w:tcPr>
                  <w:tcW w:w="530" w:type="pct"/>
                  <w:tcBorders>
                    <w:tl2br w:val="nil"/>
                    <w:tr2bl w:val="nil"/>
                  </w:tcBorders>
                  <w:vAlign w:val="center"/>
                </w:tcPr>
                <w:p w14:paraId="48D9C671">
                  <w:pPr>
                    <w:pStyle w:val="6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SW</w:t>
                  </w:r>
                  <w:r>
                    <w:rPr>
                      <w:rFonts w:hint="eastAsia"/>
                      <w:color w:val="000000" w:themeColor="text1"/>
                      <w:highlight w:val="none"/>
                      <w14:textFill>
                        <w14:solidFill>
                          <w14:schemeClr w14:val="tx1"/>
                        </w14:solidFill>
                      </w14:textFill>
                    </w:rPr>
                    <w:t>07</w:t>
                  </w:r>
                </w:p>
              </w:tc>
              <w:tc>
                <w:tcPr>
                  <w:tcW w:w="862" w:type="pct"/>
                  <w:tcBorders>
                    <w:tl2br w:val="nil"/>
                    <w:tr2bl w:val="nil"/>
                  </w:tcBorders>
                  <w:vAlign w:val="center"/>
                </w:tcPr>
                <w:p w14:paraId="659EBBC2">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900-099-S07</w:t>
                  </w:r>
                </w:p>
              </w:tc>
              <w:tc>
                <w:tcPr>
                  <w:tcW w:w="773" w:type="pct"/>
                  <w:tcBorders>
                    <w:tl2br w:val="nil"/>
                    <w:tr2bl w:val="nil"/>
                  </w:tcBorders>
                  <w:vAlign w:val="center"/>
                </w:tcPr>
                <w:p w14:paraId="1595F219">
                  <w:pPr>
                    <w:pStyle w:val="63"/>
                    <w:adjustRightInd w:val="0"/>
                    <w:snapToGrid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0.72</w:t>
                  </w:r>
                  <w:r>
                    <w:rPr>
                      <w:rFonts w:hint="eastAsia"/>
                      <w:color w:val="000000" w:themeColor="text1"/>
                      <w:highlight w:val="none"/>
                      <w14:textFill>
                        <w14:solidFill>
                          <w14:schemeClr w14:val="tx1"/>
                        </w14:solidFill>
                      </w14:textFill>
                    </w:rPr>
                    <w:t>t</w:t>
                  </w:r>
                </w:p>
              </w:tc>
              <w:tc>
                <w:tcPr>
                  <w:tcW w:w="587" w:type="pct"/>
                  <w:tcBorders>
                    <w:tl2br w:val="nil"/>
                    <w:tr2bl w:val="nil"/>
                  </w:tcBorders>
                  <w:vAlign w:val="center"/>
                </w:tcPr>
                <w:p w14:paraId="34755CC9">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24" w:type="pct"/>
                  <w:tcBorders>
                    <w:tl2br w:val="nil"/>
                    <w:tr2bl w:val="nil"/>
                  </w:tcBorders>
                  <w:vAlign w:val="center"/>
                </w:tcPr>
                <w:p w14:paraId="15754B3C">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就地掩埋</w:t>
                  </w:r>
                </w:p>
              </w:tc>
            </w:tr>
            <w:tr w14:paraId="256790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tcBorders>
                    <w:tl2br w:val="nil"/>
                    <w:tr2bl w:val="nil"/>
                  </w:tcBorders>
                  <w:vAlign w:val="center"/>
                </w:tcPr>
                <w:p w14:paraId="1489B301">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758" w:type="pct"/>
                  <w:tcBorders>
                    <w:tl2br w:val="nil"/>
                    <w:tr2bl w:val="nil"/>
                  </w:tcBorders>
                  <w:vAlign w:val="center"/>
                </w:tcPr>
                <w:p w14:paraId="01A4EE8E">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530" w:type="pct"/>
                  <w:tcBorders>
                    <w:tl2br w:val="nil"/>
                    <w:tr2bl w:val="nil"/>
                  </w:tcBorders>
                  <w:vAlign w:val="center"/>
                </w:tcPr>
                <w:p w14:paraId="2F60721D">
                  <w:pPr>
                    <w:pStyle w:val="6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SW64</w:t>
                  </w:r>
                </w:p>
              </w:tc>
              <w:tc>
                <w:tcPr>
                  <w:tcW w:w="862" w:type="pct"/>
                  <w:tcBorders>
                    <w:tl2br w:val="nil"/>
                    <w:tr2bl w:val="nil"/>
                  </w:tcBorders>
                  <w:vAlign w:val="center"/>
                </w:tcPr>
                <w:p w14:paraId="220682AD">
                  <w:pPr>
                    <w:pStyle w:val="6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900-099-S64</w:t>
                  </w:r>
                </w:p>
              </w:tc>
              <w:tc>
                <w:tcPr>
                  <w:tcW w:w="773" w:type="pct"/>
                  <w:tcBorders>
                    <w:tl2br w:val="nil"/>
                    <w:tr2bl w:val="nil"/>
                  </w:tcBorders>
                  <w:vAlign w:val="center"/>
                </w:tcPr>
                <w:p w14:paraId="6ECFF868">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2.45</w:t>
                  </w:r>
                  <w:r>
                    <w:rPr>
                      <w:rFonts w:hint="eastAsia"/>
                      <w:color w:val="000000" w:themeColor="text1"/>
                      <w:highlight w:val="none"/>
                      <w14:textFill>
                        <w14:solidFill>
                          <w14:schemeClr w14:val="tx1"/>
                        </w14:solidFill>
                      </w14:textFill>
                    </w:rPr>
                    <w:t>t</w:t>
                  </w:r>
                </w:p>
              </w:tc>
              <w:tc>
                <w:tcPr>
                  <w:tcW w:w="587" w:type="pct"/>
                  <w:tcBorders>
                    <w:tl2br w:val="nil"/>
                    <w:tr2bl w:val="nil"/>
                  </w:tcBorders>
                  <w:vAlign w:val="center"/>
                </w:tcPr>
                <w:p w14:paraId="3B798FE7">
                  <w:pPr>
                    <w:pStyle w:val="63"/>
                    <w:adjustRightInd w:val="0"/>
                    <w:snapToGrid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024" w:type="pct"/>
                  <w:tcBorders>
                    <w:tl2br w:val="nil"/>
                    <w:tr2bl w:val="nil"/>
                  </w:tcBorders>
                  <w:vAlign w:val="center"/>
                </w:tcPr>
                <w:p w14:paraId="4192522E">
                  <w:pPr>
                    <w:pStyle w:val="63"/>
                    <w:adjustRightInd w:val="0"/>
                    <w:snapToGrid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采用垃圾桶集中收集后运出勘查区由环卫部门统一清运</w:t>
                  </w:r>
                </w:p>
              </w:tc>
            </w:tr>
            <w:tr w14:paraId="10D04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tcBorders>
                    <w:tl2br w:val="nil"/>
                    <w:tr2bl w:val="nil"/>
                  </w:tcBorders>
                  <w:vAlign w:val="center"/>
                </w:tcPr>
                <w:p w14:paraId="1121ED0F">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危险废物</w:t>
                  </w:r>
                </w:p>
              </w:tc>
              <w:tc>
                <w:tcPr>
                  <w:tcW w:w="758" w:type="pct"/>
                  <w:tcBorders>
                    <w:tl2br w:val="nil"/>
                    <w:tr2bl w:val="nil"/>
                  </w:tcBorders>
                  <w:vAlign w:val="center"/>
                </w:tcPr>
                <w:p w14:paraId="5D901EE1">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废润滑油</w:t>
                  </w:r>
                </w:p>
              </w:tc>
              <w:tc>
                <w:tcPr>
                  <w:tcW w:w="530" w:type="pct"/>
                  <w:tcBorders>
                    <w:tl2br w:val="nil"/>
                    <w:tr2bl w:val="nil"/>
                  </w:tcBorders>
                  <w:vAlign w:val="center"/>
                </w:tcPr>
                <w:p w14:paraId="7CFD940C">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HW08</w:t>
                  </w:r>
                </w:p>
              </w:tc>
              <w:tc>
                <w:tcPr>
                  <w:tcW w:w="862" w:type="pct"/>
                  <w:tcBorders>
                    <w:tl2br w:val="nil"/>
                    <w:tr2bl w:val="nil"/>
                  </w:tcBorders>
                  <w:vAlign w:val="center"/>
                </w:tcPr>
                <w:p w14:paraId="2725894C">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900-214-08</w:t>
                  </w:r>
                </w:p>
              </w:tc>
              <w:tc>
                <w:tcPr>
                  <w:tcW w:w="773" w:type="pct"/>
                  <w:tcBorders>
                    <w:tl2br w:val="nil"/>
                    <w:tr2bl w:val="nil"/>
                  </w:tcBorders>
                  <w:vAlign w:val="center"/>
                </w:tcPr>
                <w:p w14:paraId="6610E2AD">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0.1t</w:t>
                  </w:r>
                </w:p>
              </w:tc>
              <w:tc>
                <w:tcPr>
                  <w:tcW w:w="587" w:type="pct"/>
                  <w:tcBorders>
                    <w:tl2br w:val="nil"/>
                    <w:tr2bl w:val="nil"/>
                  </w:tcBorders>
                  <w:vAlign w:val="center"/>
                </w:tcPr>
                <w:p w14:paraId="30D4FE49">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毒性、易燃性</w:t>
                  </w:r>
                </w:p>
              </w:tc>
              <w:tc>
                <w:tcPr>
                  <w:tcW w:w="1024" w:type="pct"/>
                  <w:tcBorders>
                    <w:tl2br w:val="nil"/>
                    <w:tr2bl w:val="nil"/>
                  </w:tcBorders>
                  <w:vAlign w:val="center"/>
                </w:tcPr>
                <w:p w14:paraId="762BFE86">
                  <w:pPr>
                    <w:pStyle w:val="63"/>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集中收集</w:t>
                  </w:r>
                  <w:r>
                    <w:rPr>
                      <w:rFonts w:hint="eastAsia"/>
                      <w:color w:val="000000" w:themeColor="text1"/>
                      <w:highlight w:val="none"/>
                      <w:lang w:eastAsia="zh-CN"/>
                      <w14:textFill>
                        <w14:solidFill>
                          <w14:schemeClr w14:val="tx1"/>
                        </w14:solidFill>
                      </w14:textFill>
                    </w:rPr>
                    <w:t>交由</w:t>
                  </w:r>
                  <w:r>
                    <w:rPr>
                      <w:rFonts w:hint="eastAsia"/>
                      <w:color w:val="000000" w:themeColor="text1"/>
                      <w:highlight w:val="none"/>
                      <w14:textFill>
                        <w14:solidFill>
                          <w14:schemeClr w14:val="tx1"/>
                        </w14:solidFill>
                      </w14:textFill>
                    </w:rPr>
                    <w:t>资质单位处理</w:t>
                  </w:r>
                </w:p>
              </w:tc>
            </w:tr>
          </w:tbl>
          <w:p w14:paraId="21AEDF22">
            <w:pPr>
              <w:pStyle w:val="55"/>
              <w:bidi w:val="0"/>
              <w:ind w:firstLine="482"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4.5环境管理要求</w:t>
            </w:r>
          </w:p>
          <w:p w14:paraId="4CB2DD23">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（1）一般固体废物暂存间建设及管理要求：</w:t>
            </w:r>
          </w:p>
          <w:p w14:paraId="04DA73FD">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1）一般固体废物暂存区按照《一般工业固体废物贮存和填埋污染控制标准》（GB18599-2020）中标准要求进行管理；</w:t>
            </w:r>
          </w:p>
          <w:p w14:paraId="4BA07671">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2）对固体废物实行从产生、收集、运输、贮存直至最终处理实行全过程管理，按照有关法律、法规的要求，对固体废弃物全过程管理应报当地生态环境行政主管部门等批准。</w:t>
            </w:r>
          </w:p>
          <w:p w14:paraId="65ECBC78">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3）加强固体废物规范化管理，固体废物分类定点堆放，堆放场所远离办公区。</w:t>
            </w:r>
          </w:p>
          <w:p w14:paraId="46072541">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4）固体废物要及时清运，避免产生二次污染。</w:t>
            </w:r>
          </w:p>
          <w:p w14:paraId="1B2D0A67">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般工业固体废物贮存、处置场，禁止危险废物和生活垃圾混入。贮存、处置场使用单位，应建立检查维护制度。发现有损坏可能或异常，应及时采取必要措施，以保障正常运行。贮存、处置场的使用单位，应建立档案制度。应将入场的一般工业固体废物的种类和数量以及下列资料，详细记录在案，长期保存，供随时查阅。贮存、处置场的环境保护图形标志，应按相关规定进行检查和维护。</w:t>
            </w:r>
          </w:p>
          <w:p w14:paraId="29F4D874">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（2）危险废物贮存点建设及管理要求：</w:t>
            </w:r>
          </w:p>
          <w:p w14:paraId="3120951C">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本项目主要风险物质为废润滑油，废润滑油集中收集后委托有资质的处理单位进行处理。本项目危险废物临时贮存场所的建设必须满足《危险废物贮存污染控制标准》（GB18597-2023）的相关要求。</w:t>
            </w:r>
          </w:p>
          <w:p w14:paraId="4A052B23">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1）危险废物的收集和临时贮存要求</w:t>
            </w:r>
          </w:p>
          <w:p w14:paraId="4354C0FF">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危险废物为废润滑油，废润滑油集中收集后委托有资质的处理单位进行处理。危险废物贮存点应按《危险废物贮存污染控制标准》（GB18597-2023）的要求设计建设，可以做到“四防”（防风、防雨、防晒、防渗漏）。同时还需委托有资质的单位处置。根据《中华人民共和国固体废物污染环境防治法》《危险废物收集、贮存、运输技术规范》（HJ2025-2012）、《危险废物贮存污染控制标准》（18597-2023），项目在运营过程中，按照以下要求管理危险废物：</w:t>
            </w:r>
          </w:p>
          <w:p w14:paraId="257CC3F7">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a.应加强危险废物管理，制定危险废物管理计划，并报当地环保部门备案。对员工进行培训，提高全体人员对危险废物管理的认识。确保相关管理人员和从事危废收集、运送、贮存等工作的人员掌握国家相关法律法规、规章和有关规范性文件的规定，熟悉本单位制定的危险废物管理规章制度、工作流程等各项工作要求；掌握危险废物分类收集、运送、贮存的正确方法和操作程序，提高安全防护和应急处置能力。</w:t>
            </w:r>
          </w:p>
          <w:p w14:paraId="3E769F97">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b.建设单位必须严格按照《危险废物收集贮存运输技术规范》的要求进行危险废物的收集、贮存和运输。危险废物的收集、贮存，须按照其特性分类进行。禁止混合收集、贮存、运输、处置性质不相容而未经安全性处置的危废。装危险废物的容器和包装物，要确保无破损、泄漏和其他缺陷，并依据《危险废物贮存污染控制标准》（GB18597-2023）的规范建设危险废物贮存场所并设置危险废物标识。危险废物运输应由持有危险废物经营许可证的单位按照其许可证的经营范围组织实施，承担危险废物运输的单位应获得交通运输部门颁发的危险货物运输资质。</w:t>
            </w:r>
          </w:p>
          <w:p w14:paraId="67D53AEC">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c.建设危险废物临时贮存点。危险废物临时贮存区应设置明显标志，并对地面进行硬化，并具有防雨淋、防日晒、防渗漏、密闭等措施，并建立健全危险废物管理台账、专人管理。禁止将危险废物混入非危险废物中贮存。并且，贮存时间不得超过一年。</w:t>
            </w:r>
          </w:p>
          <w:p w14:paraId="7A424C1E">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d.严格执行危险废物转移管理制度，禁止将危险废物提供或委托给无危险废物经营许可证的单位从事收集、贮存、利用、处置等经营活动。</w:t>
            </w:r>
          </w:p>
          <w:p w14:paraId="5C6F19AD">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2）危险废物贮存点标识要求</w:t>
            </w:r>
          </w:p>
          <w:p w14:paraId="2D38E893">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危险废物贮存污染控制标准》（GB18597-2023）、《危险废物识别标志设置技术规范》（HJ1276-2022）、《排污单位污染物排放口二维码标识技术规范》（HJ1297—2023）、《环境保护图形标志—固体废物贮存（处置）场》（GB15562.2-1995）修改单等相关规定要求危险废物贮存点及危险废物贮存相关标志设置。</w:t>
            </w:r>
          </w:p>
          <w:p w14:paraId="7B3F2A5D">
            <w:pPr>
              <w:pStyle w:val="53"/>
              <w:widowControl w:val="0"/>
              <w:bidi w:val="0"/>
              <w:adjustRightInd w:val="0"/>
              <w:snapToGrid w:val="0"/>
              <w:ind w:firstLineChars="200"/>
              <w:jc w:val="both"/>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4.6施工期生态环境影响分析</w:t>
            </w:r>
          </w:p>
          <w:p w14:paraId="41491F41">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为地质勘查工程，施工期道路修筑、槽探开挖及钻机平台建设等作业将扰动原地表，破坏天然牧草地植被及土壤结构，造成施工区地表裸露、植被损失及局部水土流失风险增加，对区域生态环境产生一定影响，主要表现在以下几个方面：</w:t>
            </w:r>
          </w:p>
          <w:p w14:paraId="2D40E8FD">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（1）工程占地影响分析</w:t>
            </w:r>
          </w:p>
          <w:p w14:paraId="2E370CBA">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根据</w:t>
            </w:r>
            <w:r>
              <w:rPr>
                <w:rFonts w:hint="eastAsia"/>
                <w:color w:val="000000" w:themeColor="text1"/>
                <w:highlight w:val="none"/>
                <w:shd w:val="clear" w:color="auto" w:fill="FFFFFF"/>
                <w:lang w:val="en-US" w:eastAsia="zh-CN"/>
                <w14:textFill>
                  <w14:solidFill>
                    <w14:schemeClr w14:val="tx1"/>
                  </w14:solidFill>
                </w14:textFill>
              </w:rPr>
              <w:t>不动产权证书（探矿证）及勘测定界技术报告书</w:t>
            </w:r>
            <w:r>
              <w:rPr>
                <w:rFonts w:hint="eastAsia"/>
                <w:color w:val="000000" w:themeColor="text1"/>
                <w:highlight w:val="none"/>
                <w:shd w:val="clear" w:color="auto" w:fill="FFFFFF"/>
                <w14:textFill>
                  <w14:solidFill>
                    <w14:schemeClr w14:val="tx1"/>
                  </w14:solidFill>
                </w14:textFill>
              </w:rPr>
              <w:t>，本</w:t>
            </w:r>
            <w:r>
              <w:rPr>
                <w:rFonts w:hint="eastAsia"/>
                <w:color w:val="000000" w:themeColor="text1"/>
                <w:highlight w:val="none"/>
                <w:shd w:val="clear" w:color="auto" w:fill="FFFFFF"/>
                <w:lang w:val="en-US" w:eastAsia="zh-CN"/>
                <w14:textFill>
                  <w14:solidFill>
                    <w14:schemeClr w14:val="tx1"/>
                  </w14:solidFill>
                </w14:textFill>
              </w:rPr>
              <w:t>项目勘探面积11.47平方公里</w:t>
            </w:r>
            <w:r>
              <w:rPr>
                <w:rFonts w:hint="eastAsia"/>
                <w:color w:val="000000" w:themeColor="text1"/>
                <w:highlight w:val="none"/>
                <w:shd w:val="clear" w:color="auto" w:fill="FFFFFF"/>
                <w14:textFill>
                  <w14:solidFill>
                    <w14:schemeClr w14:val="tx1"/>
                  </w14:solidFill>
                </w14:textFill>
              </w:rPr>
              <w:t>。土地权属均为国有，地类为天然牧草地、</w:t>
            </w:r>
            <w:r>
              <w:rPr>
                <w:rFonts w:hint="eastAsia"/>
                <w:color w:val="000000" w:themeColor="text1"/>
                <w:highlight w:val="none"/>
                <w:shd w:val="clear" w:color="auto" w:fill="FFFFFF"/>
                <w:lang w:val="en-US" w:eastAsia="zh-CN"/>
                <w14:textFill>
                  <w14:solidFill>
                    <w14:schemeClr w14:val="tx1"/>
                  </w14:solidFill>
                </w14:textFill>
              </w:rPr>
              <w:t>其他草地</w:t>
            </w:r>
            <w:r>
              <w:rPr>
                <w:rFonts w:hint="eastAsia"/>
                <w:color w:val="000000" w:themeColor="text1"/>
                <w:highlight w:val="none"/>
                <w:shd w:val="clear" w:color="auto" w:fill="FFFFFF"/>
                <w14:textFill>
                  <w14:solidFill>
                    <w14:schemeClr w14:val="tx1"/>
                  </w14:solidFill>
                </w14:textFill>
              </w:rPr>
              <w:t>。项目临时用地范围不涉及生态保护红线</w:t>
            </w:r>
            <w:r>
              <w:rPr>
                <w:rFonts w:hint="eastAsia"/>
                <w:color w:val="000000" w:themeColor="text1"/>
                <w:highlight w:val="none"/>
                <w:lang w:val="en-US" w:eastAsia="zh-CN"/>
                <w14:textFill>
                  <w14:solidFill>
                    <w14:schemeClr w14:val="tx1"/>
                  </w14:solidFill>
                </w14:textFill>
              </w:rPr>
              <w:t>。</w:t>
            </w:r>
          </w:p>
          <w:p w14:paraId="10EFF4BE">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道路工程用地长度3550m，均宽3.5m，主要用于施工机械及材料运输通行。道路修筑需进行场地平整和压实，施工期间将破坏地表植被，造成局部土地裸露，同时可能阻断或改变地表径流，对临时道路跨越的天然牧草地植被造成占压和破坏。</w:t>
            </w:r>
          </w:p>
          <w:p w14:paraId="608CE733">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槽探工程及钻探工程用地较为分散，单点扰动面积小，主要用于探槽开挖及钻机平台布设。施工期间将破坏地表植被及土壤结构，若防护不当可能引发局部水土流失。</w:t>
            </w:r>
          </w:p>
          <w:p w14:paraId="188E88FD">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属地质勘查工程，单点施工周期短、总体扰动面积小。通过严格控制施工作业带宽度，对开挖产生的土石方集中堆放并采取苫盖、拦挡等临时防护措施，施工结束后及时进行场地平整、植被恢复（播撒适宜当地生长的草种并适度养护），临时占地对环境的影响是暂时的、可逆的，随着施工结束和生态恢复措施的落实，区域土地利用功能可逐步恢复。</w:t>
            </w:r>
          </w:p>
          <w:p w14:paraId="2F2A163F">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（2）对植被的影响分析</w:t>
            </w:r>
          </w:p>
          <w:p w14:paraId="7CA43B89">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本项目施工期道路修筑、槽探开挖、钻探平台建设及机械碾压等作业将破坏占地范围内的地表植被，造成局部植被损失和地表裸露，对局部生态系统稳定性产生短期不利影响。</w:t>
            </w:r>
          </w:p>
          <w:p w14:paraId="438CF001">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现场踏勘，项目区地类以天然牧草地为主，植被覆盖度较高，主要植被类型为紫花针茅、沙生针茅等当地常见草本植物，覆盖度高、连片分布。施工临时占地范围内的地表植被将被清除或占压，造成植被地上部分损失。但项目占地范围内未发现珍稀濒危保护植物或古树名木分布，受影响植被均为当地广布物种，且在周边区域有广泛分布，不会因本工程施工而导致物种灭绝或区域性消失。</w:t>
            </w:r>
          </w:p>
          <w:p w14:paraId="10E02C4F">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本项目属地质勘查工程，施工点位分散、单点扰动面积小，影响区域主要为天然牧草地及少量其他草地。工程施工不会导致区域植物物种组成发生根本改变，仅造成局部植被盖度和生物量的暂时性降低。</w:t>
            </w:r>
          </w:p>
          <w:p w14:paraId="0310934B">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施工结束后，通过对临时占地进行场地平整、翻松压实土层、播撒乡土草种并适度施肥养护，区域植被盖度和生物量可逐步恢复至原有水平。施工对植被的负面影响是局部和暂时的，在落实生态恢复措施的前提下，区域天然牧草地的生态功能可得到有效恢复。</w:t>
            </w:r>
          </w:p>
          <w:p w14:paraId="2DEF4764">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（3）对野生动物影响分析</w:t>
            </w:r>
          </w:p>
          <w:p w14:paraId="4F928213">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区及周边区域人类活动较为频繁，野生动物栖息环境已受到一定程度的人为干扰。经现场调查及资料查阅，项目评价范围内未发现国家级、自治区级重点保护野生动物分布，亦无珍稀濒危野生动物的重要栖息地或繁殖地。项目区野生动物以</w:t>
            </w:r>
            <w:r>
              <w:rPr>
                <w:rFonts w:hint="default" w:ascii="Times New Roman" w:hAnsi="Times New Roman" w:cs="Times New Roman"/>
                <w:color w:val="000000" w:themeColor="text1"/>
                <w:highlight w:val="none"/>
                <w14:textFill>
                  <w14:solidFill>
                    <w14:schemeClr w14:val="tx1"/>
                  </w14:solidFill>
                </w14:textFill>
              </w:rPr>
              <w:t>小型哺乳类</w:t>
            </w:r>
            <w:r>
              <w:rPr>
                <w:rFonts w:hint="default" w:ascii="Times New Roman" w:hAnsi="Times New Roman" w:cs="Times New Roman"/>
                <w:color w:val="000000" w:themeColor="text1"/>
                <w:highlight w:val="none"/>
                <w:lang w:val="en-US" w:eastAsia="zh-CN"/>
                <w14:textFill>
                  <w14:solidFill>
                    <w14:schemeClr w14:val="tx1"/>
                  </w14:solidFill>
                </w14:textFill>
              </w:rPr>
              <w:t>和爬行类</w:t>
            </w:r>
            <w:r>
              <w:rPr>
                <w:rFonts w:hint="default" w:ascii="Times New Roman" w:hAnsi="Times New Roman" w:cs="Times New Roman"/>
                <w:color w:val="000000" w:themeColor="text1"/>
                <w:highlight w:val="none"/>
                <w14:textFill>
                  <w14:solidFill>
                    <w14:schemeClr w14:val="tx1"/>
                  </w14:solidFill>
                </w14:textFill>
              </w:rPr>
              <w:t>为主</w:t>
            </w:r>
            <w:r>
              <w:rPr>
                <w:rFonts w:hint="eastAsia"/>
                <w:color w:val="000000" w:themeColor="text1"/>
                <w:highlight w:val="none"/>
                <w:lang w:val="en-US" w:eastAsia="zh-CN"/>
                <w14:textFill>
                  <w14:solidFill>
                    <w14:schemeClr w14:val="tx1"/>
                  </w14:solidFill>
                </w14:textFill>
              </w:rPr>
              <w:t>。</w:t>
            </w:r>
          </w:p>
          <w:p w14:paraId="4294ECF7">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施工期间，道路修筑、槽探开挖、钻探作业及机械噪声、人员活动等，将惊扰区域内野生动物，可能迫使其暂时向周边适宜生境迁移。受影响物种主要为常见小型野生动物（鸟类、啮齿类等），其活动范围广、迁移能力较强，在遇到不利干扰时可迅速转移至周边相似生境中栖息。本项目施工点位分散、单点施工周期短，且施工结束后干扰即消失，受影响动物可逐步回迁至原栖息地。因此，本工程施工不会导致区域野生动物种群数量发生明显变化，亦不会造成物种消失或生物多样性降低。</w:t>
            </w:r>
          </w:p>
          <w:p w14:paraId="0E893BEC">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（4）水土流失影响分析</w:t>
            </w:r>
          </w:p>
          <w:p w14:paraId="41CC8DEC">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水土流失主要发生在施工期。道路修筑、槽探开挖、钻探平台建设及机械碾压等作业将扰动地表，破坏天然牧草地植被，使土壤抗侵蚀能力暂时下降，在强风或强降水条件下可能产生一定程度的水土流失。根据《关于印发新疆维吾尔自治区级水土流失重点预防区和重点治理区复核划分成果的通知》（新水水保〔2019〕4号），项目区属于天山山区重点预防区。由于施工点位分散、单点扰动面积小，施工期间通过控制作业带宽度、避开恶劣天气施工、对临时堆土采取苫盖等措施，可将水土流失影响控制在较小范围。施工结束后及时进行场地平整和植被恢复，地表抗侵蚀能力逐步回升。总体而言，本项目水土流失影响是局部和暂时的，不会造成严重的水土流失危害。</w:t>
            </w:r>
          </w:p>
          <w:p w14:paraId="44C56BB2">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（5）水土保持影响分析内容</w:t>
            </w:r>
          </w:p>
          <w:p w14:paraId="30B32DE6">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天山山区水土流失重点预防区。施工期道路修筑、槽探开挖、钻探平台建设等作业将扰动地表、破坏植被，使土壤抗侵蚀能力下降，在强风或强降水条件下可能产生水土流失。施工期间通过控制作业带宽度、临时堆土苫盖、避开恶劣天气施工，施工结束后及时进行场地平整和植被恢复，可将水土流失影响控制在局部和短期内，不会造成严重危害。</w:t>
            </w:r>
          </w:p>
          <w:p w14:paraId="736541C2">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（6）防沙治沙影响分析</w:t>
            </w:r>
          </w:p>
          <w:p w14:paraId="0E98A950">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区不涉及沙化土地封禁保护区，周边无沙漠及沙化荒漠分布，属于非沙化土地。施工期道路修筑、槽探开挖等作业将扰动地表植被，在干旱多风条件下可能加剧局部风蚀，但本项目植被覆盖度较高，施工点位分散、扰动面积小，通过严格控制施工作业范围、避开大风天气作业、对临时堆土采取苫盖措施、施工结束后及时进行场地平整和植被恢复，可有效抑制风沙活动。综上，项目建设不涉及沙化土地敏感区，对防沙治沙影响较小。</w:t>
            </w:r>
          </w:p>
          <w:p w14:paraId="11A42307">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（7）景观影响分析</w:t>
            </w:r>
          </w:p>
          <w:p w14:paraId="60E08986">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和静县北方向约69千米处，属天然牧草地景观区。施工期道路修筑、槽探开挖、钻探平台建设等作业将造成地表扰动和植被破坏，临时堆土及施工机械的视觉干扰对局部景观产生暂时性不利影响。但施工点位分散、临时占地面积较小，影响范围有限，且随施工结束和植被恢复而逐步消除。施工结束后，通过对临时占地进行场地平整和植被恢复，可逐步恢复原有天然牧草地景观风貌。因此，本项目对区域景观影响是暂时的、可恢复的。</w:t>
            </w:r>
          </w:p>
          <w:p w14:paraId="2108CC8C">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（8）社会影响分析</w:t>
            </w:r>
          </w:p>
          <w:p w14:paraId="699BDBCB">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施工期机械噪声、扬尘及临时占地影响范围有限，项目区周边无居民点分布，不存在施工扰民问题。施工结束后，通过对临时占地进行场地平整和植被恢复，可逐步恢复原有天然牧草地风貌，不会对周边社会环境产生不利影响。</w:t>
            </w:r>
          </w:p>
          <w:p w14:paraId="1B4BD8C9">
            <w:pPr>
              <w:pStyle w:val="53"/>
              <w:widowControl w:val="0"/>
              <w:bidi w:val="0"/>
              <w:adjustRightInd w:val="0"/>
              <w:snapToGrid w:val="0"/>
              <w:ind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（9）经济影响分析</w:t>
            </w:r>
          </w:p>
          <w:p w14:paraId="47C848EC">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施工期将为当地提供少量临时就业岗位，并拉动水泥、木材等建材需求，对地方经济发展产生短期正面拉动作用。项目勘查成果若实现找矿突破，将为后续矿产资源开发提供资源储量基础，潜在经济价值显著，对区域矿业经济发展具有积极意义。</w:t>
            </w:r>
          </w:p>
          <w:p w14:paraId="69A25E86">
            <w:pPr>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4.7环境风险影响分析</w:t>
            </w:r>
          </w:p>
          <w:p w14:paraId="54013D7B">
            <w:pPr>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4.7.1环境风险评价</w:t>
            </w:r>
          </w:p>
          <w:p w14:paraId="2B468C50">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环境风险评价以突发性事故导致的危险物质环境急性损害防控为目标，对建设项目的环境风险进行分析、预测和评估，提出环境风险预防、控制、减缓措施，明确环境风险监控及应急建议要求，为建设项目环境风险防控提供科学依据。</w:t>
            </w:r>
          </w:p>
          <w:p w14:paraId="741E2B00">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通过对项目在生产过程中使用的物质、各工艺系统的危险性进行识别，分析周边环境的敏感性，对项目的风险潜势进行初判，确定评价等级。</w:t>
            </w:r>
          </w:p>
          <w:p w14:paraId="785C0D9B">
            <w:pPr>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4.7.2评价依据</w:t>
            </w:r>
          </w:p>
          <w:p w14:paraId="570BAE4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（1）风险调查</w:t>
            </w:r>
          </w:p>
          <w:p w14:paraId="0B3D5DCF">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柴油临时存放点设置5个200L铁皮油桶，单桶容积200L，最大储存量约为1t（柴油密度按0.84kg/L计，5桶×200L×0.84≈0.84t，取整约1.0t）。柴油分期从哈尔莫敦镇购买，采用桶装运输至现场，每月采购一次，单次采购量约1t（5桶），现场最大周转库存量为1t。发电机组及施工机械油箱内燃油随设备移动，属随机消耗性存量，不在现场固定储存设施内，不计入Q值计算。</w:t>
            </w:r>
          </w:p>
          <w:p w14:paraId="329FE442">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（2）危险物质数量与临界量比值（Q）</w:t>
            </w:r>
          </w:p>
          <w:p w14:paraId="27CA730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计算所涉及的每种危险物质在厂界内的最大存在总量与其在附录B中对应临界量的比值Q。在不同厂区的同一种物质，按其在厂界内的最大存在总量计算。对于长输管线项目，按照两个截断阀室之间管段危险物质最大存在总量计算。</w:t>
            </w:r>
          </w:p>
          <w:p w14:paraId="646D99A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当只涉及一种危险物质时，计算该物质的总量与其临界量比值，即为Q；</w:t>
            </w:r>
          </w:p>
          <w:p w14:paraId="3CDDA5D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当存在多种危险物质时，则按式（C.1）计算物质总量与其临界量比值（Q）：</w:t>
            </w:r>
          </w:p>
          <w:p w14:paraId="110ECCA6">
            <w:pPr>
              <w:spacing w:line="360" w:lineRule="auto"/>
              <w:ind w:firstLine="0" w:firstLineChars="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drawing>
                <wp:inline distT="0" distB="0" distL="114300" distR="114300">
                  <wp:extent cx="1785620" cy="539115"/>
                  <wp:effectExtent l="0" t="0" r="5080" b="1333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1"/>
                          <a:stretch>
                            <a:fillRect/>
                          </a:stretch>
                        </pic:blipFill>
                        <pic:spPr>
                          <a:xfrm>
                            <a:off x="0" y="0"/>
                            <a:ext cx="1785620" cy="539115"/>
                          </a:xfrm>
                          <a:prstGeom prst="rect">
                            <a:avLst/>
                          </a:prstGeom>
                          <a:noFill/>
                          <a:ln>
                            <a:noFill/>
                          </a:ln>
                        </pic:spPr>
                      </pic:pic>
                    </a:graphicData>
                  </a:graphic>
                </wp:inline>
              </w:drawing>
            </w:r>
          </w:p>
          <w:p w14:paraId="1DA5076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式中：q</w:t>
            </w:r>
            <w:r>
              <w:rPr>
                <w:color w:val="000000" w:themeColor="text1"/>
                <w:sz w:val="24"/>
                <w:highlight w:val="none"/>
                <w:vertAlign w:val="subscript"/>
                <w14:textFill>
                  <w14:solidFill>
                    <w14:schemeClr w14:val="tx1"/>
                  </w14:solidFill>
                </w14:textFill>
              </w:rPr>
              <w:t>1</w:t>
            </w:r>
            <w:r>
              <w:rPr>
                <w:color w:val="000000" w:themeColor="text1"/>
                <w:sz w:val="24"/>
                <w:highlight w:val="none"/>
                <w14:textFill>
                  <w14:solidFill>
                    <w14:schemeClr w14:val="tx1"/>
                  </w14:solidFill>
                </w14:textFill>
              </w:rPr>
              <w:t>，q</w:t>
            </w:r>
            <w:r>
              <w:rPr>
                <w:color w:val="000000" w:themeColor="text1"/>
                <w:sz w:val="24"/>
                <w:highlight w:val="none"/>
                <w:vertAlign w:val="subscript"/>
                <w14:textFill>
                  <w14:solidFill>
                    <w14:schemeClr w14:val="tx1"/>
                  </w14:solidFill>
                </w14:textFill>
              </w:rPr>
              <w:t>2</w:t>
            </w:r>
            <w:r>
              <w:rPr>
                <w:rFonts w:hint="eastAsia"/>
                <w:color w:val="000000" w:themeColor="text1"/>
                <w:sz w:val="24"/>
                <w:highlight w:val="none"/>
                <w:vertAlign w:val="subscript"/>
                <w:lang w:eastAsia="zh-CN"/>
                <w14:textFill>
                  <w14:solidFill>
                    <w14:schemeClr w14:val="tx1"/>
                  </w14:solidFill>
                </w14:textFill>
              </w:rPr>
              <w:t>…</w:t>
            </w:r>
            <w:r>
              <w:rPr>
                <w:color w:val="000000" w:themeColor="text1"/>
                <w:sz w:val="24"/>
                <w:highlight w:val="none"/>
                <w14:textFill>
                  <w14:solidFill>
                    <w14:schemeClr w14:val="tx1"/>
                  </w14:solidFill>
                </w14:textFill>
              </w:rPr>
              <w:t>q</w:t>
            </w:r>
            <w:r>
              <w:rPr>
                <w:color w:val="000000" w:themeColor="text1"/>
                <w:sz w:val="24"/>
                <w:highlight w:val="none"/>
                <w:vertAlign w:val="subscript"/>
                <w14:textFill>
                  <w14:solidFill>
                    <w14:schemeClr w14:val="tx1"/>
                  </w14:solidFill>
                </w14:textFill>
              </w:rPr>
              <w:t>n</w:t>
            </w:r>
            <w:r>
              <w:rPr>
                <w:color w:val="000000" w:themeColor="text1"/>
                <w:sz w:val="24"/>
                <w:highlight w:val="none"/>
                <w14:textFill>
                  <w14:solidFill>
                    <w14:schemeClr w14:val="tx1"/>
                  </w14:solidFill>
                </w14:textFill>
              </w:rPr>
              <w:t>——每种危险物质的最大存在总量，t；</w:t>
            </w:r>
          </w:p>
          <w:p w14:paraId="2713A21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Q</w:t>
            </w:r>
            <w:r>
              <w:rPr>
                <w:color w:val="000000" w:themeColor="text1"/>
                <w:sz w:val="24"/>
                <w:highlight w:val="none"/>
                <w:vertAlign w:val="subscript"/>
                <w14:textFill>
                  <w14:solidFill>
                    <w14:schemeClr w14:val="tx1"/>
                  </w14:solidFill>
                </w14:textFill>
              </w:rPr>
              <w:t>1</w:t>
            </w:r>
            <w:r>
              <w:rPr>
                <w:color w:val="000000" w:themeColor="text1"/>
                <w:sz w:val="24"/>
                <w:highlight w:val="none"/>
                <w14:textFill>
                  <w14:solidFill>
                    <w14:schemeClr w14:val="tx1"/>
                  </w14:solidFill>
                </w14:textFill>
              </w:rPr>
              <w:t>，Q</w:t>
            </w:r>
            <w:r>
              <w:rPr>
                <w:color w:val="000000" w:themeColor="text1"/>
                <w:sz w:val="24"/>
                <w:highlight w:val="none"/>
                <w:vertAlign w:val="subscript"/>
                <w14:textFill>
                  <w14:solidFill>
                    <w14:schemeClr w14:val="tx1"/>
                  </w14:solidFill>
                </w14:textFill>
              </w:rPr>
              <w:t>2</w:t>
            </w:r>
            <w:r>
              <w:rPr>
                <w:rFonts w:hint="eastAsia"/>
                <w:color w:val="000000" w:themeColor="text1"/>
                <w:sz w:val="24"/>
                <w:highlight w:val="none"/>
                <w:vertAlign w:val="subscript"/>
                <w:lang w:eastAsia="zh-CN"/>
                <w14:textFill>
                  <w14:solidFill>
                    <w14:schemeClr w14:val="tx1"/>
                  </w14:solidFill>
                </w14:textFill>
              </w:rPr>
              <w:t>，</w:t>
            </w:r>
            <w:r>
              <w:rPr>
                <w:color w:val="000000" w:themeColor="text1"/>
                <w:sz w:val="24"/>
                <w:highlight w:val="none"/>
                <w14:textFill>
                  <w14:solidFill>
                    <w14:schemeClr w14:val="tx1"/>
                  </w14:solidFill>
                </w14:textFill>
              </w:rPr>
              <w:t>Q</w:t>
            </w:r>
            <w:r>
              <w:rPr>
                <w:color w:val="000000" w:themeColor="text1"/>
                <w:sz w:val="24"/>
                <w:highlight w:val="none"/>
                <w:vertAlign w:val="subscript"/>
                <w14:textFill>
                  <w14:solidFill>
                    <w14:schemeClr w14:val="tx1"/>
                  </w14:solidFill>
                </w14:textFill>
              </w:rPr>
              <w:t>n</w:t>
            </w:r>
            <w:r>
              <w:rPr>
                <w:color w:val="000000" w:themeColor="text1"/>
                <w:sz w:val="24"/>
                <w:highlight w:val="none"/>
                <w14:textFill>
                  <w14:solidFill>
                    <w14:schemeClr w14:val="tx1"/>
                  </w14:solidFill>
                </w14:textFill>
              </w:rPr>
              <w:t>——每种危险物质的临界量，t；</w:t>
            </w:r>
          </w:p>
          <w:p w14:paraId="4A562366">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当Q&lt;1时，该项目环境风险潜势为</w:t>
            </w: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1 \* ROMAN</w:instrText>
            </w:r>
            <w:r>
              <w:rPr>
                <w:color w:val="000000" w:themeColor="text1"/>
                <w:sz w:val="24"/>
                <w:highlight w:val="none"/>
                <w14:textFill>
                  <w14:solidFill>
                    <w14:schemeClr w14:val="tx1"/>
                  </w14:solidFill>
                </w14:textFill>
              </w:rPr>
              <w:fldChar w:fldCharType="separate"/>
            </w:r>
            <w:r>
              <w:rPr>
                <w:color w:val="000000" w:themeColor="text1"/>
                <w:sz w:val="24"/>
                <w:highlight w:val="none"/>
                <w14:textFill>
                  <w14:solidFill>
                    <w14:schemeClr w14:val="tx1"/>
                  </w14:solidFill>
                </w14:textFill>
              </w:rPr>
              <w:t>I</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w:t>
            </w:r>
          </w:p>
          <w:p w14:paraId="3D1990F4">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当Q≥1时，将Q值划分为：（1）1≤Q＜10；（2）10≤Q＜100；（3）Q≥100。</w:t>
            </w:r>
          </w:p>
          <w:p w14:paraId="7E19F157">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通过计算，本项目Q&lt;1，所以本项目环境风险潜势为</w:t>
            </w: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1 \* ROMAN</w:instrText>
            </w:r>
            <w:r>
              <w:rPr>
                <w:color w:val="000000" w:themeColor="text1"/>
                <w:sz w:val="24"/>
                <w:highlight w:val="none"/>
                <w14:textFill>
                  <w14:solidFill>
                    <w14:schemeClr w14:val="tx1"/>
                  </w14:solidFill>
                </w14:textFill>
              </w:rPr>
              <w:fldChar w:fldCharType="separate"/>
            </w:r>
            <w:r>
              <w:rPr>
                <w:color w:val="000000" w:themeColor="text1"/>
                <w:sz w:val="24"/>
                <w:highlight w:val="none"/>
                <w14:textFill>
                  <w14:solidFill>
                    <w14:schemeClr w14:val="tx1"/>
                  </w14:solidFill>
                </w14:textFill>
              </w:rPr>
              <w:t>I</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w:t>
            </w:r>
          </w:p>
          <w:p w14:paraId="3625D5F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（3）评价等级</w:t>
            </w:r>
          </w:p>
          <w:p w14:paraId="6E6AA72A">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境风险是指突发性事故对环境（或健康）的危害程度。建设项目环境风险评价，主要是对建设项目建设和运行期间发生的可预测突发性事件或事故（一般不包括人为破坏及自然灾害）引起有毒有害、易燃易爆等物质泄漏，或突发事件产生的新的有毒有害物质，所造成的对人身安全与环境的影响和损害，进行评估，提出防范、应急与减缓措施，以使建设项目事故率、损失和环境影响达到可接受水平。</w:t>
            </w:r>
          </w:p>
          <w:p w14:paraId="11C6547E">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本项目为矿产资源勘探，根据《建设项目环境风险评价技术导则》（HJ169-2018）附录B中推荐物质危险性识别可知，项目风险物质为</w:t>
            </w:r>
            <w:r>
              <w:rPr>
                <w:rFonts w:hint="eastAsia"/>
                <w:color w:val="000000" w:themeColor="text1"/>
                <w:sz w:val="24"/>
                <w:highlight w:val="none"/>
                <w14:textFill>
                  <w14:solidFill>
                    <w14:schemeClr w14:val="tx1"/>
                  </w14:solidFill>
                </w14:textFill>
              </w:rPr>
              <w:t>废润滑油和柴油</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风险源情况详见下表</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5</w:t>
            </w:r>
            <w:r>
              <w:rPr>
                <w:rFonts w:hint="eastAsia"/>
                <w:color w:val="000000" w:themeColor="text1"/>
                <w:sz w:val="24"/>
                <w:highlight w:val="none"/>
                <w14:textFill>
                  <w14:solidFill>
                    <w14:schemeClr w14:val="tx1"/>
                  </w14:solidFill>
                </w14:textFill>
              </w:rPr>
              <w:t>。</w:t>
            </w:r>
          </w:p>
          <w:p w14:paraId="780BEE2F">
            <w:pPr>
              <w:widowControl w:val="0"/>
              <w:adjustRightInd w:val="0"/>
              <w:snapToGrid w:val="0"/>
              <w:spacing w:before="156" w:beforeLines="50" w:line="240" w:lineRule="auto"/>
              <w:ind w:firstLine="0" w:firstLineChars="0"/>
              <w:jc w:val="center"/>
              <w:textAlignment w:val="baseline"/>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pPr>
            <w:r>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表</w:t>
            </w:r>
            <w:r>
              <w:rPr>
                <w:rFonts w:hint="eastAsia" w:cs="Times New Roman"/>
                <w:b/>
                <w:bCs/>
                <w:snapToGrid w:val="0"/>
                <w:color w:val="000000" w:themeColor="text1"/>
                <w:spacing w:val="6"/>
                <w:kern w:val="2"/>
                <w:sz w:val="21"/>
                <w:szCs w:val="21"/>
                <w:highlight w:val="none"/>
                <w:lang w:val="en-US" w:eastAsia="zh-CN" w:bidi="ar-SA"/>
                <w14:textFill>
                  <w14:solidFill>
                    <w14:schemeClr w14:val="tx1"/>
                  </w14:solidFill>
                </w14:textFill>
              </w:rPr>
              <w:t>4</w:t>
            </w:r>
            <w:r>
              <w:rPr>
                <w:rFonts w:hint="eastAsia"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w:t>
            </w:r>
            <w:r>
              <w:rPr>
                <w:rFonts w:hint="eastAsia" w:cs="Times New Roman"/>
                <w:b/>
                <w:bCs/>
                <w:snapToGrid w:val="0"/>
                <w:color w:val="000000" w:themeColor="text1"/>
                <w:spacing w:val="6"/>
                <w:kern w:val="2"/>
                <w:sz w:val="21"/>
                <w:szCs w:val="21"/>
                <w:highlight w:val="none"/>
                <w:lang w:val="en-US" w:eastAsia="zh-CN" w:bidi="ar-SA"/>
                <w14:textFill>
                  <w14:solidFill>
                    <w14:schemeClr w14:val="tx1"/>
                  </w14:solidFill>
                </w14:textFill>
              </w:rPr>
              <w:t>5</w:t>
            </w:r>
            <w:r>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 xml:space="preserve">  </w:t>
            </w:r>
            <w:r>
              <w:rPr>
                <w:rFonts w:hint="eastAsia"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环境风险物质数量、临界量及其比值（Q）</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12"/>
              <w:gridCol w:w="1756"/>
              <w:gridCol w:w="1286"/>
              <w:gridCol w:w="1417"/>
              <w:gridCol w:w="1912"/>
            </w:tblGrid>
            <w:tr w14:paraId="045797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jc w:val="center"/>
              </w:trPr>
              <w:tc>
                <w:tcPr>
                  <w:tcW w:w="1133" w:type="dxa"/>
                  <w:tcBorders>
                    <w:tl2br w:val="nil"/>
                    <w:tr2bl w:val="nil"/>
                  </w:tcBorders>
                  <w:shd w:val="clear" w:color="auto" w:fill="auto"/>
                  <w:vAlign w:val="center"/>
                </w:tcPr>
                <w:p w14:paraId="57E8A14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序号</w:t>
                  </w:r>
                </w:p>
              </w:tc>
              <w:tc>
                <w:tcPr>
                  <w:tcW w:w="1797" w:type="dxa"/>
                  <w:tcBorders>
                    <w:tl2br w:val="nil"/>
                    <w:tr2bl w:val="nil"/>
                  </w:tcBorders>
                  <w:shd w:val="clear" w:color="auto" w:fill="auto"/>
                  <w:vAlign w:val="center"/>
                </w:tcPr>
                <w:p w14:paraId="5D7076A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vertAlign w:val="superscript"/>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环境风险物质</w:t>
                  </w:r>
                </w:p>
              </w:tc>
              <w:tc>
                <w:tcPr>
                  <w:tcW w:w="1303" w:type="dxa"/>
                  <w:tcBorders>
                    <w:tl2br w:val="nil"/>
                    <w:tr2bl w:val="nil"/>
                  </w:tcBorders>
                  <w:shd w:val="clear" w:color="auto" w:fill="auto"/>
                  <w:vAlign w:val="center"/>
                </w:tcPr>
                <w:p w14:paraId="74B4B09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储存量（q）</w:t>
                  </w:r>
                </w:p>
              </w:tc>
              <w:tc>
                <w:tcPr>
                  <w:tcW w:w="1436" w:type="dxa"/>
                  <w:tcBorders>
                    <w:tl2br w:val="nil"/>
                    <w:tr2bl w:val="nil"/>
                  </w:tcBorders>
                  <w:shd w:val="clear" w:color="auto" w:fill="auto"/>
                  <w:vAlign w:val="center"/>
                </w:tcPr>
                <w:p w14:paraId="4807E1B0">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临界量（Q）</w:t>
                  </w:r>
                </w:p>
              </w:tc>
              <w:tc>
                <w:tcPr>
                  <w:tcW w:w="1942" w:type="dxa"/>
                  <w:tcBorders>
                    <w:tl2br w:val="nil"/>
                    <w:tr2bl w:val="nil"/>
                  </w:tcBorders>
                  <w:shd w:val="clear" w:color="auto" w:fill="auto"/>
                  <w:vAlign w:val="center"/>
                </w:tcPr>
                <w:p w14:paraId="0B47C4BB">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q比值（Q）</w:t>
                  </w:r>
                </w:p>
              </w:tc>
            </w:tr>
            <w:tr w14:paraId="49CFD8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jc w:val="center"/>
              </w:trPr>
              <w:tc>
                <w:tcPr>
                  <w:tcW w:w="1133" w:type="dxa"/>
                  <w:tcBorders>
                    <w:tl2br w:val="nil"/>
                    <w:tr2bl w:val="nil"/>
                  </w:tcBorders>
                  <w:shd w:val="clear" w:color="auto" w:fill="auto"/>
                  <w:vAlign w:val="center"/>
                </w:tcPr>
                <w:p w14:paraId="35A64116">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1</w:t>
                  </w:r>
                </w:p>
              </w:tc>
              <w:tc>
                <w:tcPr>
                  <w:tcW w:w="1797" w:type="dxa"/>
                  <w:tcBorders>
                    <w:tl2br w:val="nil"/>
                    <w:tr2bl w:val="nil"/>
                  </w:tcBorders>
                  <w:shd w:val="clear" w:color="auto" w:fill="auto"/>
                  <w:vAlign w:val="center"/>
                </w:tcPr>
                <w:p w14:paraId="3BCBFA3F">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废润滑油</w:t>
                  </w:r>
                </w:p>
              </w:tc>
              <w:tc>
                <w:tcPr>
                  <w:tcW w:w="1303" w:type="dxa"/>
                  <w:tcBorders>
                    <w:tl2br w:val="nil"/>
                    <w:tr2bl w:val="nil"/>
                  </w:tcBorders>
                  <w:shd w:val="clear" w:color="auto" w:fill="auto"/>
                  <w:vAlign w:val="center"/>
                </w:tcPr>
                <w:p w14:paraId="39145D03">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0.1t</w:t>
                  </w:r>
                </w:p>
              </w:tc>
              <w:tc>
                <w:tcPr>
                  <w:tcW w:w="1436" w:type="dxa"/>
                  <w:tcBorders>
                    <w:tl2br w:val="nil"/>
                    <w:tr2bl w:val="nil"/>
                  </w:tcBorders>
                  <w:shd w:val="clear" w:color="auto" w:fill="auto"/>
                  <w:vAlign w:val="center"/>
                </w:tcPr>
                <w:p w14:paraId="30C13F78">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2500t</w:t>
                  </w:r>
                </w:p>
              </w:tc>
              <w:tc>
                <w:tcPr>
                  <w:tcW w:w="1942" w:type="dxa"/>
                  <w:tcBorders>
                    <w:tl2br w:val="nil"/>
                    <w:tr2bl w:val="nil"/>
                  </w:tcBorders>
                  <w:shd w:val="clear" w:color="auto" w:fill="auto"/>
                  <w:vAlign w:val="center"/>
                </w:tcPr>
                <w:p w14:paraId="3ECCB61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vertAlign w:val="superscript"/>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0.00004</w:t>
                  </w:r>
                </w:p>
              </w:tc>
            </w:tr>
            <w:tr w14:paraId="3B4393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jc w:val="center"/>
              </w:trPr>
              <w:tc>
                <w:tcPr>
                  <w:tcW w:w="1133" w:type="dxa"/>
                  <w:tcBorders>
                    <w:tl2br w:val="nil"/>
                    <w:tr2bl w:val="nil"/>
                  </w:tcBorders>
                  <w:shd w:val="clear" w:color="auto" w:fill="auto"/>
                  <w:vAlign w:val="center"/>
                </w:tcPr>
                <w:p w14:paraId="15242C0C">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2</w:t>
                  </w:r>
                </w:p>
              </w:tc>
              <w:tc>
                <w:tcPr>
                  <w:tcW w:w="1797" w:type="dxa"/>
                  <w:tcBorders>
                    <w:tl2br w:val="nil"/>
                    <w:tr2bl w:val="nil"/>
                  </w:tcBorders>
                  <w:shd w:val="clear" w:color="auto" w:fill="auto"/>
                  <w:vAlign w:val="center"/>
                </w:tcPr>
                <w:p w14:paraId="447DB3DE">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柴油</w:t>
                  </w:r>
                </w:p>
              </w:tc>
              <w:tc>
                <w:tcPr>
                  <w:tcW w:w="1303" w:type="dxa"/>
                  <w:tcBorders>
                    <w:tl2br w:val="nil"/>
                    <w:tr2bl w:val="nil"/>
                  </w:tcBorders>
                  <w:shd w:val="clear" w:color="auto" w:fill="auto"/>
                  <w:vAlign w:val="center"/>
                </w:tcPr>
                <w:p w14:paraId="034B8E1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1t</w:t>
                  </w:r>
                </w:p>
              </w:tc>
              <w:tc>
                <w:tcPr>
                  <w:tcW w:w="1436" w:type="dxa"/>
                  <w:tcBorders>
                    <w:tl2br w:val="nil"/>
                    <w:tr2bl w:val="nil"/>
                  </w:tcBorders>
                  <w:shd w:val="clear" w:color="auto" w:fill="auto"/>
                  <w:vAlign w:val="center"/>
                </w:tcPr>
                <w:p w14:paraId="346D2F2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2</w:t>
                  </w: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500t</w:t>
                  </w:r>
                </w:p>
              </w:tc>
              <w:tc>
                <w:tcPr>
                  <w:tcW w:w="1942" w:type="dxa"/>
                  <w:tcBorders>
                    <w:tl2br w:val="nil"/>
                    <w:tr2bl w:val="nil"/>
                  </w:tcBorders>
                  <w:shd w:val="clear" w:color="auto" w:fill="auto"/>
                  <w:vAlign w:val="center"/>
                </w:tcPr>
                <w:p w14:paraId="2503C2FD">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0.0004</w:t>
                  </w:r>
                </w:p>
              </w:tc>
            </w:tr>
            <w:tr w14:paraId="200153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1" w:hRule="atLeast"/>
                <w:jc w:val="center"/>
              </w:trPr>
              <w:tc>
                <w:tcPr>
                  <w:tcW w:w="5669" w:type="dxa"/>
                  <w:gridSpan w:val="4"/>
                  <w:tcBorders>
                    <w:tl2br w:val="nil"/>
                    <w:tr2bl w:val="nil"/>
                  </w:tcBorders>
                  <w:shd w:val="clear" w:color="auto" w:fill="auto"/>
                  <w:vAlign w:val="center"/>
                </w:tcPr>
                <w:p w14:paraId="0CFC6487">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合计</w:t>
                  </w:r>
                </w:p>
              </w:tc>
              <w:tc>
                <w:tcPr>
                  <w:tcW w:w="1942" w:type="dxa"/>
                  <w:tcBorders>
                    <w:tl2br w:val="nil"/>
                    <w:tr2bl w:val="nil"/>
                  </w:tcBorders>
                  <w:shd w:val="clear" w:color="auto" w:fill="auto"/>
                  <w:vAlign w:val="center"/>
                </w:tcPr>
                <w:p w14:paraId="156C4F8D">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0.00044</w:t>
                  </w:r>
                </w:p>
              </w:tc>
            </w:tr>
          </w:tbl>
          <w:p w14:paraId="1D12E2A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根据危险物质数量与临界量比值，确定Q=0.00044&lt;1。当Q&lt;1时，该项目风险潜势为I，环境风险评价工作等级为简单分析。</w:t>
            </w:r>
          </w:p>
          <w:p w14:paraId="147B08A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综上，本项目风险判定为简单评价。分析内容表见下表</w:t>
            </w:r>
            <w:r>
              <w:rPr>
                <w:rFonts w:hint="eastAsia"/>
                <w:color w:val="000000" w:themeColor="text1"/>
                <w:sz w:val="24"/>
                <w:highlight w:val="none"/>
                <w:lang w:val="en-US" w:eastAsia="zh-CN"/>
                <w14:textFill>
                  <w14:solidFill>
                    <w14:schemeClr w14:val="tx1"/>
                  </w14:solidFill>
                </w14:textFill>
              </w:rPr>
              <w:t>4</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6</w:t>
            </w:r>
            <w:r>
              <w:rPr>
                <w:color w:val="000000" w:themeColor="text1"/>
                <w:sz w:val="24"/>
                <w:highlight w:val="none"/>
                <w14:textFill>
                  <w14:solidFill>
                    <w14:schemeClr w14:val="tx1"/>
                  </w14:solidFill>
                </w14:textFill>
              </w:rPr>
              <w:t>。</w:t>
            </w:r>
          </w:p>
          <w:p w14:paraId="608BA29A">
            <w:pPr>
              <w:widowControl w:val="0"/>
              <w:adjustRightInd w:val="0"/>
              <w:snapToGrid w:val="0"/>
              <w:spacing w:before="156" w:beforeLines="50" w:line="240" w:lineRule="auto"/>
              <w:ind w:firstLine="0" w:firstLineChars="0"/>
              <w:jc w:val="center"/>
              <w:textAlignment w:val="baseline"/>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pPr>
            <w:r>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表</w:t>
            </w:r>
            <w:r>
              <w:rPr>
                <w:rFonts w:hint="eastAsia" w:cs="Times New Roman"/>
                <w:b/>
                <w:bCs/>
                <w:snapToGrid w:val="0"/>
                <w:color w:val="000000" w:themeColor="text1"/>
                <w:spacing w:val="6"/>
                <w:kern w:val="2"/>
                <w:sz w:val="21"/>
                <w:szCs w:val="21"/>
                <w:highlight w:val="none"/>
                <w:lang w:val="en-US" w:eastAsia="zh-CN" w:bidi="ar-SA"/>
                <w14:textFill>
                  <w14:solidFill>
                    <w14:schemeClr w14:val="tx1"/>
                  </w14:solidFill>
                </w14:textFill>
              </w:rPr>
              <w:t>4</w:t>
            </w:r>
            <w:r>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w:t>
            </w:r>
            <w:r>
              <w:rPr>
                <w:rFonts w:hint="eastAsia" w:cs="Times New Roman"/>
                <w:b/>
                <w:bCs/>
                <w:snapToGrid w:val="0"/>
                <w:color w:val="000000" w:themeColor="text1"/>
                <w:spacing w:val="6"/>
                <w:kern w:val="2"/>
                <w:sz w:val="21"/>
                <w:szCs w:val="21"/>
                <w:highlight w:val="none"/>
                <w:lang w:val="en-US" w:eastAsia="zh-CN" w:bidi="ar-SA"/>
                <w14:textFill>
                  <w14:solidFill>
                    <w14:schemeClr w14:val="tx1"/>
                  </w14:solidFill>
                </w14:textFill>
              </w:rPr>
              <w:t>6</w:t>
            </w:r>
            <w:r>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 xml:space="preserve">  建设项目环境风险简单分析内容表</w:t>
            </w:r>
          </w:p>
          <w:tbl>
            <w:tblPr>
              <w:tblStyle w:val="28"/>
              <w:tblW w:w="4998" w:type="pct"/>
              <w:tblInd w:w="15"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893"/>
              <w:gridCol w:w="5587"/>
            </w:tblGrid>
            <w:tr w14:paraId="1349CA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trPr>
              <w:tc>
                <w:tcPr>
                  <w:tcW w:w="1265" w:type="pct"/>
                  <w:tcBorders>
                    <w:tl2br w:val="nil"/>
                    <w:tr2bl w:val="nil"/>
                  </w:tcBorders>
                  <w:shd w:val="clear" w:color="auto" w:fill="auto"/>
                  <w:vAlign w:val="center"/>
                </w:tcPr>
                <w:p w14:paraId="2822DB7F">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建设项目名称</w:t>
                  </w:r>
                </w:p>
              </w:tc>
              <w:tc>
                <w:tcPr>
                  <w:tcW w:w="3734" w:type="pct"/>
                  <w:tcBorders>
                    <w:tl2br w:val="nil"/>
                    <w:tr2bl w:val="nil"/>
                  </w:tcBorders>
                  <w:shd w:val="clear" w:color="auto" w:fill="auto"/>
                  <w:vAlign w:val="center"/>
                </w:tcPr>
                <w:p w14:paraId="1414CA6B">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新疆和静县察汗乌苏铜矿勘探项目</w:t>
                  </w:r>
                </w:p>
              </w:tc>
            </w:tr>
            <w:tr w14:paraId="648018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trPr>
              <w:tc>
                <w:tcPr>
                  <w:tcW w:w="1265" w:type="pct"/>
                  <w:tcBorders>
                    <w:tl2br w:val="nil"/>
                    <w:tr2bl w:val="nil"/>
                  </w:tcBorders>
                  <w:shd w:val="clear" w:color="auto" w:fill="auto"/>
                  <w:vAlign w:val="center"/>
                </w:tcPr>
                <w:p w14:paraId="6C6772AB">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建设地点</w:t>
                  </w:r>
                </w:p>
              </w:tc>
              <w:tc>
                <w:tcPr>
                  <w:tcW w:w="3734" w:type="pct"/>
                  <w:tcBorders>
                    <w:tl2br w:val="nil"/>
                    <w:tr2bl w:val="nil"/>
                  </w:tcBorders>
                  <w:shd w:val="clear" w:color="auto" w:fill="auto"/>
                  <w:vAlign w:val="center"/>
                </w:tcPr>
                <w:p w14:paraId="25450EC8">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和静县正北方向直距约69千米处</w:t>
                  </w:r>
                </w:p>
              </w:tc>
            </w:tr>
            <w:tr w14:paraId="537360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trPr>
              <w:tc>
                <w:tcPr>
                  <w:tcW w:w="1265" w:type="pct"/>
                  <w:tcBorders>
                    <w:tl2br w:val="nil"/>
                    <w:tr2bl w:val="nil"/>
                  </w:tcBorders>
                  <w:shd w:val="clear" w:color="auto" w:fill="auto"/>
                  <w:vAlign w:val="center"/>
                </w:tcPr>
                <w:p w14:paraId="05839FE6">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地理坐标</w:t>
                  </w:r>
                </w:p>
              </w:tc>
              <w:tc>
                <w:tcPr>
                  <w:tcW w:w="3734" w:type="pct"/>
                  <w:tcBorders>
                    <w:tl2br w:val="nil"/>
                    <w:tr2bl w:val="nil"/>
                  </w:tcBorders>
                  <w:shd w:val="clear" w:color="auto" w:fill="auto"/>
                  <w:vAlign w:val="center"/>
                </w:tcPr>
                <w:p w14:paraId="36710C0E">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6F6353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trPr>
              <w:tc>
                <w:tcPr>
                  <w:tcW w:w="1265" w:type="pct"/>
                  <w:tcBorders>
                    <w:tl2br w:val="nil"/>
                    <w:tr2bl w:val="nil"/>
                  </w:tcBorders>
                  <w:shd w:val="clear" w:color="auto" w:fill="auto"/>
                  <w:vAlign w:val="center"/>
                </w:tcPr>
                <w:p w14:paraId="1302625C">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主要危险物质及分布</w:t>
                  </w:r>
                </w:p>
              </w:tc>
              <w:tc>
                <w:tcPr>
                  <w:tcW w:w="3734" w:type="pct"/>
                  <w:tcBorders>
                    <w:tl2br w:val="nil"/>
                    <w:tr2bl w:val="nil"/>
                  </w:tcBorders>
                  <w:shd w:val="clear" w:color="auto" w:fill="auto"/>
                  <w:vAlign w:val="center"/>
                </w:tcPr>
                <w:p w14:paraId="627F1B42">
                  <w:pPr>
                    <w:spacing w:line="240" w:lineRule="auto"/>
                    <w:ind w:firstLine="0" w:firstLineChars="0"/>
                    <w:rPr>
                      <w:color w:val="000000" w:themeColor="text1"/>
                      <w:sz w:val="24"/>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本项目主要危险物质为废润滑油和柴油，分别暂存于危险废物贮存点和柴油临时存放点</w:t>
                  </w:r>
                </w:p>
              </w:tc>
            </w:tr>
            <w:tr w14:paraId="356965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trPr>
              <w:tc>
                <w:tcPr>
                  <w:tcW w:w="1265" w:type="pct"/>
                  <w:tcBorders>
                    <w:tl2br w:val="nil"/>
                    <w:tr2bl w:val="nil"/>
                  </w:tcBorders>
                  <w:shd w:val="clear" w:color="auto" w:fill="auto"/>
                  <w:vAlign w:val="center"/>
                </w:tcPr>
                <w:p w14:paraId="4A9AE6B7">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环境影响途径及危害后果（大气、地表水、地下水）</w:t>
                  </w:r>
                </w:p>
              </w:tc>
              <w:tc>
                <w:tcPr>
                  <w:tcW w:w="3734" w:type="pct"/>
                  <w:tcBorders>
                    <w:tl2br w:val="nil"/>
                    <w:tr2bl w:val="nil"/>
                  </w:tcBorders>
                  <w:shd w:val="clear" w:color="auto" w:fill="auto"/>
                  <w:vAlign w:val="center"/>
                </w:tcPr>
                <w:p w14:paraId="4475575C">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废润滑油、柴油存在泄漏风险，若发生泄漏可能污染区域地下水；同时存在火灾爆炸风险，其次生/伴生污染物可能对大气环境造成影响</w:t>
                  </w:r>
                </w:p>
              </w:tc>
            </w:tr>
            <w:tr w14:paraId="7435AE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trPr>
              <w:tc>
                <w:tcPr>
                  <w:tcW w:w="1265" w:type="pct"/>
                  <w:tcBorders>
                    <w:tl2br w:val="nil"/>
                    <w:tr2bl w:val="nil"/>
                  </w:tcBorders>
                  <w:shd w:val="clear" w:color="auto" w:fill="auto"/>
                  <w:vAlign w:val="center"/>
                </w:tcPr>
                <w:p w14:paraId="201FD1F3">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风险防范措施要求</w:t>
                  </w:r>
                </w:p>
              </w:tc>
              <w:tc>
                <w:tcPr>
                  <w:tcW w:w="3734" w:type="pct"/>
                  <w:tcBorders>
                    <w:tl2br w:val="nil"/>
                    <w:tr2bl w:val="nil"/>
                  </w:tcBorders>
                  <w:shd w:val="clear" w:color="auto" w:fill="auto"/>
                  <w:vAlign w:val="center"/>
                </w:tcPr>
                <w:p w14:paraId="6BA98A29">
                  <w:pPr>
                    <w:widowControl w:val="0"/>
                    <w:spacing w:line="240" w:lineRule="auto"/>
                    <w:ind w:left="0" w:firstLine="0" w:firstLineChars="0"/>
                    <w:contextualSpacing/>
                    <w:jc w:val="both"/>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加强机械设备维护管理，产生的废润滑油应规范收集、贮存，并严格按照危险废物管理要求，委托有资质单位进行处置</w:t>
                  </w:r>
                </w:p>
              </w:tc>
            </w:tr>
            <w:tr w14:paraId="6738C9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5" w:hRule="atLeast"/>
              </w:trPr>
              <w:tc>
                <w:tcPr>
                  <w:tcW w:w="1265" w:type="pct"/>
                  <w:tcBorders>
                    <w:tl2br w:val="nil"/>
                    <w:tr2bl w:val="nil"/>
                  </w:tcBorders>
                  <w:shd w:val="clear" w:color="auto" w:fill="auto"/>
                  <w:vAlign w:val="center"/>
                </w:tcPr>
                <w:p w14:paraId="24BFB06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填表说明（列出项目相关信息及评价说明）</w:t>
                  </w:r>
                </w:p>
              </w:tc>
              <w:tc>
                <w:tcPr>
                  <w:tcW w:w="3734" w:type="pct"/>
                  <w:tcBorders>
                    <w:tl2br w:val="nil"/>
                    <w:tr2bl w:val="nil"/>
                  </w:tcBorders>
                  <w:shd w:val="clear" w:color="auto" w:fill="auto"/>
                  <w:vAlign w:val="center"/>
                </w:tcPr>
                <w:p w14:paraId="20C66997">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不存在重大危险源，项目环境风险可以接受</w:t>
                  </w:r>
                </w:p>
              </w:tc>
            </w:tr>
          </w:tbl>
          <w:p w14:paraId="627056E6">
            <w:pPr>
              <w:pStyle w:val="53"/>
              <w:widowControl w:val="0"/>
              <w:bidi w:val="0"/>
              <w:adjustRightInd w:val="0"/>
              <w:snapToGrid w:val="0"/>
              <w:ind w:firstLineChars="200"/>
              <w:jc w:val="both"/>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4.7.3环境敏感目标概况</w:t>
            </w:r>
          </w:p>
          <w:p w14:paraId="52C0D017">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）大气环境敏感目标调查</w:t>
            </w:r>
          </w:p>
          <w:p w14:paraId="78EE2E18">
            <w:pPr>
              <w:spacing w:line="360" w:lineRule="auto"/>
              <w:ind w:firstLine="480" w:firstLineChars="200"/>
              <w:rPr>
                <w:color w:val="000000" w:themeColor="text1"/>
                <w:sz w:val="24"/>
                <w:highlight w:val="none"/>
                <w14:textFill>
                  <w14:solidFill>
                    <w14:schemeClr w14:val="tx1"/>
                  </w14:solidFill>
                </w14:textFill>
              </w:rPr>
            </w:pPr>
            <w:r>
              <w:rPr>
                <w:rFonts w:ascii="Segoe UI" w:hAnsi="Segoe UI" w:cs="Segoe UI"/>
                <w:color w:val="000000" w:themeColor="text1"/>
                <w:sz w:val="24"/>
                <w:highlight w:val="none"/>
                <w:shd w:val="clear" w:color="auto" w:fill="FFFFFF"/>
                <w14:textFill>
                  <w14:solidFill>
                    <w14:schemeClr w14:val="tx1"/>
                  </w14:solidFill>
                </w14:textFill>
              </w:rPr>
              <w:t>经现场踏勘，本项目勘查区及周边区域均为山体，地势较高，无常住居民点、学校、医院等大气环境敏感建筑物分布。因此，本项目不涉及大气</w:t>
            </w:r>
            <w:r>
              <w:rPr>
                <w:color w:val="000000" w:themeColor="text1"/>
                <w:sz w:val="24"/>
                <w:highlight w:val="none"/>
                <w:shd w:val="clear" w:color="auto" w:fill="FFFFFF"/>
                <w14:textFill>
                  <w14:solidFill>
                    <w14:schemeClr w14:val="tx1"/>
                  </w14:solidFill>
                </w14:textFill>
              </w:rPr>
              <w:t>环境敏感目标</w:t>
            </w:r>
            <w:r>
              <w:rPr>
                <w:color w:val="000000" w:themeColor="text1"/>
                <w:sz w:val="24"/>
                <w:highlight w:val="none"/>
                <w14:textFill>
                  <w14:solidFill>
                    <w14:schemeClr w14:val="tx1"/>
                  </w14:solidFill>
                </w14:textFill>
              </w:rPr>
              <w:t>。</w:t>
            </w:r>
          </w:p>
          <w:p w14:paraId="38969B2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（2）地表水环境敏感目标调查</w:t>
            </w:r>
          </w:p>
          <w:p w14:paraId="3FDE8A4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勘查区内</w:t>
            </w:r>
            <w:r>
              <w:rPr>
                <w:rFonts w:hint="eastAsia"/>
                <w:color w:val="000000" w:themeColor="text1"/>
                <w:sz w:val="24"/>
                <w:highlight w:val="none"/>
                <w:lang w:val="en-US" w:eastAsia="zh-CN"/>
                <w14:textFill>
                  <w14:solidFill>
                    <w14:schemeClr w14:val="tx1"/>
                  </w14:solidFill>
                </w14:textFill>
              </w:rPr>
              <w:t>无地表水</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本项目</w:t>
            </w:r>
            <w:r>
              <w:rPr>
                <w:color w:val="000000" w:themeColor="text1"/>
                <w:sz w:val="24"/>
                <w:szCs w:val="21"/>
                <w:highlight w:val="none"/>
                <w14:textFill>
                  <w14:solidFill>
                    <w14:schemeClr w14:val="tx1"/>
                  </w14:solidFill>
                </w14:textFill>
              </w:rPr>
              <w:t>生产废水经沉淀池沉淀后</w:t>
            </w:r>
            <w:r>
              <w:rPr>
                <w:rFonts w:hint="eastAsia"/>
                <w:color w:val="000000" w:themeColor="text1"/>
                <w:sz w:val="24"/>
                <w:szCs w:val="21"/>
                <w:highlight w:val="none"/>
                <w14:textFill>
                  <w14:solidFill>
                    <w14:schemeClr w14:val="tx1"/>
                  </w14:solidFill>
                </w14:textFill>
              </w:rPr>
              <w:t>回用于钻探</w:t>
            </w:r>
            <w:r>
              <w:rPr>
                <w:color w:val="000000" w:themeColor="text1"/>
                <w:sz w:val="24"/>
                <w:szCs w:val="21"/>
                <w:highlight w:val="none"/>
                <w14:textFill>
                  <w14:solidFill>
                    <w14:schemeClr w14:val="tx1"/>
                  </w14:solidFill>
                </w14:textFill>
              </w:rPr>
              <w:t>，不外排；生活污水</w:t>
            </w:r>
            <w:r>
              <w:rPr>
                <w:rFonts w:hint="eastAsia"/>
                <w:color w:val="000000" w:themeColor="text1"/>
                <w:sz w:val="24"/>
                <w:szCs w:val="21"/>
                <w:highlight w:val="none"/>
                <w14:textFill>
                  <w14:solidFill>
                    <w14:schemeClr w14:val="tx1"/>
                  </w14:solidFill>
                </w14:textFill>
              </w:rPr>
              <w:t>排</w:t>
            </w:r>
            <w:r>
              <w:rPr>
                <w:color w:val="000000" w:themeColor="text1"/>
                <w:sz w:val="24"/>
                <w:szCs w:val="21"/>
                <w:highlight w:val="none"/>
                <w14:textFill>
                  <w14:solidFill>
                    <w14:schemeClr w14:val="tx1"/>
                  </w14:solidFill>
                </w14:textFill>
              </w:rPr>
              <w:t>入一体化污水处理</w:t>
            </w:r>
            <w:r>
              <w:rPr>
                <w:rFonts w:hint="eastAsia"/>
                <w:color w:val="000000" w:themeColor="text1"/>
                <w:sz w:val="24"/>
                <w:szCs w:val="21"/>
                <w:highlight w:val="none"/>
                <w14:textFill>
                  <w14:solidFill>
                    <w14:schemeClr w14:val="tx1"/>
                  </w14:solidFill>
                </w14:textFill>
              </w:rPr>
              <w:t>设备</w:t>
            </w:r>
            <w:r>
              <w:rPr>
                <w:color w:val="000000" w:themeColor="text1"/>
                <w:sz w:val="24"/>
                <w:szCs w:val="21"/>
                <w:highlight w:val="none"/>
                <w14:textFill>
                  <w14:solidFill>
                    <w14:schemeClr w14:val="tx1"/>
                  </w14:solidFill>
                </w14:textFill>
              </w:rPr>
              <w:t>处理达标后，用于</w:t>
            </w:r>
            <w:r>
              <w:rPr>
                <w:rFonts w:hint="eastAsia"/>
                <w:color w:val="000000" w:themeColor="text1"/>
                <w:sz w:val="24"/>
                <w:highlight w:val="none"/>
                <w:lang w:eastAsia="zh-CN"/>
                <w14:textFill>
                  <w14:solidFill>
                    <w14:schemeClr w14:val="tx1"/>
                  </w14:solidFill>
                </w14:textFill>
              </w:rPr>
              <w:t>草地生态恢复回用</w:t>
            </w:r>
            <w:r>
              <w:rPr>
                <w:color w:val="000000" w:themeColor="text1"/>
                <w:sz w:val="24"/>
                <w:highlight w:val="none"/>
                <w14:textFill>
                  <w14:solidFill>
                    <w14:schemeClr w14:val="tx1"/>
                  </w14:solidFill>
                </w14:textFill>
              </w:rPr>
              <w:t>，不排入地表水体。正常工况下项目废水不会对芒奇提河产生影响，但施工期间应严格管控，避免油料泄漏、土石方滑落等事故排放对河流造成污染。</w:t>
            </w:r>
          </w:p>
          <w:p w14:paraId="2839C330">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（3）地下水环境敏感目标调查</w:t>
            </w:r>
          </w:p>
          <w:p w14:paraId="205283E0">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据现场调查，本项目勘查区地处山体区域，地势较高，周边无居民饮用水井及集中式地下水供水水源地，不涉及地下水水源保护区等敏感区域。因此，本项目无地下水环境敏感目标。</w:t>
            </w:r>
          </w:p>
          <w:p w14:paraId="61ADBDC2">
            <w:pPr>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4.7.4环境风险识别</w:t>
            </w:r>
          </w:p>
          <w:p w14:paraId="504F277F">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的风险识别主要从生产设施风险识别和生产过程所涉及的物质风险识别两方面着手。其中生产设施风险识别包括主要生产装置、贮运系统、公用工程系统、工程环保设施及辅助生产设施等；物质风险性识别包括生产中涉及的原辅材料、中间产品以及生产过程中排放的“三废”污染物等。</w:t>
            </w:r>
          </w:p>
          <w:p w14:paraId="4E90155D">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（1）风险物质识别</w:t>
            </w:r>
          </w:p>
          <w:p w14:paraId="74B3798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根据</w:t>
            </w:r>
            <w:r>
              <w:rPr>
                <w:rFonts w:hint="eastAsia"/>
                <w:color w:val="000000" w:themeColor="text1"/>
                <w:sz w:val="24"/>
                <w:highlight w:val="none"/>
                <w14:textFill>
                  <w14:solidFill>
                    <w14:schemeClr w14:val="tx1"/>
                  </w14:solidFill>
                </w14:textFill>
              </w:rPr>
              <w:t>项目的原辅材料、中间产物和产品等进行分析，项目涉及的风险物质主要为废润滑油和柴油。</w:t>
            </w:r>
          </w:p>
          <w:p w14:paraId="63C02514">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废润滑油和柴油</w:t>
            </w:r>
            <w:r>
              <w:rPr>
                <w:color w:val="000000" w:themeColor="text1"/>
                <w:sz w:val="24"/>
                <w:highlight w:val="none"/>
                <w14:textFill>
                  <w14:solidFill>
                    <w14:schemeClr w14:val="tx1"/>
                  </w14:solidFill>
                </w14:textFill>
              </w:rPr>
              <w:t>的物化特性见表</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7</w:t>
            </w:r>
            <w:r>
              <w:rPr>
                <w:color w:val="000000" w:themeColor="text1"/>
                <w:sz w:val="24"/>
                <w:highlight w:val="none"/>
                <w14:textFill>
                  <w14:solidFill>
                    <w14:schemeClr w14:val="tx1"/>
                  </w14:solidFill>
                </w14:textFill>
              </w:rPr>
              <w:t>所示。</w:t>
            </w:r>
          </w:p>
          <w:p w14:paraId="7BAC54FE">
            <w:pPr>
              <w:widowControl w:val="0"/>
              <w:adjustRightInd w:val="0"/>
              <w:snapToGrid w:val="0"/>
              <w:spacing w:before="156" w:beforeLines="50" w:line="240" w:lineRule="auto"/>
              <w:ind w:firstLine="0" w:firstLineChars="0"/>
              <w:jc w:val="center"/>
              <w:textAlignment w:val="baseline"/>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pPr>
            <w:r>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表</w:t>
            </w:r>
            <w:r>
              <w:rPr>
                <w:rFonts w:hint="eastAsia" w:cs="Times New Roman"/>
                <w:b/>
                <w:bCs/>
                <w:snapToGrid w:val="0"/>
                <w:color w:val="000000" w:themeColor="text1"/>
                <w:spacing w:val="6"/>
                <w:kern w:val="2"/>
                <w:sz w:val="21"/>
                <w:szCs w:val="21"/>
                <w:highlight w:val="none"/>
                <w:lang w:val="en-US" w:eastAsia="zh-CN" w:bidi="ar-SA"/>
                <w14:textFill>
                  <w14:solidFill>
                    <w14:schemeClr w14:val="tx1"/>
                  </w14:solidFill>
                </w14:textFill>
              </w:rPr>
              <w:t>4</w:t>
            </w:r>
            <w:r>
              <w:rPr>
                <w:rFonts w:hint="eastAsia"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w:t>
            </w:r>
            <w:r>
              <w:rPr>
                <w:rFonts w:hint="eastAsia" w:cs="Times New Roman"/>
                <w:b/>
                <w:bCs/>
                <w:snapToGrid w:val="0"/>
                <w:color w:val="000000" w:themeColor="text1"/>
                <w:spacing w:val="6"/>
                <w:kern w:val="2"/>
                <w:sz w:val="21"/>
                <w:szCs w:val="21"/>
                <w:highlight w:val="none"/>
                <w:lang w:val="en-US" w:eastAsia="zh-CN" w:bidi="ar-SA"/>
                <w14:textFill>
                  <w14:solidFill>
                    <w14:schemeClr w14:val="tx1"/>
                  </w14:solidFill>
                </w14:textFill>
              </w:rPr>
              <w:t>7</w:t>
            </w:r>
            <w:r>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 xml:space="preserve">  </w:t>
            </w:r>
            <w:r>
              <w:rPr>
                <w:rFonts w:hint="eastAsia"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废润滑油</w:t>
            </w:r>
            <w:r>
              <w:rPr>
                <w:rFonts w:ascii="Times New Roman" w:hAnsi="Times New Roman" w:eastAsia="宋体" w:cs="Times New Roman"/>
                <w:b/>
                <w:bCs/>
                <w:snapToGrid w:val="0"/>
                <w:color w:val="000000" w:themeColor="text1"/>
                <w:spacing w:val="6"/>
                <w:kern w:val="2"/>
                <w:sz w:val="21"/>
                <w:szCs w:val="21"/>
                <w:highlight w:val="none"/>
                <w:lang w:val="en-US" w:eastAsia="zh-CN" w:bidi="ar-SA"/>
                <w14:textFill>
                  <w14:solidFill>
                    <w14:schemeClr w14:val="tx1"/>
                  </w14:solidFill>
                </w14:textFill>
              </w:rPr>
              <w:t>物理化学特性表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865"/>
              <w:gridCol w:w="940"/>
              <w:gridCol w:w="1088"/>
              <w:gridCol w:w="150"/>
              <w:gridCol w:w="558"/>
              <w:gridCol w:w="1658"/>
              <w:gridCol w:w="51"/>
              <w:gridCol w:w="79"/>
              <w:gridCol w:w="1596"/>
            </w:tblGrid>
            <w:tr w14:paraId="09BF33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restart"/>
                  <w:tcBorders>
                    <w:tl2br w:val="nil"/>
                    <w:tr2bl w:val="nil"/>
                  </w:tcBorders>
                  <w:vAlign w:val="center"/>
                </w:tcPr>
                <w:p w14:paraId="2243A71D">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标识</w:t>
                  </w:r>
                </w:p>
              </w:tc>
              <w:tc>
                <w:tcPr>
                  <w:tcW w:w="578" w:type="pct"/>
                  <w:tcBorders>
                    <w:tl2br w:val="nil"/>
                    <w:tr2bl w:val="nil"/>
                  </w:tcBorders>
                  <w:vAlign w:val="center"/>
                </w:tcPr>
                <w:p w14:paraId="65E03E41">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中文名</w:t>
                  </w:r>
                </w:p>
              </w:tc>
              <w:tc>
                <w:tcPr>
                  <w:tcW w:w="1455" w:type="pct"/>
                  <w:gridSpan w:val="3"/>
                  <w:tcBorders>
                    <w:tl2br w:val="nil"/>
                    <w:tr2bl w:val="nil"/>
                  </w:tcBorders>
                  <w:vAlign w:val="center"/>
                </w:tcPr>
                <w:p w14:paraId="232F86F0">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废润滑油</w:t>
                  </w:r>
                </w:p>
              </w:tc>
              <w:tc>
                <w:tcPr>
                  <w:tcW w:w="1568" w:type="pct"/>
                  <w:gridSpan w:val="4"/>
                  <w:tcBorders>
                    <w:tl2br w:val="nil"/>
                    <w:tr2bl w:val="nil"/>
                  </w:tcBorders>
                  <w:vAlign w:val="center"/>
                </w:tcPr>
                <w:p w14:paraId="57770591">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危险货物编号</w:t>
                  </w:r>
                </w:p>
              </w:tc>
              <w:tc>
                <w:tcPr>
                  <w:tcW w:w="1067" w:type="pct"/>
                  <w:tcBorders>
                    <w:tl2br w:val="nil"/>
                    <w:tr2bl w:val="nil"/>
                  </w:tcBorders>
                  <w:vAlign w:val="center"/>
                </w:tcPr>
                <w:p w14:paraId="18228C4B">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r>
            <w:tr w14:paraId="52938A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tcBorders>
                    <w:tl2br w:val="nil"/>
                    <w:tr2bl w:val="nil"/>
                  </w:tcBorders>
                  <w:vAlign w:val="center"/>
                </w:tcPr>
                <w:p w14:paraId="42D10FD9">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78" w:type="pct"/>
                  <w:tcBorders>
                    <w:tl2br w:val="nil"/>
                    <w:tr2bl w:val="nil"/>
                  </w:tcBorders>
                  <w:vAlign w:val="center"/>
                </w:tcPr>
                <w:p w14:paraId="21011804">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英文名</w:t>
                  </w:r>
                </w:p>
              </w:tc>
              <w:tc>
                <w:tcPr>
                  <w:tcW w:w="1455" w:type="pct"/>
                  <w:gridSpan w:val="3"/>
                  <w:tcBorders>
                    <w:tl2br w:val="nil"/>
                    <w:tr2bl w:val="nil"/>
                  </w:tcBorders>
                  <w:vAlign w:val="center"/>
                </w:tcPr>
                <w:p w14:paraId="44A3D7FB">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Lubricatingoil</w:t>
                  </w:r>
                  <w:r>
                    <w:rPr>
                      <w:rFonts w:hint="eastAsia" w:cs="Times New Roman"/>
                      <w:color w:val="000000" w:themeColor="text1"/>
                      <w:kern w:val="2"/>
                      <w:sz w:val="21"/>
                      <w:szCs w:val="21"/>
                      <w:highlight w:val="none"/>
                      <w:lang w:val="en-US" w:eastAsia="zh-CN" w:bidi="ar-SA"/>
                      <w14:textFill>
                        <w14:solidFill>
                          <w14:schemeClr w14:val="tx1"/>
                        </w14:solidFill>
                      </w14:textFill>
                    </w:rPr>
                    <w:t xml:space="preserve">; </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Lubeoil</w:t>
                  </w:r>
                </w:p>
              </w:tc>
              <w:tc>
                <w:tcPr>
                  <w:tcW w:w="1568" w:type="pct"/>
                  <w:gridSpan w:val="4"/>
                  <w:tcBorders>
                    <w:tl2br w:val="nil"/>
                    <w:tr2bl w:val="nil"/>
                  </w:tcBorders>
                  <w:vAlign w:val="center"/>
                </w:tcPr>
                <w:p w14:paraId="52952BD5">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CAS编号</w:t>
                  </w:r>
                </w:p>
              </w:tc>
              <w:tc>
                <w:tcPr>
                  <w:tcW w:w="1067" w:type="pct"/>
                  <w:tcBorders>
                    <w:tl2br w:val="nil"/>
                    <w:tr2bl w:val="nil"/>
                  </w:tcBorders>
                  <w:vAlign w:val="center"/>
                </w:tcPr>
                <w:p w14:paraId="4BC234FC">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64742-50-3</w:t>
                  </w:r>
                </w:p>
              </w:tc>
            </w:tr>
            <w:tr w14:paraId="4421C3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restart"/>
                  <w:tcBorders>
                    <w:tl2br w:val="nil"/>
                    <w:tr2bl w:val="nil"/>
                  </w:tcBorders>
                  <w:vAlign w:val="center"/>
                </w:tcPr>
                <w:p w14:paraId="0FF80617">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理化性质</w:t>
                  </w:r>
                </w:p>
              </w:tc>
              <w:tc>
                <w:tcPr>
                  <w:tcW w:w="578" w:type="pct"/>
                  <w:tcBorders>
                    <w:tl2br w:val="nil"/>
                    <w:tr2bl w:val="nil"/>
                  </w:tcBorders>
                  <w:vAlign w:val="center"/>
                </w:tcPr>
                <w:p w14:paraId="46E8A0F5">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性状</w:t>
                  </w:r>
                </w:p>
              </w:tc>
              <w:tc>
                <w:tcPr>
                  <w:tcW w:w="4090" w:type="pct"/>
                  <w:gridSpan w:val="8"/>
                  <w:tcBorders>
                    <w:tl2br w:val="nil"/>
                    <w:tr2bl w:val="nil"/>
                  </w:tcBorders>
                  <w:vAlign w:val="center"/>
                </w:tcPr>
                <w:p w14:paraId="4D0DBC97">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油状液体，淡黄色至棕褐色，有特殊气味。久置后颜色变深、黏度增大</w:t>
                  </w:r>
                </w:p>
              </w:tc>
            </w:tr>
            <w:tr w14:paraId="6DF85A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tcBorders>
                    <w:tl2br w:val="nil"/>
                    <w:tr2bl w:val="nil"/>
                  </w:tcBorders>
                  <w:vAlign w:val="center"/>
                </w:tcPr>
                <w:p w14:paraId="0F95C3FD">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78" w:type="pct"/>
                  <w:tcBorders>
                    <w:tl2br w:val="nil"/>
                    <w:tr2bl w:val="nil"/>
                  </w:tcBorders>
                  <w:vAlign w:val="center"/>
                </w:tcPr>
                <w:p w14:paraId="481398CB">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溶解性</w:t>
                  </w:r>
                </w:p>
              </w:tc>
              <w:tc>
                <w:tcPr>
                  <w:tcW w:w="1355" w:type="pct"/>
                  <w:gridSpan w:val="2"/>
                  <w:tcBorders>
                    <w:tl2br w:val="nil"/>
                    <w:tr2bl w:val="nil"/>
                  </w:tcBorders>
                  <w:vAlign w:val="center"/>
                </w:tcPr>
                <w:p w14:paraId="726C6153">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不溶于水</w:t>
                  </w:r>
                </w:p>
              </w:tc>
              <w:tc>
                <w:tcPr>
                  <w:tcW w:w="1581" w:type="pct"/>
                  <w:gridSpan w:val="3"/>
                  <w:tcBorders>
                    <w:tl2br w:val="nil"/>
                    <w:tr2bl w:val="nil"/>
                  </w:tcBorders>
                  <w:vAlign w:val="center"/>
                </w:tcPr>
                <w:p w14:paraId="24151278">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相对密度（水=1）</w:t>
                  </w:r>
                </w:p>
              </w:tc>
              <w:tc>
                <w:tcPr>
                  <w:tcW w:w="1154" w:type="pct"/>
                  <w:gridSpan w:val="3"/>
                  <w:tcBorders>
                    <w:tl2br w:val="nil"/>
                    <w:tr2bl w:val="nil"/>
                  </w:tcBorders>
                  <w:vAlign w:val="center"/>
                </w:tcPr>
                <w:p w14:paraId="684DDD48">
                  <w:pPr>
                    <w:widowControl w:val="0"/>
                    <w:tabs>
                      <w:tab w:val="left" w:pos="0"/>
                    </w:tabs>
                    <w:spacing w:after="0" w:line="240" w:lineRule="auto"/>
                    <w:ind w:left="0" w:leftChars="0"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0.85~0.95</w:t>
                  </w:r>
                  <w:r>
                    <w:rPr>
                      <w:rFonts w:hint="eastAsia" w:cs="Times New Roman"/>
                      <w:color w:val="000000" w:themeColor="text1"/>
                      <w:kern w:val="2"/>
                      <w:sz w:val="21"/>
                      <w:szCs w:val="21"/>
                      <w:highlight w:val="none"/>
                      <w:lang w:val="en-US" w:eastAsia="zh-CN" w:bidi="ar-SA"/>
                      <w14:textFill>
                        <w14:solidFill>
                          <w14:schemeClr w14:val="tx1"/>
                        </w14:solidFill>
                      </w14:textFill>
                    </w:rPr>
                    <w:t>(&lt;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r>
                    <w:rPr>
                      <w:rFonts w:hint="eastAsia" w:cs="Times New Roman"/>
                      <w:color w:val="000000" w:themeColor="text1"/>
                      <w:kern w:val="2"/>
                      <w:sz w:val="21"/>
                      <w:szCs w:val="21"/>
                      <w:highlight w:val="none"/>
                      <w:lang w:val="en-US" w:eastAsia="zh-CN" w:bidi="ar-SA"/>
                      <w14:textFill>
                        <w14:solidFill>
                          <w14:schemeClr w14:val="tx1"/>
                        </w14:solidFill>
                      </w14:textFill>
                    </w:rPr>
                    <w:t>)</w:t>
                  </w:r>
                </w:p>
              </w:tc>
            </w:tr>
            <w:tr w14:paraId="7799D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33" w:type="pct"/>
                  <w:vMerge w:val="continue"/>
                  <w:tcBorders>
                    <w:tl2br w:val="nil"/>
                    <w:tr2bl w:val="nil"/>
                  </w:tcBorders>
                  <w:vAlign w:val="center"/>
                </w:tcPr>
                <w:p w14:paraId="48FFD9EF">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4667" w:type="pct"/>
                  <w:gridSpan w:val="9"/>
                  <w:tcBorders>
                    <w:tl2br w:val="nil"/>
                    <w:tr2bl w:val="nil"/>
                  </w:tcBorders>
                  <w:vAlign w:val="center"/>
                </w:tcPr>
                <w:p w14:paraId="2896BFB6">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链长不等的烃类混合物（主要为C15-C36烷烃、环烷烃、芳烃等饱和烃）</w:t>
                  </w:r>
                </w:p>
              </w:tc>
            </w:tr>
            <w:tr w14:paraId="5CDB3C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restart"/>
                  <w:tcBorders>
                    <w:tl2br w:val="nil"/>
                    <w:tr2bl w:val="nil"/>
                  </w:tcBorders>
                  <w:vAlign w:val="center"/>
                </w:tcPr>
                <w:p w14:paraId="3EEC5B59">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燃烧爆炸危险性</w:t>
                  </w:r>
                </w:p>
              </w:tc>
              <w:tc>
                <w:tcPr>
                  <w:tcW w:w="1206" w:type="pct"/>
                  <w:gridSpan w:val="2"/>
                  <w:tcBorders>
                    <w:tl2br w:val="nil"/>
                    <w:tr2bl w:val="nil"/>
                  </w:tcBorders>
                  <w:vAlign w:val="center"/>
                </w:tcPr>
                <w:p w14:paraId="44CD2D59">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燃烧性</w:t>
                  </w:r>
                </w:p>
              </w:tc>
              <w:tc>
                <w:tcPr>
                  <w:tcW w:w="1200" w:type="pct"/>
                  <w:gridSpan w:val="3"/>
                  <w:tcBorders>
                    <w:tl2br w:val="nil"/>
                    <w:tr2bl w:val="nil"/>
                  </w:tcBorders>
                  <w:vAlign w:val="center"/>
                </w:tcPr>
                <w:p w14:paraId="5FE9D73B">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可燃</w:t>
                  </w:r>
                </w:p>
              </w:tc>
              <w:tc>
                <w:tcPr>
                  <w:tcW w:w="1142" w:type="pct"/>
                  <w:gridSpan w:val="2"/>
                  <w:tcBorders>
                    <w:tl2br w:val="nil"/>
                    <w:tr2bl w:val="nil"/>
                  </w:tcBorders>
                  <w:vAlign w:val="center"/>
                </w:tcPr>
                <w:p w14:paraId="7144177A">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闪</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点（℃）</w:t>
                  </w:r>
                </w:p>
              </w:tc>
              <w:tc>
                <w:tcPr>
                  <w:tcW w:w="1120" w:type="pct"/>
                  <w:gridSpan w:val="2"/>
                  <w:tcBorders>
                    <w:tl2br w:val="nil"/>
                    <w:tr2bl w:val="nil"/>
                  </w:tcBorders>
                  <w:vAlign w:val="center"/>
                </w:tcPr>
                <w:p w14:paraId="65AA3C0C">
                  <w:pPr>
                    <w:widowControl w:val="0"/>
                    <w:spacing w:after="0" w:line="240" w:lineRule="auto"/>
                    <w:ind w:left="0" w:leftChars="0" w:firstLine="42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7072B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tcBorders>
                    <w:tl2br w:val="nil"/>
                    <w:tr2bl w:val="nil"/>
                  </w:tcBorders>
                  <w:vAlign w:val="center"/>
                </w:tcPr>
                <w:p w14:paraId="70ECA3B1">
                  <w:pPr>
                    <w:widowControl w:val="0"/>
                    <w:numPr>
                      <w:ilvl w:val="0"/>
                      <w:numId w:val="1"/>
                    </w:numPr>
                    <w:kinsoku w:val="0"/>
                    <w:autoSpaceDE w:val="0"/>
                    <w:autoSpaceDN w:val="0"/>
                    <w:adjustRightInd w:val="0"/>
                    <w:snapToGrid w:val="0"/>
                    <w:spacing w:after="0" w:line="240" w:lineRule="auto"/>
                    <w:ind w:left="0" w:leftChars="0" w:firstLine="420" w:firstLineChars="200"/>
                    <w:jc w:val="left"/>
                    <w:textAlignment w:val="baseline"/>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206" w:type="pct"/>
                  <w:gridSpan w:val="2"/>
                  <w:tcBorders>
                    <w:tl2br w:val="nil"/>
                    <w:tr2bl w:val="nil"/>
                  </w:tcBorders>
                  <w:vAlign w:val="center"/>
                </w:tcPr>
                <w:p w14:paraId="06D9DCD7">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爆炸极限（%）</w:t>
                  </w:r>
                </w:p>
              </w:tc>
              <w:tc>
                <w:tcPr>
                  <w:tcW w:w="1200" w:type="pct"/>
                  <w:gridSpan w:val="3"/>
                  <w:tcBorders>
                    <w:tl2br w:val="nil"/>
                    <w:tr2bl w:val="nil"/>
                  </w:tcBorders>
                  <w:vAlign w:val="center"/>
                </w:tcPr>
                <w:p w14:paraId="228F2EF5">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无资料</w:t>
                  </w:r>
                </w:p>
              </w:tc>
              <w:tc>
                <w:tcPr>
                  <w:tcW w:w="1142" w:type="pct"/>
                  <w:gridSpan w:val="2"/>
                  <w:tcBorders>
                    <w:tl2br w:val="nil"/>
                    <w:tr2bl w:val="nil"/>
                  </w:tcBorders>
                  <w:vAlign w:val="center"/>
                </w:tcPr>
                <w:p w14:paraId="294153A7">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最小点火能（MJ）</w:t>
                  </w:r>
                </w:p>
              </w:tc>
              <w:tc>
                <w:tcPr>
                  <w:tcW w:w="1120" w:type="pct"/>
                  <w:gridSpan w:val="2"/>
                  <w:tcBorders>
                    <w:tl2br w:val="nil"/>
                    <w:tr2bl w:val="nil"/>
                  </w:tcBorders>
                  <w:vAlign w:val="center"/>
                </w:tcPr>
                <w:p w14:paraId="6D9CBD07">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无资料</w:t>
                  </w:r>
                </w:p>
              </w:tc>
            </w:tr>
            <w:tr w14:paraId="2237A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tcBorders>
                    <w:tl2br w:val="nil"/>
                    <w:tr2bl w:val="nil"/>
                  </w:tcBorders>
                  <w:vAlign w:val="center"/>
                </w:tcPr>
                <w:p w14:paraId="266F45A7">
                  <w:pPr>
                    <w:widowControl w:val="0"/>
                    <w:numPr>
                      <w:ilvl w:val="0"/>
                      <w:numId w:val="1"/>
                    </w:numPr>
                    <w:kinsoku w:val="0"/>
                    <w:autoSpaceDE w:val="0"/>
                    <w:autoSpaceDN w:val="0"/>
                    <w:adjustRightInd w:val="0"/>
                    <w:snapToGrid w:val="0"/>
                    <w:spacing w:after="0" w:line="240" w:lineRule="auto"/>
                    <w:ind w:left="0" w:leftChars="0" w:firstLine="420" w:firstLineChars="200"/>
                    <w:jc w:val="left"/>
                    <w:textAlignment w:val="baseline"/>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206" w:type="pct"/>
                  <w:gridSpan w:val="2"/>
                  <w:tcBorders>
                    <w:tl2br w:val="nil"/>
                    <w:tr2bl w:val="nil"/>
                  </w:tcBorders>
                  <w:vAlign w:val="center"/>
                </w:tcPr>
                <w:p w14:paraId="6554D59C">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危险特性</w:t>
                  </w:r>
                </w:p>
              </w:tc>
              <w:tc>
                <w:tcPr>
                  <w:tcW w:w="3462" w:type="pct"/>
                  <w:gridSpan w:val="7"/>
                  <w:tcBorders>
                    <w:tl2br w:val="nil"/>
                    <w:tr2bl w:val="nil"/>
                  </w:tcBorders>
                  <w:vAlign w:val="center"/>
                </w:tcPr>
                <w:p w14:paraId="2752C5FD">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遇明火、高热可燃</w:t>
                  </w:r>
                </w:p>
              </w:tc>
            </w:tr>
            <w:tr w14:paraId="250473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333" w:type="pct"/>
                  <w:vMerge w:val="continue"/>
                  <w:tcBorders>
                    <w:tl2br w:val="nil"/>
                    <w:tr2bl w:val="nil"/>
                  </w:tcBorders>
                  <w:vAlign w:val="center"/>
                </w:tcPr>
                <w:p w14:paraId="5C13705E">
                  <w:pPr>
                    <w:widowControl w:val="0"/>
                    <w:numPr>
                      <w:ilvl w:val="0"/>
                      <w:numId w:val="1"/>
                    </w:numPr>
                    <w:kinsoku w:val="0"/>
                    <w:autoSpaceDE w:val="0"/>
                    <w:autoSpaceDN w:val="0"/>
                    <w:adjustRightInd w:val="0"/>
                    <w:snapToGrid w:val="0"/>
                    <w:spacing w:after="0" w:line="240" w:lineRule="auto"/>
                    <w:ind w:left="0" w:leftChars="0" w:firstLine="420" w:firstLineChars="200"/>
                    <w:jc w:val="left"/>
                    <w:textAlignment w:val="baseline"/>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78" w:type="pct"/>
                  <w:tcBorders>
                    <w:tl2br w:val="nil"/>
                    <w:tr2bl w:val="nil"/>
                  </w:tcBorders>
                  <w:vAlign w:val="center"/>
                </w:tcPr>
                <w:p w14:paraId="38C6D4B5">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灭火方法</w:t>
                  </w:r>
                </w:p>
              </w:tc>
              <w:tc>
                <w:tcPr>
                  <w:tcW w:w="4090" w:type="pct"/>
                  <w:gridSpan w:val="8"/>
                  <w:tcBorders>
                    <w:tl2br w:val="nil"/>
                    <w:tr2bl w:val="nil"/>
                  </w:tcBorders>
                  <w:vAlign w:val="center"/>
                </w:tcPr>
                <w:p w14:paraId="53823B30">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2095AEA3">
                  <w:pPr>
                    <w:widowControl w:val="0"/>
                    <w:spacing w:after="0" w:line="240" w:lineRule="auto"/>
                    <w:ind w:left="0" w:leftChars="0" w:firstLine="0" w:firstLineChars="0"/>
                    <w:jc w:val="left"/>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灭火剂</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雾状水、泡沫、干粉、二氧化碳、砂土。</w:t>
                  </w:r>
                </w:p>
              </w:tc>
            </w:tr>
            <w:tr w14:paraId="4B2A47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Merge w:val="continue"/>
                  <w:tcBorders>
                    <w:tl2br w:val="nil"/>
                    <w:tr2bl w:val="nil"/>
                  </w:tcBorders>
                  <w:vAlign w:val="center"/>
                </w:tcPr>
                <w:p w14:paraId="7F747B0B">
                  <w:pPr>
                    <w:widowControl w:val="0"/>
                    <w:numPr>
                      <w:ilvl w:val="0"/>
                      <w:numId w:val="1"/>
                    </w:numPr>
                    <w:kinsoku w:val="0"/>
                    <w:autoSpaceDE w:val="0"/>
                    <w:autoSpaceDN w:val="0"/>
                    <w:adjustRightInd w:val="0"/>
                    <w:snapToGrid w:val="0"/>
                    <w:spacing w:after="0" w:line="240" w:lineRule="auto"/>
                    <w:ind w:left="0" w:leftChars="0" w:firstLine="420" w:firstLineChars="200"/>
                    <w:jc w:val="left"/>
                    <w:textAlignment w:val="baseline"/>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78" w:type="pct"/>
                  <w:tcBorders>
                    <w:tl2br w:val="nil"/>
                    <w:tr2bl w:val="nil"/>
                  </w:tcBorders>
                  <w:vAlign w:val="center"/>
                </w:tcPr>
                <w:p w14:paraId="197EC5CC">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燃烧产物</w:t>
                  </w:r>
                </w:p>
              </w:tc>
              <w:tc>
                <w:tcPr>
                  <w:tcW w:w="1828" w:type="pct"/>
                  <w:gridSpan w:val="4"/>
                  <w:tcBorders>
                    <w:tl2br w:val="nil"/>
                    <w:tr2bl w:val="nil"/>
                  </w:tcBorders>
                  <w:vAlign w:val="center"/>
                </w:tcPr>
                <w:p w14:paraId="5AC1C966">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一氧化碳、二氧化碳</w:t>
                  </w:r>
                </w:p>
              </w:tc>
              <w:tc>
                <w:tcPr>
                  <w:tcW w:w="1108" w:type="pct"/>
                  <w:tcBorders>
                    <w:tl2br w:val="nil"/>
                    <w:tr2bl w:val="nil"/>
                  </w:tcBorders>
                  <w:vAlign w:val="center"/>
                </w:tcPr>
                <w:p w14:paraId="71B1C492">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聚合危害</w:t>
                  </w:r>
                </w:p>
              </w:tc>
              <w:tc>
                <w:tcPr>
                  <w:tcW w:w="1154" w:type="pct"/>
                  <w:gridSpan w:val="3"/>
                  <w:tcBorders>
                    <w:tl2br w:val="nil"/>
                    <w:tr2bl w:val="nil"/>
                  </w:tcBorders>
                  <w:vAlign w:val="center"/>
                </w:tcPr>
                <w:p w14:paraId="7B1CAD56">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不聚合</w:t>
                  </w:r>
                </w:p>
              </w:tc>
            </w:tr>
            <w:tr w14:paraId="33E000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33" w:type="pct"/>
                  <w:vMerge w:val="restart"/>
                  <w:tcBorders>
                    <w:tl2br w:val="nil"/>
                    <w:tr2bl w:val="nil"/>
                  </w:tcBorders>
                  <w:vAlign w:val="center"/>
                </w:tcPr>
                <w:p w14:paraId="0BA513F9">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健康危害</w:t>
                  </w:r>
                </w:p>
              </w:tc>
              <w:tc>
                <w:tcPr>
                  <w:tcW w:w="578" w:type="pct"/>
                  <w:tcBorders>
                    <w:tl2br w:val="nil"/>
                    <w:tr2bl w:val="nil"/>
                  </w:tcBorders>
                  <w:vAlign w:val="center"/>
                </w:tcPr>
                <w:p w14:paraId="5036EFB3">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危险特性</w:t>
                  </w:r>
                </w:p>
              </w:tc>
              <w:tc>
                <w:tcPr>
                  <w:tcW w:w="4090" w:type="pct"/>
                  <w:gridSpan w:val="8"/>
                  <w:tcBorders>
                    <w:tl2br w:val="nil"/>
                    <w:tr2bl w:val="nil"/>
                  </w:tcBorders>
                  <w:vAlign w:val="center"/>
                </w:tcPr>
                <w:p w14:paraId="14D65066">
                  <w:pPr>
                    <w:widowControl w:val="0"/>
                    <w:spacing w:after="0" w:line="240" w:lineRule="auto"/>
                    <w:ind w:left="0" w:leftChars="0"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①</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可通过呼吸道和皮肤进入</w:t>
                  </w:r>
                  <w:r>
                    <w:rPr>
                      <w:rFonts w:hint="eastAsia" w:cs="Times New Roman"/>
                      <w:color w:val="000000" w:themeColor="text1"/>
                      <w:kern w:val="2"/>
                      <w:sz w:val="21"/>
                      <w:szCs w:val="21"/>
                      <w:highlight w:val="none"/>
                      <w:lang w:val="en-US" w:eastAsia="zh-CN" w:bidi="ar-SA"/>
                      <w14:textFill>
                        <w14:solidFill>
                          <w14:schemeClr w14:val="tx1"/>
                        </w14:solidFill>
                      </w14:textFill>
                    </w:rPr>
                    <w:t>机体</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，导致中毒及其他并发症</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②</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易燃</w:t>
                  </w:r>
                </w:p>
              </w:tc>
            </w:tr>
            <w:tr w14:paraId="388C8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33" w:type="pct"/>
                  <w:vMerge w:val="continue"/>
                  <w:tcBorders>
                    <w:tl2br w:val="nil"/>
                    <w:tr2bl w:val="nil"/>
                  </w:tcBorders>
                  <w:vAlign w:val="center"/>
                </w:tcPr>
                <w:p w14:paraId="58580FDD">
                  <w:pPr>
                    <w:widowControl w:val="0"/>
                    <w:numPr>
                      <w:ilvl w:val="0"/>
                      <w:numId w:val="1"/>
                    </w:numPr>
                    <w:kinsoku w:val="0"/>
                    <w:autoSpaceDE w:val="0"/>
                    <w:autoSpaceDN w:val="0"/>
                    <w:adjustRightInd w:val="0"/>
                    <w:snapToGrid w:val="0"/>
                    <w:spacing w:after="0" w:line="240" w:lineRule="auto"/>
                    <w:ind w:left="0" w:leftChars="0" w:firstLine="420" w:firstLineChars="200"/>
                    <w:jc w:val="left"/>
                    <w:textAlignment w:val="baseline"/>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78" w:type="pct"/>
                  <w:tcBorders>
                    <w:tl2br w:val="nil"/>
                    <w:tr2bl w:val="nil"/>
                  </w:tcBorders>
                  <w:vAlign w:val="center"/>
                </w:tcPr>
                <w:p w14:paraId="57043916">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健康危害</w:t>
                  </w:r>
                </w:p>
              </w:tc>
              <w:tc>
                <w:tcPr>
                  <w:tcW w:w="4090" w:type="pct"/>
                  <w:gridSpan w:val="8"/>
                  <w:tcBorders>
                    <w:tl2br w:val="nil"/>
                    <w:tr2bl w:val="nil"/>
                  </w:tcBorders>
                  <w:vAlign w:val="center"/>
                </w:tcPr>
                <w:p w14:paraId="69C6662D">
                  <w:pPr>
                    <w:widowControl w:val="0"/>
                    <w:spacing w:after="0" w:line="240" w:lineRule="auto"/>
                    <w:ind w:left="0" w:leftChars="0"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①</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高浓度吸入废矿物油蒸气引起急性中毒，表现为中毒性脑病，出现精神症状、意识障碍。极高浓度吸入引起意识突然丧失、反射性呼吸停止。误将废矿物油吸入呼吸道可引起吸入性肺炎。</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②</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皮肤较长时间接触引起灼伤，个别发生急性皮炎。</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③</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慢性中毒可引起周围神经病、中毒性脑病、肾脏损害。可致皮肤损</w:t>
                  </w:r>
                </w:p>
              </w:tc>
            </w:tr>
            <w:tr w14:paraId="7DB728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33" w:type="pct"/>
                  <w:tcBorders>
                    <w:tl2br w:val="nil"/>
                    <w:tr2bl w:val="nil"/>
                  </w:tcBorders>
                  <w:vAlign w:val="center"/>
                </w:tcPr>
                <w:p w14:paraId="7D975246">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对周围环境影响</w:t>
                  </w:r>
                </w:p>
              </w:tc>
              <w:tc>
                <w:tcPr>
                  <w:tcW w:w="4667" w:type="pct"/>
                  <w:gridSpan w:val="9"/>
                  <w:tcBorders>
                    <w:tl2br w:val="nil"/>
                    <w:tr2bl w:val="nil"/>
                  </w:tcBorders>
                  <w:vAlign w:val="center"/>
                </w:tcPr>
                <w:p w14:paraId="5F95A480">
                  <w:pPr>
                    <w:widowControl w:val="0"/>
                    <w:spacing w:after="0" w:line="240" w:lineRule="auto"/>
                    <w:ind w:left="0" w:leftChars="0"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在很低的浓度下就能对水生生物造成危害；在土壤中具有极强的迁移性；具有一定的生物富集性；在低浓度时可被生物降解；在高浓度时，可使微生物中毒，降解速率显著降低</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r>
            <w:tr w14:paraId="35FB69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333" w:type="pct"/>
                  <w:tcBorders>
                    <w:tl2br w:val="nil"/>
                    <w:tr2bl w:val="nil"/>
                  </w:tcBorders>
                  <w:vAlign w:val="center"/>
                </w:tcPr>
                <w:p w14:paraId="5076C566">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急救</w:t>
                  </w:r>
                </w:p>
              </w:tc>
              <w:tc>
                <w:tcPr>
                  <w:tcW w:w="4667" w:type="pct"/>
                  <w:gridSpan w:val="9"/>
                  <w:tcBorders>
                    <w:tl2br w:val="nil"/>
                    <w:tr2bl w:val="nil"/>
                  </w:tcBorders>
                  <w:vAlign w:val="center"/>
                </w:tcPr>
                <w:p w14:paraId="5D7862AF">
                  <w:pPr>
                    <w:widowControl w:val="0"/>
                    <w:spacing w:after="0" w:line="240" w:lineRule="auto"/>
                    <w:ind w:left="0" w:leftChars="0"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皮肤接触：立即脱去被污染的衣着，用大量清水冲洗；眼睛接触</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立即提起眼睑，用大量流动清水或生理盐水冲洗，就医：吸入；迅速脱离现场至空气新鲜处，保持呼吸道通畅，如呼吸困难，给输氧</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如呼吸停止，立即进行人工呼吸，就医；食入</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饮足量温水，催吐，就医。</w:t>
                  </w:r>
                </w:p>
              </w:tc>
            </w:tr>
            <w:tr w14:paraId="6D1D3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333" w:type="pct"/>
                  <w:tcBorders>
                    <w:tl2br w:val="nil"/>
                    <w:tr2bl w:val="nil"/>
                  </w:tcBorders>
                  <w:vAlign w:val="center"/>
                </w:tcPr>
                <w:p w14:paraId="2F3D63D5">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防护</w:t>
                  </w:r>
                </w:p>
              </w:tc>
              <w:tc>
                <w:tcPr>
                  <w:tcW w:w="4667" w:type="pct"/>
                  <w:gridSpan w:val="9"/>
                  <w:tcBorders>
                    <w:tl2br w:val="nil"/>
                    <w:tr2bl w:val="nil"/>
                  </w:tcBorders>
                  <w:vAlign w:val="center"/>
                </w:tcPr>
                <w:p w14:paraId="364083ED">
                  <w:pPr>
                    <w:widowControl w:val="0"/>
                    <w:spacing w:after="0" w:line="240" w:lineRule="auto"/>
                    <w:ind w:left="0" w:leftChars="0"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工程控制：密闭操作，注意通风；呼吸系统防护：空气中浓度超标时，建议佩戴自吸过滤式防毒面具</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半面罩</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。紧急事态抢救或撤离时，应该佩戴空气呼吸器。眼睛防护</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戴化学安全防护眼镜。身体防护</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穿防毒物渗透工作服；手防护：戴橡胶耐油手套；其他：工作现场严禁吸烟。避免长期反复接触。</w:t>
                  </w:r>
                </w:p>
              </w:tc>
            </w:tr>
            <w:tr w14:paraId="7FC6E5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333" w:type="pct"/>
                  <w:tcBorders>
                    <w:tl2br w:val="nil"/>
                    <w:tr2bl w:val="nil"/>
                  </w:tcBorders>
                  <w:vAlign w:val="center"/>
                </w:tcPr>
                <w:p w14:paraId="059B72CE">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泄漏处理</w:t>
                  </w:r>
                </w:p>
              </w:tc>
              <w:tc>
                <w:tcPr>
                  <w:tcW w:w="4667" w:type="pct"/>
                  <w:gridSpan w:val="9"/>
                  <w:tcBorders>
                    <w:tl2br w:val="nil"/>
                    <w:tr2bl w:val="nil"/>
                  </w:tcBorders>
                  <w:vAlign w:val="center"/>
                </w:tcPr>
                <w:p w14:paraId="05B8893D">
                  <w:pPr>
                    <w:widowControl w:val="0"/>
                    <w:spacing w:after="0" w:line="240" w:lineRule="auto"/>
                    <w:ind w:left="0" w:leftChars="0"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迅速撤离泄漏污染区人员至安全区，并进行隔离，严格限制出入。切断火源。建议应急处理人员戴自给正压式呼吸器，穿防毒服。尽可能切断泄漏源。防止流入下水道、排洪沟等限制性空间。</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少</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量泄漏：用砂土或</w:t>
                  </w:r>
                  <w:r>
                    <w:rPr>
                      <w:rFonts w:hint="eastAsia" w:cs="Times New Roman"/>
                      <w:color w:val="000000" w:themeColor="text1"/>
                      <w:kern w:val="2"/>
                      <w:sz w:val="21"/>
                      <w:szCs w:val="21"/>
                      <w:highlight w:val="none"/>
                      <w:lang w:val="en-US" w:eastAsia="zh-CN" w:bidi="ar-SA"/>
                      <w14:textFill>
                        <w14:solidFill>
                          <w14:schemeClr w14:val="tx1"/>
                        </w14:solidFill>
                      </w14:textFill>
                    </w:rPr>
                    <w:t>其他不</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燃材料吸附或吸收。大量泄漏</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构筑围堤或挖坑收容。用泵转移至槽车或专用收集器内，回收或运至废物处理场所处置。</w:t>
                  </w:r>
                </w:p>
              </w:tc>
            </w:tr>
            <w:tr w14:paraId="3AA46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333" w:type="pct"/>
                  <w:tcBorders>
                    <w:tl2br w:val="nil"/>
                    <w:tr2bl w:val="nil"/>
                  </w:tcBorders>
                  <w:vAlign w:val="center"/>
                </w:tcPr>
                <w:p w14:paraId="1224DE07">
                  <w:pPr>
                    <w:widowControl w:val="0"/>
                    <w:spacing w:after="0" w:line="240" w:lineRule="auto"/>
                    <w:ind w:left="0" w:leftChars="0" w:firstLine="0" w:firstLineChars="0"/>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储运</w:t>
                  </w:r>
                </w:p>
              </w:tc>
              <w:tc>
                <w:tcPr>
                  <w:tcW w:w="4667" w:type="pct"/>
                  <w:gridSpan w:val="9"/>
                  <w:tcBorders>
                    <w:tl2br w:val="nil"/>
                    <w:tr2bl w:val="nil"/>
                  </w:tcBorders>
                  <w:vAlign w:val="center"/>
                </w:tcPr>
                <w:p w14:paraId="47CE9A75">
                  <w:pPr>
                    <w:widowControl w:val="0"/>
                    <w:spacing w:after="0" w:line="240" w:lineRule="auto"/>
                    <w:ind w:left="0" w:leftChars="0" w:firstLine="0" w:firstLineChars="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储存于阴凉、通风的库房。远离火种、热源。应与氧化剂分开存放，切忌混储。配备相应品种和数量的消防器材。储区应备有泄漏应急处理设备和合适的收容材料。运输前应先检查包装容器是否完整、密封，运输过程中要确保容器不泄漏不倒塌、不坠落、不损坏。严禁与氧化剂、食用化学品等混装混运。运输车船必须彻底清洗、消毒，否则不得装运其它物品。船运时，配装位置应远离卧室、厨房，并与机舱、电源、火源等部位隔离。公路运输时要按规定路线行驶。</w:t>
                  </w:r>
                </w:p>
              </w:tc>
            </w:tr>
          </w:tbl>
          <w:p w14:paraId="45E0706A">
            <w:pPr>
              <w:autoSpaceDE w:val="0"/>
              <w:autoSpaceDN w:val="0"/>
              <w:adjustRightInd w:val="0"/>
              <w:spacing w:before="156" w:beforeLines="50" w:line="240" w:lineRule="auto"/>
              <w:ind w:firstLine="0" w:firstLineChars="0"/>
              <w:jc w:val="center"/>
              <w:rPr>
                <w:b/>
                <w:color w:val="000000" w:themeColor="text1"/>
                <w:kern w:val="0"/>
                <w:sz w:val="21"/>
                <w:szCs w:val="20"/>
                <w:highlight w:val="none"/>
                <w14:textFill>
                  <w14:solidFill>
                    <w14:schemeClr w14:val="tx1"/>
                  </w14:solidFill>
                </w14:textFill>
              </w:rPr>
            </w:pPr>
            <w:r>
              <w:rPr>
                <w:rFonts w:hint="eastAsia"/>
                <w:b/>
                <w:color w:val="000000" w:themeColor="text1"/>
                <w:kern w:val="0"/>
                <w:sz w:val="21"/>
                <w:szCs w:val="20"/>
                <w:highlight w:val="none"/>
                <w14:textFill>
                  <w14:solidFill>
                    <w14:schemeClr w14:val="tx1"/>
                  </w14:solidFill>
                </w14:textFill>
              </w:rPr>
              <w:t>表</w:t>
            </w:r>
            <w:r>
              <w:rPr>
                <w:rFonts w:hint="eastAsia"/>
                <w:b/>
                <w:color w:val="000000" w:themeColor="text1"/>
                <w:kern w:val="0"/>
                <w:sz w:val="21"/>
                <w:szCs w:val="20"/>
                <w:highlight w:val="none"/>
                <w:lang w:val="en-US" w:eastAsia="zh-CN"/>
                <w14:textFill>
                  <w14:solidFill>
                    <w14:schemeClr w14:val="tx1"/>
                  </w14:solidFill>
                </w14:textFill>
              </w:rPr>
              <w:t>4</w:t>
            </w:r>
            <w:r>
              <w:rPr>
                <w:b/>
                <w:color w:val="000000" w:themeColor="text1"/>
                <w:kern w:val="0"/>
                <w:sz w:val="21"/>
                <w:szCs w:val="20"/>
                <w:highlight w:val="none"/>
                <w14:textFill>
                  <w14:solidFill>
                    <w14:schemeClr w14:val="tx1"/>
                  </w14:solidFill>
                </w14:textFill>
              </w:rPr>
              <w:t>-</w:t>
            </w:r>
            <w:r>
              <w:rPr>
                <w:rFonts w:hint="eastAsia"/>
                <w:b/>
                <w:color w:val="000000" w:themeColor="text1"/>
                <w:kern w:val="0"/>
                <w:sz w:val="21"/>
                <w:szCs w:val="20"/>
                <w:highlight w:val="none"/>
                <w:lang w:val="en-US" w:eastAsia="zh-CN"/>
                <w14:textFill>
                  <w14:solidFill>
                    <w14:schemeClr w14:val="tx1"/>
                  </w14:solidFill>
                </w14:textFill>
              </w:rPr>
              <w:t>8</w:t>
            </w:r>
            <w:r>
              <w:rPr>
                <w:rFonts w:hint="eastAsia"/>
                <w:b/>
                <w:color w:val="000000" w:themeColor="text1"/>
                <w:kern w:val="0"/>
                <w:sz w:val="21"/>
                <w:szCs w:val="20"/>
                <w:highlight w:val="none"/>
                <w14:textFill>
                  <w14:solidFill>
                    <w14:schemeClr w14:val="tx1"/>
                  </w14:solidFill>
                </w14:textFill>
              </w:rPr>
              <w:t>柴油物理化学特性表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44"/>
              <w:gridCol w:w="1196"/>
              <w:gridCol w:w="421"/>
              <w:gridCol w:w="436"/>
              <w:gridCol w:w="1287"/>
              <w:gridCol w:w="520"/>
              <w:gridCol w:w="760"/>
              <w:gridCol w:w="944"/>
              <w:gridCol w:w="684"/>
              <w:gridCol w:w="391"/>
            </w:tblGrid>
            <w:tr w14:paraId="31BE9D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00" w:type="pct"/>
                  <w:gridSpan w:val="10"/>
                  <w:tcBorders>
                    <w:tl2br w:val="nil"/>
                    <w:tr2bl w:val="nil"/>
                  </w:tcBorders>
                  <w:vAlign w:val="center"/>
                </w:tcPr>
                <w:p w14:paraId="35E4CFCF">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物料安全数据表</w:t>
                  </w:r>
                </w:p>
              </w:tc>
            </w:tr>
            <w:tr w14:paraId="59F02D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90" w:type="pct"/>
                  <w:tcBorders>
                    <w:tl2br w:val="nil"/>
                    <w:tr2bl w:val="nil"/>
                  </w:tcBorders>
                  <w:vAlign w:val="center"/>
                </w:tcPr>
                <w:p w14:paraId="0B3C6F7E">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CAS</w:t>
                  </w:r>
                </w:p>
              </w:tc>
              <w:tc>
                <w:tcPr>
                  <w:tcW w:w="671" w:type="pct"/>
                  <w:tcBorders>
                    <w:tl2br w:val="nil"/>
                    <w:tr2bl w:val="nil"/>
                  </w:tcBorders>
                  <w:vAlign w:val="center"/>
                </w:tcPr>
                <w:p w14:paraId="5DAA25E8">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68476-34-6</w:t>
                  </w:r>
                </w:p>
              </w:tc>
              <w:tc>
                <w:tcPr>
                  <w:tcW w:w="545" w:type="pct"/>
                  <w:gridSpan w:val="2"/>
                  <w:tcBorders>
                    <w:tl2br w:val="nil"/>
                    <w:tr2bl w:val="nil"/>
                  </w:tcBorders>
                  <w:vAlign w:val="center"/>
                </w:tcPr>
                <w:p w14:paraId="3F253BEF">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RTECS</w:t>
                  </w:r>
                </w:p>
              </w:tc>
              <w:tc>
                <w:tcPr>
                  <w:tcW w:w="886" w:type="pct"/>
                  <w:tcBorders>
                    <w:tl2br w:val="nil"/>
                    <w:tr2bl w:val="nil"/>
                  </w:tcBorders>
                  <w:vAlign w:val="center"/>
                </w:tcPr>
                <w:p w14:paraId="2F4200B5">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HZl770000</w:t>
                  </w:r>
                </w:p>
              </w:tc>
              <w:tc>
                <w:tcPr>
                  <w:tcW w:w="347" w:type="pct"/>
                  <w:tcBorders>
                    <w:tl2br w:val="nil"/>
                    <w:tr2bl w:val="nil"/>
                  </w:tcBorders>
                  <w:vAlign w:val="center"/>
                </w:tcPr>
                <w:p w14:paraId="72934FCF">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UN</w:t>
                  </w:r>
                </w:p>
              </w:tc>
              <w:tc>
                <w:tcPr>
                  <w:tcW w:w="534" w:type="pct"/>
                  <w:tcBorders>
                    <w:tl2br w:val="nil"/>
                    <w:tr2bl w:val="nil"/>
                  </w:tcBorders>
                  <w:vAlign w:val="center"/>
                </w:tcPr>
                <w:p w14:paraId="430F5044">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w:t>
                  </w:r>
                </w:p>
              </w:tc>
              <w:tc>
                <w:tcPr>
                  <w:tcW w:w="1140" w:type="pct"/>
                  <w:gridSpan w:val="2"/>
                  <w:tcBorders>
                    <w:tl2br w:val="nil"/>
                    <w:tr2bl w:val="nil"/>
                  </w:tcBorders>
                  <w:vAlign w:val="center"/>
                </w:tcPr>
                <w:p w14:paraId="3BE530B9">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危编号</w:t>
                  </w:r>
                </w:p>
              </w:tc>
              <w:tc>
                <w:tcPr>
                  <w:tcW w:w="286" w:type="pct"/>
                  <w:tcBorders>
                    <w:tl2br w:val="nil"/>
                    <w:tr2bl w:val="nil"/>
                  </w:tcBorders>
                  <w:vAlign w:val="center"/>
                </w:tcPr>
                <w:p w14:paraId="19DD0D73">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w:t>
                  </w:r>
                </w:p>
              </w:tc>
            </w:tr>
            <w:tr w14:paraId="1AED09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90" w:type="pct"/>
                  <w:tcBorders>
                    <w:tl2br w:val="nil"/>
                    <w:tr2bl w:val="nil"/>
                  </w:tcBorders>
                  <w:vAlign w:val="center"/>
                </w:tcPr>
                <w:p w14:paraId="26A40C45">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中文名称</w:t>
                  </w:r>
                </w:p>
              </w:tc>
              <w:tc>
                <w:tcPr>
                  <w:tcW w:w="2102" w:type="pct"/>
                  <w:gridSpan w:val="4"/>
                  <w:tcBorders>
                    <w:tl2br w:val="nil"/>
                    <w:tr2bl w:val="nil"/>
                  </w:tcBorders>
                  <w:vAlign w:val="center"/>
                </w:tcPr>
                <w:p w14:paraId="7ACA2E36">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柴油（</w:t>
                  </w:r>
                  <w:r>
                    <w:rPr>
                      <w:color w:val="000000" w:themeColor="text1"/>
                      <w:sz w:val="21"/>
                      <w:szCs w:val="22"/>
                      <w:highlight w:val="none"/>
                      <w14:textFill>
                        <w14:solidFill>
                          <w14:schemeClr w14:val="tx1"/>
                        </w14:solidFill>
                      </w14:textFill>
                    </w:rPr>
                    <w:t>0#</w:t>
                  </w:r>
                  <w:r>
                    <w:rPr>
                      <w:rFonts w:hint="eastAsia"/>
                      <w:color w:val="000000" w:themeColor="text1"/>
                      <w:sz w:val="21"/>
                      <w:szCs w:val="22"/>
                      <w:highlight w:val="none"/>
                      <w14:textFill>
                        <w14:solidFill>
                          <w14:schemeClr w14:val="tx1"/>
                        </w14:solidFill>
                      </w14:textFill>
                    </w:rPr>
                    <w:t>普通柴油、车用柴油）</w:t>
                  </w:r>
                </w:p>
              </w:tc>
              <w:tc>
                <w:tcPr>
                  <w:tcW w:w="347" w:type="pct"/>
                  <w:vMerge w:val="restart"/>
                  <w:tcBorders>
                    <w:tl2br w:val="nil"/>
                    <w:tr2bl w:val="nil"/>
                  </w:tcBorders>
                  <w:vAlign w:val="center"/>
                </w:tcPr>
                <w:p w14:paraId="7606B0C8">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理化性质</w:t>
                  </w:r>
                </w:p>
              </w:tc>
              <w:tc>
                <w:tcPr>
                  <w:tcW w:w="1961" w:type="pct"/>
                  <w:gridSpan w:val="4"/>
                  <w:tcBorders>
                    <w:tl2br w:val="nil"/>
                    <w:tr2bl w:val="nil"/>
                  </w:tcBorders>
                  <w:vAlign w:val="center"/>
                </w:tcPr>
                <w:p w14:paraId="2D46FD9B">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外观及性状：稍</w:t>
                  </w:r>
                  <w:r>
                    <w:rPr>
                      <w:rFonts w:hint="eastAsia"/>
                      <w:color w:val="000000" w:themeColor="text1"/>
                      <w:sz w:val="21"/>
                      <w:szCs w:val="22"/>
                      <w:highlight w:val="none"/>
                      <w:lang w:eastAsia="zh-CN"/>
                      <w14:textFill>
                        <w14:solidFill>
                          <w14:schemeClr w14:val="tx1"/>
                        </w14:solidFill>
                      </w14:textFill>
                    </w:rPr>
                    <w:t>有黏性的</w:t>
                  </w:r>
                  <w:r>
                    <w:rPr>
                      <w:rFonts w:hint="eastAsia"/>
                      <w:color w:val="000000" w:themeColor="text1"/>
                      <w:sz w:val="21"/>
                      <w:szCs w:val="22"/>
                      <w:highlight w:val="none"/>
                      <w14:textFill>
                        <w14:solidFill>
                          <w14:schemeClr w14:val="tx1"/>
                        </w14:solidFill>
                      </w14:textFill>
                    </w:rPr>
                    <w:t>棕色液体。</w:t>
                  </w:r>
                </w:p>
              </w:tc>
            </w:tr>
            <w:tr w14:paraId="3FA6A4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90" w:type="pct"/>
                  <w:tcBorders>
                    <w:tl2br w:val="nil"/>
                    <w:tr2bl w:val="nil"/>
                  </w:tcBorders>
                  <w:vAlign w:val="center"/>
                </w:tcPr>
                <w:p w14:paraId="045B2228">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英文名称</w:t>
                  </w:r>
                </w:p>
              </w:tc>
              <w:tc>
                <w:tcPr>
                  <w:tcW w:w="2102" w:type="pct"/>
                  <w:gridSpan w:val="4"/>
                  <w:tcBorders>
                    <w:tl2br w:val="nil"/>
                    <w:tr2bl w:val="nil"/>
                  </w:tcBorders>
                  <w:vAlign w:val="center"/>
                </w:tcPr>
                <w:p w14:paraId="788A68A1">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Dieseloil</w:t>
                  </w:r>
                  <w:r>
                    <w:rPr>
                      <w:rFonts w:hint="eastAsia"/>
                      <w:color w:val="000000" w:themeColor="text1"/>
                      <w:sz w:val="21"/>
                      <w:szCs w:val="22"/>
                      <w:highlight w:val="none"/>
                      <w:lang w:eastAsia="zh-CN"/>
                      <w14:textFill>
                        <w14:solidFill>
                          <w14:schemeClr w14:val="tx1"/>
                        </w14:solidFill>
                      </w14:textFill>
                    </w:rPr>
                    <w:t xml:space="preserve">; </w:t>
                  </w:r>
                  <w:r>
                    <w:rPr>
                      <w:color w:val="000000" w:themeColor="text1"/>
                      <w:sz w:val="21"/>
                      <w:szCs w:val="22"/>
                      <w:highlight w:val="none"/>
                      <w14:textFill>
                        <w14:solidFill>
                          <w14:schemeClr w14:val="tx1"/>
                        </w14:solidFill>
                      </w14:textFill>
                    </w:rPr>
                    <w:t>Dieselfuel</w:t>
                  </w:r>
                </w:p>
              </w:tc>
              <w:tc>
                <w:tcPr>
                  <w:tcW w:w="0" w:type="auto"/>
                  <w:vMerge w:val="continue"/>
                  <w:tcBorders>
                    <w:tl2br w:val="nil"/>
                    <w:tr2bl w:val="nil"/>
                  </w:tcBorders>
                  <w:vAlign w:val="center"/>
                </w:tcPr>
                <w:p w14:paraId="22E69395">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534" w:type="pct"/>
                  <w:vMerge w:val="restart"/>
                  <w:tcBorders>
                    <w:tl2br w:val="nil"/>
                    <w:tr2bl w:val="nil"/>
                  </w:tcBorders>
                  <w:vAlign w:val="center"/>
                </w:tcPr>
                <w:p w14:paraId="70BC17C5">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溶解度：不溶</w:t>
                  </w:r>
                </w:p>
              </w:tc>
              <w:tc>
                <w:tcPr>
                  <w:tcW w:w="1426" w:type="pct"/>
                  <w:gridSpan w:val="3"/>
                  <w:tcBorders>
                    <w:tl2br w:val="nil"/>
                    <w:tr2bl w:val="nil"/>
                  </w:tcBorders>
                  <w:vAlign w:val="center"/>
                </w:tcPr>
                <w:p w14:paraId="35988DA6">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蒸气压：无资料</w:t>
                  </w:r>
                </w:p>
              </w:tc>
            </w:tr>
            <w:tr w14:paraId="634E05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90" w:type="pct"/>
                  <w:tcBorders>
                    <w:tl2br w:val="nil"/>
                    <w:tr2bl w:val="nil"/>
                  </w:tcBorders>
                  <w:vAlign w:val="center"/>
                </w:tcPr>
                <w:p w14:paraId="3B3F5373">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分子式</w:t>
                  </w:r>
                </w:p>
              </w:tc>
              <w:tc>
                <w:tcPr>
                  <w:tcW w:w="2102" w:type="pct"/>
                  <w:gridSpan w:val="4"/>
                  <w:tcBorders>
                    <w:tl2br w:val="nil"/>
                    <w:tr2bl w:val="nil"/>
                  </w:tcBorders>
                  <w:vAlign w:val="center"/>
                </w:tcPr>
                <w:p w14:paraId="18610974">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C4</w:t>
                  </w:r>
                  <w:r>
                    <w:rPr>
                      <w:rFonts w:eastAsia="微软雅黑"/>
                      <w:color w:val="000000" w:themeColor="text1"/>
                      <w:sz w:val="21"/>
                      <w:szCs w:val="22"/>
                      <w:highlight w:val="none"/>
                      <w14:textFill>
                        <w14:solidFill>
                          <w14:schemeClr w14:val="tx1"/>
                        </w14:solidFill>
                      </w14:textFill>
                    </w:rPr>
                    <w:t>−</w:t>
                  </w:r>
                  <w:r>
                    <w:rPr>
                      <w:color w:val="000000" w:themeColor="text1"/>
                      <w:sz w:val="21"/>
                      <w:szCs w:val="22"/>
                      <w:highlight w:val="none"/>
                      <w14:textFill>
                        <w14:solidFill>
                          <w14:schemeClr w14:val="tx1"/>
                        </w14:solidFill>
                      </w14:textFill>
                    </w:rPr>
                    <w:t>C12</w:t>
                  </w:r>
                  <w:r>
                    <w:rPr>
                      <w:rFonts w:hint="eastAsia"/>
                      <w:color w:val="000000" w:themeColor="text1"/>
                      <w:sz w:val="21"/>
                      <w:szCs w:val="22"/>
                      <w:highlight w:val="none"/>
                      <w:lang w:eastAsia="zh-CN"/>
                      <w14:textFill>
                        <w14:solidFill>
                          <w14:schemeClr w14:val="tx1"/>
                        </w14:solidFill>
                      </w14:textFill>
                    </w:rPr>
                    <w:t>（</w:t>
                  </w:r>
                  <w:r>
                    <w:rPr>
                      <w:rFonts w:hint="eastAsia"/>
                      <w:color w:val="000000" w:themeColor="text1"/>
                      <w:sz w:val="21"/>
                      <w:szCs w:val="22"/>
                      <w:highlight w:val="none"/>
                      <w14:textFill>
                        <w14:solidFill>
                          <w14:schemeClr w14:val="tx1"/>
                        </w14:solidFill>
                      </w14:textFill>
                    </w:rPr>
                    <w:t>脂肪烃和环烃</w:t>
                  </w:r>
                  <w:r>
                    <w:rPr>
                      <w:rFonts w:hint="eastAsia"/>
                      <w:color w:val="000000" w:themeColor="text1"/>
                      <w:sz w:val="21"/>
                      <w:szCs w:val="22"/>
                      <w:highlight w:val="none"/>
                      <w:lang w:eastAsia="zh-CN"/>
                      <w14:textFill>
                        <w14:solidFill>
                          <w14:schemeClr w14:val="tx1"/>
                        </w14:solidFill>
                      </w14:textFill>
                    </w:rPr>
                    <w:t>）</w:t>
                  </w:r>
                </w:p>
              </w:tc>
              <w:tc>
                <w:tcPr>
                  <w:tcW w:w="0" w:type="auto"/>
                  <w:vMerge w:val="continue"/>
                  <w:tcBorders>
                    <w:tl2br w:val="nil"/>
                    <w:tr2bl w:val="nil"/>
                  </w:tcBorders>
                  <w:vAlign w:val="center"/>
                </w:tcPr>
                <w:p w14:paraId="41309B3E">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vMerge w:val="continue"/>
                  <w:tcBorders>
                    <w:tl2br w:val="nil"/>
                    <w:tr2bl w:val="nil"/>
                  </w:tcBorders>
                  <w:vAlign w:val="center"/>
                </w:tcPr>
                <w:p w14:paraId="3D4754F3">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657" w:type="pct"/>
                  <w:vMerge w:val="restart"/>
                  <w:tcBorders>
                    <w:tl2br w:val="nil"/>
                    <w:tr2bl w:val="nil"/>
                  </w:tcBorders>
                  <w:vAlign w:val="center"/>
                </w:tcPr>
                <w:p w14:paraId="41A518AF">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相对密度</w:t>
                  </w:r>
                </w:p>
              </w:tc>
              <w:tc>
                <w:tcPr>
                  <w:tcW w:w="769" w:type="pct"/>
                  <w:gridSpan w:val="2"/>
                  <w:tcBorders>
                    <w:tl2br w:val="nil"/>
                    <w:tr2bl w:val="nil"/>
                  </w:tcBorders>
                  <w:vAlign w:val="center"/>
                </w:tcPr>
                <w:p w14:paraId="27785F08">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空气：无资料</w:t>
                  </w:r>
                </w:p>
              </w:tc>
            </w:tr>
            <w:tr w14:paraId="0BF8FE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90" w:type="pct"/>
                  <w:vMerge w:val="restart"/>
                  <w:tcBorders>
                    <w:tl2br w:val="nil"/>
                    <w:tr2bl w:val="nil"/>
                  </w:tcBorders>
                  <w:vAlign w:val="center"/>
                </w:tcPr>
                <w:p w14:paraId="56783B59">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燃烧爆炸危险性</w:t>
                  </w:r>
                </w:p>
              </w:tc>
              <w:tc>
                <w:tcPr>
                  <w:tcW w:w="939" w:type="pct"/>
                  <w:gridSpan w:val="2"/>
                  <w:tcBorders>
                    <w:tl2br w:val="nil"/>
                    <w:tr2bl w:val="nil"/>
                  </w:tcBorders>
                  <w:vAlign w:val="center"/>
                </w:tcPr>
                <w:p w14:paraId="492059E4">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闪点：</w:t>
                  </w:r>
                  <w:r>
                    <w:rPr>
                      <w:color w:val="000000" w:themeColor="text1"/>
                      <w:sz w:val="21"/>
                      <w:szCs w:val="22"/>
                      <w:highlight w:val="none"/>
                      <w14:textFill>
                        <w14:solidFill>
                          <w14:schemeClr w14:val="tx1"/>
                        </w14:solidFill>
                      </w14:textFill>
                    </w:rPr>
                    <w:t>62</w:t>
                  </w:r>
                  <w:r>
                    <w:rPr>
                      <w:rFonts w:hint="eastAsia"/>
                      <w:color w:val="000000" w:themeColor="text1"/>
                      <w:sz w:val="21"/>
                      <w:szCs w:val="22"/>
                      <w:highlight w:val="none"/>
                      <w14:textFill>
                        <w14:solidFill>
                          <w14:schemeClr w14:val="tx1"/>
                        </w14:solidFill>
                      </w14:textFill>
                    </w:rPr>
                    <w:t>～</w:t>
                  </w:r>
                  <w:r>
                    <w:rPr>
                      <w:color w:val="000000" w:themeColor="text1"/>
                      <w:sz w:val="21"/>
                      <w:szCs w:val="22"/>
                      <w:highlight w:val="none"/>
                      <w14:textFill>
                        <w14:solidFill>
                          <w14:schemeClr w14:val="tx1"/>
                        </w14:solidFill>
                      </w14:textFill>
                    </w:rPr>
                    <w:t>63℃</w:t>
                  </w:r>
                </w:p>
              </w:tc>
              <w:tc>
                <w:tcPr>
                  <w:tcW w:w="1163" w:type="pct"/>
                  <w:gridSpan w:val="2"/>
                  <w:tcBorders>
                    <w:tl2br w:val="nil"/>
                    <w:tr2bl w:val="nil"/>
                  </w:tcBorders>
                  <w:vAlign w:val="center"/>
                </w:tcPr>
                <w:p w14:paraId="365F1538">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引燃温度</w:t>
                  </w:r>
                  <w:r>
                    <w:rPr>
                      <w:rFonts w:hint="eastAsia"/>
                      <w:color w:val="000000" w:themeColor="text1"/>
                      <w:sz w:val="21"/>
                      <w:szCs w:val="22"/>
                      <w:highlight w:val="none"/>
                      <w:lang w:eastAsia="zh-CN"/>
                      <w14:textFill>
                        <w14:solidFill>
                          <w14:schemeClr w14:val="tx1"/>
                        </w14:solidFill>
                      </w14:textFill>
                    </w:rPr>
                    <w:t>（</w:t>
                  </w:r>
                  <w:r>
                    <w:rPr>
                      <w:color w:val="000000" w:themeColor="text1"/>
                      <w:sz w:val="21"/>
                      <w:szCs w:val="22"/>
                      <w:highlight w:val="none"/>
                      <w14:textFill>
                        <w14:solidFill>
                          <w14:schemeClr w14:val="tx1"/>
                        </w14:solidFill>
                      </w14:textFill>
                    </w:rPr>
                    <w:t>℃</w:t>
                  </w:r>
                  <w:r>
                    <w:rPr>
                      <w:rFonts w:hint="eastAsia"/>
                      <w:color w:val="000000" w:themeColor="text1"/>
                      <w:sz w:val="21"/>
                      <w:szCs w:val="22"/>
                      <w:highlight w:val="none"/>
                      <w:lang w:eastAsia="zh-CN"/>
                      <w14:textFill>
                        <w14:solidFill>
                          <w14:schemeClr w14:val="tx1"/>
                        </w14:solidFill>
                      </w14:textFill>
                    </w:rPr>
                    <w:t>）</w:t>
                  </w:r>
                  <w:r>
                    <w:rPr>
                      <w:rFonts w:hint="eastAsia"/>
                      <w:color w:val="000000" w:themeColor="text1"/>
                      <w:sz w:val="21"/>
                      <w:szCs w:val="22"/>
                      <w:highlight w:val="none"/>
                      <w14:textFill>
                        <w14:solidFill>
                          <w14:schemeClr w14:val="tx1"/>
                        </w14:solidFill>
                      </w14:textFill>
                    </w:rPr>
                    <w:t>：</w:t>
                  </w:r>
                  <w:r>
                    <w:rPr>
                      <w:color w:val="000000" w:themeColor="text1"/>
                      <w:sz w:val="21"/>
                      <w:szCs w:val="22"/>
                      <w:highlight w:val="none"/>
                      <w14:textFill>
                        <w14:solidFill>
                          <w14:schemeClr w14:val="tx1"/>
                        </w14:solidFill>
                      </w14:textFill>
                    </w:rPr>
                    <w:t>257℃</w:t>
                  </w:r>
                </w:p>
              </w:tc>
              <w:tc>
                <w:tcPr>
                  <w:tcW w:w="0" w:type="auto"/>
                  <w:vMerge w:val="continue"/>
                  <w:tcBorders>
                    <w:tl2br w:val="nil"/>
                    <w:tr2bl w:val="nil"/>
                  </w:tcBorders>
                  <w:vAlign w:val="center"/>
                </w:tcPr>
                <w:p w14:paraId="5E435350">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vMerge w:val="continue"/>
                  <w:tcBorders>
                    <w:tl2br w:val="nil"/>
                    <w:tr2bl w:val="nil"/>
                  </w:tcBorders>
                  <w:vAlign w:val="center"/>
                </w:tcPr>
                <w:p w14:paraId="38D13A2E">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vMerge w:val="continue"/>
                  <w:tcBorders>
                    <w:tl2br w:val="nil"/>
                    <w:tr2bl w:val="nil"/>
                  </w:tcBorders>
                  <w:vAlign w:val="center"/>
                </w:tcPr>
                <w:p w14:paraId="677B05D7">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769" w:type="pct"/>
                  <w:gridSpan w:val="2"/>
                  <w:tcBorders>
                    <w:tl2br w:val="nil"/>
                    <w:tr2bl w:val="nil"/>
                  </w:tcBorders>
                  <w:vAlign w:val="center"/>
                </w:tcPr>
                <w:p w14:paraId="5ACB7D9D">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水：</w:t>
                  </w:r>
                  <w:r>
                    <w:rPr>
                      <w:color w:val="000000" w:themeColor="text1"/>
                      <w:sz w:val="21"/>
                      <w:szCs w:val="22"/>
                      <w:highlight w:val="none"/>
                      <w14:textFill>
                        <w14:solidFill>
                          <w14:schemeClr w14:val="tx1"/>
                        </w14:solidFill>
                      </w14:textFill>
                    </w:rPr>
                    <w:t>0.9</w:t>
                  </w:r>
                </w:p>
              </w:tc>
            </w:tr>
            <w:tr w14:paraId="635F3B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6DCFFC3D">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939" w:type="pct"/>
                  <w:gridSpan w:val="2"/>
                  <w:tcBorders>
                    <w:tl2br w:val="nil"/>
                    <w:tr2bl w:val="nil"/>
                  </w:tcBorders>
                  <w:vAlign w:val="center"/>
                </w:tcPr>
                <w:p w14:paraId="79860C5C">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自燃点：约</w:t>
                  </w:r>
                  <w:r>
                    <w:rPr>
                      <w:color w:val="000000" w:themeColor="text1"/>
                      <w:sz w:val="21"/>
                      <w:szCs w:val="22"/>
                      <w:highlight w:val="none"/>
                      <w14:textFill>
                        <w14:solidFill>
                          <w14:schemeClr w14:val="tx1"/>
                        </w14:solidFill>
                      </w14:textFill>
                    </w:rPr>
                    <w:t>250℃</w:t>
                  </w:r>
                </w:p>
              </w:tc>
              <w:tc>
                <w:tcPr>
                  <w:tcW w:w="1163" w:type="pct"/>
                  <w:gridSpan w:val="2"/>
                  <w:tcBorders>
                    <w:tl2br w:val="nil"/>
                    <w:tr2bl w:val="nil"/>
                  </w:tcBorders>
                  <w:vAlign w:val="center"/>
                </w:tcPr>
                <w:p w14:paraId="7B165BB7">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火灾危险性分类：乙</w:t>
                  </w:r>
                  <w:r>
                    <w:rPr>
                      <w:color w:val="000000" w:themeColor="text1"/>
                      <w:sz w:val="21"/>
                      <w:szCs w:val="22"/>
                      <w:highlight w:val="none"/>
                      <w14:textFill>
                        <w14:solidFill>
                          <w14:schemeClr w14:val="tx1"/>
                        </w14:solidFill>
                      </w14:textFill>
                    </w:rPr>
                    <w:t>B</w:t>
                  </w:r>
                </w:p>
              </w:tc>
              <w:tc>
                <w:tcPr>
                  <w:tcW w:w="347" w:type="pct"/>
                  <w:vMerge w:val="restart"/>
                  <w:tcBorders>
                    <w:tl2br w:val="nil"/>
                    <w:tr2bl w:val="nil"/>
                  </w:tcBorders>
                  <w:vAlign w:val="center"/>
                </w:tcPr>
                <w:p w14:paraId="6F917E07">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毒害性及健康危害</w:t>
                  </w:r>
                </w:p>
              </w:tc>
              <w:tc>
                <w:tcPr>
                  <w:tcW w:w="1961" w:type="pct"/>
                  <w:gridSpan w:val="4"/>
                  <w:tcBorders>
                    <w:tl2br w:val="nil"/>
                    <w:tr2bl w:val="nil"/>
                  </w:tcBorders>
                  <w:vAlign w:val="center"/>
                </w:tcPr>
                <w:p w14:paraId="6C48CD94">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职业性接触毒物危害程度分级：无资料</w:t>
                  </w:r>
                </w:p>
              </w:tc>
            </w:tr>
            <w:tr w14:paraId="3E3F90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05FB062E">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vMerge w:val="restart"/>
                  <w:tcBorders>
                    <w:tl2br w:val="nil"/>
                    <w:tr2bl w:val="nil"/>
                  </w:tcBorders>
                  <w:vAlign w:val="center"/>
                </w:tcPr>
                <w:p w14:paraId="06CDB1EC">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危险特性：遇明火、高热或与氧化剂接触，有引起燃烧爆炸的危险。若遇高热，容器内压增大，有开裂和爆炸的危险。</w:t>
                  </w:r>
                </w:p>
              </w:tc>
              <w:tc>
                <w:tcPr>
                  <w:tcW w:w="0" w:type="auto"/>
                  <w:vMerge w:val="continue"/>
                  <w:tcBorders>
                    <w:tl2br w:val="nil"/>
                    <w:tr2bl w:val="nil"/>
                  </w:tcBorders>
                  <w:vAlign w:val="center"/>
                </w:tcPr>
                <w:p w14:paraId="683E8A64">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tcBorders>
                    <w:tl2br w:val="nil"/>
                    <w:tr2bl w:val="nil"/>
                  </w:tcBorders>
                  <w:vAlign w:val="center"/>
                </w:tcPr>
                <w:p w14:paraId="3299A072">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毒性资料：无资料</w:t>
                  </w:r>
                </w:p>
              </w:tc>
            </w:tr>
            <w:tr w14:paraId="4B0693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264AB716">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gridSpan w:val="4"/>
                  <w:vMerge w:val="continue"/>
                  <w:tcBorders>
                    <w:tl2br w:val="nil"/>
                    <w:tr2bl w:val="nil"/>
                  </w:tcBorders>
                  <w:vAlign w:val="center"/>
                </w:tcPr>
                <w:p w14:paraId="16DEF642">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vMerge w:val="continue"/>
                  <w:tcBorders>
                    <w:tl2br w:val="nil"/>
                    <w:tr2bl w:val="nil"/>
                  </w:tcBorders>
                  <w:vAlign w:val="center"/>
                </w:tcPr>
                <w:p w14:paraId="219308D4">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tcBorders>
                    <w:tl2br w:val="nil"/>
                    <w:tr2bl w:val="nil"/>
                  </w:tcBorders>
                  <w:vAlign w:val="center"/>
                </w:tcPr>
                <w:p w14:paraId="0B05D183">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职业接触限值</w:t>
                  </w:r>
                </w:p>
              </w:tc>
            </w:tr>
            <w:tr w14:paraId="461CD3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58564D16">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gridSpan w:val="4"/>
                  <w:vMerge w:val="continue"/>
                  <w:tcBorders>
                    <w:tl2br w:val="nil"/>
                    <w:tr2bl w:val="nil"/>
                  </w:tcBorders>
                  <w:vAlign w:val="center"/>
                </w:tcPr>
                <w:p w14:paraId="12B9329A">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vMerge w:val="continue"/>
                  <w:tcBorders>
                    <w:tl2br w:val="nil"/>
                    <w:tr2bl w:val="nil"/>
                  </w:tcBorders>
                  <w:vAlign w:val="center"/>
                </w:tcPr>
                <w:p w14:paraId="5DDA8DEC">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tcBorders>
                    <w:tl2br w:val="nil"/>
                    <w:tr2bl w:val="nil"/>
                  </w:tcBorders>
                  <w:vAlign w:val="center"/>
                </w:tcPr>
                <w:p w14:paraId="0516640B">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MAC</w:t>
                  </w:r>
                  <w:r>
                    <w:rPr>
                      <w:rFonts w:hint="eastAsia"/>
                      <w:color w:val="000000" w:themeColor="text1"/>
                      <w:sz w:val="21"/>
                      <w:szCs w:val="22"/>
                      <w:highlight w:val="none"/>
                      <w14:textFill>
                        <w14:solidFill>
                          <w14:schemeClr w14:val="tx1"/>
                        </w14:solidFill>
                      </w14:textFill>
                    </w:rPr>
                    <w:t>：无资料</w:t>
                  </w:r>
                </w:p>
              </w:tc>
            </w:tr>
            <w:tr w14:paraId="500F13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3CFF2B9C">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6914EAEA">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燃烧</w:t>
                  </w:r>
                  <w:r>
                    <w:rPr>
                      <w:rFonts w:hint="eastAsia"/>
                      <w:color w:val="000000" w:themeColor="text1"/>
                      <w:sz w:val="21"/>
                      <w:szCs w:val="22"/>
                      <w:highlight w:val="none"/>
                      <w:lang w:eastAsia="zh-CN"/>
                      <w14:textFill>
                        <w14:solidFill>
                          <w14:schemeClr w14:val="tx1"/>
                        </w14:solidFill>
                      </w14:textFill>
                    </w:rPr>
                    <w:t>（</w:t>
                  </w:r>
                  <w:r>
                    <w:rPr>
                      <w:rFonts w:hint="eastAsia"/>
                      <w:color w:val="000000" w:themeColor="text1"/>
                      <w:sz w:val="21"/>
                      <w:szCs w:val="22"/>
                      <w:highlight w:val="none"/>
                      <w14:textFill>
                        <w14:solidFill>
                          <w14:schemeClr w14:val="tx1"/>
                        </w14:solidFill>
                      </w14:textFill>
                    </w:rPr>
                    <w:t>分解</w:t>
                  </w:r>
                  <w:r>
                    <w:rPr>
                      <w:rFonts w:hint="eastAsia"/>
                      <w:color w:val="000000" w:themeColor="text1"/>
                      <w:sz w:val="21"/>
                      <w:szCs w:val="22"/>
                      <w:highlight w:val="none"/>
                      <w:lang w:eastAsia="zh-CN"/>
                      <w14:textFill>
                        <w14:solidFill>
                          <w14:schemeClr w14:val="tx1"/>
                        </w14:solidFill>
                      </w14:textFill>
                    </w:rPr>
                    <w:t>）</w:t>
                  </w:r>
                  <w:r>
                    <w:rPr>
                      <w:rFonts w:hint="eastAsia"/>
                      <w:color w:val="000000" w:themeColor="text1"/>
                      <w:sz w:val="21"/>
                      <w:szCs w:val="22"/>
                      <w:highlight w:val="none"/>
                      <w14:textFill>
                        <w14:solidFill>
                          <w14:schemeClr w14:val="tx1"/>
                        </w14:solidFill>
                      </w14:textFill>
                    </w:rPr>
                    <w:t>产物：一氧化碳、二氧化碳。</w:t>
                  </w:r>
                </w:p>
              </w:tc>
              <w:tc>
                <w:tcPr>
                  <w:tcW w:w="0" w:type="auto"/>
                  <w:vMerge w:val="continue"/>
                  <w:tcBorders>
                    <w:tl2br w:val="nil"/>
                    <w:tr2bl w:val="nil"/>
                  </w:tcBorders>
                  <w:vAlign w:val="center"/>
                </w:tcPr>
                <w:p w14:paraId="2F8CDC45">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tcBorders>
                    <w:tl2br w:val="nil"/>
                    <w:tr2bl w:val="nil"/>
                  </w:tcBorders>
                  <w:vAlign w:val="center"/>
                </w:tcPr>
                <w:p w14:paraId="7232727A">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PC-TWA</w:t>
                  </w:r>
                  <w:r>
                    <w:rPr>
                      <w:rFonts w:hint="eastAsia"/>
                      <w:color w:val="000000" w:themeColor="text1"/>
                      <w:sz w:val="21"/>
                      <w:szCs w:val="22"/>
                      <w:highlight w:val="none"/>
                      <w14:textFill>
                        <w14:solidFill>
                          <w14:schemeClr w14:val="tx1"/>
                        </w14:solidFill>
                      </w14:textFill>
                    </w:rPr>
                    <w:t>：无资料</w:t>
                  </w:r>
                </w:p>
              </w:tc>
            </w:tr>
            <w:tr w14:paraId="07186A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68064B9F">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117AB22A">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禁忌物：强氧化剂、卤素。</w:t>
                  </w:r>
                </w:p>
              </w:tc>
              <w:tc>
                <w:tcPr>
                  <w:tcW w:w="0" w:type="auto"/>
                  <w:vMerge w:val="continue"/>
                  <w:tcBorders>
                    <w:tl2br w:val="nil"/>
                    <w:tr2bl w:val="nil"/>
                  </w:tcBorders>
                  <w:vAlign w:val="center"/>
                </w:tcPr>
                <w:p w14:paraId="2A855A54">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tcBorders>
                    <w:tl2br w:val="nil"/>
                    <w:tr2bl w:val="nil"/>
                  </w:tcBorders>
                  <w:vAlign w:val="center"/>
                </w:tcPr>
                <w:p w14:paraId="2F15C18A">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color w:val="000000" w:themeColor="text1"/>
                      <w:sz w:val="21"/>
                      <w:szCs w:val="22"/>
                      <w:highlight w:val="none"/>
                      <w14:textFill>
                        <w14:solidFill>
                          <w14:schemeClr w14:val="tx1"/>
                        </w14:solidFill>
                      </w14:textFill>
                    </w:rPr>
                    <w:t>PC-STEL</w:t>
                  </w:r>
                  <w:r>
                    <w:rPr>
                      <w:rFonts w:hint="eastAsia"/>
                      <w:color w:val="000000" w:themeColor="text1"/>
                      <w:sz w:val="21"/>
                      <w:szCs w:val="22"/>
                      <w:highlight w:val="none"/>
                      <w14:textFill>
                        <w14:solidFill>
                          <w14:schemeClr w14:val="tx1"/>
                        </w14:solidFill>
                      </w14:textFill>
                    </w:rPr>
                    <w:t>：无资料</w:t>
                  </w:r>
                </w:p>
              </w:tc>
            </w:tr>
            <w:tr w14:paraId="597E28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1872B8C3">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5C6711DF">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避免接触的条件：无资料</w:t>
                  </w:r>
                </w:p>
              </w:tc>
              <w:tc>
                <w:tcPr>
                  <w:tcW w:w="0" w:type="auto"/>
                  <w:vMerge w:val="continue"/>
                  <w:tcBorders>
                    <w:tl2br w:val="nil"/>
                    <w:tr2bl w:val="nil"/>
                  </w:tcBorders>
                  <w:vAlign w:val="center"/>
                </w:tcPr>
                <w:p w14:paraId="1B1B5527">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tcBorders>
                    <w:tl2br w:val="nil"/>
                    <w:tr2bl w:val="nil"/>
                  </w:tcBorders>
                  <w:vAlign w:val="center"/>
                </w:tcPr>
                <w:p w14:paraId="029C9C3A">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侵入途径及健康危害</w:t>
                  </w:r>
                </w:p>
              </w:tc>
            </w:tr>
            <w:tr w14:paraId="45B513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2AC1EE5F">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73588191">
                  <w:pPr>
                    <w:spacing w:line="240" w:lineRule="auto"/>
                    <w:ind w:firstLine="0" w:firstLineChars="0"/>
                    <w:contextualSpacing/>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灭火剂：泡沫、二氧化碳、干粉、砂土。</w:t>
                  </w:r>
                </w:p>
              </w:tc>
              <w:tc>
                <w:tcPr>
                  <w:tcW w:w="0" w:type="auto"/>
                  <w:vMerge w:val="continue"/>
                  <w:tcBorders>
                    <w:tl2br w:val="nil"/>
                    <w:tr2bl w:val="nil"/>
                  </w:tcBorders>
                  <w:vAlign w:val="center"/>
                </w:tcPr>
                <w:p w14:paraId="3774A78C">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tcBorders>
                    <w:tl2br w:val="nil"/>
                    <w:tr2bl w:val="nil"/>
                  </w:tcBorders>
                  <w:vAlign w:val="center"/>
                </w:tcPr>
                <w:p w14:paraId="299C69F1">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侵入途径：吸入、食入、经皮吸收</w:t>
                  </w:r>
                </w:p>
              </w:tc>
            </w:tr>
            <w:tr w14:paraId="7A3B2D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0E529BD1">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1151339E">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禁用灭火剂：水</w:t>
                  </w:r>
                </w:p>
              </w:tc>
              <w:tc>
                <w:tcPr>
                  <w:tcW w:w="0" w:type="auto"/>
                  <w:vMerge w:val="continue"/>
                  <w:tcBorders>
                    <w:tl2br w:val="nil"/>
                    <w:tr2bl w:val="nil"/>
                  </w:tcBorders>
                  <w:vAlign w:val="center"/>
                </w:tcPr>
                <w:p w14:paraId="61D75A50">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vMerge w:val="restart"/>
                  <w:tcBorders>
                    <w:tl2br w:val="nil"/>
                    <w:tr2bl w:val="nil"/>
                  </w:tcBorders>
                  <w:vAlign w:val="center"/>
                </w:tcPr>
                <w:p w14:paraId="0E230263">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健康危害：皮肤接触柴油可引起接触性皮炎、油性痤疮，吸入可引起吸入性肺炎。能经胎盘进入胎儿血中。柴油废气可引起眼、鼻</w:t>
                  </w:r>
                  <w:r>
                    <w:rPr>
                      <w:rFonts w:hint="eastAsia"/>
                      <w:color w:val="000000" w:themeColor="text1"/>
                      <w:sz w:val="21"/>
                      <w:szCs w:val="22"/>
                      <w:highlight w:val="none"/>
                      <w:lang w:eastAsia="zh-CN"/>
                      <w14:textFill>
                        <w14:solidFill>
                          <w14:schemeClr w14:val="tx1"/>
                        </w14:solidFill>
                      </w14:textFill>
                    </w:rPr>
                    <w:t>刺激症状</w:t>
                  </w:r>
                  <w:r>
                    <w:rPr>
                      <w:rFonts w:hint="eastAsia"/>
                      <w:color w:val="000000" w:themeColor="text1"/>
                      <w:sz w:val="21"/>
                      <w:szCs w:val="22"/>
                      <w:highlight w:val="none"/>
                      <w14:textFill>
                        <w14:solidFill>
                          <w14:schemeClr w14:val="tx1"/>
                        </w14:solidFill>
                      </w14:textFill>
                    </w:rPr>
                    <w:t>，头晕及头痛。</w:t>
                  </w:r>
                </w:p>
              </w:tc>
            </w:tr>
            <w:tr w14:paraId="2795DB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90" w:type="pct"/>
                  <w:vMerge w:val="restart"/>
                  <w:tcBorders>
                    <w:tl2br w:val="nil"/>
                    <w:tr2bl w:val="nil"/>
                  </w:tcBorders>
                  <w:vAlign w:val="center"/>
                </w:tcPr>
                <w:p w14:paraId="155606BC">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急救措施</w:t>
                  </w:r>
                </w:p>
              </w:tc>
              <w:tc>
                <w:tcPr>
                  <w:tcW w:w="2102" w:type="pct"/>
                  <w:gridSpan w:val="4"/>
                  <w:tcBorders>
                    <w:tl2br w:val="nil"/>
                    <w:tr2bl w:val="nil"/>
                  </w:tcBorders>
                  <w:vAlign w:val="center"/>
                </w:tcPr>
                <w:p w14:paraId="68B28606">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皮肤接触：脱去污染的衣着，用肥皂和大量清水清洗污染皮肤。</w:t>
                  </w:r>
                </w:p>
              </w:tc>
              <w:tc>
                <w:tcPr>
                  <w:tcW w:w="0" w:type="auto"/>
                  <w:vMerge w:val="continue"/>
                  <w:tcBorders>
                    <w:tl2br w:val="nil"/>
                    <w:tr2bl w:val="nil"/>
                  </w:tcBorders>
                  <w:vAlign w:val="center"/>
                </w:tcPr>
                <w:p w14:paraId="02089EA8">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gridSpan w:val="4"/>
                  <w:vMerge w:val="continue"/>
                  <w:tcBorders>
                    <w:tl2br w:val="nil"/>
                    <w:tr2bl w:val="nil"/>
                  </w:tcBorders>
                  <w:vAlign w:val="center"/>
                </w:tcPr>
                <w:p w14:paraId="416A5851">
                  <w:pPr>
                    <w:widowControl/>
                    <w:spacing w:line="240" w:lineRule="auto"/>
                    <w:ind w:firstLine="0" w:firstLineChars="0"/>
                    <w:jc w:val="left"/>
                    <w:rPr>
                      <w:color w:val="000000" w:themeColor="text1"/>
                      <w:sz w:val="21"/>
                      <w:szCs w:val="22"/>
                      <w:highlight w:val="none"/>
                      <w14:textFill>
                        <w14:solidFill>
                          <w14:schemeClr w14:val="tx1"/>
                        </w14:solidFill>
                      </w14:textFill>
                    </w:rPr>
                  </w:pPr>
                </w:p>
              </w:tc>
            </w:tr>
            <w:tr w14:paraId="2C2616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2487FF91">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46693C4D">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眼睛接触：无资料</w:t>
                  </w:r>
                </w:p>
              </w:tc>
              <w:tc>
                <w:tcPr>
                  <w:tcW w:w="0" w:type="auto"/>
                  <w:vMerge w:val="continue"/>
                  <w:tcBorders>
                    <w:tl2br w:val="nil"/>
                    <w:tr2bl w:val="nil"/>
                  </w:tcBorders>
                  <w:vAlign w:val="center"/>
                </w:tcPr>
                <w:p w14:paraId="2BCB38B3">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gridSpan w:val="4"/>
                  <w:vMerge w:val="continue"/>
                  <w:tcBorders>
                    <w:tl2br w:val="nil"/>
                    <w:tr2bl w:val="nil"/>
                  </w:tcBorders>
                  <w:vAlign w:val="center"/>
                </w:tcPr>
                <w:p w14:paraId="66BFAF3E">
                  <w:pPr>
                    <w:widowControl/>
                    <w:spacing w:line="240" w:lineRule="auto"/>
                    <w:ind w:firstLine="0" w:firstLineChars="0"/>
                    <w:jc w:val="left"/>
                    <w:rPr>
                      <w:color w:val="000000" w:themeColor="text1"/>
                      <w:sz w:val="21"/>
                      <w:szCs w:val="22"/>
                      <w:highlight w:val="none"/>
                      <w14:textFill>
                        <w14:solidFill>
                          <w14:schemeClr w14:val="tx1"/>
                        </w14:solidFill>
                      </w14:textFill>
                    </w:rPr>
                  </w:pPr>
                </w:p>
              </w:tc>
            </w:tr>
            <w:tr w14:paraId="716EB6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62C2E14C">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5593AA4F">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吸入：无资料</w:t>
                  </w:r>
                </w:p>
              </w:tc>
              <w:tc>
                <w:tcPr>
                  <w:tcW w:w="347" w:type="pct"/>
                  <w:vMerge w:val="restart"/>
                  <w:tcBorders>
                    <w:tl2br w:val="nil"/>
                    <w:tr2bl w:val="nil"/>
                  </w:tcBorders>
                  <w:vAlign w:val="center"/>
                </w:tcPr>
                <w:p w14:paraId="0803CC2F">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泄漏处理</w:t>
                  </w:r>
                </w:p>
              </w:tc>
              <w:tc>
                <w:tcPr>
                  <w:tcW w:w="1961" w:type="pct"/>
                  <w:gridSpan w:val="4"/>
                  <w:vMerge w:val="restart"/>
                  <w:tcBorders>
                    <w:tl2br w:val="nil"/>
                    <w:tr2bl w:val="nil"/>
                  </w:tcBorders>
                  <w:vAlign w:val="center"/>
                </w:tcPr>
                <w:p w14:paraId="03848DF1">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切断火源。应急处理人员戴好防毒面具，穿化学防护服。在确保安全情况下堵漏。用活性炭或</w:t>
                  </w:r>
                  <w:r>
                    <w:rPr>
                      <w:rFonts w:hint="eastAsia"/>
                      <w:color w:val="000000" w:themeColor="text1"/>
                      <w:sz w:val="21"/>
                      <w:szCs w:val="22"/>
                      <w:highlight w:val="none"/>
                      <w:lang w:eastAsia="zh-CN"/>
                      <w14:textFill>
                        <w14:solidFill>
                          <w14:schemeClr w14:val="tx1"/>
                        </w14:solidFill>
                      </w14:textFill>
                    </w:rPr>
                    <w:t>其他</w:t>
                  </w:r>
                  <w:r>
                    <w:rPr>
                      <w:rFonts w:hint="eastAsia"/>
                      <w:color w:val="000000" w:themeColor="text1"/>
                      <w:sz w:val="21"/>
                      <w:szCs w:val="22"/>
                      <w:highlight w:val="none"/>
                      <w14:textFill>
                        <w14:solidFill>
                          <w14:schemeClr w14:val="tx1"/>
                        </w14:solidFill>
                      </w14:textFill>
                    </w:rPr>
                    <w:t>惰性材料吸收，然后收集运到空旷处焚烧。如大量泄漏，利用围堤收容，然后收集、转移、回收或无害处理后废弃。</w:t>
                  </w:r>
                </w:p>
              </w:tc>
            </w:tr>
            <w:tr w14:paraId="03D2AA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52FEE034">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22BCCDD8">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食入：无资料</w:t>
                  </w:r>
                </w:p>
              </w:tc>
              <w:tc>
                <w:tcPr>
                  <w:tcW w:w="0" w:type="auto"/>
                  <w:vMerge w:val="continue"/>
                  <w:tcBorders>
                    <w:tl2br w:val="nil"/>
                    <w:tr2bl w:val="nil"/>
                  </w:tcBorders>
                  <w:vAlign w:val="center"/>
                </w:tcPr>
                <w:p w14:paraId="53CCA630">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gridSpan w:val="4"/>
                  <w:vMerge w:val="continue"/>
                  <w:tcBorders>
                    <w:tl2br w:val="nil"/>
                    <w:tr2bl w:val="nil"/>
                  </w:tcBorders>
                  <w:vAlign w:val="center"/>
                </w:tcPr>
                <w:p w14:paraId="30C12D86">
                  <w:pPr>
                    <w:widowControl/>
                    <w:spacing w:line="240" w:lineRule="auto"/>
                    <w:ind w:firstLine="0" w:firstLineChars="0"/>
                    <w:jc w:val="left"/>
                    <w:rPr>
                      <w:color w:val="000000" w:themeColor="text1"/>
                      <w:sz w:val="21"/>
                      <w:szCs w:val="22"/>
                      <w:highlight w:val="none"/>
                      <w14:textFill>
                        <w14:solidFill>
                          <w14:schemeClr w14:val="tx1"/>
                        </w14:solidFill>
                      </w14:textFill>
                    </w:rPr>
                  </w:pPr>
                </w:p>
              </w:tc>
            </w:tr>
            <w:tr w14:paraId="1BB0F1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90" w:type="pct"/>
                  <w:vMerge w:val="restart"/>
                  <w:tcBorders>
                    <w:tl2br w:val="nil"/>
                    <w:tr2bl w:val="nil"/>
                  </w:tcBorders>
                  <w:vAlign w:val="center"/>
                </w:tcPr>
                <w:p w14:paraId="40665DBC">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防护措施</w:t>
                  </w:r>
                </w:p>
              </w:tc>
              <w:tc>
                <w:tcPr>
                  <w:tcW w:w="2102" w:type="pct"/>
                  <w:gridSpan w:val="4"/>
                  <w:tcBorders>
                    <w:tl2br w:val="nil"/>
                    <w:tr2bl w:val="nil"/>
                  </w:tcBorders>
                  <w:vAlign w:val="center"/>
                </w:tcPr>
                <w:p w14:paraId="119B9476">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呼吸系统防护：一般不需特殊防护，但建议特殊情况下，佩戴供气式呼吸器。</w:t>
                  </w:r>
                </w:p>
              </w:tc>
              <w:tc>
                <w:tcPr>
                  <w:tcW w:w="0" w:type="auto"/>
                  <w:vMerge w:val="continue"/>
                  <w:tcBorders>
                    <w:tl2br w:val="nil"/>
                    <w:tr2bl w:val="nil"/>
                  </w:tcBorders>
                  <w:vAlign w:val="center"/>
                </w:tcPr>
                <w:p w14:paraId="75E46EED">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gridSpan w:val="4"/>
                  <w:vMerge w:val="continue"/>
                  <w:tcBorders>
                    <w:tl2br w:val="nil"/>
                    <w:tr2bl w:val="nil"/>
                  </w:tcBorders>
                  <w:vAlign w:val="center"/>
                </w:tcPr>
                <w:p w14:paraId="70F8D904">
                  <w:pPr>
                    <w:widowControl/>
                    <w:spacing w:line="240" w:lineRule="auto"/>
                    <w:ind w:firstLine="0" w:firstLineChars="0"/>
                    <w:jc w:val="left"/>
                    <w:rPr>
                      <w:color w:val="000000" w:themeColor="text1"/>
                      <w:sz w:val="21"/>
                      <w:szCs w:val="22"/>
                      <w:highlight w:val="none"/>
                      <w14:textFill>
                        <w14:solidFill>
                          <w14:schemeClr w14:val="tx1"/>
                        </w14:solidFill>
                      </w14:textFill>
                    </w:rPr>
                  </w:pPr>
                </w:p>
              </w:tc>
            </w:tr>
            <w:tr w14:paraId="1BC362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43EDC98E">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05976609">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眼睛防护：必要时戴安全防护眼镜。</w:t>
                  </w:r>
                </w:p>
              </w:tc>
              <w:tc>
                <w:tcPr>
                  <w:tcW w:w="0" w:type="auto"/>
                  <w:vMerge w:val="continue"/>
                  <w:tcBorders>
                    <w:tl2br w:val="nil"/>
                    <w:tr2bl w:val="nil"/>
                  </w:tcBorders>
                  <w:vAlign w:val="center"/>
                </w:tcPr>
                <w:p w14:paraId="29724AE9">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0" w:type="auto"/>
                  <w:gridSpan w:val="4"/>
                  <w:vMerge w:val="continue"/>
                  <w:tcBorders>
                    <w:tl2br w:val="nil"/>
                    <w:tr2bl w:val="nil"/>
                  </w:tcBorders>
                  <w:vAlign w:val="center"/>
                </w:tcPr>
                <w:p w14:paraId="66CE7748">
                  <w:pPr>
                    <w:widowControl/>
                    <w:spacing w:line="240" w:lineRule="auto"/>
                    <w:ind w:firstLine="0" w:firstLineChars="0"/>
                    <w:jc w:val="left"/>
                    <w:rPr>
                      <w:color w:val="000000" w:themeColor="text1"/>
                      <w:sz w:val="21"/>
                      <w:szCs w:val="22"/>
                      <w:highlight w:val="none"/>
                      <w14:textFill>
                        <w14:solidFill>
                          <w14:schemeClr w14:val="tx1"/>
                        </w14:solidFill>
                      </w14:textFill>
                    </w:rPr>
                  </w:pPr>
                </w:p>
              </w:tc>
            </w:tr>
            <w:tr w14:paraId="3783FE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3245DE41">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4759DC15">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手防护：必要时戴防护手套。</w:t>
                  </w:r>
                </w:p>
              </w:tc>
              <w:tc>
                <w:tcPr>
                  <w:tcW w:w="347" w:type="pct"/>
                  <w:vMerge w:val="restart"/>
                  <w:tcBorders>
                    <w:tl2br w:val="nil"/>
                    <w:tr2bl w:val="nil"/>
                  </w:tcBorders>
                  <w:vAlign w:val="center"/>
                </w:tcPr>
                <w:p w14:paraId="05E21BEE">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包装</w:t>
                  </w:r>
                </w:p>
              </w:tc>
              <w:tc>
                <w:tcPr>
                  <w:tcW w:w="1961" w:type="pct"/>
                  <w:gridSpan w:val="4"/>
                  <w:tcBorders>
                    <w:tl2br w:val="nil"/>
                    <w:tr2bl w:val="nil"/>
                  </w:tcBorders>
                  <w:vAlign w:val="center"/>
                </w:tcPr>
                <w:p w14:paraId="4EC404A9">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危险性类别：第</w:t>
                  </w:r>
                  <w:r>
                    <w:rPr>
                      <w:color w:val="000000" w:themeColor="text1"/>
                      <w:sz w:val="21"/>
                      <w:szCs w:val="22"/>
                      <w:highlight w:val="none"/>
                      <w14:textFill>
                        <w14:solidFill>
                          <w14:schemeClr w14:val="tx1"/>
                        </w14:solidFill>
                      </w14:textFill>
                    </w:rPr>
                    <w:t>3.3</w:t>
                  </w:r>
                  <w:r>
                    <w:rPr>
                      <w:rFonts w:hint="eastAsia"/>
                      <w:color w:val="000000" w:themeColor="text1"/>
                      <w:sz w:val="21"/>
                      <w:szCs w:val="22"/>
                      <w:highlight w:val="none"/>
                      <w14:textFill>
                        <w14:solidFill>
                          <w14:schemeClr w14:val="tx1"/>
                        </w14:solidFill>
                      </w14:textFill>
                    </w:rPr>
                    <w:t>类中闪点易燃液体</w:t>
                  </w:r>
                </w:p>
              </w:tc>
            </w:tr>
            <w:tr w14:paraId="797C22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0" w:type="auto"/>
                  <w:vMerge w:val="continue"/>
                  <w:tcBorders>
                    <w:tl2br w:val="nil"/>
                    <w:tr2bl w:val="nil"/>
                  </w:tcBorders>
                  <w:vAlign w:val="center"/>
                </w:tcPr>
                <w:p w14:paraId="28F91D10">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2102" w:type="pct"/>
                  <w:gridSpan w:val="4"/>
                  <w:tcBorders>
                    <w:tl2br w:val="nil"/>
                    <w:tr2bl w:val="nil"/>
                  </w:tcBorders>
                  <w:vAlign w:val="center"/>
                </w:tcPr>
                <w:p w14:paraId="002DB6A5">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身体防护：穿防静电工作服；必要时戴防护手套。</w:t>
                  </w:r>
                </w:p>
              </w:tc>
              <w:tc>
                <w:tcPr>
                  <w:tcW w:w="0" w:type="auto"/>
                  <w:vMerge w:val="continue"/>
                  <w:tcBorders>
                    <w:tl2br w:val="nil"/>
                    <w:tr2bl w:val="nil"/>
                  </w:tcBorders>
                  <w:vAlign w:val="center"/>
                </w:tcPr>
                <w:p w14:paraId="22BAC39F">
                  <w:pPr>
                    <w:widowControl/>
                    <w:spacing w:line="240" w:lineRule="auto"/>
                    <w:ind w:firstLine="0" w:firstLineChars="0"/>
                    <w:jc w:val="left"/>
                    <w:rPr>
                      <w:color w:val="000000" w:themeColor="text1"/>
                      <w:sz w:val="21"/>
                      <w:szCs w:val="22"/>
                      <w:highlight w:val="none"/>
                      <w14:textFill>
                        <w14:solidFill>
                          <w14:schemeClr w14:val="tx1"/>
                        </w14:solidFill>
                      </w14:textFill>
                    </w:rPr>
                  </w:pPr>
                </w:p>
              </w:tc>
              <w:tc>
                <w:tcPr>
                  <w:tcW w:w="1961" w:type="pct"/>
                  <w:gridSpan w:val="4"/>
                  <w:tcBorders>
                    <w:tl2br w:val="nil"/>
                    <w:tr2bl w:val="nil"/>
                  </w:tcBorders>
                  <w:vAlign w:val="center"/>
                </w:tcPr>
                <w:p w14:paraId="246B5947">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危险货物包装标志：</w:t>
                  </w:r>
                  <w:r>
                    <w:rPr>
                      <w:color w:val="000000" w:themeColor="text1"/>
                      <w:sz w:val="21"/>
                      <w:szCs w:val="22"/>
                      <w:highlight w:val="none"/>
                      <w14:textFill>
                        <w14:solidFill>
                          <w14:schemeClr w14:val="tx1"/>
                        </w14:solidFill>
                      </w14:textFill>
                    </w:rPr>
                    <w:t>7</w:t>
                  </w:r>
                </w:p>
              </w:tc>
            </w:tr>
            <w:tr w14:paraId="0F2439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90" w:type="pct"/>
                  <w:tcBorders>
                    <w:tl2br w:val="nil"/>
                    <w:tr2bl w:val="nil"/>
                  </w:tcBorders>
                  <w:vAlign w:val="center"/>
                </w:tcPr>
                <w:p w14:paraId="15311F57">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储存</w:t>
                  </w:r>
                </w:p>
              </w:tc>
              <w:tc>
                <w:tcPr>
                  <w:tcW w:w="4410" w:type="pct"/>
                  <w:gridSpan w:val="9"/>
                  <w:tcBorders>
                    <w:tl2br w:val="nil"/>
                    <w:tr2bl w:val="nil"/>
                  </w:tcBorders>
                  <w:vAlign w:val="center"/>
                </w:tcPr>
                <w:p w14:paraId="16271AD5">
                  <w:pPr>
                    <w:spacing w:line="240" w:lineRule="auto"/>
                    <w:ind w:firstLine="0" w:firstLineChars="0"/>
                    <w:contextualSpacing/>
                    <w:jc w:val="center"/>
                    <w:rPr>
                      <w:color w:val="000000" w:themeColor="text1"/>
                      <w:sz w:val="21"/>
                      <w:szCs w:val="22"/>
                      <w:highlight w:val="none"/>
                      <w14:textFill>
                        <w14:solidFill>
                          <w14:schemeClr w14:val="tx1"/>
                        </w14:solidFill>
                      </w14:textFill>
                    </w:rPr>
                  </w:pPr>
                  <w:r>
                    <w:rPr>
                      <w:rFonts w:hint="eastAsia"/>
                      <w:color w:val="000000" w:themeColor="text1"/>
                      <w:sz w:val="21"/>
                      <w:szCs w:val="22"/>
                      <w:highlight w:val="none"/>
                      <w14:textFill>
                        <w14:solidFill>
                          <w14:schemeClr w14:val="tx1"/>
                        </w14:solidFill>
                      </w14:textFill>
                    </w:rPr>
                    <w:t>储运注意事项：储存于阴凉、通风仓内。远离火种、热源。防止阳光直射。保持容器密封。应与氧化剂分开存放。桶装堆垛不可过大，应留墙距、顶距、柱距及必要的防火检查走道。罐储时要有防火防爆技术措施。禁止使用易产生火花的机械设备和工具。充装要控制流速，注意防止静电积聚。搬运时要轻装轻卸，防止包装及容器损坏。</w:t>
                  </w:r>
                </w:p>
              </w:tc>
            </w:tr>
          </w:tbl>
          <w:p w14:paraId="4507E353">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生产</w:t>
            </w:r>
            <w:r>
              <w:rPr>
                <w:rFonts w:hint="eastAsia"/>
                <w:color w:val="000000" w:themeColor="text1"/>
                <w:sz w:val="24"/>
                <w:highlight w:val="none"/>
                <w14:textFill>
                  <w14:solidFill>
                    <w14:schemeClr w14:val="tx1"/>
                  </w14:solidFill>
                </w14:textFill>
              </w:rPr>
              <w:t>系统危险性识别</w:t>
            </w:r>
          </w:p>
          <w:p w14:paraId="6B0D7E9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项目生产系统危险因素见表</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9</w:t>
            </w:r>
            <w:r>
              <w:rPr>
                <w:rFonts w:hint="eastAsia"/>
                <w:color w:val="000000" w:themeColor="text1"/>
                <w:sz w:val="24"/>
                <w:highlight w:val="none"/>
                <w14:textFill>
                  <w14:solidFill>
                    <w14:schemeClr w14:val="tx1"/>
                  </w14:solidFill>
                </w14:textFill>
              </w:rPr>
              <w:t>。</w:t>
            </w:r>
          </w:p>
          <w:p w14:paraId="402BF86B">
            <w:pPr>
              <w:autoSpaceDE w:val="0"/>
              <w:autoSpaceDN w:val="0"/>
              <w:adjustRightInd w:val="0"/>
              <w:spacing w:before="156" w:beforeLines="50" w:line="240" w:lineRule="auto"/>
              <w:ind w:firstLine="0" w:firstLineChars="0"/>
              <w:jc w:val="center"/>
              <w:rPr>
                <w:b/>
                <w:color w:val="000000" w:themeColor="text1"/>
                <w:kern w:val="0"/>
                <w:sz w:val="21"/>
                <w:szCs w:val="20"/>
                <w:highlight w:val="none"/>
                <w14:textFill>
                  <w14:solidFill>
                    <w14:schemeClr w14:val="tx1"/>
                  </w14:solidFill>
                </w14:textFill>
              </w:rPr>
            </w:pPr>
            <w:r>
              <w:rPr>
                <w:b/>
                <w:color w:val="000000" w:themeColor="text1"/>
                <w:kern w:val="0"/>
                <w:sz w:val="21"/>
                <w:szCs w:val="20"/>
                <w:highlight w:val="none"/>
                <w14:textFill>
                  <w14:solidFill>
                    <w14:schemeClr w14:val="tx1"/>
                  </w14:solidFill>
                </w14:textFill>
              </w:rPr>
              <w:t>表</w:t>
            </w:r>
            <w:r>
              <w:rPr>
                <w:rFonts w:hint="eastAsia"/>
                <w:b/>
                <w:color w:val="000000" w:themeColor="text1"/>
                <w:kern w:val="0"/>
                <w:sz w:val="21"/>
                <w:szCs w:val="20"/>
                <w:highlight w:val="none"/>
                <w:lang w:val="en-US" w:eastAsia="zh-CN"/>
                <w14:textFill>
                  <w14:solidFill>
                    <w14:schemeClr w14:val="tx1"/>
                  </w14:solidFill>
                </w14:textFill>
              </w:rPr>
              <w:t>4</w:t>
            </w:r>
            <w:r>
              <w:rPr>
                <w:rFonts w:hint="eastAsia"/>
                <w:b/>
                <w:color w:val="000000" w:themeColor="text1"/>
                <w:kern w:val="0"/>
                <w:sz w:val="21"/>
                <w:szCs w:val="20"/>
                <w:highlight w:val="none"/>
                <w14:textFill>
                  <w14:solidFill>
                    <w14:schemeClr w14:val="tx1"/>
                  </w14:solidFill>
                </w14:textFill>
              </w:rPr>
              <w:t>-</w:t>
            </w:r>
            <w:r>
              <w:rPr>
                <w:rFonts w:hint="eastAsia"/>
                <w:b/>
                <w:color w:val="000000" w:themeColor="text1"/>
                <w:kern w:val="0"/>
                <w:sz w:val="21"/>
                <w:szCs w:val="20"/>
                <w:highlight w:val="none"/>
                <w:lang w:val="en-US" w:eastAsia="zh-CN"/>
                <w14:textFill>
                  <w14:solidFill>
                    <w14:schemeClr w14:val="tx1"/>
                  </w14:solidFill>
                </w14:textFill>
              </w:rPr>
              <w:t>9</w:t>
            </w:r>
            <w:r>
              <w:rPr>
                <w:b/>
                <w:color w:val="000000" w:themeColor="text1"/>
                <w:kern w:val="0"/>
                <w:sz w:val="21"/>
                <w:szCs w:val="20"/>
                <w:highlight w:val="none"/>
                <w14:textFill>
                  <w14:solidFill>
                    <w14:schemeClr w14:val="tx1"/>
                  </w14:solidFill>
                </w14:textFill>
              </w:rPr>
              <w:t xml:space="preserve">  项目生产过程危害因素分析汇总一览表</w:t>
            </w:r>
          </w:p>
          <w:tbl>
            <w:tblPr>
              <w:tblStyle w:val="28"/>
              <w:tblW w:w="5000" w:type="pct"/>
              <w:tblInd w:w="15"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32"/>
              <w:gridCol w:w="1124"/>
              <w:gridCol w:w="1122"/>
              <w:gridCol w:w="1549"/>
              <w:gridCol w:w="2956"/>
            </w:tblGrid>
            <w:tr w14:paraId="726257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11" w:hRule="atLeast"/>
              </w:trPr>
              <w:tc>
                <w:tcPr>
                  <w:tcW w:w="489" w:type="pct"/>
                  <w:tcBorders>
                    <w:tl2br w:val="nil"/>
                    <w:tr2bl w:val="nil"/>
                  </w:tcBorders>
                  <w:vAlign w:val="center"/>
                </w:tcPr>
                <w:p w14:paraId="13B007F2">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序号</w:t>
                  </w:r>
                </w:p>
              </w:tc>
              <w:tc>
                <w:tcPr>
                  <w:tcW w:w="751" w:type="pct"/>
                  <w:tcBorders>
                    <w:tl2br w:val="nil"/>
                    <w:tr2bl w:val="nil"/>
                  </w:tcBorders>
                  <w:vAlign w:val="center"/>
                </w:tcPr>
                <w:p w14:paraId="490C78BB">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作业特点</w:t>
                  </w:r>
                </w:p>
              </w:tc>
              <w:tc>
                <w:tcPr>
                  <w:tcW w:w="750" w:type="pct"/>
                  <w:tcBorders>
                    <w:tl2br w:val="nil"/>
                    <w:tr2bl w:val="nil"/>
                  </w:tcBorders>
                  <w:vAlign w:val="center"/>
                </w:tcPr>
                <w:p w14:paraId="482A42A5">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物料名称</w:t>
                  </w:r>
                </w:p>
              </w:tc>
              <w:tc>
                <w:tcPr>
                  <w:tcW w:w="1035" w:type="pct"/>
                  <w:tcBorders>
                    <w:tl2br w:val="nil"/>
                    <w:tr2bl w:val="nil"/>
                  </w:tcBorders>
                  <w:vAlign w:val="center"/>
                </w:tcPr>
                <w:p w14:paraId="0CD8DCDD">
                  <w:pPr>
                    <w:widowControl w:val="0"/>
                    <w:tabs>
                      <w:tab w:val="left" w:pos="5400"/>
                    </w:tabs>
                    <w:adjustRightInd w:val="0"/>
                    <w:spacing w:line="240" w:lineRule="auto"/>
                    <w:ind w:firstLine="21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危险因素</w:t>
                  </w:r>
                </w:p>
              </w:tc>
              <w:tc>
                <w:tcPr>
                  <w:tcW w:w="1975" w:type="pct"/>
                  <w:tcBorders>
                    <w:tl2br w:val="nil"/>
                    <w:tr2bl w:val="nil"/>
                  </w:tcBorders>
                  <w:vAlign w:val="center"/>
                </w:tcPr>
                <w:p w14:paraId="6EAC0731">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后果</w:t>
                  </w:r>
                </w:p>
              </w:tc>
            </w:tr>
            <w:tr w14:paraId="32ABEE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89" w:type="pct"/>
                  <w:tcBorders>
                    <w:tl2br w:val="nil"/>
                    <w:tr2bl w:val="nil"/>
                  </w:tcBorders>
                  <w:vAlign w:val="center"/>
                </w:tcPr>
                <w:p w14:paraId="7BF0164C">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1</w:t>
                  </w:r>
                </w:p>
              </w:tc>
              <w:tc>
                <w:tcPr>
                  <w:tcW w:w="751" w:type="pct"/>
                  <w:tcBorders>
                    <w:tl2br w:val="nil"/>
                    <w:tr2bl w:val="nil"/>
                  </w:tcBorders>
                  <w:vAlign w:val="center"/>
                </w:tcPr>
                <w:p w14:paraId="0D14F630">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泄漏</w:t>
                  </w:r>
                </w:p>
              </w:tc>
              <w:tc>
                <w:tcPr>
                  <w:tcW w:w="750" w:type="pct"/>
                  <w:tcBorders>
                    <w:tl2br w:val="nil"/>
                    <w:tr2bl w:val="nil"/>
                  </w:tcBorders>
                  <w:vAlign w:val="center"/>
                </w:tcPr>
                <w:p w14:paraId="2AFC943E">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废润滑油、柴油</w:t>
                  </w:r>
                </w:p>
              </w:tc>
              <w:tc>
                <w:tcPr>
                  <w:tcW w:w="1035" w:type="pct"/>
                  <w:tcBorders>
                    <w:tl2br w:val="nil"/>
                    <w:tr2bl w:val="nil"/>
                  </w:tcBorders>
                  <w:vAlign w:val="center"/>
                </w:tcPr>
                <w:p w14:paraId="7675904E">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火灾、爆炸、泄漏</w:t>
                  </w:r>
                </w:p>
              </w:tc>
              <w:tc>
                <w:tcPr>
                  <w:tcW w:w="1975" w:type="pct"/>
                  <w:tcBorders>
                    <w:tl2br w:val="nil"/>
                    <w:tr2bl w:val="nil"/>
                  </w:tcBorders>
                  <w:vAlign w:val="center"/>
                </w:tcPr>
                <w:p w14:paraId="6A7F321A">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泄漏、火灾、污染土壤</w:t>
                  </w: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、地下水</w:t>
                  </w: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或大气</w:t>
                  </w:r>
                </w:p>
              </w:tc>
            </w:tr>
          </w:tbl>
          <w:p w14:paraId="4341AD4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（3）环境风险类型及危害分析</w:t>
            </w:r>
          </w:p>
          <w:p w14:paraId="24D8A01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根据对项目的物质和生产系统危险性的识别，项目可能发生的突发环境风险事件类型及危害分析见表</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10</w:t>
            </w:r>
            <w:r>
              <w:rPr>
                <w:rFonts w:hint="eastAsia"/>
                <w:color w:val="000000" w:themeColor="text1"/>
                <w:sz w:val="24"/>
                <w:highlight w:val="none"/>
                <w14:textFill>
                  <w14:solidFill>
                    <w14:schemeClr w14:val="tx1"/>
                  </w14:solidFill>
                </w14:textFill>
              </w:rPr>
              <w:t>。</w:t>
            </w:r>
          </w:p>
          <w:p w14:paraId="0D9A5C48">
            <w:pPr>
              <w:autoSpaceDE w:val="0"/>
              <w:autoSpaceDN w:val="0"/>
              <w:adjustRightInd w:val="0"/>
              <w:spacing w:before="156" w:beforeLines="50" w:line="240" w:lineRule="auto"/>
              <w:ind w:firstLine="0" w:firstLineChars="0"/>
              <w:jc w:val="center"/>
              <w:rPr>
                <w:b/>
                <w:color w:val="000000" w:themeColor="text1"/>
                <w:kern w:val="0"/>
                <w:sz w:val="21"/>
                <w:szCs w:val="20"/>
                <w:highlight w:val="none"/>
                <w14:textFill>
                  <w14:solidFill>
                    <w14:schemeClr w14:val="tx1"/>
                  </w14:solidFill>
                </w14:textFill>
              </w:rPr>
            </w:pPr>
            <w:r>
              <w:rPr>
                <w:b/>
                <w:color w:val="000000" w:themeColor="text1"/>
                <w:kern w:val="0"/>
                <w:sz w:val="21"/>
                <w:szCs w:val="20"/>
                <w:highlight w:val="none"/>
                <w14:textFill>
                  <w14:solidFill>
                    <w14:schemeClr w14:val="tx1"/>
                  </w14:solidFill>
                </w14:textFill>
              </w:rPr>
              <w:t>表</w:t>
            </w:r>
            <w:r>
              <w:rPr>
                <w:rFonts w:hint="eastAsia"/>
                <w:b/>
                <w:color w:val="000000" w:themeColor="text1"/>
                <w:kern w:val="0"/>
                <w:sz w:val="21"/>
                <w:szCs w:val="20"/>
                <w:highlight w:val="none"/>
                <w:lang w:val="en-US" w:eastAsia="zh-CN"/>
                <w14:textFill>
                  <w14:solidFill>
                    <w14:schemeClr w14:val="tx1"/>
                  </w14:solidFill>
                </w14:textFill>
              </w:rPr>
              <w:t>4</w:t>
            </w:r>
            <w:r>
              <w:rPr>
                <w:rFonts w:hint="eastAsia"/>
                <w:b/>
                <w:color w:val="000000" w:themeColor="text1"/>
                <w:kern w:val="0"/>
                <w:sz w:val="21"/>
                <w:szCs w:val="20"/>
                <w:highlight w:val="none"/>
                <w14:textFill>
                  <w14:solidFill>
                    <w14:schemeClr w14:val="tx1"/>
                  </w14:solidFill>
                </w14:textFill>
              </w:rPr>
              <w:t>-</w:t>
            </w:r>
            <w:r>
              <w:rPr>
                <w:rFonts w:hint="eastAsia"/>
                <w:b/>
                <w:color w:val="000000" w:themeColor="text1"/>
                <w:kern w:val="0"/>
                <w:sz w:val="21"/>
                <w:szCs w:val="20"/>
                <w:highlight w:val="none"/>
                <w:lang w:val="en-US" w:eastAsia="zh-CN"/>
                <w14:textFill>
                  <w14:solidFill>
                    <w14:schemeClr w14:val="tx1"/>
                  </w14:solidFill>
                </w14:textFill>
              </w:rPr>
              <w:t>10</w:t>
            </w:r>
            <w:r>
              <w:rPr>
                <w:b/>
                <w:color w:val="000000" w:themeColor="text1"/>
                <w:kern w:val="0"/>
                <w:sz w:val="21"/>
                <w:szCs w:val="20"/>
                <w:highlight w:val="none"/>
                <w14:textFill>
                  <w14:solidFill>
                    <w14:schemeClr w14:val="tx1"/>
                  </w14:solidFill>
                </w14:textFill>
              </w:rPr>
              <w:t xml:space="preserve">  项目</w:t>
            </w:r>
            <w:r>
              <w:rPr>
                <w:rFonts w:hint="eastAsia"/>
                <w:b/>
                <w:color w:val="000000" w:themeColor="text1"/>
                <w:kern w:val="0"/>
                <w:sz w:val="21"/>
                <w:szCs w:val="20"/>
                <w:highlight w:val="none"/>
                <w14:textFill>
                  <w14:solidFill>
                    <w14:schemeClr w14:val="tx1"/>
                  </w14:solidFill>
                </w14:textFill>
              </w:rPr>
              <w:t>环境风险类型及危害分析</w:t>
            </w:r>
            <w:r>
              <w:rPr>
                <w:b/>
                <w:color w:val="000000" w:themeColor="text1"/>
                <w:kern w:val="0"/>
                <w:sz w:val="21"/>
                <w:szCs w:val="20"/>
                <w:highlight w:val="none"/>
                <w14:textFill>
                  <w14:solidFill>
                    <w14:schemeClr w14:val="tx1"/>
                  </w14:solidFill>
                </w14:textFill>
              </w:rPr>
              <w:t>一览表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82"/>
              <w:gridCol w:w="1082"/>
              <w:gridCol w:w="1082"/>
              <w:gridCol w:w="1082"/>
              <w:gridCol w:w="3155"/>
            </w:tblGrid>
            <w:tr w14:paraId="3960CE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723" w:type="pct"/>
                  <w:tcBorders>
                    <w:tl2br w:val="nil"/>
                    <w:tr2bl w:val="nil"/>
                  </w:tcBorders>
                  <w:vAlign w:val="center"/>
                </w:tcPr>
                <w:p w14:paraId="1639774C">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风险单元</w:t>
                  </w:r>
                </w:p>
              </w:tc>
              <w:tc>
                <w:tcPr>
                  <w:tcW w:w="723" w:type="pct"/>
                  <w:tcBorders>
                    <w:tl2br w:val="nil"/>
                    <w:tr2bl w:val="nil"/>
                  </w:tcBorders>
                  <w:vAlign w:val="center"/>
                </w:tcPr>
                <w:p w14:paraId="0A4C58E1">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危险设备</w:t>
                  </w:r>
                </w:p>
              </w:tc>
              <w:tc>
                <w:tcPr>
                  <w:tcW w:w="723" w:type="pct"/>
                  <w:tcBorders>
                    <w:tl2br w:val="nil"/>
                    <w:tr2bl w:val="nil"/>
                  </w:tcBorders>
                  <w:vAlign w:val="center"/>
                </w:tcPr>
                <w:p w14:paraId="16D62FAD">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事故种类</w:t>
                  </w:r>
                </w:p>
              </w:tc>
              <w:tc>
                <w:tcPr>
                  <w:tcW w:w="723" w:type="pct"/>
                  <w:tcBorders>
                    <w:tl2br w:val="nil"/>
                    <w:tr2bl w:val="nil"/>
                  </w:tcBorders>
                  <w:vAlign w:val="center"/>
                </w:tcPr>
                <w:p w14:paraId="63FE96E0">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产生原因</w:t>
                  </w:r>
                </w:p>
              </w:tc>
              <w:tc>
                <w:tcPr>
                  <w:tcW w:w="2107" w:type="pct"/>
                  <w:tcBorders>
                    <w:tl2br w:val="nil"/>
                    <w:tr2bl w:val="nil"/>
                  </w:tcBorders>
                  <w:vAlign w:val="center"/>
                </w:tcPr>
                <w:p w14:paraId="7A816A71">
                  <w:pPr>
                    <w:widowControl w:val="0"/>
                    <w:tabs>
                      <w:tab w:val="left" w:pos="5400"/>
                    </w:tabs>
                    <w:adjustRightInd w:val="0"/>
                    <w:spacing w:line="240" w:lineRule="auto"/>
                    <w:ind w:firstLine="21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危害后果分析</w:t>
                  </w:r>
                </w:p>
              </w:tc>
            </w:tr>
            <w:tr w14:paraId="5147F0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723" w:type="pct"/>
                  <w:vMerge w:val="restart"/>
                  <w:tcBorders>
                    <w:tl2br w:val="nil"/>
                    <w:tr2bl w:val="nil"/>
                  </w:tcBorders>
                  <w:vAlign w:val="center"/>
                </w:tcPr>
                <w:p w14:paraId="5A068C61">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险废物贮存点</w:t>
                  </w:r>
                </w:p>
              </w:tc>
              <w:tc>
                <w:tcPr>
                  <w:tcW w:w="723" w:type="pct"/>
                  <w:vMerge w:val="restart"/>
                  <w:tcBorders>
                    <w:tl2br w:val="nil"/>
                    <w:tr2bl w:val="nil"/>
                  </w:tcBorders>
                  <w:vAlign w:val="center"/>
                </w:tcPr>
                <w:p w14:paraId="7C7D66F8">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废润滑油</w:t>
                  </w:r>
                </w:p>
              </w:tc>
              <w:tc>
                <w:tcPr>
                  <w:tcW w:w="723" w:type="pct"/>
                  <w:tcBorders>
                    <w:tl2br w:val="nil"/>
                    <w:tr2bl w:val="nil"/>
                  </w:tcBorders>
                  <w:vAlign w:val="center"/>
                </w:tcPr>
                <w:p w14:paraId="104EF169">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泄漏</w:t>
                  </w:r>
                </w:p>
              </w:tc>
              <w:tc>
                <w:tcPr>
                  <w:tcW w:w="723" w:type="pct"/>
                  <w:tcBorders>
                    <w:tl2br w:val="nil"/>
                    <w:tr2bl w:val="nil"/>
                  </w:tcBorders>
                  <w:vAlign w:val="center"/>
                </w:tcPr>
                <w:p w14:paraId="4E48A942">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油桶老化、破损或操作不当导致容器破损</w:t>
                  </w:r>
                </w:p>
              </w:tc>
              <w:tc>
                <w:tcPr>
                  <w:tcW w:w="2107" w:type="pct"/>
                  <w:tcBorders>
                    <w:tl2br w:val="nil"/>
                    <w:tr2bl w:val="nil"/>
                  </w:tcBorders>
                  <w:vAlign w:val="center"/>
                </w:tcPr>
                <w:p w14:paraId="4DBBDF25">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泄漏的废润滑油若未能有效拦截，可能渗入地下，对土壤及地下水环境造成污染</w:t>
                  </w:r>
                </w:p>
              </w:tc>
            </w:tr>
            <w:tr w14:paraId="37ED91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723" w:type="pct"/>
                  <w:vMerge w:val="continue"/>
                  <w:tcBorders>
                    <w:tl2br w:val="nil"/>
                    <w:tr2bl w:val="nil"/>
                  </w:tcBorders>
                  <w:vAlign w:val="center"/>
                </w:tcPr>
                <w:p w14:paraId="6B09F55F">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p>
              </w:tc>
              <w:tc>
                <w:tcPr>
                  <w:tcW w:w="723" w:type="pct"/>
                  <w:vMerge w:val="continue"/>
                  <w:tcBorders>
                    <w:tl2br w:val="nil"/>
                    <w:tr2bl w:val="nil"/>
                  </w:tcBorders>
                  <w:vAlign w:val="center"/>
                </w:tcPr>
                <w:p w14:paraId="771DAB17">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p>
              </w:tc>
              <w:tc>
                <w:tcPr>
                  <w:tcW w:w="723" w:type="pct"/>
                  <w:tcBorders>
                    <w:tl2br w:val="nil"/>
                    <w:tr2bl w:val="nil"/>
                  </w:tcBorders>
                  <w:vAlign w:val="center"/>
                </w:tcPr>
                <w:p w14:paraId="5EA3281D">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火灾、爆炸</w:t>
                  </w:r>
                </w:p>
              </w:tc>
              <w:tc>
                <w:tcPr>
                  <w:tcW w:w="723" w:type="pct"/>
                  <w:tcBorders>
                    <w:tl2br w:val="nil"/>
                    <w:tr2bl w:val="nil"/>
                  </w:tcBorders>
                  <w:vAlign w:val="center"/>
                </w:tcPr>
                <w:p w14:paraId="15D2C67A">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遇明火、静电或高温，且现场消防设施失效</w:t>
                  </w:r>
                </w:p>
              </w:tc>
              <w:tc>
                <w:tcPr>
                  <w:tcW w:w="2107" w:type="pct"/>
                  <w:tcBorders>
                    <w:tl2br w:val="nil"/>
                    <w:tr2bl w:val="nil"/>
                  </w:tcBorders>
                  <w:vAlign w:val="center"/>
                </w:tcPr>
                <w:p w14:paraId="32F1056C">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燃烧产生的CO、烟尘等次生/伴生污染物排放至大气，对周边大气环境造成瞬时影响；消防废水若外溢可能污染土壤及地表水</w:t>
                  </w:r>
                </w:p>
              </w:tc>
            </w:tr>
            <w:tr w14:paraId="2FF158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723" w:type="pct"/>
                  <w:vMerge w:val="restart"/>
                  <w:tcBorders>
                    <w:tl2br w:val="nil"/>
                    <w:tr2bl w:val="nil"/>
                  </w:tcBorders>
                  <w:vAlign w:val="center"/>
                </w:tcPr>
                <w:p w14:paraId="239420E8">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柴油临时存放点</w:t>
                  </w:r>
                </w:p>
              </w:tc>
              <w:tc>
                <w:tcPr>
                  <w:tcW w:w="723" w:type="pct"/>
                  <w:vMerge w:val="restart"/>
                  <w:tcBorders>
                    <w:tl2br w:val="nil"/>
                    <w:tr2bl w:val="nil"/>
                  </w:tcBorders>
                  <w:vAlign w:val="center"/>
                </w:tcPr>
                <w:p w14:paraId="55EA0D38">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柴油</w:t>
                  </w:r>
                </w:p>
              </w:tc>
              <w:tc>
                <w:tcPr>
                  <w:tcW w:w="723" w:type="pct"/>
                  <w:tcBorders>
                    <w:tl2br w:val="nil"/>
                    <w:tr2bl w:val="nil"/>
                  </w:tcBorders>
                  <w:vAlign w:val="center"/>
                </w:tcPr>
                <w:p w14:paraId="328D00D5">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泄漏</w:t>
                  </w:r>
                </w:p>
              </w:tc>
              <w:tc>
                <w:tcPr>
                  <w:tcW w:w="723" w:type="pct"/>
                  <w:tcBorders>
                    <w:tl2br w:val="nil"/>
                    <w:tr2bl w:val="nil"/>
                  </w:tcBorders>
                  <w:vAlign w:val="center"/>
                </w:tcPr>
                <w:p w14:paraId="74EA067C">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油桶倾倒、碰撞破损或阀门密封不严</w:t>
                  </w:r>
                </w:p>
              </w:tc>
              <w:tc>
                <w:tcPr>
                  <w:tcW w:w="2107" w:type="pct"/>
                  <w:tcBorders>
                    <w:tl2br w:val="nil"/>
                    <w:tr2bl w:val="nil"/>
                  </w:tcBorders>
                  <w:vAlign w:val="center"/>
                </w:tcPr>
                <w:p w14:paraId="614FE9D3">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泄漏柴油下渗，对</w:t>
                  </w:r>
                  <w:r>
                    <w:rPr>
                      <w:rFonts w:hint="eastAsia"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存放点</w:t>
                  </w: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局部土壤及下伏地下水环境造成污染风险</w:t>
                  </w:r>
                </w:p>
              </w:tc>
            </w:tr>
            <w:tr w14:paraId="24AB52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723" w:type="pct"/>
                  <w:vMerge w:val="continue"/>
                  <w:tcBorders>
                    <w:tl2br w:val="nil"/>
                    <w:tr2bl w:val="nil"/>
                  </w:tcBorders>
                  <w:vAlign w:val="center"/>
                </w:tcPr>
                <w:p w14:paraId="6E94A5A8">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p>
              </w:tc>
              <w:tc>
                <w:tcPr>
                  <w:tcW w:w="723" w:type="pct"/>
                  <w:vMerge w:val="continue"/>
                  <w:tcBorders>
                    <w:tl2br w:val="nil"/>
                    <w:tr2bl w:val="nil"/>
                  </w:tcBorders>
                  <w:vAlign w:val="center"/>
                </w:tcPr>
                <w:p w14:paraId="115C88A1">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p>
              </w:tc>
              <w:tc>
                <w:tcPr>
                  <w:tcW w:w="723" w:type="pct"/>
                  <w:tcBorders>
                    <w:tl2br w:val="nil"/>
                    <w:tr2bl w:val="nil"/>
                  </w:tcBorders>
                  <w:vAlign w:val="center"/>
                </w:tcPr>
                <w:p w14:paraId="1704737C">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火灾、爆炸</w:t>
                  </w:r>
                </w:p>
              </w:tc>
              <w:tc>
                <w:tcPr>
                  <w:tcW w:w="723" w:type="pct"/>
                  <w:tcBorders>
                    <w:tl2br w:val="nil"/>
                    <w:tr2bl w:val="nil"/>
                  </w:tcBorders>
                  <w:vAlign w:val="center"/>
                </w:tcPr>
                <w:p w14:paraId="6C6E02CE">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装卸或加油作业过程中产生静电、遭遇明火或高温天气下油桶受热膨胀</w:t>
                  </w:r>
                </w:p>
              </w:tc>
              <w:tc>
                <w:tcPr>
                  <w:tcW w:w="2107" w:type="pct"/>
                  <w:tcBorders>
                    <w:tl2br w:val="nil"/>
                    <w:tr2bl w:val="nil"/>
                  </w:tcBorders>
                  <w:vAlign w:val="center"/>
                </w:tcPr>
                <w:p w14:paraId="0D8FBDDB">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shd w:val="clear" w:color="auto" w:fill="FFFFFF"/>
                      <w:lang w:val="en-US" w:eastAsia="zh-CN" w:bidi="ar-SA"/>
                      <w14:textFill>
                        <w14:solidFill>
                          <w14:schemeClr w14:val="tx1"/>
                        </w14:solidFill>
                      </w14:textFill>
                    </w:rPr>
                    <w:t>燃烧产生次生/伴生污染物（CO、NOx、烟尘等），对大气环境造成污染，消防废水漫流可能污染周边土壤</w:t>
                  </w:r>
                </w:p>
              </w:tc>
            </w:tr>
          </w:tbl>
          <w:p w14:paraId="721E6DBE">
            <w:pPr>
              <w:pStyle w:val="53"/>
              <w:widowControl w:val="0"/>
              <w:bidi w:val="0"/>
              <w:adjustRightInd w:val="0"/>
              <w:snapToGrid w:val="0"/>
              <w:ind w:firstLineChars="200"/>
              <w:jc w:val="both"/>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4.7.5环境风险影响分析</w:t>
            </w:r>
          </w:p>
          <w:p w14:paraId="288EB6D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rFonts w:ascii="Helvetica" w:hAnsi="Helvetica"/>
                <w:color w:val="000000" w:themeColor="text1"/>
                <w:sz w:val="24"/>
                <w:highlight w:val="none"/>
                <w:shd w:val="clear" w:color="auto" w:fill="FFFFFF"/>
                <w14:textFill>
                  <w14:solidFill>
                    <w14:schemeClr w14:val="tx1"/>
                  </w14:solidFill>
                </w14:textFill>
              </w:rPr>
              <w:t>泄漏事故</w:t>
            </w:r>
            <w:r>
              <w:rPr>
                <w:rFonts w:hint="eastAsia"/>
                <w:color w:val="000000" w:themeColor="text1"/>
                <w:sz w:val="24"/>
                <w:highlight w:val="none"/>
                <w14:textFill>
                  <w14:solidFill>
                    <w14:schemeClr w14:val="tx1"/>
                  </w14:solidFill>
                </w14:textFill>
              </w:rPr>
              <w:t>对外环境的影响分析</w:t>
            </w:r>
          </w:p>
          <w:p w14:paraId="72A3DD00">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A</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环境空气</w:t>
            </w:r>
          </w:p>
          <w:p w14:paraId="7257929A">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项目危险废物贮存点废润滑油泄漏后，会挥发油气，污染空气；遇到明火可能引起火灾，燃烧产物主要为CO</w:t>
            </w:r>
            <w:r>
              <w:rPr>
                <w:rFonts w:hint="eastAsia"/>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和</w:t>
            </w:r>
            <w:r>
              <w:rPr>
                <w:rFonts w:ascii="Helvetica" w:hAnsi="Helvetica"/>
                <w:color w:val="000000" w:themeColor="text1"/>
                <w:sz w:val="24"/>
                <w:highlight w:val="none"/>
                <w:shd w:val="clear" w:color="auto" w:fill="FFFFFF"/>
                <w14:textFill>
                  <w14:solidFill>
                    <w14:schemeClr w14:val="tx1"/>
                  </w14:solidFill>
                </w14:textFill>
              </w:rPr>
              <w:t>水蒸气</w:t>
            </w:r>
            <w:r>
              <w:rPr>
                <w:rFonts w:hint="eastAsia"/>
                <w:color w:val="000000" w:themeColor="text1"/>
                <w:sz w:val="24"/>
                <w:highlight w:val="none"/>
                <w14:textFill>
                  <w14:solidFill>
                    <w14:schemeClr w14:val="tx1"/>
                  </w14:solidFill>
                </w14:textFill>
              </w:rPr>
              <w:t>，但不完全燃烧的产物中会含有一氧化碳等气体，同时伴随浓烟，挥发至空气中，会造成大气污染，会对人的健康造成危害；局部的燃烧还会进一步引发爆炸，进而扩大事故的危害。由于CO有毒性，当达到一定的浓度时，会影响人的造血功能及神经系统功能。所以发生火灾时，要注意防范对人群的危害。</w:t>
            </w:r>
          </w:p>
          <w:p w14:paraId="0CF2CC70">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柴油临时存放点及加油作业区若发生柴油泄漏，轻组分烃类物质会挥发产生油气（以非甲烷总烃表征），在通风不良条件下积聚，可能对作业人员健康造成影响；遇点火源易引发火灾爆炸事故，其燃烧产生的CO、NOx、烟尘等次生污染物将对大气环境造成污染。</w:t>
            </w:r>
          </w:p>
          <w:p w14:paraId="6CA8743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危险废物及时收集，危险废物贮存点做好防渗措施，由专人负责管理日常检查管理，危险物质发生</w:t>
            </w:r>
            <w:r>
              <w:rPr>
                <w:rFonts w:hint="eastAsia"/>
                <w:color w:val="000000" w:themeColor="text1"/>
                <w:sz w:val="24"/>
                <w:highlight w:val="none"/>
                <w:lang w:eastAsia="zh-CN"/>
                <w14:textFill>
                  <w14:solidFill>
                    <w14:schemeClr w14:val="tx1"/>
                  </w14:solidFill>
                </w14:textFill>
              </w:rPr>
              <w:t>泄漏</w:t>
            </w:r>
            <w:r>
              <w:rPr>
                <w:rFonts w:hint="eastAsia"/>
                <w:color w:val="000000" w:themeColor="text1"/>
                <w:sz w:val="24"/>
                <w:highlight w:val="none"/>
                <w14:textFill>
                  <w14:solidFill>
                    <w14:schemeClr w14:val="tx1"/>
                  </w14:solidFill>
                </w14:textFill>
              </w:rPr>
              <w:t>的可能性较小。</w:t>
            </w:r>
          </w:p>
          <w:p w14:paraId="547C5FA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B</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地表水、土壤及地下水</w:t>
            </w:r>
          </w:p>
          <w:p w14:paraId="6B112D8A">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废润滑油泄漏后，若未能及时收集，可能沿地面漫流，通过裸露地表下渗，对土壤及地下水环境造成污染。本项目危险废物贮存点地面采取防渗措施，并设置围堰或托盘，可将泄漏物控制在贮存点范围内，切断其与外界水环境的联系，对地表水体产生影响的可能性较小。</w:t>
            </w:r>
          </w:p>
          <w:p w14:paraId="38562EB7">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柴油临时存放点若发生大量泄漏，柴油可能随地势漫流，对存放点局部土壤造成污染。本项目油桶底部设置防渗托盘，并采取防雨、防晒措施，油桶分类规范摆放，少量滴落时及时采用吸油毡吸附清理。存放区周边设置简易围堰，防止泄漏物在未被及时发现时随雨水漫流，可有效防止泄漏柴油下渗及漫流污染土壤和地下水。</w:t>
            </w:r>
          </w:p>
          <w:p w14:paraId="2E8D9AC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此外，柴油及废润滑油火灾事故产生的消防废水若未及时收集，可能携带油类污染物漫流至周边地表，对区域土壤和地下水造成污染。因此，建议在柴油临时存放点和危险废物贮存点设置应急物资（吸油毡、干粉灭火器等），泄漏事故发生时及时围堵、收集，避免污染物外溢。</w:t>
            </w:r>
          </w:p>
          <w:p w14:paraId="1B9FBA8D">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危险废物贮存点及柴油临时存放点由专人负责日常管理，加强巡检维护，油桶破损或泄漏可及时发现并处置。在严格落实上述防控措施的前提下，危险物质发生泄漏并对周边环境造成显著影响的概率较低，环境风险可防可控。</w:t>
            </w:r>
          </w:p>
          <w:p w14:paraId="148B7C6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（2）火灾爆炸对环境危害性分析</w:t>
            </w:r>
          </w:p>
          <w:p w14:paraId="4C0A93A5">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危险废物贮存点若要发生火灾及爆炸，必须具备下列条件：</w:t>
            </w:r>
          </w:p>
          <w:p w14:paraId="6445F83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a.</w:t>
            </w:r>
            <w:r>
              <w:rPr>
                <w:rFonts w:hint="eastAsia"/>
                <w:color w:val="000000" w:themeColor="text1"/>
                <w:sz w:val="24"/>
                <w:highlight w:val="none"/>
                <w14:textFill>
                  <w14:solidFill>
                    <w14:schemeClr w14:val="tx1"/>
                  </w14:solidFill>
                </w14:textFill>
              </w:rPr>
              <w:t>油类泄漏或油气蒸发；</w:t>
            </w:r>
          </w:p>
          <w:p w14:paraId="0BE11582">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b.</w:t>
            </w:r>
            <w:r>
              <w:rPr>
                <w:rFonts w:hint="eastAsia"/>
                <w:color w:val="000000" w:themeColor="text1"/>
                <w:sz w:val="24"/>
                <w:highlight w:val="none"/>
                <w14:textFill>
                  <w14:solidFill>
                    <w14:schemeClr w14:val="tx1"/>
                  </w14:solidFill>
                </w14:textFill>
              </w:rPr>
              <w:t>有足够的空气助燃；</w:t>
            </w:r>
          </w:p>
          <w:p w14:paraId="4BBD6315">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c.</w:t>
            </w:r>
            <w:r>
              <w:rPr>
                <w:rFonts w:hint="eastAsia"/>
                <w:color w:val="000000" w:themeColor="text1"/>
                <w:sz w:val="24"/>
                <w:highlight w:val="none"/>
                <w14:textFill>
                  <w14:solidFill>
                    <w14:schemeClr w14:val="tx1"/>
                  </w14:solidFill>
                </w14:textFill>
              </w:rPr>
              <w:t>油气必须与空气混合，并达到一定的浓度；</w:t>
            </w:r>
          </w:p>
          <w:p w14:paraId="3F5CB714">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d.</w:t>
            </w:r>
            <w:r>
              <w:rPr>
                <w:rFonts w:hint="eastAsia"/>
                <w:color w:val="000000" w:themeColor="text1"/>
                <w:sz w:val="24"/>
                <w:highlight w:val="none"/>
                <w14:textFill>
                  <w14:solidFill>
                    <w14:schemeClr w14:val="tx1"/>
                  </w14:solidFill>
                </w14:textFill>
              </w:rPr>
              <w:t>现场有明火。</w:t>
            </w:r>
          </w:p>
          <w:p w14:paraId="4CD2FBAD">
            <w:pPr>
              <w:spacing w:line="360" w:lineRule="auto"/>
              <w:ind w:firstLine="480" w:firstLineChars="200"/>
              <w:rPr>
                <w:rFonts w:hint="default"/>
                <w:color w:val="000000" w:themeColor="text1"/>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只有以上四个条件同时具备时，才可能发生火灾和爆炸。会造成人员伤亡和财产损失，并且还会造成生态环境的破坏。</w:t>
            </w:r>
          </w:p>
        </w:tc>
      </w:tr>
      <w:tr w14:paraId="33141EF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97" w:type="dxa"/>
            <w:shd w:val="clear" w:color="auto" w:fill="auto"/>
            <w:noWrap w:val="0"/>
            <w:tcMar>
              <w:left w:w="28" w:type="dxa"/>
              <w:right w:w="28" w:type="dxa"/>
            </w:tcMar>
            <w:vAlign w:val="center"/>
          </w:tcPr>
          <w:p w14:paraId="45DB0637">
            <w:pPr>
              <w:pStyle w:val="81"/>
              <w:ind w:left="0" w:leftChars="0" w:firstLine="0" w:firstLineChars="0"/>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sz w:val="24"/>
                <w:szCs w:val="24"/>
                <w:highlight w:val="none"/>
                <w14:textFill>
                  <w14:solidFill>
                    <w14:schemeClr w14:val="tx1"/>
                  </w14:solidFill>
                </w14:textFill>
              </w:rPr>
              <w:t>运营期生态环境影响分析</w:t>
            </w:r>
          </w:p>
        </w:tc>
        <w:tc>
          <w:tcPr>
            <w:tcW w:w="7699" w:type="dxa"/>
            <w:shd w:val="clear" w:color="auto" w:fill="auto"/>
            <w:noWrap w:val="0"/>
            <w:vAlign w:val="center"/>
          </w:tcPr>
          <w:p w14:paraId="3D85A4C6">
            <w:pPr>
              <w:pStyle w:val="53"/>
              <w:widowControl w:val="0"/>
              <w:bidi w:val="0"/>
              <w:adjustRightInd w:val="0"/>
              <w:snapToGrid w:val="0"/>
              <w:ind w:firstLineChars="200"/>
              <w:jc w:val="both"/>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项目为矿产地质调查，施工期结束后即拆除所有临时设施，对临时占地进行场地平整和植被恢复。随着施工迹地的生态恢复，区域植被盖度和生物量逐步回升，施工活动对生态环境的扰动影响随之终止。本项目不涉及运营期，不存在持续性污染源或永久性构筑物对周边环境的长期影响。</w:t>
            </w:r>
          </w:p>
        </w:tc>
      </w:tr>
      <w:tr w14:paraId="7F65532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97" w:type="dxa"/>
            <w:shd w:val="clear" w:color="auto" w:fill="auto"/>
            <w:noWrap w:val="0"/>
            <w:tcMar>
              <w:left w:w="28" w:type="dxa"/>
              <w:right w:w="28" w:type="dxa"/>
            </w:tcMar>
            <w:vAlign w:val="center"/>
          </w:tcPr>
          <w:p w14:paraId="1D163555">
            <w:pPr>
              <w:pStyle w:val="25"/>
              <w:adjustRightInd w:val="0"/>
              <w:snapToGrid w:val="0"/>
              <w:spacing w:before="0" w:beforeAutospacing="0" w:after="0" w:afterAutospacing="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4"/>
                <w:szCs w:val="24"/>
                <w:highlight w:val="none"/>
                <w14:textFill>
                  <w14:solidFill>
                    <w14:schemeClr w14:val="tx1"/>
                  </w14:solidFill>
                </w14:textFill>
              </w:rPr>
              <w:t>选址选线环境合理性分析</w:t>
            </w:r>
          </w:p>
        </w:tc>
        <w:tc>
          <w:tcPr>
            <w:tcW w:w="7699" w:type="dxa"/>
            <w:shd w:val="clear" w:color="auto" w:fill="auto"/>
            <w:noWrap w:val="0"/>
            <w:vAlign w:val="top"/>
          </w:tcPr>
          <w:p w14:paraId="5964EC8A">
            <w:pPr>
              <w:pStyle w:val="53"/>
              <w:widowControl w:val="0"/>
              <w:bidi w:val="0"/>
              <w:adjustRightInd w:val="0"/>
              <w:snapToGrid w:val="0"/>
              <w:ind w:firstLineChars="200"/>
              <w:jc w:val="both"/>
              <w:rPr>
                <w:b/>
                <w:bCs/>
                <w:color w:val="000000" w:themeColor="text1"/>
                <w:highlight w:val="none"/>
                <w:shd w:val="clear" w:color="auto" w:fill="FFFFFF"/>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4.8</w:t>
            </w:r>
            <w:r>
              <w:rPr>
                <w:rFonts w:hint="eastAsia"/>
                <w:b/>
                <w:bCs/>
                <w:color w:val="000000" w:themeColor="text1"/>
                <w:highlight w:val="none"/>
                <w:shd w:val="clear" w:color="auto" w:fill="FFFFFF"/>
                <w14:textFill>
                  <w14:solidFill>
                    <w14:schemeClr w14:val="tx1"/>
                  </w14:solidFill>
                </w14:textFill>
              </w:rPr>
              <w:t>用地合理性</w:t>
            </w:r>
          </w:p>
          <w:p w14:paraId="7B367CCA">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本项目为矿产地质调查，勘查区面积</w:t>
            </w:r>
            <w:r>
              <w:rPr>
                <w:rFonts w:hint="eastAsia"/>
                <w:color w:val="000000" w:themeColor="text1"/>
                <w:highlight w:val="none"/>
                <w:lang w:val="en-US" w:eastAsia="zh-CN"/>
                <w14:textFill>
                  <w14:solidFill>
                    <w14:schemeClr w14:val="tx1"/>
                  </w14:solidFill>
                </w14:textFill>
              </w:rPr>
              <w:t>11.47</w:t>
            </w:r>
            <w:r>
              <w:rPr>
                <w:rFonts w:hint="eastAsia"/>
                <w:color w:val="000000" w:themeColor="text1"/>
                <w:highlight w:val="none"/>
                <w14:textFill>
                  <w14:solidFill>
                    <w14:schemeClr w14:val="tx1"/>
                  </w14:solidFill>
                </w14:textFill>
              </w:rPr>
              <w:t>km²，呈</w:t>
            </w:r>
            <w:r>
              <w:rPr>
                <w:rFonts w:hint="eastAsia"/>
                <w:color w:val="000000" w:themeColor="text1"/>
                <w:highlight w:val="none"/>
                <w:lang w:val="en-US" w:eastAsia="zh-CN"/>
                <w14:textFill>
                  <w14:solidFill>
                    <w14:schemeClr w14:val="tx1"/>
                  </w14:solidFill>
                </w14:textFill>
              </w:rPr>
              <w:t>长方</w:t>
            </w:r>
            <w:r>
              <w:rPr>
                <w:rFonts w:hint="eastAsia"/>
                <w:color w:val="000000" w:themeColor="text1"/>
                <w:highlight w:val="none"/>
                <w14:textFill>
                  <w14:solidFill>
                    <w14:schemeClr w14:val="tx1"/>
                  </w14:solidFill>
                </w14:textFill>
              </w:rPr>
              <w:t>形展布，勘查工作部署严格遵循任务书划定范围，不涉及线路选线问题。项目区不涉及饮用水水源保护区、自然保护区、风景名胜区、地质公园、森林公园及人文古迹等环境敏感点，临时用地不占用生态保护红线，不占用基本农田及耕地。项目实施过程中通过优化施工布局、控制扰动范围，可将对天然牧草地的影响降至最低，从环境保护角度分析，项目选址合理可行。</w:t>
            </w:r>
          </w:p>
          <w:p w14:paraId="39B7D88A">
            <w:pPr>
              <w:pStyle w:val="53"/>
              <w:widowControl w:val="0"/>
              <w:bidi w:val="0"/>
              <w:adjustRightInd w:val="0"/>
              <w:snapToGrid w:val="0"/>
              <w:ind w:firstLineChars="200"/>
              <w:jc w:val="both"/>
              <w:rPr>
                <w:rFonts w:hint="eastAsia"/>
                <w:b/>
                <w:bCs/>
                <w:color w:val="000000" w:themeColor="text1"/>
                <w:highlight w:val="none"/>
                <w:shd w:val="clear" w:color="auto" w:fill="FFFFFF"/>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4.9</w:t>
            </w:r>
            <w:r>
              <w:rPr>
                <w:rFonts w:hint="eastAsia"/>
                <w:b/>
                <w:bCs/>
                <w:color w:val="000000" w:themeColor="text1"/>
                <w:highlight w:val="none"/>
                <w:shd w:val="clear" w:color="auto" w:fill="FFFFFF"/>
                <w14:textFill>
                  <w14:solidFill>
                    <w14:schemeClr w14:val="tx1"/>
                  </w14:solidFill>
                </w14:textFill>
              </w:rPr>
              <w:t>临时道路选址合理性分析</w:t>
            </w:r>
          </w:p>
          <w:p w14:paraId="5CFAFCD3">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本项目临时工程主要包括道路工程、槽探工程施工及钻探工程。</w:t>
            </w:r>
          </w:p>
          <w:p w14:paraId="23C20A90">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道路工程用地长度</w:t>
            </w:r>
            <w:r>
              <w:rPr>
                <w:rFonts w:hint="eastAsia"/>
                <w:color w:val="000000" w:themeColor="text1"/>
                <w:highlight w:val="none"/>
                <w:lang w:val="en-US" w:eastAsia="zh-CN"/>
                <w14:textFill>
                  <w14:solidFill>
                    <w14:schemeClr w14:val="tx1"/>
                  </w14:solidFill>
                </w14:textFill>
              </w:rPr>
              <w:t>3550</w:t>
            </w:r>
            <w:r>
              <w:rPr>
                <w:rFonts w:hint="eastAsia"/>
                <w:color w:val="000000" w:themeColor="text1"/>
                <w:highlight w:val="none"/>
                <w14:textFill>
                  <w14:solidFill>
                    <w14:schemeClr w14:val="tx1"/>
                  </w14:solidFill>
                </w14:textFill>
              </w:rPr>
              <w:t>m，均宽</w:t>
            </w:r>
            <w:r>
              <w:rPr>
                <w:rFonts w:hint="eastAsia"/>
                <w:color w:val="000000" w:themeColor="text1"/>
                <w:highlight w:val="none"/>
                <w:lang w:val="en-US" w:eastAsia="zh-CN"/>
                <w14:textFill>
                  <w14:solidFill>
                    <w14:schemeClr w14:val="tx1"/>
                  </w14:solidFill>
                </w14:textFill>
              </w:rPr>
              <w:t>3.5</w:t>
            </w:r>
            <w:r>
              <w:rPr>
                <w:rFonts w:hint="eastAsia"/>
                <w:color w:val="000000" w:themeColor="text1"/>
                <w:highlight w:val="none"/>
                <w14:textFill>
                  <w14:solidFill>
                    <w14:schemeClr w14:val="tx1"/>
                  </w14:solidFill>
                </w14:textFill>
              </w:rPr>
              <w:t>m，沿地形线布设，主要连接各施工点位与现有道路，减少对地表植被的切割和碾压。道路占地类型为天然牧草地，不占用基本农田和耕地，施工期间严格控制作业宽度，防止机械随意碾压破坏周边植被。</w:t>
            </w:r>
          </w:p>
          <w:p w14:paraId="70A9F6C0">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槽探工程及钻探工程用地较为分散，单点扰动面积小，选址均避开了生态保护红线、河道水域。工程施工点位均不涉及饮用水源保护区、自然保护区等敏感目标，场地条件便于施工结束后进行场地平整和植被恢复。因此，临时工程平面布置合理。</w:t>
            </w:r>
          </w:p>
          <w:p w14:paraId="5AC49AF2">
            <w:pPr>
              <w:pStyle w:val="53"/>
              <w:widowControl w:val="0"/>
              <w:bidi w:val="0"/>
              <w:adjustRightInd w:val="0"/>
              <w:snapToGrid w:val="0"/>
              <w:ind w:firstLineChars="200"/>
              <w:jc w:val="both"/>
              <w:rPr>
                <w:rFonts w:hint="eastAsia"/>
                <w:b/>
                <w:bCs/>
                <w:color w:val="000000" w:themeColor="text1"/>
                <w:highlight w:val="none"/>
                <w:shd w:val="clear" w:color="auto" w:fill="FFFFFF"/>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4.10</w:t>
            </w:r>
            <w:r>
              <w:rPr>
                <w:rFonts w:hint="eastAsia"/>
                <w:b/>
                <w:bCs/>
                <w:color w:val="000000" w:themeColor="text1"/>
                <w:highlight w:val="none"/>
                <w:shd w:val="clear" w:color="auto" w:fill="FFFFFF"/>
                <w14:textFill>
                  <w14:solidFill>
                    <w14:schemeClr w14:val="tx1"/>
                  </w14:solidFill>
                </w14:textFill>
              </w:rPr>
              <w:t>与周边环境相容性分析</w:t>
            </w:r>
          </w:p>
          <w:p w14:paraId="4379227C">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根据现场踏勘，项目区植被覆盖度较高，地类以天然牧草地为主。评价范围内不涉及自然保护区、风景名胜区、饮用水水源保护区等区域，亦无集中居民点等敏感目标，外环境制约因素较少。</w:t>
            </w:r>
          </w:p>
          <w:p w14:paraId="192CD075">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建设内容与周边环境功能无明显冲突。施工期间产生的各类污染物，在全面落实本报告提出的污染防治措施与生态保护要求后，均可得到有效控制，实现达标排放或妥善处置。通过优化工程布局、严格控制施工范围、加强施工期环境管理，能够有效减缓对周边环境的短期不利影响。</w:t>
            </w:r>
          </w:p>
          <w:p w14:paraId="6745D113">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项目区范围内未发现国家级或自治区级重点保护野生动植物。</w:t>
            </w:r>
          </w:p>
          <w:p w14:paraId="3BD9C454">
            <w:pPr>
              <w:pStyle w:val="53"/>
              <w:bidi w:val="0"/>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综上所述，在切实落实各项环保措施的前提下，从环境保护角度分析，本项目选址与周边环境基本相容，建设方案具备环境可行性。</w:t>
            </w:r>
          </w:p>
        </w:tc>
      </w:tr>
    </w:tbl>
    <w:p w14:paraId="4A1DF945">
      <w:pPr>
        <w:pStyle w:val="25"/>
        <w:jc w:val="center"/>
        <w:rPr>
          <w:rFonts w:hint="default" w:ascii="Times New Roman" w:hAnsi="Times New Roman" w:eastAsia="黑体" w:cs="Times New Roman"/>
          <w:snapToGrid w:val="0"/>
          <w:color w:val="000000" w:themeColor="text1"/>
          <w:sz w:val="36"/>
          <w:szCs w:val="36"/>
          <w:highlight w:val="none"/>
          <w14:textFill>
            <w14:solidFill>
              <w14:schemeClr w14:val="tx1"/>
            </w14:solidFill>
          </w14:textFill>
        </w:rPr>
        <w:sectPr>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pPr>
    </w:p>
    <w:p w14:paraId="5DAF3F9B">
      <w:pPr>
        <w:pStyle w:val="25"/>
        <w:adjustRightInd w:val="0"/>
        <w:snapToGrid w:val="0"/>
        <w:spacing w:before="0" w:beforeAutospacing="0" w:after="0" w:afterAutospacing="0" w:line="14" w:lineRule="auto"/>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p>
    <w:p w14:paraId="70129C21">
      <w:pPr>
        <w:keepNext/>
        <w:keepLines/>
        <w:widowControl w:val="0"/>
        <w:spacing w:line="240" w:lineRule="auto"/>
        <w:ind w:firstLine="562" w:firstLineChars="200"/>
        <w:jc w:val="center"/>
        <w:outlineLvl w:val="0"/>
        <w:rPr>
          <w:rFonts w:ascii="Times New Roman" w:hAnsi="Times New Roman" w:eastAsia="宋体" w:cs="Times New Roman"/>
          <w:b/>
          <w:color w:val="000000" w:themeColor="text1"/>
          <w:kern w:val="44"/>
          <w:sz w:val="28"/>
          <w:szCs w:val="24"/>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44"/>
          <w:sz w:val="28"/>
          <w:szCs w:val="24"/>
          <w:highlight w:val="none"/>
          <w:lang w:val="en-US" w:eastAsia="zh-CN" w:bidi="ar-SA"/>
          <w14:textFill>
            <w14:solidFill>
              <w14:schemeClr w14:val="tx1"/>
            </w14:solidFill>
          </w14:textFill>
        </w:rPr>
        <w:t>五、主要生态环境保护措施</w:t>
      </w:r>
    </w:p>
    <w:tbl>
      <w:tblPr>
        <w:tblStyle w:val="28"/>
        <w:tblpPr w:leftFromText="180" w:rightFromText="180" w:vertAnchor="text" w:tblpXSpec="center" w:tblpY="1"/>
        <w:tblOverlap w:val="never"/>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35"/>
        <w:gridCol w:w="8005"/>
      </w:tblGrid>
      <w:tr w14:paraId="25420A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60" w:hRule="atLeast"/>
          <w:jc w:val="center"/>
        </w:trPr>
        <w:tc>
          <w:tcPr>
            <w:tcW w:w="258" w:type="pct"/>
            <w:tcBorders>
              <w:tl2br w:val="nil"/>
              <w:tr2bl w:val="nil"/>
            </w:tcBorders>
            <w:tcMar>
              <w:left w:w="28" w:type="dxa"/>
              <w:right w:w="28" w:type="dxa"/>
            </w:tcMar>
            <w:vAlign w:val="center"/>
          </w:tcPr>
          <w:p w14:paraId="2DD191EF">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施工期生态环境保护措施</w:t>
            </w:r>
          </w:p>
        </w:tc>
        <w:tc>
          <w:tcPr>
            <w:tcW w:w="4741" w:type="pct"/>
            <w:tcBorders>
              <w:tl2br w:val="nil"/>
              <w:tr2bl w:val="nil"/>
            </w:tcBorders>
            <w:vAlign w:val="center"/>
          </w:tcPr>
          <w:p w14:paraId="545E5C49">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5.1大气环境保护措施</w:t>
            </w:r>
          </w:p>
          <w:p w14:paraId="0334F0FE">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5.1.1施工扬尘</w:t>
            </w:r>
          </w:p>
          <w:p w14:paraId="08C8B5C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本项目施工期大气污染源主要包括地表开挖扬尘、物料运输扬尘、临时堆场扬尘。针对上述污染源，拟采取以下环境保护措施：</w:t>
            </w:r>
          </w:p>
          <w:p w14:paraId="145632A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①施工现场配备洒水设备，对运输路面和物料堆场适时洒水，保证一定的湿度，抑制起尘量；</w:t>
            </w:r>
          </w:p>
          <w:p w14:paraId="53915152">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②槽探、钻探开挖产生的土石方要及时回填，减少堆积量；</w:t>
            </w:r>
          </w:p>
          <w:p w14:paraId="0615C923">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③运输易产生扬尘的物料车辆应密闭运输，篷布遮盖，避免洒落，严禁在运输过程中出现抛洒现象，严格限制运输车辆行驶速度，施工场地内行车速度不宜超过15km/h；</w:t>
            </w:r>
          </w:p>
          <w:p w14:paraId="5CA9271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④严禁在大风天气进行土石方作业，物料堆场以篷布覆盖，遇大风天气停止易起尘作业；</w:t>
            </w:r>
          </w:p>
          <w:p w14:paraId="30849212">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⑤采用尾气排放符合国家规定标准的车辆和施工机械，确保其在运行时尾气达标排放。</w:t>
            </w:r>
          </w:p>
          <w:p w14:paraId="1A047507">
            <w:pPr>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⑥</w:t>
            </w:r>
            <w:r>
              <w:rPr>
                <w:rFonts w:hint="eastAsia"/>
                <w:color w:val="000000" w:themeColor="text1"/>
                <w:sz w:val="24"/>
                <w:highlight w:val="none"/>
                <w14:textFill>
                  <w14:solidFill>
                    <w14:schemeClr w14:val="tx1"/>
                  </w14:solidFill>
                </w14:textFill>
              </w:rPr>
              <w:t>勘查区内运输道路定期清扫洒水</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施工人员配备口罩、防尘面罩等个体防护用品；尽量缩短施工周期</w:t>
            </w:r>
            <w:r>
              <w:rPr>
                <w:rFonts w:hint="eastAsia"/>
                <w:color w:val="000000" w:themeColor="text1"/>
                <w:sz w:val="24"/>
                <w:highlight w:val="none"/>
                <w:lang w:eastAsia="zh-CN"/>
                <w14:textFill>
                  <w14:solidFill>
                    <w14:schemeClr w14:val="tx1"/>
                  </w14:solidFill>
                </w14:textFill>
              </w:rPr>
              <w:t>。</w:t>
            </w:r>
          </w:p>
          <w:p w14:paraId="76E041F7">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通过采取以上措施，施工扬尘基本可以得到控制，有效降低了施工扬尘对周围环境空气的影响。同时，本项目单点施工周期短，扬尘影响随施工结束而消失，对环境空气影响较小。</w:t>
            </w:r>
          </w:p>
          <w:p w14:paraId="4C3AE191">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5.1.2燃油废气</w:t>
            </w:r>
          </w:p>
          <w:p w14:paraId="39A40D3C">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施工期燃油废气主要来自柴油发电机运行。柴油发电机定期维护保养，提高其燃烧效率，可有效减少尾气排放量。项目区地处开阔山区，有利于大气污染物稀释扩散，且燃油废气排放总量较小，属无组织排放，在采取上述措施后，对周边大气环境影响有限。</w:t>
            </w:r>
          </w:p>
          <w:p w14:paraId="6E0ECA4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综上所述，通过加强施工期间扬尘治理、对柴油发电机定期维护保养，施工作业对周边大气环境的影响范围有限，且施工大气污染是短期的、局部的，施工结束后即会消失，故项目施工期间对大气环境的影响较小。通过采取上述措施即可减小施工期对区域大气环境的影响，且防治措施经济可行。</w:t>
            </w:r>
          </w:p>
          <w:p w14:paraId="6947D7A2">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5.2水环境保护措施</w:t>
            </w:r>
          </w:p>
          <w:p w14:paraId="2ED45FE4">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施工废水主要来自钻探废水和生活废水，钻探废水主要污染物为SS，经过钻孔附近的沉淀池收集沉淀后回用于钻探，不外排。生活污水来源于施工人员及工地管理人员，其污染物较为简单，主要为SS、NH</w:t>
            </w:r>
            <w:r>
              <w:rPr>
                <w:rFonts w:hint="eastAsia"/>
                <w:color w:val="000000" w:themeColor="text1"/>
                <w:sz w:val="24"/>
                <w:highlight w:val="none"/>
                <w:vertAlign w:val="subscript"/>
                <w14:textFill>
                  <w14:solidFill>
                    <w14:schemeClr w14:val="tx1"/>
                  </w14:solidFill>
                </w14:textFill>
              </w:rPr>
              <w:t>3</w:t>
            </w:r>
            <w:r>
              <w:rPr>
                <w:rFonts w:hint="eastAsia"/>
                <w:color w:val="000000" w:themeColor="text1"/>
                <w:sz w:val="24"/>
                <w:highlight w:val="none"/>
                <w14:textFill>
                  <w14:solidFill>
                    <w14:schemeClr w14:val="tx1"/>
                  </w14:solidFill>
                </w14:textFill>
              </w:rPr>
              <w:t>-N、COD、BOD</w:t>
            </w:r>
            <w:r>
              <w:rPr>
                <w:rFonts w:hint="eastAsia"/>
                <w:color w:val="000000" w:themeColor="text1"/>
                <w:sz w:val="24"/>
                <w:highlight w:val="none"/>
                <w:vertAlign w:val="subscript"/>
                <w14:textFill>
                  <w14:solidFill>
                    <w14:schemeClr w14:val="tx1"/>
                  </w14:solidFill>
                </w14:textFill>
              </w:rPr>
              <w:t>5</w:t>
            </w:r>
            <w:r>
              <w:rPr>
                <w:rFonts w:hint="eastAsia"/>
                <w:color w:val="000000" w:themeColor="text1"/>
                <w:sz w:val="24"/>
                <w:highlight w:val="none"/>
                <w14:textFill>
                  <w14:solidFill>
                    <w14:schemeClr w14:val="tx1"/>
                  </w14:solidFill>
                </w14:textFill>
              </w:rPr>
              <w:t>等。</w:t>
            </w:r>
          </w:p>
          <w:p w14:paraId="1F2C9337">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生活污水排入一体化污水处理设备处理达标后，其出水标准可达到《农村生活污水处理排放标准》（DB65</w:t>
            </w:r>
            <w:r>
              <w:rPr>
                <w:color w:val="000000" w:themeColor="text1"/>
                <w:sz w:val="24"/>
                <w:highlight w:val="non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4275-2019）表2中</w:t>
            </w:r>
            <w:r>
              <w:rPr>
                <w:rFonts w:hint="eastAsia"/>
                <w:color w:val="000000" w:themeColor="text1"/>
                <w:sz w:val="24"/>
                <w:highlight w:val="none"/>
                <w:lang w:val="en-US" w:eastAsia="zh-CN"/>
                <w14:textFill>
                  <w14:solidFill>
                    <w14:schemeClr w14:val="tx1"/>
                  </w14:solidFill>
                </w14:textFill>
              </w:rPr>
              <w:t>A</w:t>
            </w:r>
            <w:r>
              <w:rPr>
                <w:rFonts w:hint="eastAsia"/>
                <w:color w:val="000000" w:themeColor="text1"/>
                <w:sz w:val="24"/>
                <w:highlight w:val="none"/>
                <w14:textFill>
                  <w14:solidFill>
                    <w14:schemeClr w14:val="tx1"/>
                  </w14:solidFill>
                </w14:textFill>
              </w:rPr>
              <w:t>级标准，用于</w:t>
            </w:r>
            <w:r>
              <w:rPr>
                <w:rFonts w:hint="eastAsia"/>
                <w:color w:val="000000" w:themeColor="text1"/>
                <w:sz w:val="24"/>
                <w:highlight w:val="none"/>
                <w:lang w:eastAsia="zh-CN"/>
                <w14:textFill>
                  <w14:solidFill>
                    <w14:schemeClr w14:val="tx1"/>
                  </w14:solidFill>
                </w14:textFill>
              </w:rPr>
              <w:t>草地生态恢复回用</w:t>
            </w:r>
            <w:r>
              <w:rPr>
                <w:rFonts w:hint="eastAsia"/>
                <w:color w:val="000000" w:themeColor="text1"/>
                <w:sz w:val="24"/>
                <w:highlight w:val="none"/>
                <w14:textFill>
                  <w14:solidFill>
                    <w14:schemeClr w14:val="tx1"/>
                  </w14:solidFill>
                </w14:textFill>
              </w:rPr>
              <w:t>，不外排，对环境影响不大。</w:t>
            </w:r>
          </w:p>
          <w:p w14:paraId="55799DB6">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5.3声环境保护措施</w:t>
            </w:r>
          </w:p>
          <w:p w14:paraId="3B00BA90">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本项目施工期噪声的来源包括钻机、柴油发电机运输车辆等产生的噪声，项目周边50m范围内无环境敏感目标，对环境影响较小。控制措施如下：</w:t>
            </w:r>
          </w:p>
          <w:p w14:paraId="0C57D6E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①从声源上控制：使用低噪声机械设备，严格按操作规范使用各类机械。</w:t>
            </w:r>
          </w:p>
          <w:p w14:paraId="307F0A1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②合理安排施工时间：首先制订施工计划时，应尽可能避免大量高噪声设备同时施工。</w:t>
            </w:r>
          </w:p>
          <w:p w14:paraId="0F8401A5">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③合理布置施工现场：施工现场应合理布局，将施工中的固定噪声源相对集中摆放，闲置不用的设备立即关闭，降低施工噪声对周边声环境的影响。</w:t>
            </w:r>
          </w:p>
          <w:p w14:paraId="3FFF365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④车辆出入施工现场时应低速、禁鸣。</w:t>
            </w:r>
          </w:p>
          <w:p w14:paraId="2ADFB74A">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5.4固体废物处置措施分析</w:t>
            </w:r>
          </w:p>
          <w:p w14:paraId="026495B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本项目固体废物</w:t>
            </w:r>
            <w:r>
              <w:rPr>
                <w:rFonts w:hint="eastAsia"/>
                <w:color w:val="000000" w:themeColor="text1"/>
                <w:sz w:val="24"/>
                <w:highlight w:val="none"/>
                <w14:textFill>
                  <w14:solidFill>
                    <w14:schemeClr w14:val="tx1"/>
                  </w14:solidFill>
                </w14:textFill>
              </w:rPr>
              <w:t>分为一般固体废物和危险废物。一般固体废物</w:t>
            </w:r>
            <w:r>
              <w:rPr>
                <w:color w:val="000000" w:themeColor="text1"/>
                <w:sz w:val="24"/>
                <w:highlight w:val="none"/>
                <w14:textFill>
                  <w14:solidFill>
                    <w14:schemeClr w14:val="tx1"/>
                  </w14:solidFill>
                </w14:textFill>
              </w:rPr>
              <w:t>主要为</w:t>
            </w:r>
            <w:r>
              <w:rPr>
                <w:rFonts w:hint="eastAsia"/>
                <w:color w:val="000000" w:themeColor="text1"/>
                <w:sz w:val="24"/>
                <w:highlight w:val="none"/>
                <w14:textFill>
                  <w14:solidFill>
                    <w14:schemeClr w14:val="tx1"/>
                  </w14:solidFill>
                </w14:textFill>
              </w:rPr>
              <w:t>钻探</w:t>
            </w:r>
            <w:r>
              <w:rPr>
                <w:color w:val="000000" w:themeColor="text1"/>
                <w:sz w:val="24"/>
                <w:highlight w:val="none"/>
                <w14:textFill>
                  <w14:solidFill>
                    <w14:schemeClr w14:val="tx1"/>
                  </w14:solidFill>
                </w14:textFill>
              </w:rPr>
              <w:t>产生的临时土石方</w:t>
            </w:r>
            <w:r>
              <w:rPr>
                <w:rFonts w:hint="eastAsia"/>
                <w:color w:val="000000" w:themeColor="text1"/>
                <w:sz w:val="24"/>
                <w:highlight w:val="none"/>
                <w14:textFill>
                  <w14:solidFill>
                    <w14:schemeClr w14:val="tx1"/>
                  </w14:solidFill>
                </w14:textFill>
              </w:rPr>
              <w:t>、钻探泥浆、钻孔岩屑、沉淀池沉渣及施工人员产生的生活垃圾。危险废物包括废润滑油。</w:t>
            </w:r>
          </w:p>
          <w:p w14:paraId="7B09DC5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开挖临时堆土</w:t>
            </w:r>
          </w:p>
          <w:p w14:paraId="0EEE083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主要为槽探开挖产生的土石方，属于一般固废。</w:t>
            </w:r>
            <w:r>
              <w:rPr>
                <w:color w:val="000000" w:themeColor="text1"/>
                <w:sz w:val="24"/>
                <w:highlight w:val="none"/>
                <w14:textFill>
                  <w14:solidFill>
                    <w14:schemeClr w14:val="tx1"/>
                  </w14:solidFill>
                </w14:textFill>
              </w:rPr>
              <w:t>对临时堆土坡脚进行防护、表面夯实处理</w:t>
            </w:r>
            <w:r>
              <w:rPr>
                <w:rFonts w:hint="eastAsia"/>
                <w:color w:val="000000" w:themeColor="text1"/>
                <w:sz w:val="24"/>
                <w:highlight w:val="none"/>
                <w14:textFill>
                  <w14:solidFill>
                    <w14:schemeClr w14:val="tx1"/>
                  </w14:solidFill>
                </w14:textFill>
              </w:rPr>
              <w:t>并设置相应的挡渣墙。勘探期内严禁将开挖土石方堆放在山间冲沟内，阻塞冲沟，确保冲沟的通畅性。开挖的土石方在勘探期结束后全部回填至开挖迹地，开挖临时堆土的环境影响较小。</w:t>
            </w:r>
          </w:p>
          <w:p w14:paraId="0558EFDC">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（2）钻井泥浆、岩屑、沉淀池沉渣</w:t>
            </w:r>
          </w:p>
          <w:p w14:paraId="339857D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使用的泥浆为水基钻井泥浆，以膨润土、辅料粘土作为基础配浆材料形成的多种成分和相态共存的悬浮液。本项目采用的泥浆材料及处理剂具备无毒无害、可自然降解性能，不含易燃、易爆、有毒物质，循环使用，固化后就地填埋。钻井设备清洗废水沉淀池沉渣在勘探结束后固化就地填埋。岩屑用于回填。废弃泥浆、沉渣及岩屑的处置满足《一般工业固体废物贮存和填埋污染控制标准》（GB18599-2020）的要求。</w:t>
            </w:r>
          </w:p>
          <w:p w14:paraId="56A04ECF">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（3）生活垃圾</w:t>
            </w:r>
          </w:p>
          <w:p w14:paraId="38C075DD">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本项目施工人员生活垃圾产生量约为</w:t>
            </w:r>
            <w:r>
              <w:rPr>
                <w:rFonts w:hint="eastAsia"/>
                <w:color w:val="000000" w:themeColor="text1"/>
                <w:sz w:val="24"/>
                <w:highlight w:val="none"/>
                <w:lang w:val="en-US" w:eastAsia="zh-CN"/>
                <w14:textFill>
                  <w14:solidFill>
                    <w14:schemeClr w14:val="tx1"/>
                  </w14:solidFill>
                </w14:textFill>
              </w:rPr>
              <w:t>2.45</w:t>
            </w:r>
            <w:r>
              <w:rPr>
                <w:rFonts w:hint="eastAsia"/>
                <w:color w:val="000000" w:themeColor="text1"/>
                <w:sz w:val="24"/>
                <w:highlight w:val="none"/>
                <w14:textFill>
                  <w14:solidFill>
                    <w14:schemeClr w14:val="tx1"/>
                  </w14:solidFill>
                </w14:textFill>
              </w:rPr>
              <w:t>t，采用垃圾桶集中收集后，定期运出勘查区，交由环卫部门统一清运</w:t>
            </w:r>
            <w:r>
              <w:rPr>
                <w:color w:val="000000" w:themeColor="text1"/>
                <w:sz w:val="24"/>
                <w:highlight w:val="none"/>
                <w14:textFill>
                  <w14:solidFill>
                    <w14:schemeClr w14:val="tx1"/>
                  </w14:solidFill>
                </w14:textFill>
              </w:rPr>
              <w:t>。</w:t>
            </w:r>
          </w:p>
          <w:p w14:paraId="3816FC11">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（4）废润滑油</w:t>
            </w:r>
          </w:p>
          <w:p w14:paraId="4DAFA09F">
            <w:pPr>
              <w:spacing w:line="360" w:lineRule="auto"/>
              <w:ind w:firstLine="480" w:firstLineChars="200"/>
              <w:rPr>
                <w:color w:val="000000" w:themeColor="text1"/>
                <w:sz w:val="24"/>
                <w:highlight w:val="none"/>
                <w14:textFill>
                  <w14:solidFill>
                    <w14:schemeClr w14:val="tx1"/>
                  </w14:solidFill>
                </w14:textFill>
              </w:rPr>
            </w:pPr>
            <w:r>
              <w:rPr>
                <w:rFonts w:hint="eastAsia" w:ascii="Segoe UI" w:hAnsi="Segoe UI" w:cs="Segoe UI"/>
                <w:color w:val="000000" w:themeColor="text1"/>
                <w:sz w:val="24"/>
                <w:highlight w:val="none"/>
                <w:shd w:val="clear" w:color="auto" w:fill="FFFFFF"/>
                <w14:textFill>
                  <w14:solidFill>
                    <w14:schemeClr w14:val="tx1"/>
                  </w14:solidFill>
                </w14:textFill>
              </w:rPr>
              <w:t>机械维修依托</w:t>
            </w:r>
            <w:r>
              <w:rPr>
                <w:rFonts w:hint="eastAsia" w:ascii="Segoe UI" w:hAnsi="Segoe UI" w:cs="Segoe UI"/>
                <w:color w:val="000000" w:themeColor="text1"/>
                <w:sz w:val="24"/>
                <w:highlight w:val="none"/>
                <w:shd w:val="clear" w:color="auto" w:fill="FFFFFF"/>
                <w:lang w:val="en-US" w:eastAsia="zh-CN"/>
                <w14:textFill>
                  <w14:solidFill>
                    <w14:schemeClr w14:val="tx1"/>
                  </w14:solidFill>
                </w14:textFill>
              </w:rPr>
              <w:t>巴伦台镇</w:t>
            </w:r>
            <w:r>
              <w:rPr>
                <w:rFonts w:hint="eastAsia" w:ascii="Segoe UI" w:hAnsi="Segoe UI" w:cs="Segoe UI"/>
                <w:color w:val="000000" w:themeColor="text1"/>
                <w:sz w:val="24"/>
                <w:highlight w:val="none"/>
                <w:shd w:val="clear" w:color="auto" w:fill="FFFFFF"/>
                <w14:textFill>
                  <w14:solidFill>
                    <w14:schemeClr w14:val="tx1"/>
                  </w14:solidFill>
                </w14:textFill>
              </w:rPr>
              <w:t>修理厂，不设置专门修配厂</w:t>
            </w:r>
            <w:r>
              <w:rPr>
                <w:rFonts w:ascii="Segoe UI" w:hAnsi="Segoe UI" w:cs="Segoe UI"/>
                <w:color w:val="000000" w:themeColor="text1"/>
                <w:sz w:val="24"/>
                <w:highlight w:val="none"/>
                <w:shd w:val="clear" w:color="auto" w:fill="FFFFFF"/>
                <w14:textFill>
                  <w14:solidFill>
                    <w14:schemeClr w14:val="tx1"/>
                  </w14:solidFill>
                </w14:textFill>
              </w:rPr>
              <w:t>。若设备确因故障无法移动，由维修厂人员到场应急维修，产生的废润滑油应规范收集，贮存于施工营地内设置的临时危险废物贮存点（配备防渗托盘），定期交由有资质单位处置。施工现场配备吸油毡等应急物资，油料泄漏时可及时处置</w:t>
            </w:r>
            <w:r>
              <w:rPr>
                <w:rFonts w:hint="eastAsia"/>
                <w:color w:val="000000" w:themeColor="text1"/>
                <w:sz w:val="24"/>
                <w:highlight w:val="none"/>
                <w14:textFill>
                  <w14:solidFill>
                    <w14:schemeClr w14:val="tx1"/>
                  </w14:solidFill>
                </w14:textFill>
              </w:rPr>
              <w:t>。</w:t>
            </w:r>
          </w:p>
          <w:p w14:paraId="3DCC6EED">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贮存点应满足以下要求：</w:t>
            </w:r>
          </w:p>
          <w:p w14:paraId="51D686B2">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①贮存点应具有固定的区域边界，并应采取与其他区域进行隔离的措施。</w:t>
            </w:r>
          </w:p>
          <w:p w14:paraId="3AA0D581">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②贮存点应采取防风、防雨、防晒和防止危险废物流失、扬散等措施。</w:t>
            </w:r>
          </w:p>
          <w:p w14:paraId="7EE7DDCF">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③贮存点贮存的危险废物应置于容器或包装物中，不应直接散堆。</w:t>
            </w:r>
          </w:p>
          <w:p w14:paraId="4E34D821">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④贮存点应根据危险废物的形态、物理化学性质、包装形式等，采取防渗、防漏等污染防治措施或采用具有相应功能的装置。</w:t>
            </w:r>
            <w:bookmarkStart w:id="5" w:name="_GoBack"/>
            <w:bookmarkEnd w:id="5"/>
          </w:p>
          <w:p w14:paraId="7BBB8BA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⑤贮存点应及时清运贮存的危险废物，实时贮存量不应超过</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吨。</w:t>
            </w:r>
          </w:p>
          <w:p w14:paraId="65FD0D33">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（5）贮存及转运管理要求</w:t>
            </w:r>
          </w:p>
          <w:p w14:paraId="5BFB8C1C">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①</w:t>
            </w:r>
            <w:r>
              <w:rPr>
                <w:rFonts w:hint="eastAsia"/>
                <w:color w:val="000000" w:themeColor="text1"/>
                <w:sz w:val="24"/>
                <w:highlight w:val="none"/>
                <w14:textFill>
                  <w14:solidFill>
                    <w14:schemeClr w14:val="tx1"/>
                  </w14:solidFill>
                </w14:textFill>
              </w:rPr>
              <w:t>钻探使用的泥浆采用水基非磺化泥浆，从钻孔孔口返回后引至沉淀池，通过沉淀处理后，上清液循环使用，不外排；</w:t>
            </w:r>
            <w:r>
              <w:rPr>
                <w:rFonts w:hint="eastAsia"/>
                <w:color w:val="000000" w:themeColor="text1"/>
                <w:sz w:val="24"/>
                <w:highlight w:val="none"/>
                <w:lang w:val="en-US" w:eastAsia="zh-CN"/>
                <w14:textFill>
                  <w14:solidFill>
                    <w14:schemeClr w14:val="tx1"/>
                  </w14:solidFill>
                </w14:textFill>
              </w:rPr>
              <w:t>钻井泥浆固化就地填埋</w:t>
            </w:r>
            <w:r>
              <w:rPr>
                <w:rFonts w:hint="eastAsia"/>
                <w:color w:val="000000" w:themeColor="text1"/>
                <w:sz w:val="24"/>
                <w:highlight w:val="none"/>
                <w14:textFill>
                  <w14:solidFill>
                    <w14:schemeClr w14:val="tx1"/>
                  </w14:solidFill>
                </w14:textFill>
              </w:rPr>
              <w:t>。</w:t>
            </w:r>
          </w:p>
          <w:p w14:paraId="7C7BC17D">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w:t>
            </w:r>
            <w:r>
              <w:rPr>
                <w:color w:val="000000" w:themeColor="text1"/>
                <w:sz w:val="24"/>
                <w:highlight w:val="none"/>
                <w14:textFill>
                  <w14:solidFill>
                    <w14:schemeClr w14:val="tx1"/>
                  </w14:solidFill>
                </w14:textFill>
              </w:rPr>
              <w:t>钻井过</w:t>
            </w:r>
            <w:r>
              <w:rPr>
                <w:rFonts w:hint="eastAsia"/>
                <w:color w:val="000000" w:themeColor="text1"/>
                <w:sz w:val="24"/>
                <w:highlight w:val="none"/>
                <w:lang w:eastAsia="zh-CN"/>
                <w14:textFill>
                  <w14:solidFill>
                    <w14:schemeClr w14:val="tx1"/>
                  </w14:solidFill>
                </w14:textFill>
              </w:rPr>
              <w:t>程中</w:t>
            </w:r>
            <w:r>
              <w:rPr>
                <w:color w:val="000000" w:themeColor="text1"/>
                <w:sz w:val="24"/>
                <w:highlight w:val="none"/>
                <w14:textFill>
                  <w14:solidFill>
                    <w14:schemeClr w14:val="tx1"/>
                  </w14:solidFill>
                </w14:textFill>
              </w:rPr>
              <w:t>产生的固体废物要进行分类收集，确保固体废物的收集率为100%；严禁将固体废物乱倒乱放。</w:t>
            </w:r>
          </w:p>
          <w:p w14:paraId="352B1E9E">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③</w:t>
            </w:r>
            <w:r>
              <w:rPr>
                <w:rFonts w:hint="eastAsia"/>
                <w:color w:val="000000" w:themeColor="text1"/>
                <w:sz w:val="24"/>
                <w:highlight w:val="none"/>
                <w14:textFill>
                  <w14:solidFill>
                    <w14:schemeClr w14:val="tx1"/>
                  </w14:solidFill>
                </w14:textFill>
              </w:rPr>
              <w:t>废润滑油</w:t>
            </w:r>
            <w:r>
              <w:rPr>
                <w:color w:val="000000" w:themeColor="text1"/>
                <w:sz w:val="24"/>
                <w:highlight w:val="none"/>
                <w14:textFill>
                  <w14:solidFill>
                    <w14:schemeClr w14:val="tx1"/>
                  </w14:solidFill>
                </w14:textFill>
              </w:rPr>
              <w:t>属于危险废物，其</w:t>
            </w:r>
            <w:r>
              <w:rPr>
                <w:rFonts w:hint="eastAsia"/>
                <w:color w:val="000000" w:themeColor="text1"/>
                <w:sz w:val="24"/>
                <w:highlight w:val="none"/>
                <w14:textFill>
                  <w14:solidFill>
                    <w14:schemeClr w14:val="tx1"/>
                  </w14:solidFill>
                </w14:textFill>
              </w:rPr>
              <w:t>贮存</w:t>
            </w:r>
            <w:r>
              <w:rPr>
                <w:color w:val="000000" w:themeColor="text1"/>
                <w:sz w:val="24"/>
                <w:highlight w:val="none"/>
                <w14:textFill>
                  <w14:solidFill>
                    <w14:schemeClr w14:val="tx1"/>
                  </w14:solidFill>
                </w14:textFill>
              </w:rPr>
              <w:t>、运输应严格遵守《废矿物油回收利用污染控制技术规范》（HJ607-2011）和《危险废物收集、贮存、运输技术规范》（HJ2025-2012）中的相关规定，建立相应的规章制度和污染防治措施；所有的废油均按规定进行收集，收集容器应完好无损，没有腐蚀、污染、损毁或其他能导致其使用效能减弱的缺陷；废油存放区域设置作业界标志和警示牌；废油运输按照《危险化学品安全管理条例》中有关运输规定进行；</w:t>
            </w:r>
          </w:p>
          <w:p w14:paraId="2923A5D4">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④</w:t>
            </w:r>
            <w:r>
              <w:rPr>
                <w:color w:val="000000" w:themeColor="text1"/>
                <w:sz w:val="24"/>
                <w:highlight w:val="none"/>
                <w14:textFill>
                  <w14:solidFill>
                    <w14:schemeClr w14:val="tx1"/>
                  </w14:solidFill>
                </w14:textFill>
              </w:rPr>
              <w:t>废油收集过</w:t>
            </w:r>
            <w:r>
              <w:rPr>
                <w:rFonts w:hint="eastAsia"/>
                <w:color w:val="000000" w:themeColor="text1"/>
                <w:sz w:val="24"/>
                <w:highlight w:val="none"/>
                <w:lang w:eastAsia="zh-CN"/>
                <w14:textFill>
                  <w14:solidFill>
                    <w14:schemeClr w14:val="tx1"/>
                  </w14:solidFill>
                </w14:textFill>
              </w:rPr>
              <w:t>程中</w:t>
            </w:r>
            <w:r>
              <w:rPr>
                <w:color w:val="000000" w:themeColor="text1"/>
                <w:sz w:val="24"/>
                <w:highlight w:val="none"/>
                <w14:textFill>
                  <w14:solidFill>
                    <w14:schemeClr w14:val="tx1"/>
                  </w14:solidFill>
                </w14:textFill>
              </w:rPr>
              <w:t>产生的废旧容器应按照危险废物进行处置，仍可转作他用的，应经过消除污染的处理。</w:t>
            </w:r>
          </w:p>
          <w:p w14:paraId="1DAAA7B8">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⑤</w:t>
            </w:r>
            <w:r>
              <w:rPr>
                <w:color w:val="000000" w:themeColor="text1"/>
                <w:sz w:val="24"/>
                <w:highlight w:val="none"/>
                <w14:textFill>
                  <w14:solidFill>
                    <w14:schemeClr w14:val="tx1"/>
                  </w14:solidFill>
                </w14:textFill>
              </w:rPr>
              <w:t>废油应在产生源收集，不宜在产生源收集的应设置专用设施集中收集。</w:t>
            </w:r>
          </w:p>
          <w:p w14:paraId="4BE6B246">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⑥</w:t>
            </w:r>
            <w:r>
              <w:rPr>
                <w:color w:val="000000" w:themeColor="text1"/>
                <w:sz w:val="24"/>
                <w:highlight w:val="none"/>
                <w14:textFill>
                  <w14:solidFill>
                    <w14:schemeClr w14:val="tx1"/>
                  </w14:solidFill>
                </w14:textFill>
              </w:rPr>
              <w:t>现场</w:t>
            </w:r>
            <w:r>
              <w:rPr>
                <w:rFonts w:hint="eastAsia"/>
                <w:color w:val="000000" w:themeColor="text1"/>
                <w:sz w:val="24"/>
                <w:highlight w:val="none"/>
                <w14:textFill>
                  <w14:solidFill>
                    <w14:schemeClr w14:val="tx1"/>
                  </w14:solidFill>
                </w14:textFill>
              </w:rPr>
              <w:t>沾染</w:t>
            </w:r>
            <w:r>
              <w:rPr>
                <w:color w:val="000000" w:themeColor="text1"/>
                <w:sz w:val="24"/>
                <w:highlight w:val="none"/>
                <w14:textFill>
                  <w14:solidFill>
                    <w14:schemeClr w14:val="tx1"/>
                  </w14:solidFill>
                </w14:textFill>
              </w:rPr>
              <w:t>废矿物油的泥、沙、水全部收集。</w:t>
            </w:r>
          </w:p>
          <w:p w14:paraId="21A23DBF">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⑦</w:t>
            </w:r>
            <w:r>
              <w:rPr>
                <w:color w:val="000000" w:themeColor="text1"/>
                <w:sz w:val="24"/>
                <w:highlight w:val="none"/>
                <w14:textFill>
                  <w14:solidFill>
                    <w14:schemeClr w14:val="tx1"/>
                  </w14:solidFill>
                </w14:textFill>
              </w:rPr>
              <w:t>废油的转运要用密闭容器盛装，避免运输过程中造成废油的外溢，污染环境。</w:t>
            </w:r>
          </w:p>
          <w:p w14:paraId="46A3AB24">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5.5风险防范措施</w:t>
            </w:r>
          </w:p>
          <w:p w14:paraId="3B9A3821">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（1）临时堆存弃土溃坝风险防范措施</w:t>
            </w:r>
          </w:p>
          <w:p w14:paraId="33EECAA4">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1）建设单位应减少表土和废石临时堆存时间，及时进行复垦；</w:t>
            </w:r>
          </w:p>
          <w:p w14:paraId="7DC13B3C">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2）建设单位在临时弃土堆存时应采用彩条布进行覆盖，避免强暴雨季节雨水冲刷。</w:t>
            </w:r>
          </w:p>
          <w:p w14:paraId="2F87472F">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（2）防</w:t>
            </w:r>
            <w:r>
              <w:rPr>
                <w:rFonts w:hint="eastAsia"/>
                <w:color w:val="000000" w:themeColor="text1"/>
                <w:sz w:val="24"/>
                <w:highlight w:val="none"/>
                <w:lang w:eastAsia="zh-CN"/>
                <w14:textFill>
                  <w14:solidFill>
                    <w14:schemeClr w14:val="tx1"/>
                  </w14:solidFill>
                </w14:textFill>
              </w:rPr>
              <w:t>火</w:t>
            </w:r>
            <w:r>
              <w:rPr>
                <w:rFonts w:hint="eastAsia"/>
                <w:color w:val="000000" w:themeColor="text1"/>
                <w:sz w:val="24"/>
                <w:highlight w:val="none"/>
                <w14:textFill>
                  <w14:solidFill>
                    <w14:schemeClr w14:val="tx1"/>
                  </w14:solidFill>
                </w14:textFill>
              </w:rPr>
              <w:t>措施</w:t>
            </w:r>
          </w:p>
          <w:p w14:paraId="2DE7FAE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）健全安全生产和管理检查制度，配备专职人员定期检查，确保易燃物质储存和使用的安全性，避免因管理和使用不当导致的火灾事故发生。</w:t>
            </w:r>
          </w:p>
          <w:p w14:paraId="3B5BEE1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）设立专门的安全和环境管理机构，制定日常管理措施。</w:t>
            </w:r>
          </w:p>
          <w:p w14:paraId="5CED7D1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）对工作人员进行火灾事态时的报警和消防培训，平时加强消防知识的宣传和教育。</w:t>
            </w:r>
          </w:p>
          <w:p w14:paraId="20D14C23">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4）危险废物贮存点应配置足够量的泡沫、干粉灭火器等消防器材。灭火器应本着分散与集中相结合的原则进行布点。管理人员应懂得防火常识、灭火知识，并能够熟练掌握灭火器。灭火器要经常检查。</w:t>
            </w:r>
          </w:p>
          <w:p w14:paraId="31557DE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）防泄漏措施</w:t>
            </w:r>
          </w:p>
          <w:p w14:paraId="72F26FAC">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1）危险废物贮存点应严格落实本次评价提出的防渗措施，加强重点防渗措施。</w:t>
            </w:r>
          </w:p>
          <w:p w14:paraId="16BF776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2）废润滑油存储容器密封性应良好，放置时须防破碎，在不影响生产的情况下，尽可能减少废润滑油的储存量。</w:t>
            </w:r>
          </w:p>
          <w:p w14:paraId="1D4CD77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3）搬运、装卸废润滑油时应按照有关规定进行，做到轻装、轻卸。严禁摔、碰、撞、击、拖拉、倾斜和滚动。</w:t>
            </w:r>
          </w:p>
          <w:p w14:paraId="4978497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在柴油发电机停放位置及维修区域下方放置防漏托盘或油盘。这些托盘应该有足够的容积来收集可能泄漏的油液；将停放和维修区域的地表进行硬化处理，如铺设混凝土或者沥青，并在下面设置防水层以防止油液渗透到土壤中，在停放和维修区域周围设置围堰或挡油坝，用于拦截任何溢出的油液，避免其扩散到更广阔的环境中。</w:t>
            </w:r>
          </w:p>
          <w:p w14:paraId="7F0470A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定期对设备进行检查，确保没有泄漏迹象。同时也要经常检查防漏设施的有效性，并及时更换磨损的部件。对员工进行环境保护意识的培训，教育他们如何正确操作设备，以及在发生泄漏时应采取的紧急措施。</w:t>
            </w:r>
          </w:p>
          <w:p w14:paraId="75DB29CD">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（4）柴油质量控制要求</w:t>
            </w:r>
          </w:p>
          <w:p w14:paraId="1B534EF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确保柴油符合国家相关标准，如GB19147《车用柴油》标准。定期检测柴油的各项指标，如硫含量、密度、闪点、黏度、冷滤点等。</w:t>
            </w:r>
          </w:p>
          <w:p w14:paraId="69CE205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选择有资质的供应商，确保其提供的柴油质量可靠。定期对供应商进行评估，确保其持续符合质量要求。</w:t>
            </w:r>
          </w:p>
          <w:p w14:paraId="37828C29">
            <w:pPr>
              <w:spacing w:line="360" w:lineRule="auto"/>
              <w:ind w:firstLine="480" w:firstLineChars="20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在运输过程中，确保柴油不受污染，使用专用油罐车运输。在加油过程中应确保油箱清洁，避免杂质进入</w:t>
            </w:r>
            <w:r>
              <w:rPr>
                <w:rFonts w:hint="eastAsia"/>
                <w:color w:val="000000" w:themeColor="text1"/>
                <w:sz w:val="24"/>
                <w:highlight w:val="none"/>
                <w14:textFill>
                  <w14:solidFill>
                    <w14:schemeClr w14:val="tx1"/>
                  </w14:solidFill>
                </w14:textFill>
              </w:rPr>
              <w:t>。</w:t>
            </w:r>
          </w:p>
          <w:p w14:paraId="072FDFDC">
            <w:pPr>
              <w:pStyle w:val="53"/>
              <w:widowControl w:val="0"/>
              <w:bidi w:val="0"/>
              <w:adjustRightInd w:val="0"/>
              <w:snapToGrid w:val="0"/>
              <w:ind w:firstLineChars="200"/>
              <w:jc w:val="both"/>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在勘查区设置柴油临时存放点一处，柴油分期从</w:t>
            </w:r>
            <w:r>
              <w:rPr>
                <w:rFonts w:hint="eastAsia"/>
                <w:color w:val="000000" w:themeColor="text1"/>
                <w:sz w:val="24"/>
                <w:highlight w:val="none"/>
                <w:lang w:val="en-US" w:eastAsia="zh-CN"/>
                <w14:textFill>
                  <w14:solidFill>
                    <w14:schemeClr w14:val="tx1"/>
                  </w14:solidFill>
                </w14:textFill>
              </w:rPr>
              <w:t>巴伦台</w:t>
            </w:r>
            <w:r>
              <w:rPr>
                <w:rFonts w:hint="eastAsia"/>
                <w:color w:val="000000" w:themeColor="text1"/>
                <w:sz w:val="24"/>
                <w:highlight w:val="none"/>
                <w14:textFill>
                  <w14:solidFill>
                    <w14:schemeClr w14:val="tx1"/>
                  </w14:solidFill>
                </w14:textFill>
              </w:rPr>
              <w:t>购买，采用200L铁皮油桶（高0.93m，直径0.58m）装运至存放点堆放。存放点地面铺设防渗膜进行防渗处理，并采取防雨、防晒措施，油桶按规范分类摆放，周围设置警示标志，配备灭火器等消防器材，确保存放安全</w:t>
            </w:r>
            <w:r>
              <w:rPr>
                <w:color w:val="000000" w:themeColor="text1"/>
                <w:sz w:val="24"/>
                <w:highlight w:val="none"/>
                <w14:textFill>
                  <w14:solidFill>
                    <w14:schemeClr w14:val="tx1"/>
                  </w14:solidFill>
                </w14:textFill>
              </w:rPr>
              <w:t>。施工期主要设备为柴油发电机、钻机、岩凿机、自卸汽车。机械维修依托该乡修理厂，不设置专门修配厂；若设备因故障无法移动，由维修厂人员赴现场进行应急维修，产生的废润滑油由施工方在施工营地内设置临时危险废物贮存点，配备防渗托盘，定期交由有资质单位处置。同时，施工现场配备吸油毡、围油栏等应急物资，确保油料泄漏时可及时处置；加强对施工人员的环境风险防范培训，</w:t>
            </w:r>
            <w:r>
              <w:rPr>
                <w:rFonts w:hint="eastAsia"/>
                <w:color w:val="000000" w:themeColor="text1"/>
                <w:sz w:val="24"/>
                <w:highlight w:val="none"/>
                <w:lang w:eastAsia="zh-CN"/>
                <w14:textFill>
                  <w14:solidFill>
                    <w14:schemeClr w14:val="tx1"/>
                  </w14:solidFill>
                </w14:textFill>
              </w:rPr>
              <w:t>增强</w:t>
            </w:r>
            <w:r>
              <w:rPr>
                <w:color w:val="000000" w:themeColor="text1"/>
                <w:sz w:val="24"/>
                <w:highlight w:val="none"/>
                <w14:textFill>
                  <w14:solidFill>
                    <w14:schemeClr w14:val="tx1"/>
                  </w14:solidFill>
                </w14:textFill>
              </w:rPr>
              <w:t>风险防范意识。通过上述措施，可有效控制施工期环境风险，项目环境风险总体可控。</w:t>
            </w:r>
          </w:p>
          <w:p w14:paraId="48579E1E">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5.6生态环境保护措施</w:t>
            </w:r>
          </w:p>
          <w:p w14:paraId="73B3B424">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（1）严格按照勘探采样设计方案开展工作，控制勘探占地范围，所有机械（主要为勘探钻具）</w:t>
            </w:r>
            <w:r>
              <w:rPr>
                <w:rFonts w:hint="eastAsia" w:cs="Times New Roman"/>
                <w:b w:val="0"/>
                <w:bCs w:val="0"/>
                <w:color w:val="000000" w:themeColor="text1"/>
                <w:sz w:val="24"/>
                <w:szCs w:val="24"/>
                <w:highlight w:val="none"/>
                <w:lang w:val="en-US" w:eastAsia="zh-CN"/>
                <w14:textFill>
                  <w14:solidFill>
                    <w14:schemeClr w14:val="tx1"/>
                  </w14:solidFill>
                </w14:textFill>
              </w:rPr>
              <w:t>需</w:t>
            </w: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控制在勘探设计方案划定范围内作业。生产车辆尽可能利用既有道路，并严格按设计施工便道进行施工活动。</w:t>
            </w:r>
          </w:p>
          <w:p w14:paraId="5C6BAE2D">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2）勘探采样应加强管理，合理安排勘探计划和作业时间，优化勘探方案，将勘探活动控制在施工区域内，严禁越界勘探。在工程开挖过程中，尽量减小和有效控制对探矿区生态环境的影响范围和程度；尽量避免在大风天气进行动土施工。</w:t>
            </w:r>
          </w:p>
          <w:p w14:paraId="2978E097">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（3）</w:t>
            </w:r>
            <w:r>
              <w:rPr>
                <w:rFonts w:hint="default" w:ascii="Times New Roman" w:hAnsi="Times New Roman" w:eastAsia="华文中宋" w:cs="Times New Roman"/>
                <w:color w:val="000000" w:themeColor="text1"/>
                <w:sz w:val="24"/>
                <w:szCs w:val="24"/>
                <w:highlight w:val="none"/>
                <w:lang w:val="en-US" w:eastAsia="zh-CN"/>
                <w14:textFill>
                  <w14:solidFill>
                    <w14:schemeClr w14:val="tx1"/>
                  </w14:solidFill>
                </w14:textFill>
              </w:rPr>
              <w:t>对临时占用的</w:t>
            </w:r>
            <w:r>
              <w:rPr>
                <w:rFonts w:hint="eastAsia" w:eastAsia="华文中宋" w:cs="Times New Roman"/>
                <w:color w:val="000000" w:themeColor="text1"/>
                <w:sz w:val="24"/>
                <w:szCs w:val="24"/>
                <w:highlight w:val="none"/>
                <w:lang w:val="en-US" w:eastAsia="zh-CN"/>
                <w14:textFill>
                  <w14:solidFill>
                    <w14:schemeClr w14:val="tx1"/>
                  </w14:solidFill>
                </w14:textFill>
              </w:rPr>
              <w:t>天然牧草地</w:t>
            </w:r>
            <w:r>
              <w:rPr>
                <w:rFonts w:hint="default" w:ascii="Times New Roman" w:hAnsi="Times New Roman" w:eastAsia="华文中宋" w:cs="Times New Roman"/>
                <w:b w:val="0"/>
                <w:bCs w:val="0"/>
                <w:color w:val="000000" w:themeColor="text1"/>
                <w:kern w:val="2"/>
                <w:sz w:val="24"/>
                <w:szCs w:val="24"/>
                <w:highlight w:val="none"/>
                <w:lang w:val="en-US" w:eastAsia="zh-CN" w:bidi="ar-SA"/>
                <w14:textFill>
                  <w14:solidFill>
                    <w14:schemeClr w14:val="tx1"/>
                  </w14:solidFill>
                </w14:textFill>
              </w:rPr>
              <w:t>，勘探工程结束后，需对占用土地进行清理平整后，应将开挖前的表土均匀覆盖在底土之上，草地、林地有效覆土厚度大于20cm，确保覆土厚度及土质能满足植被正常生长需要，仅压占但未受到挖损、污染的场地，可采取深翻、松土、培土等方式使表土达到复垦要求。</w:t>
            </w:r>
          </w:p>
          <w:p w14:paraId="4D64D75F">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华文中宋" w:cs="Times New Roman"/>
                <w:b w:val="0"/>
                <w:bCs w:val="0"/>
                <w:color w:val="000000" w:themeColor="text1"/>
                <w:kern w:val="2"/>
                <w:sz w:val="24"/>
                <w:szCs w:val="24"/>
                <w:highlight w:val="none"/>
                <w:lang w:val="en-US" w:eastAsia="zh-CN" w:bidi="ar-SA"/>
                <w14:textFill>
                  <w14:solidFill>
                    <w14:schemeClr w14:val="tx1"/>
                  </w14:solidFill>
                </w14:textFill>
              </w:rPr>
              <w:t>剥离的草皮应全部复植。将原剥离的根系腐殖土铺垫在覆盖的表土上，再将剥离养护的植被依次紧凑铺平复植。植被复植后应适当浇水养护，确保与开挖前状态基本一致。</w:t>
            </w:r>
          </w:p>
          <w:p w14:paraId="6684BFDB">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探矿期结束后，应对遗留的施工迹地采取恢复措施，尽早使地表恢复原貌。凡受到施工车辆、机械破坏的地方，都要及时修整，恢复原貌，破坏应在勘探结束后的当年或来年予以恢复。</w:t>
            </w:r>
          </w:p>
          <w:p w14:paraId="411D9C07">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（4）勘探期充分利用已有道路，减少土石方工程量并缩小生态影响范围，减少了对周边土壤和植被的破坏。做好表层土壤的保护和利用。保护利用好表层的熟化土壤</w:t>
            </w:r>
            <w:r>
              <w:rPr>
                <w:rFonts w:hint="eastAsia"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主要为0~30cm的土层</w:t>
            </w:r>
            <w:r>
              <w:rPr>
                <w:rFonts w:hint="eastAsia"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，在挖掘平整、勘探前，首先要把表层的熟化土壤尽可能地集中堆放，避免重型机械过度碾压，防止土壤板结和侵蚀，施工结束后再进行熟土回填，保护土壤肥力，以利后期生态恢复。</w:t>
            </w:r>
          </w:p>
          <w:p w14:paraId="41C9CEE3">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5）加强勘探活动及管理人员环境保护知识的学习和教育，积极宣传环境保护法规，增强人员环保意识，禁止一切乱砍滥伐、捕猎活动，对于工作人员在进行矿山踏勘时，应尽量避免探矿活动区生态环境不受到显著人为干扰。</w:t>
            </w:r>
          </w:p>
          <w:p w14:paraId="6EAA6C19">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（6）在勘探期采取定期洒水的措施，通过洒水使地表反复形成结皮，可有效解决开采过程中的起尘问题，减轻水土流失。</w:t>
            </w:r>
          </w:p>
          <w:p w14:paraId="442641CC">
            <w:pPr>
              <w:keepNext w:val="0"/>
              <w:keepLines w:val="0"/>
              <w:pageBreakBefore w:val="0"/>
              <w:widowControl w:val="0"/>
              <w:kinsoku/>
              <w:wordWrap/>
              <w:overflowPunct/>
              <w:topLinePunct w:val="0"/>
              <w:autoSpaceDE/>
              <w:autoSpaceDN/>
              <w:bidi w:val="0"/>
              <w:adjustRightInd w:val="0"/>
              <w:snapToGrid w:val="0"/>
              <w:spacing w:line="500" w:lineRule="exact"/>
              <w:ind w:left="0" w:right="0" w:firstLine="480" w:firstLineChars="200"/>
              <w:jc w:val="left"/>
              <w:textAlignment w:val="auto"/>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华文中宋" w:cs="Times New Roman"/>
                <w:b w:val="0"/>
                <w:bCs w:val="0"/>
                <w:color w:val="000000" w:themeColor="text1"/>
                <w:sz w:val="24"/>
                <w:szCs w:val="24"/>
                <w:highlight w:val="none"/>
                <w:lang w:val="en-US" w:eastAsia="zh-CN"/>
                <w14:textFill>
                  <w14:solidFill>
                    <w14:schemeClr w14:val="tx1"/>
                  </w14:solidFill>
                </w14:textFill>
              </w:rPr>
              <w:t>（7）合理规划机械设备作业活动范围及时间，降低噪声对周边动物的影响。</w:t>
            </w:r>
          </w:p>
          <w:p w14:paraId="59AEE973">
            <w:pPr>
              <w:spacing w:line="360" w:lineRule="auto"/>
              <w:ind w:firstLine="480" w:firstLineChars="200"/>
              <w:rPr>
                <w:rFonts w:hint="default"/>
                <w:color w:val="000000" w:themeColor="text1"/>
                <w:sz w:val="24"/>
                <w:highlight w:val="none"/>
                <w:lang w:val="en-US" w:eastAsia="zh-CN"/>
                <w14:textFill>
                  <w14:solidFill>
                    <w14:schemeClr w14:val="tx1"/>
                  </w14:solidFill>
                </w14:textFill>
              </w:rPr>
            </w:pPr>
            <w:r>
              <w:rPr>
                <w:rFonts w:hint="default"/>
                <w:color w:val="000000" w:themeColor="text1"/>
                <w:sz w:val="24"/>
                <w:highlight w:val="none"/>
                <w:lang w:val="en-US" w:eastAsia="zh-CN"/>
                <w14:textFill>
                  <w14:solidFill>
                    <w14:schemeClr w14:val="tx1"/>
                  </w14:solidFill>
                </w14:textFill>
              </w:rPr>
              <w:t>（8）生活营地及其他临时占地施工结束后，应按相关规定平整恢复，同时严格管理燃料、危险废物贮存管理，做好相应的防渗措施，防止泄漏污染土壤，防范潜在污染。</w:t>
            </w:r>
          </w:p>
          <w:p w14:paraId="62A56BEB">
            <w:pPr>
              <w:spacing w:line="360" w:lineRule="auto"/>
              <w:ind w:firstLine="480" w:firstLineChars="200"/>
              <w:rPr>
                <w:rFonts w:hint="eastAsia"/>
                <w:color w:val="000000" w:themeColor="text1"/>
                <w:sz w:val="24"/>
                <w:highlight w:val="none"/>
                <w14:textFill>
                  <w14:solidFill>
                    <w14:schemeClr w14:val="tx1"/>
                  </w14:solidFill>
                </w14:textFill>
              </w:rPr>
            </w:pPr>
            <w:r>
              <w:rPr>
                <w:rFonts w:hint="default"/>
                <w:color w:val="000000" w:themeColor="text1"/>
                <w:sz w:val="24"/>
                <w:highlight w:val="none"/>
                <w:lang w:val="en-US" w:eastAsia="zh-CN"/>
                <w14:textFill>
                  <w14:solidFill>
                    <w14:schemeClr w14:val="tx1"/>
                  </w14:solidFill>
                </w14:textFill>
              </w:rPr>
              <w:t>（9）勘探期结束后，应立即停止探矿采样活动，严禁“以探代采”</w:t>
            </w:r>
            <w:r>
              <w:rPr>
                <w:rFonts w:hint="eastAsia"/>
                <w:color w:val="000000" w:themeColor="text1"/>
                <w:sz w:val="24"/>
                <w:highlight w:val="none"/>
                <w14:textFill>
                  <w14:solidFill>
                    <w14:schemeClr w14:val="tx1"/>
                  </w14:solidFill>
                </w14:textFill>
              </w:rPr>
              <w:t>。</w:t>
            </w:r>
          </w:p>
          <w:p w14:paraId="0DA04E36">
            <w:pPr>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5.7勘探结束后的生态恢复措施</w:t>
            </w:r>
          </w:p>
          <w:p w14:paraId="36EEB336">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勘查结束后的环境恢复和治理措施如下：</w:t>
            </w:r>
          </w:p>
          <w:p w14:paraId="2F77291C">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rFonts w:hint="eastAsia"/>
                <w:color w:val="000000" w:themeColor="text1"/>
                <w:sz w:val="24"/>
                <w:highlight w:val="none"/>
                <w:lang w:eastAsia="zh-CN"/>
                <w14:textFill>
                  <w14:solidFill>
                    <w14:schemeClr w14:val="tx1"/>
                  </w14:solidFill>
                </w14:textFill>
              </w:rPr>
              <w:t>勘查</w:t>
            </w:r>
            <w:r>
              <w:rPr>
                <w:rFonts w:hint="eastAsia"/>
                <w:color w:val="000000" w:themeColor="text1"/>
                <w:sz w:val="24"/>
                <w:highlight w:val="none"/>
                <w14:textFill>
                  <w14:solidFill>
                    <w14:schemeClr w14:val="tx1"/>
                  </w14:solidFill>
                </w14:textFill>
              </w:rPr>
              <w:t>后须对临时占地范围进行平整，工程量即为项目所有临时占地，</w:t>
            </w:r>
            <w:r>
              <w:rPr>
                <w:rFonts w:hint="eastAsia"/>
                <w:color w:val="000000" w:themeColor="text1"/>
                <w:sz w:val="24"/>
                <w:highlight w:val="none"/>
                <w:lang w:eastAsia="zh-CN"/>
                <w14:textFill>
                  <w14:solidFill>
                    <w14:schemeClr w14:val="tx1"/>
                  </w14:solidFill>
                </w14:textFill>
              </w:rPr>
              <w:t>勘查</w:t>
            </w:r>
            <w:r>
              <w:rPr>
                <w:rFonts w:hint="eastAsia"/>
                <w:color w:val="000000" w:themeColor="text1"/>
                <w:sz w:val="24"/>
                <w:highlight w:val="none"/>
                <w14:textFill>
                  <w14:solidFill>
                    <w14:schemeClr w14:val="tx1"/>
                  </w14:solidFill>
                </w14:textFill>
              </w:rPr>
              <w:t>后施工设备及时撤离，固体废物全部妥善处置，现场禁止遗留，占地应清理平整，尽量利用临时道路施工时产生的表层弃土对临时占地进行覆盖，然后开展植被恢复工作。恢复植被物种选择以工程占地周边植物物种为主，不得随意引入外来植物物种。</w:t>
            </w:r>
          </w:p>
          <w:p w14:paraId="0B18A36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（2）对区内各勘查施工器材统一收集、处理、不得遗留在区内。</w:t>
            </w:r>
          </w:p>
          <w:p w14:paraId="79A28FE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（3）巡视调查整个勘查区域，查看区域内施工迹地的生态恢复情况，发现问题及时采取相应的环境保护措施进行处理，不遗留问题。</w:t>
            </w:r>
          </w:p>
          <w:p w14:paraId="3DEB0D4F">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r>
              <w:rPr>
                <w:rFonts w:hint="eastAsia"/>
                <w:color w:val="000000" w:themeColor="text1"/>
                <w:sz w:val="24"/>
                <w:highlight w:val="none"/>
                <w:lang w:eastAsia="zh-CN"/>
                <w14:textFill>
                  <w14:solidFill>
                    <w14:schemeClr w14:val="tx1"/>
                  </w14:solidFill>
                </w14:textFill>
              </w:rPr>
              <w:t>）根</w:t>
            </w:r>
            <w:r>
              <w:rPr>
                <w:rFonts w:hint="eastAsia"/>
                <w:color w:val="000000" w:themeColor="text1"/>
                <w:sz w:val="24"/>
                <w:highlight w:val="none"/>
                <w14:textFill>
                  <w14:solidFill>
                    <w14:schemeClr w14:val="tx1"/>
                  </w14:solidFill>
                </w14:textFill>
              </w:rPr>
              <w:t>据环评要求，将人为活动限制在最小范围内，不因地质工作深化而显著增加对区域生态环境的影响范围和程度。</w:t>
            </w:r>
          </w:p>
          <w:p w14:paraId="5BE0342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w:t>
            </w:r>
            <w:r>
              <w:rPr>
                <w:rFonts w:ascii="宋体" w:hAnsi="宋体" w:cs="宋体"/>
                <w:color w:val="000000" w:themeColor="text1"/>
                <w:sz w:val="24"/>
                <w:highlight w:val="none"/>
                <w14:textFill>
                  <w14:solidFill>
                    <w14:schemeClr w14:val="tx1"/>
                  </w14:solidFill>
                </w14:textFill>
              </w:rPr>
              <w:t>勘探期结束后，应立即停止勘查采样活动，严禁“以探代采”</w:t>
            </w:r>
            <w:r>
              <w:rPr>
                <w:rFonts w:hint="eastAsia" w:ascii="宋体" w:hAnsi="宋体" w:cs="宋体"/>
                <w:color w:val="000000" w:themeColor="text1"/>
                <w:sz w:val="24"/>
                <w:highlight w:val="none"/>
                <w14:textFill>
                  <w14:solidFill>
                    <w14:schemeClr w14:val="tx1"/>
                  </w14:solidFill>
                </w14:textFill>
              </w:rPr>
              <w:t>。</w:t>
            </w:r>
          </w:p>
          <w:p w14:paraId="0989D71C">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6</w:t>
            </w:r>
            <w:r>
              <w:rPr>
                <w:rFonts w:hint="eastAsia"/>
                <w:color w:val="000000" w:themeColor="text1"/>
                <w:sz w:val="24"/>
                <w:highlight w:val="none"/>
                <w14:textFill>
                  <w14:solidFill>
                    <w14:schemeClr w14:val="tx1"/>
                  </w14:solidFill>
                </w14:textFill>
              </w:rPr>
              <w:t>）勘探结束后，清理生活营地所有建筑设施，清除生活区所有垃圾，建筑设施可重复利用的重复利用，不可重复利用的与建筑垃圾、生活垃圾一起</w:t>
            </w:r>
            <w:r>
              <w:rPr>
                <w:color w:val="000000" w:themeColor="text1"/>
                <w:sz w:val="24"/>
                <w:highlight w:val="none"/>
                <w14:textFill>
                  <w14:solidFill>
                    <w14:schemeClr w14:val="tx1"/>
                  </w14:solidFill>
                </w14:textFill>
              </w:rPr>
              <w:t>通过封闭篷车运至垃圾转运站，交由环卫部门统一处置。</w:t>
            </w:r>
          </w:p>
          <w:p w14:paraId="373EBF4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施工结束后，应对原工作区内的生活营地、临时道路、探井及槽探作业区进行生态恢复，主要包括土地平整；植被恢复应选用当地乡土草种，禁止引入外来物种。播种采用人工撒播方式，播种密度应与项目区周边未受扰动的天然牧草地原始群落特征相匹配。建设单位应在施工结束后分初期、中期两个阶段进行补植养护，确保扰动区域的植被盖度在两个生长季内恢复至周边未受扰动天然牧草地平均盖度的80%以上。</w:t>
            </w:r>
          </w:p>
          <w:p w14:paraId="364FE54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8</w:t>
            </w:r>
            <w:r>
              <w:rPr>
                <w:rFonts w:hint="eastAsia"/>
                <w:color w:val="000000" w:themeColor="text1"/>
                <w:sz w:val="24"/>
                <w:highlight w:val="none"/>
                <w14:textFill>
                  <w14:solidFill>
                    <w14:schemeClr w14:val="tx1"/>
                  </w14:solidFill>
                </w14:textFill>
              </w:rPr>
              <w:t>）项目勘查工作结束或阶段工作结束，应针对勘查活动造成的环境影响，根据国家法律法规、强制性标准和恢复治理设计要求，结合地方社会经济发展需求，及时开展环境恢复治理，消除勘查活动对生态环境造成的负面影响。</w:t>
            </w:r>
          </w:p>
          <w:p w14:paraId="3F611117">
            <w:pPr>
              <w:spacing w:line="360" w:lineRule="auto"/>
              <w:ind w:firstLine="480" w:firstLineChars="200"/>
              <w:rPr>
                <w:rFonts w:hint="eastAsia"/>
                <w:color w:val="000000" w:themeColor="text1"/>
                <w:sz w:val="24"/>
                <w:highlight w:val="none"/>
                <w14:textFill>
                  <w14:solidFill>
                    <w14:schemeClr w14:val="tx1"/>
                  </w14:solidFill>
                </w14:textFill>
              </w:rPr>
            </w:pPr>
          </w:p>
        </w:tc>
      </w:tr>
      <w:tr w14:paraId="546868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67" w:hRule="atLeast"/>
          <w:jc w:val="center"/>
        </w:trPr>
        <w:tc>
          <w:tcPr>
            <w:tcW w:w="258" w:type="pct"/>
            <w:tcBorders>
              <w:tl2br w:val="nil"/>
              <w:tr2bl w:val="nil"/>
            </w:tcBorders>
            <w:tcMar>
              <w:left w:w="28" w:type="dxa"/>
              <w:right w:w="28" w:type="dxa"/>
            </w:tcMar>
            <w:vAlign w:val="center"/>
          </w:tcPr>
          <w:p w14:paraId="2CB3FB55">
            <w:pPr>
              <w:spacing w:line="360" w:lineRule="auto"/>
              <w:ind w:firstLine="0" w:firstLineChars="0"/>
              <w:jc w:val="center"/>
              <w:rPr>
                <w:rFonts w:ascii="宋体" w:hAnsi="宋体"/>
                <w:bCs/>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运营期生态环境保护措施</w:t>
            </w:r>
          </w:p>
        </w:tc>
        <w:tc>
          <w:tcPr>
            <w:tcW w:w="4741" w:type="pct"/>
            <w:tcBorders>
              <w:tl2br w:val="nil"/>
              <w:tr2bl w:val="nil"/>
            </w:tcBorders>
            <w:vAlign w:val="center"/>
          </w:tcPr>
          <w:p w14:paraId="4D01DD8B">
            <w:pPr>
              <w:spacing w:line="360" w:lineRule="auto"/>
              <w:ind w:firstLine="0" w:firstLineChars="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本项目仅涉及勘探施工，不涉及采矿，所以没有运营期。</w:t>
            </w:r>
          </w:p>
        </w:tc>
      </w:tr>
      <w:tr w14:paraId="42F07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53" w:hRule="atLeast"/>
          <w:jc w:val="center"/>
        </w:trPr>
        <w:tc>
          <w:tcPr>
            <w:tcW w:w="258" w:type="pct"/>
            <w:tcBorders>
              <w:tl2br w:val="nil"/>
              <w:tr2bl w:val="nil"/>
            </w:tcBorders>
            <w:tcMar>
              <w:left w:w="28" w:type="dxa"/>
              <w:right w:w="28" w:type="dxa"/>
            </w:tcMar>
            <w:vAlign w:val="center"/>
          </w:tcPr>
          <w:p w14:paraId="6F81D755">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其他</w:t>
            </w:r>
          </w:p>
        </w:tc>
        <w:tc>
          <w:tcPr>
            <w:tcW w:w="4741" w:type="pct"/>
            <w:tcBorders>
              <w:tl2br w:val="nil"/>
              <w:tr2bl w:val="nil"/>
            </w:tcBorders>
            <w:vAlign w:val="center"/>
          </w:tcPr>
          <w:p w14:paraId="1BAD7FB3">
            <w:pPr>
              <w:pStyle w:val="53"/>
              <w:widowControl w:val="0"/>
              <w:bidi w:val="0"/>
              <w:adjustRightInd w:val="0"/>
              <w:snapToGrid w:val="0"/>
              <w:ind w:firstLineChars="200"/>
              <w:jc w:val="both"/>
              <w:rPr>
                <w:rFonts w:hint="eastAsia"/>
                <w:b/>
                <w:bCs/>
                <w:color w:val="000000" w:themeColor="text1"/>
                <w:highlight w:val="none"/>
                <w:shd w:val="clear" w:color="auto" w:fill="FFFFFF"/>
                <w:lang w:val="en-US" w:eastAsia="zh-CN"/>
                <w14:textFill>
                  <w14:solidFill>
                    <w14:schemeClr w14:val="tx1"/>
                  </w14:solidFill>
                </w14:textFill>
              </w:rPr>
            </w:pPr>
            <w:r>
              <w:rPr>
                <w:rFonts w:hint="eastAsia"/>
                <w:b/>
                <w:bCs/>
                <w:color w:val="000000" w:themeColor="text1"/>
                <w:highlight w:val="none"/>
                <w:shd w:val="clear" w:color="auto" w:fill="FFFFFF"/>
                <w:lang w:val="en-US" w:eastAsia="zh-CN"/>
                <w14:textFill>
                  <w14:solidFill>
                    <w14:schemeClr w14:val="tx1"/>
                  </w14:solidFill>
                </w14:textFill>
              </w:rPr>
              <w:t>5.8环境管理建议</w:t>
            </w:r>
          </w:p>
          <w:p w14:paraId="393B4F9C">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（1）施工期环境保护管理计划</w:t>
            </w:r>
          </w:p>
          <w:p w14:paraId="30F7F15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施工期环保管理的中心工作是：在抓好工程施工建设的同时，防止和控制施工活动对环境可能造成的污染或破坏，具体内容是：</w:t>
            </w:r>
          </w:p>
          <w:p w14:paraId="01818FA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1）严格落实施工期生态保护措施，制定切实可行的恢复植被计划，控制施工占地面积、规定行车路线、限制人为活动范围。</w:t>
            </w:r>
          </w:p>
          <w:p w14:paraId="6283DC4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制定工程建设过程中的污染防治措施、环保管理措施和实施办法，负责施工过程中的环保工作，督促和检查施工过程中环保措施的执行情况，发现问题，及时解决。</w:t>
            </w:r>
          </w:p>
          <w:p w14:paraId="613C72C3">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负责对施工过程中的污染源管理，合理安排施工机械的运行及施工作业时间，最大限度地减少施工作业产生的噪声、扬尘对环境的影响。</w:t>
            </w:r>
          </w:p>
          <w:p w14:paraId="67F2E88C">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对施工过程中产生的废料、生活垃圾及生活污水等进行集中统一处置，防止对环境造成不利影响。</w:t>
            </w:r>
          </w:p>
          <w:p w14:paraId="0F712E4A">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参与施工作业管理及计划安排，防止施工造成长时间的交通中断、交通堵塞，以及公共服务设施如水、电、气、通讯等的中断。</w:t>
            </w:r>
          </w:p>
          <w:p w14:paraId="77A2CBB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参与施工运输作业的管理，防止运输过程中弃土沿途洒落，影响城市环境卫生及产生二次扬尘。</w:t>
            </w:r>
          </w:p>
          <w:p w14:paraId="0EBA41B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7）施工过</w:t>
            </w:r>
            <w:r>
              <w:rPr>
                <w:rFonts w:hint="eastAsia"/>
                <w:color w:val="000000" w:themeColor="text1"/>
                <w:sz w:val="24"/>
                <w:highlight w:val="none"/>
                <w:lang w:eastAsia="zh-CN"/>
                <w14:textFill>
                  <w14:solidFill>
                    <w14:schemeClr w14:val="tx1"/>
                  </w14:solidFill>
                </w14:textFill>
              </w:rPr>
              <w:t>程中</w:t>
            </w:r>
            <w:r>
              <w:rPr>
                <w:rFonts w:hint="eastAsia"/>
                <w:color w:val="000000" w:themeColor="text1"/>
                <w:sz w:val="24"/>
                <w:highlight w:val="none"/>
                <w14:textFill>
                  <w14:solidFill>
                    <w14:schemeClr w14:val="tx1"/>
                  </w14:solidFill>
                </w14:textFill>
              </w:rPr>
              <w:t>产生的危险废物集中收集后贮存于危险废物贮存点，由专人负责管理。</w:t>
            </w:r>
          </w:p>
          <w:p w14:paraId="041DA32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（2）环境管理任务</w:t>
            </w:r>
          </w:p>
          <w:p w14:paraId="01108D8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施工筹建期</w:t>
            </w:r>
          </w:p>
          <w:p w14:paraId="1E56B67D">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①</w:t>
            </w:r>
            <w:r>
              <w:rPr>
                <w:color w:val="000000" w:themeColor="text1"/>
                <w:sz w:val="24"/>
                <w:highlight w:val="none"/>
                <w14:textFill>
                  <w14:solidFill>
                    <w14:schemeClr w14:val="tx1"/>
                  </w14:solidFill>
                </w14:textFill>
              </w:rPr>
              <w:t>审核工程环境影响评价成果，保证环境影响报告中有关环境保护的措施列入工程最终设计文件。</w:t>
            </w:r>
          </w:p>
          <w:p w14:paraId="49CF4B20">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w:t>
            </w:r>
            <w:r>
              <w:rPr>
                <w:color w:val="000000" w:themeColor="text1"/>
                <w:sz w:val="24"/>
                <w:highlight w:val="none"/>
                <w14:textFill>
                  <w14:solidFill>
                    <w14:schemeClr w14:val="tx1"/>
                  </w14:solidFill>
                </w14:textFill>
              </w:rPr>
              <w:t>根据环境影响报告和环境保护设计报告，负责工程招投标文件及合同文件中相关环境保护条款的编制。</w:t>
            </w:r>
          </w:p>
          <w:p w14:paraId="6A0B8B4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3 \* GB3 \* MERGEFORMAT </w:instrText>
            </w:r>
            <w:r>
              <w:rPr>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③</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筹建环境管理机构，进行环境管理人员培训。</w:t>
            </w:r>
          </w:p>
          <w:p w14:paraId="789CB26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2）施工工区环境管理</w:t>
            </w:r>
          </w:p>
          <w:p w14:paraId="373070D6">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①</w:t>
            </w:r>
            <w:r>
              <w:rPr>
                <w:color w:val="000000" w:themeColor="text1"/>
                <w:sz w:val="24"/>
                <w:highlight w:val="none"/>
                <w14:textFill>
                  <w14:solidFill>
                    <w14:schemeClr w14:val="tx1"/>
                  </w14:solidFill>
                </w14:textFill>
              </w:rPr>
              <w:t>贯彻执行国家有关环境保护方针、政策及法规条例，制订工程环境保护管理具体规定与管理办法。</w:t>
            </w:r>
          </w:p>
          <w:p w14:paraId="5DC76E84">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w:t>
            </w:r>
            <w:r>
              <w:rPr>
                <w:color w:val="000000" w:themeColor="text1"/>
                <w:sz w:val="24"/>
                <w:highlight w:val="none"/>
                <w14:textFill>
                  <w14:solidFill>
                    <w14:schemeClr w14:val="tx1"/>
                  </w14:solidFill>
                </w14:textFill>
              </w:rPr>
              <w:t>按照国家有关环境保护法规和工程的环境保护规定，统一管理施工工区环境保护工作。</w:t>
            </w:r>
          </w:p>
          <w:p w14:paraId="300F5C7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3 \* GB3 \* MERGEFORMAT </w:instrText>
            </w:r>
            <w:r>
              <w:rPr>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③</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编制环境管理工作计划，整编监测资料，建立工程的生态与环境信息库，编制工程年度环境质量报告，并报上级主管部门和地方环保部门。</w:t>
            </w:r>
          </w:p>
          <w:p w14:paraId="1535EEC9">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4 \* GB3 \* MERGEFORMAT </w:instrText>
            </w:r>
            <w:r>
              <w:rPr>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④</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加强环境监测管理，制订环境监测计划，委托有相应资质等级的环境、卫生监测等专业部门开展环境监测工作。</w:t>
            </w:r>
          </w:p>
          <w:p w14:paraId="2BBDB26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5 \* GB3 \* MERGEFORMAT </w:instrText>
            </w:r>
            <w:r>
              <w:rPr>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⑤</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会同地方环保检查、监督工程承包商执行环境保护条款的情况。</w:t>
            </w:r>
          </w:p>
          <w:p w14:paraId="41FBBCE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6 \* GB3 \* MERGEFORMAT </w:instrText>
            </w:r>
            <w:r>
              <w:rPr>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⑥</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负责协调处理工程引起的环境纠纷和环境污染事故。</w:t>
            </w:r>
          </w:p>
          <w:p w14:paraId="2ABCFAA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fldChar w:fldCharType="begin"/>
            </w:r>
            <w:r>
              <w:rPr>
                <w:color w:val="000000" w:themeColor="text1"/>
                <w:sz w:val="24"/>
                <w:highlight w:val="none"/>
                <w14:textFill>
                  <w14:solidFill>
                    <w14:schemeClr w14:val="tx1"/>
                  </w14:solidFill>
                </w14:textFill>
              </w:rPr>
              <w:instrText xml:space="preserve"> = 7 \* GB3 \* MERGEFORMAT </w:instrText>
            </w:r>
            <w:r>
              <w:rPr>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⑦</w:t>
            </w:r>
            <w:r>
              <w:rPr>
                <w:color w:val="000000" w:themeColor="text1"/>
                <w:sz w:val="24"/>
                <w:highlight w:val="none"/>
                <w14:textFill>
                  <w14:solidFill>
                    <w14:schemeClr w14:val="tx1"/>
                  </w14:solidFill>
                </w14:textFill>
              </w:rPr>
              <w:fldChar w:fldCharType="end"/>
            </w:r>
            <w:r>
              <w:rPr>
                <w:color w:val="000000" w:themeColor="text1"/>
                <w:sz w:val="24"/>
                <w:highlight w:val="none"/>
                <w14:textFill>
                  <w14:solidFill>
                    <w14:schemeClr w14:val="tx1"/>
                  </w14:solidFill>
                </w14:textFill>
              </w:rPr>
              <w:t>加强环境保护的宣传教育，负责组织实施环境管理培训工作，提高工程环境管理人员的技术水平。</w:t>
            </w:r>
          </w:p>
          <w:p w14:paraId="45174B9F">
            <w:pPr>
              <w:widowControl w:val="0"/>
              <w:spacing w:line="360" w:lineRule="auto"/>
              <w:ind w:firstLine="480" w:firstLineChars="200"/>
              <w:jc w:val="left"/>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（3）加强生态保护红线管理与环境监管的综合措施</w:t>
            </w:r>
          </w:p>
          <w:p w14:paraId="06B75714">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本项目评价范围不涉及生态保护红线，但仍需加强施工期环境监管，防范扬尘、噪声、废水等对红线区域产生间接不利影响。为此，提出以下环境管理要求：</w:t>
            </w:r>
          </w:p>
          <w:p w14:paraId="4504807F">
            <w:pPr>
              <w:widowControl w:val="0"/>
              <w:spacing w:line="360" w:lineRule="auto"/>
              <w:ind w:firstLine="480" w:firstLineChars="200"/>
              <w:jc w:val="left"/>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①严控施工扰动范围</w:t>
            </w:r>
          </w:p>
          <w:p w14:paraId="08623764">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施工前应利用GPS精确标定项目用地边界，确保所有施工作业、物料堆放及临时设施均布置在用地红线以内。严禁向红线方向倾倒渣土、排放废水或堆置废弃物。</w:t>
            </w:r>
          </w:p>
          <w:p w14:paraId="1468294F">
            <w:pPr>
              <w:widowControl w:val="0"/>
              <w:spacing w:line="360" w:lineRule="auto"/>
              <w:ind w:firstLine="480" w:firstLineChars="200"/>
              <w:jc w:val="left"/>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②加强施工期现场管理</w:t>
            </w:r>
          </w:p>
          <w:p w14:paraId="11386ED2">
            <w:pPr>
              <w:widowControl w:val="0"/>
              <w:spacing w:line="360" w:lineRule="auto"/>
              <w:ind w:firstLine="480" w:firstLineChars="200"/>
              <w:jc w:val="both"/>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施工期间，严格控制扬尘产生量，合理安排施工时间以降低噪声影响，确保废水经处理后回用或达标排放，避免对红线区域造成污染。建立日常巡查制度，发现异常情况（如大风扬尘、设备漏油、废水外溢等）应立即启动应急预案，及时控制污染扩散。</w:t>
            </w:r>
          </w:p>
          <w:p w14:paraId="1A31E0F5">
            <w:pPr>
              <w:widowControl w:val="0"/>
              <w:spacing w:line="360" w:lineRule="auto"/>
              <w:ind w:firstLine="480" w:firstLineChars="200"/>
              <w:jc w:val="left"/>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begin"/>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instrText xml:space="preserve"> </w:instrTex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instrText xml:space="preserve">= 3 \* GB3</w:instrTex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instrText xml:space="preserve"> </w:instrTex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separate"/>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③</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end"/>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落实生态恢复与补偿措施</w:t>
            </w:r>
          </w:p>
          <w:p w14:paraId="27BED2C0">
            <w:pPr>
              <w:spacing w:line="360" w:lineRule="auto"/>
              <w:ind w:firstLine="480" w:firstLineChars="200"/>
              <w:rPr>
                <w:rFonts w:ascii="宋体" w:hAnsi="宋体" w:cs="宋体"/>
                <w:color w:val="000000" w:themeColor="text1"/>
                <w:spacing w:val="-12"/>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施工结束后，应及时对临时占地进行清理、平整和植被恢复，确保恢复后区域与周边生态环境协调。禁止在红线范围内设置取土场、弃渣场或施工便道，维护生态保护红线的完整性和生态功能</w:t>
            </w:r>
            <w:r>
              <w:rPr>
                <w:color w:val="000000" w:themeColor="text1"/>
                <w:sz w:val="24"/>
                <w:highlight w:val="none"/>
                <w14:textFill>
                  <w14:solidFill>
                    <w14:schemeClr w14:val="tx1"/>
                  </w14:solidFill>
                </w14:textFill>
              </w:rPr>
              <w:t>。</w:t>
            </w:r>
          </w:p>
          <w:p w14:paraId="2AC4E35C">
            <w:pPr>
              <w:widowControl w:val="0"/>
              <w:spacing w:line="360" w:lineRule="auto"/>
              <w:ind w:firstLine="480" w:firstLineChars="200"/>
              <w:jc w:val="left"/>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（4）勘探期环境监测</w:t>
            </w:r>
          </w:p>
          <w:p w14:paraId="766C470C">
            <w:pPr>
              <w:widowControl w:val="0"/>
              <w:spacing w:line="360" w:lineRule="auto"/>
              <w:ind w:firstLine="480" w:firstLineChars="200"/>
              <w:jc w:val="left"/>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勘探期环境监测工作委托有资质的监测单位承担。工程施工可能对施工区大气环境、声环境、生态环境产生不利影响。因此，为了对不利影响产生的范围及程度进行调查，需要对其进行监测。本工程因涉及范围较广，但环境影响问题简单，不必设置专门的环境保护机构，但应有专职或兼职管理人员负责环境监测计划的实施。为便于勘探管理及满足工程竣工验收要求，本工程勘探期监测计划见下表。</w:t>
            </w:r>
          </w:p>
          <w:p w14:paraId="3E351CFB">
            <w:pPr>
              <w:widowControl w:val="0"/>
              <w:adjustRightInd w:val="0"/>
              <w:snapToGrid w:val="0"/>
              <w:spacing w:before="156" w:beforeLines="50" w:line="240" w:lineRule="auto"/>
              <w:ind w:firstLine="0" w:firstLineChars="0"/>
              <w:jc w:val="center"/>
              <w:textAlignment w:val="baseline"/>
              <w:rPr>
                <w:rFonts w:hint="default"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pPr>
            <w:r>
              <w:rPr>
                <w:rFonts w:hint="default"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t>表5-</w:t>
            </w:r>
            <w:r>
              <w:rPr>
                <w:rFonts w:hint="eastAsia" w:cs="Times New Roman"/>
                <w:b/>
                <w:snapToGrid w:val="0"/>
                <w:color w:val="000000" w:themeColor="text1"/>
                <w:spacing w:val="6"/>
                <w:kern w:val="0"/>
                <w:sz w:val="21"/>
                <w:szCs w:val="20"/>
                <w:highlight w:val="none"/>
                <w:lang w:val="en-US" w:eastAsia="zh-CN" w:bidi="ar-SA"/>
                <w14:textFill>
                  <w14:solidFill>
                    <w14:schemeClr w14:val="tx1"/>
                  </w14:solidFill>
                </w14:textFill>
              </w:rPr>
              <w:t>1</w:t>
            </w:r>
            <w:r>
              <w:rPr>
                <w:rFonts w:hint="default"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t xml:space="preserve">       勘探期环境监测计划</w:t>
            </w:r>
          </w:p>
          <w:tbl>
            <w:tblPr>
              <w:tblStyle w:val="28"/>
              <w:tblW w:w="4950" w:type="pct"/>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230"/>
              <w:gridCol w:w="1571"/>
              <w:gridCol w:w="2691"/>
              <w:gridCol w:w="1456"/>
            </w:tblGrid>
            <w:tr w14:paraId="502B3A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87" w:type="dxa"/>
                  <w:gridSpan w:val="2"/>
                  <w:tcBorders>
                    <w:tl2br w:val="nil"/>
                    <w:tr2bl w:val="nil"/>
                  </w:tcBorders>
                  <w:noWrap w:val="0"/>
                  <w:vAlign w:val="center"/>
                </w:tcPr>
                <w:p w14:paraId="4BC2D3A1">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bookmarkStart w:id="4" w:name="OLE_LINK59"/>
                  <w:r>
                    <w:rPr>
                      <w:rFonts w:hint="default" w:ascii="Times New Roman" w:hAnsi="Times New Roman" w:eastAsia="华文中宋" w:cs="Times New Roman"/>
                      <w:color w:val="000000" w:themeColor="text1"/>
                      <w:sz w:val="21"/>
                      <w:szCs w:val="21"/>
                      <w:highlight w:val="none"/>
                      <w14:textFill>
                        <w14:solidFill>
                          <w14:schemeClr w14:val="tx1"/>
                        </w14:solidFill>
                      </w14:textFill>
                    </w:rPr>
                    <w:t>监测项目</w:t>
                  </w:r>
                </w:p>
              </w:tc>
              <w:tc>
                <w:tcPr>
                  <w:tcW w:w="1680" w:type="dxa"/>
                  <w:tcBorders>
                    <w:tl2br w:val="nil"/>
                    <w:tr2bl w:val="nil"/>
                  </w:tcBorders>
                  <w:noWrap w:val="0"/>
                  <w:vAlign w:val="center"/>
                </w:tcPr>
                <w:p w14:paraId="44D48B5C">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监测点位</w:t>
                  </w:r>
                </w:p>
              </w:tc>
              <w:tc>
                <w:tcPr>
                  <w:tcW w:w="2887" w:type="dxa"/>
                  <w:tcBorders>
                    <w:tl2br w:val="nil"/>
                    <w:tr2bl w:val="nil"/>
                  </w:tcBorders>
                  <w:noWrap w:val="0"/>
                  <w:vAlign w:val="center"/>
                </w:tcPr>
                <w:p w14:paraId="7515BA78">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监测时间、频率</w:t>
                  </w:r>
                </w:p>
              </w:tc>
              <w:tc>
                <w:tcPr>
                  <w:tcW w:w="1554" w:type="dxa"/>
                  <w:tcBorders>
                    <w:tl2br w:val="nil"/>
                    <w:tr2bl w:val="nil"/>
                  </w:tcBorders>
                  <w:noWrap w:val="0"/>
                  <w:vAlign w:val="center"/>
                </w:tcPr>
                <w:p w14:paraId="0C9F0A63">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实施机构</w:t>
                  </w:r>
                </w:p>
              </w:tc>
            </w:tr>
            <w:tr w14:paraId="2153D4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95" w:type="dxa"/>
                  <w:vMerge w:val="restart"/>
                  <w:tcBorders>
                    <w:tl2br w:val="nil"/>
                    <w:tr2bl w:val="nil"/>
                  </w:tcBorders>
                  <w:noWrap w:val="0"/>
                  <w:vAlign w:val="center"/>
                </w:tcPr>
                <w:p w14:paraId="4AF6976C">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勘探期</w:t>
                  </w:r>
                </w:p>
              </w:tc>
              <w:tc>
                <w:tcPr>
                  <w:tcW w:w="1292" w:type="dxa"/>
                  <w:tcBorders>
                    <w:tl2br w:val="nil"/>
                    <w:tr2bl w:val="nil"/>
                  </w:tcBorders>
                  <w:noWrap w:val="0"/>
                  <w:vAlign w:val="center"/>
                </w:tcPr>
                <w:p w14:paraId="3727286C">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施工噪声</w:t>
                  </w:r>
                </w:p>
              </w:tc>
              <w:tc>
                <w:tcPr>
                  <w:tcW w:w="1680" w:type="dxa"/>
                  <w:tcBorders>
                    <w:tl2br w:val="nil"/>
                    <w:tr2bl w:val="nil"/>
                  </w:tcBorders>
                  <w:noWrap w:val="0"/>
                  <w:vAlign w:val="center"/>
                </w:tcPr>
                <w:p w14:paraId="5E21D8A0">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施工边界</w:t>
                  </w:r>
                </w:p>
              </w:tc>
              <w:tc>
                <w:tcPr>
                  <w:tcW w:w="2887" w:type="dxa"/>
                  <w:tcBorders>
                    <w:tl2br w:val="nil"/>
                    <w:tr2bl w:val="nil"/>
                  </w:tcBorders>
                  <w:noWrap w:val="0"/>
                  <w:vAlign w:val="center"/>
                </w:tcPr>
                <w:p w14:paraId="3D087ABC">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施工期一次，监测昼夜噪声</w:t>
                  </w:r>
                </w:p>
              </w:tc>
              <w:tc>
                <w:tcPr>
                  <w:tcW w:w="1554" w:type="dxa"/>
                  <w:vMerge w:val="restart"/>
                  <w:tcBorders>
                    <w:tl2br w:val="nil"/>
                    <w:tr2bl w:val="nil"/>
                  </w:tcBorders>
                  <w:noWrap w:val="0"/>
                  <w:vAlign w:val="center"/>
                </w:tcPr>
                <w:p w14:paraId="5DEFFBB5">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委托有资质机构监测</w:t>
                  </w:r>
                </w:p>
              </w:tc>
            </w:tr>
            <w:tr w14:paraId="0B2A52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95" w:type="dxa"/>
                  <w:vMerge w:val="continue"/>
                  <w:tcBorders>
                    <w:tl2br w:val="nil"/>
                    <w:tr2bl w:val="nil"/>
                  </w:tcBorders>
                  <w:noWrap w:val="0"/>
                  <w:vAlign w:val="center"/>
                </w:tcPr>
                <w:p w14:paraId="71257BCA">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p>
              </w:tc>
              <w:tc>
                <w:tcPr>
                  <w:tcW w:w="1292" w:type="dxa"/>
                  <w:tcBorders>
                    <w:tl2br w:val="nil"/>
                    <w:tr2bl w:val="nil"/>
                  </w:tcBorders>
                  <w:noWrap w:val="0"/>
                  <w:vAlign w:val="center"/>
                </w:tcPr>
                <w:p w14:paraId="78865BC5">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TSP</w:t>
                  </w:r>
                </w:p>
              </w:tc>
              <w:tc>
                <w:tcPr>
                  <w:tcW w:w="1680" w:type="dxa"/>
                  <w:tcBorders>
                    <w:tl2br w:val="nil"/>
                    <w:tr2bl w:val="nil"/>
                  </w:tcBorders>
                  <w:noWrap w:val="0"/>
                  <w:vAlign w:val="center"/>
                </w:tcPr>
                <w:p w14:paraId="6575DEFD">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项目区下风向</w:t>
                  </w:r>
                </w:p>
              </w:tc>
              <w:tc>
                <w:tcPr>
                  <w:tcW w:w="2887" w:type="dxa"/>
                  <w:tcBorders>
                    <w:tl2br w:val="nil"/>
                    <w:tr2bl w:val="nil"/>
                  </w:tcBorders>
                  <w:noWrap w:val="0"/>
                  <w:vAlign w:val="center"/>
                </w:tcPr>
                <w:p w14:paraId="61DBED4C">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施工期一次</w:t>
                  </w:r>
                </w:p>
              </w:tc>
              <w:tc>
                <w:tcPr>
                  <w:tcW w:w="1554" w:type="dxa"/>
                  <w:vMerge w:val="continue"/>
                  <w:tcBorders>
                    <w:tl2br w:val="nil"/>
                    <w:tr2bl w:val="nil"/>
                  </w:tcBorders>
                  <w:noWrap w:val="0"/>
                  <w:vAlign w:val="center"/>
                </w:tcPr>
                <w:p w14:paraId="454CE6E0">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p>
              </w:tc>
            </w:tr>
            <w:tr w14:paraId="5351B4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95" w:type="dxa"/>
                  <w:vMerge w:val="continue"/>
                  <w:tcBorders>
                    <w:tl2br w:val="nil"/>
                    <w:tr2bl w:val="nil"/>
                  </w:tcBorders>
                  <w:noWrap w:val="0"/>
                  <w:vAlign w:val="center"/>
                </w:tcPr>
                <w:p w14:paraId="49008302">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p>
              </w:tc>
              <w:tc>
                <w:tcPr>
                  <w:tcW w:w="1292" w:type="dxa"/>
                  <w:tcBorders>
                    <w:tl2br w:val="nil"/>
                    <w:tr2bl w:val="nil"/>
                  </w:tcBorders>
                  <w:noWrap w:val="0"/>
                  <w:vAlign w:val="center"/>
                </w:tcPr>
                <w:p w14:paraId="2584B263">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生态环境</w:t>
                  </w:r>
                </w:p>
              </w:tc>
              <w:tc>
                <w:tcPr>
                  <w:tcW w:w="1680" w:type="dxa"/>
                  <w:tcBorders>
                    <w:tl2br w:val="nil"/>
                    <w:tr2bl w:val="nil"/>
                  </w:tcBorders>
                  <w:noWrap w:val="0"/>
                  <w:vAlign w:val="center"/>
                </w:tcPr>
                <w:p w14:paraId="48CA3ECF">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施工平台</w:t>
                  </w:r>
                </w:p>
              </w:tc>
              <w:tc>
                <w:tcPr>
                  <w:tcW w:w="2887" w:type="dxa"/>
                  <w:tcBorders>
                    <w:tl2br w:val="nil"/>
                    <w:tr2bl w:val="nil"/>
                  </w:tcBorders>
                  <w:noWrap w:val="0"/>
                  <w:vAlign w:val="center"/>
                </w:tcPr>
                <w:p w14:paraId="5C04791E">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lang w:val="en-US" w:eastAsia="zh-CN"/>
                      <w14:textFill>
                        <w14:solidFill>
                          <w14:schemeClr w14:val="tx1"/>
                        </w14:solidFill>
                      </w14:textFill>
                    </w:rPr>
                    <w:t>勘查</w:t>
                  </w:r>
                  <w:r>
                    <w:rPr>
                      <w:rFonts w:hint="default" w:ascii="Times New Roman" w:hAnsi="Times New Roman" w:eastAsia="华文中宋" w:cs="Times New Roman"/>
                      <w:color w:val="000000" w:themeColor="text1"/>
                      <w:sz w:val="21"/>
                      <w:szCs w:val="21"/>
                      <w:highlight w:val="none"/>
                      <w14:textFill>
                        <w14:solidFill>
                          <w14:schemeClr w14:val="tx1"/>
                        </w14:solidFill>
                      </w14:textFill>
                    </w:rPr>
                    <w:t>施工期间检查是否超范围取弃土，施工结束后是否进行生态恢复</w:t>
                  </w:r>
                </w:p>
              </w:tc>
              <w:tc>
                <w:tcPr>
                  <w:tcW w:w="1554" w:type="dxa"/>
                  <w:tcBorders>
                    <w:tl2br w:val="nil"/>
                    <w:tr2bl w:val="nil"/>
                  </w:tcBorders>
                  <w:noWrap w:val="0"/>
                  <w:vAlign w:val="center"/>
                </w:tcPr>
                <w:p w14:paraId="0846F76E">
                  <w:pPr>
                    <w:pStyle w:val="86"/>
                    <w:keepNext w:val="0"/>
                    <w:keepLines w:val="0"/>
                    <w:pageBreakBefore w:val="0"/>
                    <w:widowControl w:val="0"/>
                    <w:kinsoku/>
                    <w:wordWrap/>
                    <w:overflowPunct w:val="0"/>
                    <w:topLinePunct/>
                    <w:autoSpaceDE/>
                    <w:autoSpaceDN w:val="0"/>
                    <w:bidi w:val="0"/>
                    <w:adjustRightInd w:val="0"/>
                    <w:snapToGrid w:val="0"/>
                    <w:spacing w:line="240" w:lineRule="auto"/>
                    <w:ind w:firstLine="0" w:firstLineChars="0"/>
                    <w:jc w:val="center"/>
                    <w:textAlignment w:val="auto"/>
                    <w:rPr>
                      <w:rFonts w:hint="default" w:ascii="Times New Roman" w:hAnsi="Times New Roman" w:eastAsia="华文中宋" w:cs="Times New Roman"/>
                      <w:color w:val="000000" w:themeColor="text1"/>
                      <w:sz w:val="21"/>
                      <w:szCs w:val="21"/>
                      <w:highlight w:val="none"/>
                      <w14:textFill>
                        <w14:solidFill>
                          <w14:schemeClr w14:val="tx1"/>
                        </w14:solidFill>
                      </w14:textFill>
                    </w:rPr>
                  </w:pPr>
                  <w:r>
                    <w:rPr>
                      <w:rFonts w:hint="default" w:ascii="Times New Roman" w:hAnsi="Times New Roman" w:eastAsia="华文中宋" w:cs="Times New Roman"/>
                      <w:color w:val="000000" w:themeColor="text1"/>
                      <w:sz w:val="21"/>
                      <w:szCs w:val="21"/>
                      <w:highlight w:val="none"/>
                      <w14:textFill>
                        <w14:solidFill>
                          <w14:schemeClr w14:val="tx1"/>
                        </w14:solidFill>
                      </w14:textFill>
                    </w:rPr>
                    <w:t>建设方</w:t>
                  </w:r>
                </w:p>
              </w:tc>
            </w:tr>
            <w:bookmarkEnd w:id="4"/>
          </w:tbl>
          <w:p w14:paraId="7077F879">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5</w:t>
            </w:r>
            <w:r>
              <w:rPr>
                <w:rFonts w:hint="eastAsia"/>
                <w:color w:val="000000" w:themeColor="text1"/>
                <w:sz w:val="24"/>
                <w:highlight w:val="none"/>
                <w14:textFill>
                  <w14:solidFill>
                    <w14:schemeClr w14:val="tx1"/>
                  </w14:solidFill>
                </w14:textFill>
              </w:rPr>
              <w:t>）勘探期结束后环境管理</w:t>
            </w:r>
          </w:p>
          <w:p w14:paraId="41EDC2CA">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勘探期结束后，各产污设备将停止运行，“三废”等排放也将停止，基本不存在“三废”等污染问题。主要环境问题为探矿造成的生态环境影响。</w:t>
            </w:r>
            <w:r>
              <w:rPr>
                <w:color w:val="000000" w:themeColor="text1"/>
                <w:sz w:val="24"/>
                <w:highlight w:val="none"/>
                <w14:textFill>
                  <w14:solidFill>
                    <w14:schemeClr w14:val="tx1"/>
                  </w14:solidFill>
                </w14:textFill>
              </w:rPr>
              <w:t>服务期满后环境管理具体要求见表</w:t>
            </w:r>
            <w:r>
              <w:rPr>
                <w:rFonts w:hint="eastAsia"/>
                <w:color w:val="000000" w:themeColor="text1"/>
                <w:sz w:val="24"/>
                <w:highlight w:val="none"/>
                <w14:textFill>
                  <w14:solidFill>
                    <w14:schemeClr w14:val="tx1"/>
                  </w14:solidFill>
                </w14:textFill>
              </w:rPr>
              <w:t>5-</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w:t>
            </w:r>
          </w:p>
          <w:p w14:paraId="7E609AB4">
            <w:pPr>
              <w:widowControl w:val="0"/>
              <w:adjustRightInd w:val="0"/>
              <w:snapToGrid w:val="0"/>
              <w:spacing w:before="156" w:beforeLines="50" w:line="240" w:lineRule="auto"/>
              <w:ind w:firstLine="0" w:firstLineChars="0"/>
              <w:jc w:val="center"/>
              <w:textAlignment w:val="baseline"/>
              <w:rPr>
                <w:rFonts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pPr>
            <w:r>
              <w:rPr>
                <w:rFonts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t>表5-</w:t>
            </w:r>
            <w:r>
              <w:rPr>
                <w:rFonts w:hint="eastAsia" w:cs="Times New Roman"/>
                <w:b/>
                <w:snapToGrid w:val="0"/>
                <w:color w:val="000000" w:themeColor="text1"/>
                <w:spacing w:val="6"/>
                <w:kern w:val="0"/>
                <w:sz w:val="21"/>
                <w:szCs w:val="20"/>
                <w:highlight w:val="none"/>
                <w:lang w:val="en-US" w:eastAsia="zh-CN" w:bidi="ar-SA"/>
                <w14:textFill>
                  <w14:solidFill>
                    <w14:schemeClr w14:val="tx1"/>
                  </w14:solidFill>
                </w14:textFill>
              </w:rPr>
              <w:t>2</w:t>
            </w:r>
            <w:r>
              <w:rPr>
                <w:rFonts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t xml:space="preserve">  勘探期结束后环境管理要求</w:t>
            </w:r>
          </w:p>
          <w:tbl>
            <w:tblPr>
              <w:tblStyle w:val="28"/>
              <w:tblW w:w="5000" w:type="pct"/>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43"/>
              <w:gridCol w:w="5246"/>
            </w:tblGrid>
            <w:tr w14:paraId="627FC2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32" w:type="pct"/>
                  <w:tcBorders>
                    <w:tl2br w:val="nil"/>
                    <w:tr2bl w:val="nil"/>
                  </w:tcBorders>
                  <w:shd w:val="clear" w:color="auto" w:fill="auto"/>
                  <w:vAlign w:val="center"/>
                </w:tcPr>
                <w:p w14:paraId="699F2CEA">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环境影响</w:t>
                  </w:r>
                </w:p>
              </w:tc>
              <w:tc>
                <w:tcPr>
                  <w:tcW w:w="3367" w:type="pct"/>
                  <w:tcBorders>
                    <w:tl2br w:val="nil"/>
                    <w:tr2bl w:val="nil"/>
                  </w:tcBorders>
                  <w:shd w:val="clear" w:color="auto" w:fill="auto"/>
                  <w:vAlign w:val="center"/>
                </w:tcPr>
                <w:p w14:paraId="25F7B52C">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环境管理具体要求</w:t>
                  </w:r>
                </w:p>
              </w:tc>
            </w:tr>
            <w:tr w14:paraId="5AC454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32" w:type="pct"/>
                  <w:tcBorders>
                    <w:tl2br w:val="nil"/>
                    <w:tr2bl w:val="nil"/>
                  </w:tcBorders>
                  <w:shd w:val="clear" w:color="auto" w:fill="auto"/>
                  <w:vAlign w:val="center"/>
                </w:tcPr>
                <w:p w14:paraId="612BF06B">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废水、废气、噪声、固废</w:t>
                  </w:r>
                </w:p>
              </w:tc>
              <w:tc>
                <w:tcPr>
                  <w:tcW w:w="3367" w:type="pct"/>
                  <w:tcBorders>
                    <w:tl2br w:val="nil"/>
                    <w:tr2bl w:val="nil"/>
                  </w:tcBorders>
                  <w:shd w:val="clear" w:color="auto" w:fill="auto"/>
                  <w:vAlign w:val="center"/>
                </w:tcPr>
                <w:p w14:paraId="2D9C7CC9">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1</w:t>
                  </w: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对钻孔的封堵情况进行监督管理；</w:t>
                  </w:r>
                </w:p>
                <w:p w14:paraId="5AF9BEDA">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2</w:t>
                  </w: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对场内临时工程的拆除及清理情况进行监督管理；</w:t>
                  </w:r>
                </w:p>
              </w:tc>
            </w:tr>
            <w:tr w14:paraId="1DAAD3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32" w:type="pct"/>
                  <w:tcBorders>
                    <w:tl2br w:val="nil"/>
                    <w:tr2bl w:val="nil"/>
                  </w:tcBorders>
                  <w:shd w:val="clear" w:color="auto" w:fill="auto"/>
                  <w:vAlign w:val="center"/>
                </w:tcPr>
                <w:p w14:paraId="4B78C98E">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生态环境影响</w:t>
                  </w:r>
                </w:p>
              </w:tc>
              <w:tc>
                <w:tcPr>
                  <w:tcW w:w="3367" w:type="pct"/>
                  <w:tcBorders>
                    <w:tl2br w:val="nil"/>
                    <w:tr2bl w:val="nil"/>
                  </w:tcBorders>
                  <w:shd w:val="clear" w:color="auto" w:fill="auto"/>
                  <w:vAlign w:val="center"/>
                </w:tcPr>
                <w:p w14:paraId="39321010">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1）对场地生态恢复措施落实情况进行监督管理；</w:t>
                  </w:r>
                </w:p>
                <w:p w14:paraId="12AC49AE">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2</w:t>
                  </w: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在勘探期满前的1~2年内落实建闭坑计划的编制情况；</w:t>
                  </w:r>
                </w:p>
                <w:p w14:paraId="3043655F">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3）严格按照土地复垦要求，对勘查区复垦情况进行监督管理；</w:t>
                  </w:r>
                </w:p>
              </w:tc>
            </w:tr>
            <w:tr w14:paraId="5C6CB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32" w:type="pct"/>
                  <w:tcBorders>
                    <w:tl2br w:val="nil"/>
                    <w:tr2bl w:val="nil"/>
                  </w:tcBorders>
                  <w:shd w:val="clear" w:color="auto" w:fill="auto"/>
                  <w:vAlign w:val="center"/>
                </w:tcPr>
                <w:p w14:paraId="5187E423">
                  <w:pPr>
                    <w:widowControl w:val="0"/>
                    <w:tabs>
                      <w:tab w:val="left" w:pos="5400"/>
                    </w:tabs>
                    <w:adjustRightInd w:val="0"/>
                    <w:spacing w:line="240" w:lineRule="auto"/>
                    <w:ind w:firstLine="0" w:firstLineChars="0"/>
                    <w:jc w:val="center"/>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文物保护</w:t>
                  </w:r>
                </w:p>
              </w:tc>
              <w:tc>
                <w:tcPr>
                  <w:tcW w:w="3367" w:type="pct"/>
                  <w:tcBorders>
                    <w:tl2br w:val="nil"/>
                    <w:tr2bl w:val="nil"/>
                  </w:tcBorders>
                  <w:shd w:val="clear" w:color="auto" w:fill="auto"/>
                  <w:vAlign w:val="center"/>
                </w:tcPr>
                <w:p w14:paraId="62B0BF76">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1）施工前组织文物保护专项培训；</w:t>
                  </w:r>
                </w:p>
                <w:p w14:paraId="5AD5CCBC">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2</w:t>
                  </w:r>
                  <w:r>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施工期间安排专人负责文物监护；</w:t>
                  </w:r>
                </w:p>
                <w:p w14:paraId="525E315E">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3）发现文物立即停工、保护现场、2小时内报告当地文物部门；</w:t>
                  </w:r>
                </w:p>
                <w:p w14:paraId="24B31800">
                  <w:pPr>
                    <w:widowControl w:val="0"/>
                    <w:tabs>
                      <w:tab w:val="left" w:pos="5400"/>
                    </w:tabs>
                    <w:adjustRightInd w:val="0"/>
                    <w:spacing w:line="240" w:lineRule="auto"/>
                    <w:ind w:firstLine="0" w:firstLineChars="0"/>
                    <w:jc w:val="both"/>
                    <w:textAlignment w:val="baseline"/>
                    <w:rPr>
                      <w:rFonts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4）配合文物部门</w:t>
                  </w:r>
                  <w:r>
                    <w:rPr>
                      <w:rFonts w:ascii="Helvetica" w:hAnsi="Helvetica" w:eastAsia="宋体" w:cs="Helvetica"/>
                      <w:iCs/>
                      <w:color w:val="000000" w:themeColor="text1"/>
                      <w:spacing w:val="-6"/>
                      <w:kern w:val="0"/>
                      <w:sz w:val="21"/>
                      <w:szCs w:val="21"/>
                      <w:highlight w:val="none"/>
                      <w:shd w:val="clear" w:color="auto" w:fill="FFFFFF"/>
                      <w:lang w:val="en-US" w:eastAsia="zh-CN" w:bidi="ar-SA"/>
                      <w14:textFill>
                        <w14:solidFill>
                          <w14:schemeClr w14:val="tx1"/>
                        </w14:solidFill>
                      </w14:textFill>
                    </w:rPr>
                    <w:t>现场勘查</w:t>
                  </w:r>
                  <w:r>
                    <w:rPr>
                      <w:rFonts w:hint="eastAsia" w:ascii="Times New Roman" w:hAnsi="Times New Roman" w:eastAsia="宋体" w:cs="Times New Roman"/>
                      <w:iCs/>
                      <w:color w:val="000000" w:themeColor="text1"/>
                      <w:spacing w:val="-6"/>
                      <w:kern w:val="0"/>
                      <w:sz w:val="21"/>
                      <w:szCs w:val="21"/>
                      <w:highlight w:val="none"/>
                      <w:lang w:val="en-US" w:eastAsia="zh-CN" w:bidi="ar-SA"/>
                      <w14:textFill>
                        <w14:solidFill>
                          <w14:schemeClr w14:val="tx1"/>
                        </w14:solidFill>
                      </w14:textFill>
                    </w:rPr>
                    <w:t>及后续处置；</w:t>
                  </w:r>
                </w:p>
              </w:tc>
            </w:tr>
          </w:tbl>
          <w:p w14:paraId="13955C9C">
            <w:pPr>
              <w:spacing w:line="360" w:lineRule="auto"/>
              <w:ind w:firstLine="480" w:firstLineChars="200"/>
              <w:rPr>
                <w:color w:val="000000" w:themeColor="text1"/>
                <w:sz w:val="24"/>
                <w:highlight w:val="none"/>
                <w14:textFill>
                  <w14:solidFill>
                    <w14:schemeClr w14:val="tx1"/>
                  </w14:solidFill>
                </w14:textFill>
              </w:rPr>
            </w:pPr>
          </w:p>
        </w:tc>
      </w:tr>
      <w:tr w14:paraId="1FE1BF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46" w:hRule="atLeast"/>
          <w:jc w:val="center"/>
        </w:trPr>
        <w:tc>
          <w:tcPr>
            <w:tcW w:w="258" w:type="pct"/>
            <w:tcBorders>
              <w:tl2br w:val="nil"/>
              <w:tr2bl w:val="nil"/>
            </w:tcBorders>
            <w:tcMar>
              <w:left w:w="28" w:type="dxa"/>
              <w:right w:w="28" w:type="dxa"/>
            </w:tcMar>
            <w:vAlign w:val="center"/>
          </w:tcPr>
          <w:p w14:paraId="1B70BC26">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环保</w:t>
            </w:r>
          </w:p>
          <w:p w14:paraId="68AAE84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8"/>
                <w:highlight w:val="none"/>
                <w:lang w:val="en-US" w:eastAsia="zh-CN" w:bidi="ar-SA"/>
                <w14:textFill>
                  <w14:solidFill>
                    <w14:schemeClr w14:val="tx1"/>
                  </w14:solidFill>
                </w14:textFill>
              </w:rPr>
              <w:t>投资</w:t>
            </w:r>
          </w:p>
        </w:tc>
        <w:tc>
          <w:tcPr>
            <w:tcW w:w="4741" w:type="pct"/>
            <w:tcBorders>
              <w:tl2br w:val="nil"/>
              <w:tr2bl w:val="nil"/>
            </w:tcBorders>
            <w:vAlign w:val="center"/>
          </w:tcPr>
          <w:p w14:paraId="7472A2B3">
            <w:pPr>
              <w:spacing w:line="360" w:lineRule="auto"/>
              <w:ind w:firstLine="480" w:firstLineChars="200"/>
              <w:rPr>
                <w:b/>
                <w:bCs/>
                <w:color w:val="000000" w:themeColor="text1"/>
                <w:sz w:val="24"/>
                <w:szCs w:val="32"/>
                <w:highlight w:val="none"/>
                <w14:textFill>
                  <w14:solidFill>
                    <w14:schemeClr w14:val="tx1"/>
                  </w14:solidFill>
                </w14:textFill>
              </w:rPr>
            </w:pPr>
            <w:r>
              <w:rPr>
                <w:color w:val="000000" w:themeColor="text1"/>
                <w:sz w:val="24"/>
                <w:highlight w:val="none"/>
                <w14:textFill>
                  <w14:solidFill>
                    <w14:schemeClr w14:val="tx1"/>
                  </w14:solidFill>
                </w14:textFill>
              </w:rPr>
              <w:t>项目环境保护投资总计</w:t>
            </w:r>
            <w:r>
              <w:rPr>
                <w:rFonts w:hint="eastAsia"/>
                <w:color w:val="000000" w:themeColor="text1"/>
                <w:sz w:val="24"/>
                <w:highlight w:val="none"/>
                <w:lang w:val="en-US" w:eastAsia="zh-CN"/>
                <w14:textFill>
                  <w14:solidFill>
                    <w14:schemeClr w14:val="tx1"/>
                  </w14:solidFill>
                </w14:textFill>
              </w:rPr>
              <w:t>48</w:t>
            </w:r>
            <w:r>
              <w:rPr>
                <w:color w:val="000000" w:themeColor="text1"/>
                <w:sz w:val="24"/>
                <w:highlight w:val="none"/>
                <w14:textFill>
                  <w14:solidFill>
                    <w14:schemeClr w14:val="tx1"/>
                  </w14:solidFill>
                </w14:textFill>
              </w:rPr>
              <w:t>万元，占总投资</w:t>
            </w:r>
            <w:r>
              <w:rPr>
                <w:rFonts w:hint="eastAsia"/>
                <w:color w:val="000000" w:themeColor="text1"/>
                <w:kern w:val="24"/>
                <w:sz w:val="24"/>
                <w:highlight w:val="none"/>
                <w:lang w:val="en-US" w:eastAsia="zh-CN"/>
                <w14:textFill>
                  <w14:solidFill>
                    <w14:schemeClr w14:val="tx1"/>
                  </w14:solidFill>
                </w14:textFill>
              </w:rPr>
              <w:t>550</w:t>
            </w:r>
            <w:r>
              <w:rPr>
                <w:color w:val="000000" w:themeColor="text1"/>
                <w:sz w:val="24"/>
                <w:highlight w:val="none"/>
                <w14:textFill>
                  <w14:solidFill>
                    <w14:schemeClr w14:val="tx1"/>
                  </w14:solidFill>
                </w14:textFill>
              </w:rPr>
              <w:t>万元的</w:t>
            </w:r>
            <w:r>
              <w:rPr>
                <w:rFonts w:hint="eastAsia"/>
                <w:color w:val="000000" w:themeColor="text1"/>
                <w:sz w:val="24"/>
                <w:highlight w:val="none"/>
                <w:lang w:val="en-US" w:eastAsia="zh-CN"/>
                <w14:textFill>
                  <w14:solidFill>
                    <w14:schemeClr w14:val="tx1"/>
                  </w14:solidFill>
                </w14:textFill>
              </w:rPr>
              <w:t>8.73</w:t>
            </w:r>
            <w:r>
              <w:rPr>
                <w:color w:val="000000" w:themeColor="text1"/>
                <w:sz w:val="24"/>
                <w:highlight w:val="none"/>
                <w14:textFill>
                  <w14:solidFill>
                    <w14:schemeClr w14:val="tx1"/>
                  </w14:solidFill>
                </w14:textFill>
              </w:rPr>
              <w:t>%，项目环保措施及投资见</w:t>
            </w:r>
            <w:r>
              <w:rPr>
                <w:rFonts w:hint="eastAsia"/>
                <w:color w:val="000000" w:themeColor="text1"/>
                <w:sz w:val="24"/>
                <w:highlight w:val="none"/>
                <w14:textFill>
                  <w14:solidFill>
                    <w14:schemeClr w14:val="tx1"/>
                  </w14:solidFill>
                </w14:textFill>
              </w:rPr>
              <w:t>下表。</w:t>
            </w:r>
          </w:p>
          <w:p w14:paraId="05214934">
            <w:pPr>
              <w:widowControl w:val="0"/>
              <w:adjustRightInd w:val="0"/>
              <w:snapToGrid w:val="0"/>
              <w:spacing w:before="156" w:beforeLines="50" w:line="240" w:lineRule="auto"/>
              <w:ind w:firstLine="0" w:firstLineChars="0"/>
              <w:jc w:val="center"/>
              <w:textAlignment w:val="baseline"/>
              <w:rPr>
                <w:rFonts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pPr>
            <w:r>
              <w:rPr>
                <w:rFonts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t>表5-</w:t>
            </w:r>
            <w:r>
              <w:rPr>
                <w:rFonts w:hint="eastAsia" w:cs="Times New Roman"/>
                <w:b/>
                <w:snapToGrid w:val="0"/>
                <w:color w:val="000000" w:themeColor="text1"/>
                <w:spacing w:val="6"/>
                <w:kern w:val="0"/>
                <w:sz w:val="21"/>
                <w:szCs w:val="20"/>
                <w:highlight w:val="none"/>
                <w:lang w:val="en-US" w:eastAsia="zh-CN" w:bidi="ar-SA"/>
                <w14:textFill>
                  <w14:solidFill>
                    <w14:schemeClr w14:val="tx1"/>
                  </w14:solidFill>
                </w14:textFill>
              </w:rPr>
              <w:t>3</w:t>
            </w:r>
            <w:r>
              <w:rPr>
                <w:rFonts w:ascii="Times New Roman" w:hAnsi="Times New Roman" w:eastAsia="宋体" w:cs="Times New Roman"/>
                <w:b/>
                <w:snapToGrid w:val="0"/>
                <w:color w:val="000000" w:themeColor="text1"/>
                <w:spacing w:val="6"/>
                <w:kern w:val="0"/>
                <w:sz w:val="21"/>
                <w:szCs w:val="20"/>
                <w:highlight w:val="none"/>
                <w:lang w:val="en-US" w:eastAsia="zh-CN" w:bidi="ar-SA"/>
                <w14:textFill>
                  <w14:solidFill>
                    <w14:schemeClr w14:val="tx1"/>
                  </w14:solidFill>
                </w14:textFill>
              </w:rPr>
              <w:t xml:space="preserve">  环保措施及投资估算一览表</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28" w:type="dxa"/>
                <w:bottom w:w="57" w:type="dxa"/>
                <w:right w:w="28" w:type="dxa"/>
              </w:tblCellMar>
            </w:tblPr>
            <w:tblGrid>
              <w:gridCol w:w="491"/>
              <w:gridCol w:w="1141"/>
              <w:gridCol w:w="5212"/>
              <w:gridCol w:w="942"/>
            </w:tblGrid>
            <w:tr w14:paraId="15BE5F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593" w:hRule="atLeast"/>
                <w:tblHeader/>
                <w:jc w:val="center"/>
              </w:trPr>
              <w:tc>
                <w:tcPr>
                  <w:tcW w:w="1048" w:type="pct"/>
                  <w:gridSpan w:val="2"/>
                  <w:tcBorders>
                    <w:tl2br w:val="nil"/>
                    <w:tr2bl w:val="nil"/>
                  </w:tcBorders>
                  <w:tcMar>
                    <w:top w:w="57" w:type="dxa"/>
                    <w:bottom w:w="57" w:type="dxa"/>
                  </w:tcMar>
                  <w:vAlign w:val="center"/>
                </w:tcPr>
                <w:p w14:paraId="7FC327FA">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项目</w:t>
                  </w:r>
                </w:p>
              </w:tc>
              <w:tc>
                <w:tcPr>
                  <w:tcW w:w="3347" w:type="pct"/>
                  <w:tcBorders>
                    <w:tl2br w:val="nil"/>
                    <w:tr2bl w:val="nil"/>
                  </w:tcBorders>
                  <w:tcMar>
                    <w:top w:w="57" w:type="dxa"/>
                    <w:bottom w:w="57" w:type="dxa"/>
                  </w:tcMar>
                  <w:vAlign w:val="center"/>
                </w:tcPr>
                <w:p w14:paraId="700E06B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环保措施</w:t>
                  </w:r>
                </w:p>
              </w:tc>
              <w:tc>
                <w:tcPr>
                  <w:tcW w:w="605" w:type="pct"/>
                  <w:tcBorders>
                    <w:tl2br w:val="nil"/>
                    <w:tr2bl w:val="nil"/>
                  </w:tcBorders>
                  <w:tcMar>
                    <w:top w:w="57" w:type="dxa"/>
                    <w:bottom w:w="57" w:type="dxa"/>
                  </w:tcMar>
                  <w:vAlign w:val="center"/>
                </w:tcPr>
                <w:p w14:paraId="1E30887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环保费用</w:t>
                  </w: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（万元）</w:t>
                  </w:r>
                </w:p>
              </w:tc>
            </w:tr>
            <w:tr w14:paraId="6A9CCB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112" w:hRule="atLeast"/>
                <w:jc w:val="center"/>
              </w:trPr>
              <w:tc>
                <w:tcPr>
                  <w:tcW w:w="315" w:type="pct"/>
                  <w:vMerge w:val="restart"/>
                  <w:tcBorders>
                    <w:tl2br w:val="nil"/>
                    <w:tr2bl w:val="nil"/>
                  </w:tcBorders>
                  <w:tcMar>
                    <w:top w:w="57" w:type="dxa"/>
                    <w:bottom w:w="57" w:type="dxa"/>
                  </w:tcMar>
                  <w:vAlign w:val="center"/>
                </w:tcPr>
                <w:p w14:paraId="1A2D403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废气</w:t>
                  </w:r>
                </w:p>
              </w:tc>
              <w:tc>
                <w:tcPr>
                  <w:tcW w:w="733" w:type="pct"/>
                  <w:tcBorders>
                    <w:tl2br w:val="nil"/>
                    <w:tr2bl w:val="nil"/>
                  </w:tcBorders>
                  <w:vAlign w:val="center"/>
                </w:tcPr>
                <w:p w14:paraId="0AF469AF">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扬尘</w:t>
                  </w:r>
                </w:p>
              </w:tc>
              <w:tc>
                <w:tcPr>
                  <w:tcW w:w="3347" w:type="pct"/>
                  <w:tcBorders>
                    <w:tl2br w:val="nil"/>
                    <w:tr2bl w:val="nil"/>
                  </w:tcBorders>
                  <w:tcMar>
                    <w:top w:w="57" w:type="dxa"/>
                    <w:bottom w:w="57" w:type="dxa"/>
                  </w:tcMar>
                  <w:vAlign w:val="center"/>
                </w:tcPr>
                <w:p w14:paraId="698E673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土石方采用防尘网或篷布覆盖，运输车辆限速行驶，并洒水降尘</w:t>
                  </w:r>
                </w:p>
              </w:tc>
              <w:tc>
                <w:tcPr>
                  <w:tcW w:w="605" w:type="pct"/>
                  <w:tcBorders>
                    <w:tl2br w:val="nil"/>
                    <w:tr2bl w:val="nil"/>
                  </w:tcBorders>
                  <w:tcMar>
                    <w:top w:w="57" w:type="dxa"/>
                    <w:bottom w:w="57" w:type="dxa"/>
                  </w:tcMar>
                  <w:vAlign w:val="center"/>
                </w:tcPr>
                <w:p w14:paraId="08C708B7">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3</w:t>
                  </w:r>
                </w:p>
              </w:tc>
            </w:tr>
            <w:tr w14:paraId="166AB9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134" w:hRule="atLeast"/>
                <w:jc w:val="center"/>
              </w:trPr>
              <w:tc>
                <w:tcPr>
                  <w:tcW w:w="315" w:type="pct"/>
                  <w:vMerge w:val="continue"/>
                  <w:tcBorders>
                    <w:tl2br w:val="nil"/>
                    <w:tr2bl w:val="nil"/>
                  </w:tcBorders>
                  <w:tcMar>
                    <w:top w:w="57" w:type="dxa"/>
                    <w:bottom w:w="57" w:type="dxa"/>
                  </w:tcMar>
                  <w:vAlign w:val="center"/>
                </w:tcPr>
                <w:p w14:paraId="438DC40B">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p>
              </w:tc>
              <w:tc>
                <w:tcPr>
                  <w:tcW w:w="733" w:type="pct"/>
                  <w:tcBorders>
                    <w:tl2br w:val="nil"/>
                    <w:tr2bl w:val="nil"/>
                  </w:tcBorders>
                  <w:vAlign w:val="center"/>
                </w:tcPr>
                <w:p w14:paraId="26E69FA6">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燃油废气</w:t>
                  </w:r>
                </w:p>
              </w:tc>
              <w:tc>
                <w:tcPr>
                  <w:tcW w:w="3347" w:type="pct"/>
                  <w:tcBorders>
                    <w:tl2br w:val="nil"/>
                    <w:tr2bl w:val="nil"/>
                  </w:tcBorders>
                  <w:tcMar>
                    <w:top w:w="57" w:type="dxa"/>
                    <w:bottom w:w="57" w:type="dxa"/>
                  </w:tcMar>
                  <w:vAlign w:val="center"/>
                </w:tcPr>
                <w:p w14:paraId="64E3580D">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对柴油发电机及运输车辆定期维护保养，使用正品燃油，减少尾气排放</w:t>
                  </w:r>
                </w:p>
              </w:tc>
              <w:tc>
                <w:tcPr>
                  <w:tcW w:w="605" w:type="pct"/>
                  <w:tcBorders>
                    <w:tl2br w:val="nil"/>
                    <w:tr2bl w:val="nil"/>
                  </w:tcBorders>
                  <w:tcMar>
                    <w:top w:w="57" w:type="dxa"/>
                    <w:bottom w:w="57" w:type="dxa"/>
                  </w:tcMar>
                  <w:vAlign w:val="center"/>
                </w:tcPr>
                <w:p w14:paraId="02C963EA">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5</w:t>
                  </w:r>
                </w:p>
              </w:tc>
            </w:tr>
            <w:tr w14:paraId="34F889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51" w:hRule="atLeast"/>
                <w:jc w:val="center"/>
              </w:trPr>
              <w:tc>
                <w:tcPr>
                  <w:tcW w:w="315" w:type="pct"/>
                  <w:vMerge w:val="restart"/>
                  <w:tcBorders>
                    <w:tl2br w:val="nil"/>
                    <w:tr2bl w:val="nil"/>
                  </w:tcBorders>
                  <w:tcMar>
                    <w:top w:w="57" w:type="dxa"/>
                    <w:bottom w:w="57" w:type="dxa"/>
                  </w:tcMar>
                  <w:vAlign w:val="center"/>
                </w:tcPr>
                <w:p w14:paraId="407DB0BD">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废水</w:t>
                  </w:r>
                </w:p>
              </w:tc>
              <w:tc>
                <w:tcPr>
                  <w:tcW w:w="733" w:type="pct"/>
                  <w:tcBorders>
                    <w:tl2br w:val="nil"/>
                    <w:tr2bl w:val="nil"/>
                  </w:tcBorders>
                  <w:vAlign w:val="center"/>
                </w:tcPr>
                <w:p w14:paraId="0FF07E70">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钻探废水</w:t>
                  </w:r>
                </w:p>
              </w:tc>
              <w:tc>
                <w:tcPr>
                  <w:tcW w:w="3347" w:type="pct"/>
                  <w:tcBorders>
                    <w:tl2br w:val="nil"/>
                    <w:tr2bl w:val="nil"/>
                  </w:tcBorders>
                  <w:tcMar>
                    <w:top w:w="57" w:type="dxa"/>
                    <w:bottom w:w="57" w:type="dxa"/>
                  </w:tcMar>
                  <w:vAlign w:val="center"/>
                </w:tcPr>
                <w:p w14:paraId="1149C078">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每个钻孔设置一座循环沉淀池（</w:t>
                  </w: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30</w:t>
                  </w: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m</w:t>
                  </w:r>
                  <w:r>
                    <w:rPr>
                      <w:rFonts w:ascii="Times New Roman" w:hAnsi="Times New Roman" w:eastAsia="宋体" w:cs="Times New Roman"/>
                      <w:color w:val="000000" w:themeColor="text1"/>
                      <w:kern w:val="2"/>
                      <w:sz w:val="21"/>
                      <w:szCs w:val="22"/>
                      <w:highlight w:val="none"/>
                      <w:vertAlign w:val="superscript"/>
                      <w:lang w:val="en-US" w:eastAsia="zh-CN" w:bidi="ar-SA"/>
                      <w14:textFill>
                        <w14:solidFill>
                          <w14:schemeClr w14:val="tx1"/>
                        </w14:solidFill>
                      </w14:textFill>
                    </w:rPr>
                    <w:t>3</w:t>
                  </w: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），采用防渗膜塑料布及支架组装，循环使用</w:t>
                  </w:r>
                </w:p>
              </w:tc>
              <w:tc>
                <w:tcPr>
                  <w:tcW w:w="605" w:type="pct"/>
                  <w:tcBorders>
                    <w:tl2br w:val="nil"/>
                    <w:tr2bl w:val="nil"/>
                  </w:tcBorders>
                  <w:tcMar>
                    <w:top w:w="57" w:type="dxa"/>
                    <w:bottom w:w="57" w:type="dxa"/>
                  </w:tcMar>
                  <w:vAlign w:val="center"/>
                </w:tcPr>
                <w:p w14:paraId="064AC58A">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5</w:t>
                  </w:r>
                </w:p>
              </w:tc>
            </w:tr>
            <w:tr w14:paraId="4444C3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90" w:hRule="atLeast"/>
                <w:jc w:val="center"/>
              </w:trPr>
              <w:tc>
                <w:tcPr>
                  <w:tcW w:w="315" w:type="pct"/>
                  <w:vMerge w:val="continue"/>
                  <w:tcBorders>
                    <w:tl2br w:val="nil"/>
                    <w:tr2bl w:val="nil"/>
                  </w:tcBorders>
                  <w:tcMar>
                    <w:top w:w="57" w:type="dxa"/>
                    <w:bottom w:w="57" w:type="dxa"/>
                  </w:tcMar>
                  <w:vAlign w:val="center"/>
                </w:tcPr>
                <w:p w14:paraId="32619FD0">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p>
              </w:tc>
              <w:tc>
                <w:tcPr>
                  <w:tcW w:w="733" w:type="pct"/>
                  <w:tcBorders>
                    <w:tl2br w:val="nil"/>
                    <w:tr2bl w:val="nil"/>
                  </w:tcBorders>
                  <w:vAlign w:val="center"/>
                </w:tcPr>
                <w:p w14:paraId="75A9301A">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生活废水</w:t>
                  </w:r>
                </w:p>
              </w:tc>
              <w:tc>
                <w:tcPr>
                  <w:tcW w:w="3347" w:type="pct"/>
                  <w:tcBorders>
                    <w:tl2br w:val="nil"/>
                    <w:tr2bl w:val="nil"/>
                  </w:tcBorders>
                  <w:tcMar>
                    <w:top w:w="57" w:type="dxa"/>
                    <w:bottom w:w="57" w:type="dxa"/>
                  </w:tcMar>
                  <w:vAlign w:val="center"/>
                </w:tcPr>
                <w:p w14:paraId="5C813A40">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生活污水</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排</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入一体化污水处理</w:t>
                  </w: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设备</w:t>
                  </w: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处理达标后，用于</w:t>
                  </w:r>
                  <w:r>
                    <w:rPr>
                      <w:rFonts w:hint="eastAsia" w:cs="Times New Roman"/>
                      <w:color w:val="000000" w:themeColor="text1"/>
                      <w:kern w:val="2"/>
                      <w:sz w:val="21"/>
                      <w:szCs w:val="22"/>
                      <w:highlight w:val="none"/>
                      <w:lang w:val="en-US" w:eastAsia="zh-CN" w:bidi="ar-SA"/>
                      <w14:textFill>
                        <w14:solidFill>
                          <w14:schemeClr w14:val="tx1"/>
                        </w14:solidFill>
                      </w14:textFill>
                    </w:rPr>
                    <w:t>草地生态恢复回用</w:t>
                  </w:r>
                </w:p>
              </w:tc>
              <w:tc>
                <w:tcPr>
                  <w:tcW w:w="605" w:type="pct"/>
                  <w:tcBorders>
                    <w:tl2br w:val="nil"/>
                    <w:tr2bl w:val="nil"/>
                  </w:tcBorders>
                  <w:tcMar>
                    <w:top w:w="57" w:type="dxa"/>
                    <w:bottom w:w="57" w:type="dxa"/>
                  </w:tcMar>
                  <w:vAlign w:val="center"/>
                </w:tcPr>
                <w:p w14:paraId="0B564CB6">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1</w:t>
                  </w:r>
                </w:p>
              </w:tc>
            </w:tr>
            <w:tr w14:paraId="405605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23" w:hRule="atLeast"/>
                <w:jc w:val="center"/>
              </w:trPr>
              <w:tc>
                <w:tcPr>
                  <w:tcW w:w="315" w:type="pct"/>
                  <w:tcBorders>
                    <w:tl2br w:val="nil"/>
                    <w:tr2bl w:val="nil"/>
                  </w:tcBorders>
                  <w:tcMar>
                    <w:top w:w="57" w:type="dxa"/>
                    <w:bottom w:w="57" w:type="dxa"/>
                  </w:tcMar>
                  <w:vAlign w:val="center"/>
                </w:tcPr>
                <w:p w14:paraId="70C71FDD">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噪声</w:t>
                  </w:r>
                </w:p>
              </w:tc>
              <w:tc>
                <w:tcPr>
                  <w:tcW w:w="733" w:type="pct"/>
                  <w:tcBorders>
                    <w:tl2br w:val="nil"/>
                    <w:tr2bl w:val="nil"/>
                  </w:tcBorders>
                  <w:vAlign w:val="center"/>
                </w:tcPr>
                <w:p w14:paraId="675DA5C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机械噪声</w:t>
                  </w:r>
                </w:p>
              </w:tc>
              <w:tc>
                <w:tcPr>
                  <w:tcW w:w="3347" w:type="pct"/>
                  <w:tcBorders>
                    <w:tl2br w:val="nil"/>
                    <w:tr2bl w:val="nil"/>
                  </w:tcBorders>
                  <w:tcMar>
                    <w:top w:w="57" w:type="dxa"/>
                    <w:bottom w:w="57" w:type="dxa"/>
                  </w:tcMar>
                  <w:vAlign w:val="center"/>
                </w:tcPr>
                <w:p w14:paraId="6D336DC9">
                  <w:pPr>
                    <w:widowControl w:val="0"/>
                    <w:spacing w:line="240" w:lineRule="auto"/>
                    <w:ind w:left="0" w:firstLine="0" w:firstLineChars="0"/>
                    <w:contextualSpacing/>
                    <w:jc w:val="both"/>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采用低噪声设备，加强对运输车辆、钻机、柴油发电机设备的维护保养工作，保持其良好工况；空压机、钻机进行基础减震，空压机进行隔声，能减小噪声传播</w:t>
                  </w:r>
                </w:p>
              </w:tc>
              <w:tc>
                <w:tcPr>
                  <w:tcW w:w="605" w:type="pct"/>
                  <w:tcBorders>
                    <w:tl2br w:val="nil"/>
                    <w:tr2bl w:val="nil"/>
                  </w:tcBorders>
                  <w:tcMar>
                    <w:top w:w="57" w:type="dxa"/>
                    <w:bottom w:w="57" w:type="dxa"/>
                  </w:tcMar>
                  <w:vAlign w:val="center"/>
                </w:tcPr>
                <w:p w14:paraId="4D3C128B">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1</w:t>
                  </w:r>
                </w:p>
              </w:tc>
            </w:tr>
            <w:tr w14:paraId="1616B1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1774" w:hRule="atLeast"/>
                <w:jc w:val="center"/>
              </w:trPr>
              <w:tc>
                <w:tcPr>
                  <w:tcW w:w="1048" w:type="pct"/>
                  <w:gridSpan w:val="2"/>
                  <w:tcBorders>
                    <w:tl2br w:val="nil"/>
                    <w:tr2bl w:val="nil"/>
                  </w:tcBorders>
                  <w:tcMar>
                    <w:top w:w="57" w:type="dxa"/>
                    <w:bottom w:w="57" w:type="dxa"/>
                  </w:tcMar>
                  <w:vAlign w:val="center"/>
                </w:tcPr>
                <w:p w14:paraId="0C3CFBB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固体废物</w:t>
                  </w:r>
                </w:p>
              </w:tc>
              <w:tc>
                <w:tcPr>
                  <w:tcW w:w="3347" w:type="pct"/>
                  <w:tcBorders>
                    <w:tl2br w:val="nil"/>
                    <w:tr2bl w:val="nil"/>
                  </w:tcBorders>
                  <w:tcMar>
                    <w:top w:w="57" w:type="dxa"/>
                    <w:bottom w:w="57" w:type="dxa"/>
                  </w:tcMar>
                  <w:vAlign w:val="center"/>
                </w:tcPr>
                <w:p w14:paraId="66C7E6D2">
                  <w:pPr>
                    <w:widowControl w:val="0"/>
                    <w:spacing w:line="240" w:lineRule="auto"/>
                    <w:ind w:left="0" w:firstLine="0" w:firstLineChars="0"/>
                    <w:contextualSpacing/>
                    <w:jc w:val="both"/>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表土单独堆存并分层回填用于复垦，废石优先回填利用，剩余妥善处置，不随意弃置；钻探岩屑人工回填；钻井泥浆固化</w:t>
                  </w:r>
                  <w:r>
                    <w:rPr>
                      <w:rFonts w:hint="eastAsia" w:cs="Times New Roman"/>
                      <w:color w:val="000000" w:themeColor="text1"/>
                      <w:kern w:val="2"/>
                      <w:sz w:val="21"/>
                      <w:szCs w:val="22"/>
                      <w:highlight w:val="none"/>
                      <w:lang w:val="en-US" w:eastAsia="zh-CN" w:bidi="ar-SA"/>
                      <w14:textFill>
                        <w14:solidFill>
                          <w14:schemeClr w14:val="tx1"/>
                        </w14:solidFill>
                      </w14:textFill>
                    </w:rPr>
                    <w:t>就地填埋</w:t>
                  </w: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；生活垃圾采用垃圾桶集中收集后运出勘查区由环卫部门统一清运；沉淀池沉渣</w:t>
                  </w:r>
                  <w:r>
                    <w:rPr>
                      <w:rFonts w:hint="eastAsia" w:cs="Times New Roman"/>
                      <w:color w:val="000000" w:themeColor="text1"/>
                      <w:kern w:val="2"/>
                      <w:sz w:val="21"/>
                      <w:szCs w:val="22"/>
                      <w:highlight w:val="none"/>
                      <w:lang w:val="en-US" w:eastAsia="zh-CN" w:bidi="ar-SA"/>
                      <w14:textFill>
                        <w14:solidFill>
                          <w14:schemeClr w14:val="tx1"/>
                        </w14:solidFill>
                      </w14:textFill>
                    </w:rPr>
                    <w:t>就地填埋</w:t>
                  </w: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：一般固废外运填埋场；若危废则危废单位处置；大型设备外委维修，不在勘查区内进行。日常保养产生的废润滑油收集后贮存于危险废物贮存点，交由有危废处置资质的单位处置</w:t>
                  </w:r>
                </w:p>
              </w:tc>
              <w:tc>
                <w:tcPr>
                  <w:tcW w:w="605" w:type="pct"/>
                  <w:tcBorders>
                    <w:tl2br w:val="nil"/>
                    <w:tr2bl w:val="nil"/>
                  </w:tcBorders>
                  <w:tcMar>
                    <w:top w:w="57" w:type="dxa"/>
                    <w:bottom w:w="57" w:type="dxa"/>
                  </w:tcMar>
                  <w:vAlign w:val="center"/>
                </w:tcPr>
                <w:p w14:paraId="3DF2196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3</w:t>
                  </w:r>
                </w:p>
              </w:tc>
            </w:tr>
            <w:tr w14:paraId="5D3A29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1311" w:hRule="atLeast"/>
                <w:jc w:val="center"/>
              </w:trPr>
              <w:tc>
                <w:tcPr>
                  <w:tcW w:w="1048" w:type="pct"/>
                  <w:gridSpan w:val="2"/>
                  <w:tcBorders>
                    <w:tl2br w:val="nil"/>
                    <w:tr2bl w:val="nil"/>
                  </w:tcBorders>
                  <w:tcMar>
                    <w:top w:w="57" w:type="dxa"/>
                    <w:bottom w:w="57" w:type="dxa"/>
                  </w:tcMar>
                  <w:vAlign w:val="center"/>
                </w:tcPr>
                <w:p w14:paraId="7D7180E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生态恢复</w:t>
                  </w:r>
                </w:p>
              </w:tc>
              <w:tc>
                <w:tcPr>
                  <w:tcW w:w="3347" w:type="pct"/>
                  <w:tcBorders>
                    <w:tl2br w:val="nil"/>
                    <w:tr2bl w:val="nil"/>
                  </w:tcBorders>
                  <w:tcMar>
                    <w:top w:w="57" w:type="dxa"/>
                    <w:bottom w:w="57" w:type="dxa"/>
                  </w:tcMar>
                  <w:vAlign w:val="center"/>
                </w:tcPr>
                <w:p w14:paraId="41E69988">
                  <w:pPr>
                    <w:widowControl w:val="0"/>
                    <w:spacing w:line="240" w:lineRule="auto"/>
                    <w:ind w:left="0" w:firstLine="0" w:firstLineChars="0"/>
                    <w:contextualSpacing/>
                    <w:jc w:val="both"/>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施工期间加强环境管理，在施工区及临时占地周边设置警示牌、宣传标语等设施，对作业人员开展生态环境保护宣传教育，</w:t>
                  </w:r>
                  <w:r>
                    <w:rPr>
                      <w:rFonts w:hint="eastAsia" w:cs="Times New Roman"/>
                      <w:color w:val="000000" w:themeColor="text1"/>
                      <w:kern w:val="2"/>
                      <w:sz w:val="21"/>
                      <w:szCs w:val="21"/>
                      <w:highlight w:val="none"/>
                      <w:lang w:val="en-US" w:eastAsia="zh-CN" w:bidi="ar-SA"/>
                      <w14:textFill>
                        <w14:solidFill>
                          <w14:schemeClr w14:val="tx1"/>
                        </w14:solidFill>
                      </w14:textFill>
                    </w:rPr>
                    <w:t>增强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施工人员的环保意识。施工结束后，及时对临时占地进行清理，全面清除沿线的土石方等固体废物；对扰动区域进行土地整治，并选用当地乡土植被进行植被恢复，以达到恢复植被、保护草地、减少植被破坏的目的</w:t>
                  </w:r>
                </w:p>
              </w:tc>
              <w:tc>
                <w:tcPr>
                  <w:tcW w:w="605" w:type="pct"/>
                  <w:tcBorders>
                    <w:tl2br w:val="nil"/>
                    <w:tr2bl w:val="nil"/>
                  </w:tcBorders>
                  <w:tcMar>
                    <w:top w:w="57" w:type="dxa"/>
                    <w:bottom w:w="57" w:type="dxa"/>
                  </w:tcMar>
                  <w:vAlign w:val="center"/>
                </w:tcPr>
                <w:p w14:paraId="1679BE0B">
                  <w:pPr>
                    <w:widowControl w:val="0"/>
                    <w:spacing w:line="240" w:lineRule="auto"/>
                    <w:ind w:left="0" w:firstLine="0" w:firstLineChars="0"/>
                    <w:contextualSpacing/>
                    <w:jc w:val="center"/>
                    <w:textAlignment w:val="center"/>
                    <w:rPr>
                      <w:rFonts w:hint="default"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30</w:t>
                  </w:r>
                </w:p>
              </w:tc>
            </w:tr>
            <w:tr w14:paraId="1F5D71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28" w:type="dxa"/>
                  <w:bottom w:w="57" w:type="dxa"/>
                  <w:right w:w="28" w:type="dxa"/>
                </w:tblCellMar>
              </w:tblPrEx>
              <w:trPr>
                <w:cantSplit/>
                <w:trHeight w:val="271" w:hRule="atLeast"/>
                <w:jc w:val="center"/>
              </w:trPr>
              <w:tc>
                <w:tcPr>
                  <w:tcW w:w="4395" w:type="pct"/>
                  <w:gridSpan w:val="3"/>
                  <w:tcBorders>
                    <w:tl2br w:val="nil"/>
                    <w:tr2bl w:val="nil"/>
                  </w:tcBorders>
                </w:tcPr>
                <w:p w14:paraId="51F3269F">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合计</w:t>
                  </w:r>
                </w:p>
              </w:tc>
              <w:tc>
                <w:tcPr>
                  <w:tcW w:w="605" w:type="pct"/>
                  <w:tcBorders>
                    <w:tl2br w:val="nil"/>
                    <w:tr2bl w:val="nil"/>
                  </w:tcBorders>
                  <w:tcMar>
                    <w:top w:w="57" w:type="dxa"/>
                    <w:bottom w:w="57" w:type="dxa"/>
                  </w:tcMar>
                  <w:vAlign w:val="center"/>
                </w:tcPr>
                <w:p w14:paraId="229165E1">
                  <w:pPr>
                    <w:widowControl w:val="0"/>
                    <w:spacing w:line="240" w:lineRule="auto"/>
                    <w:ind w:left="0" w:firstLine="0" w:firstLineChars="0"/>
                    <w:contextualSpacing/>
                    <w:jc w:val="center"/>
                    <w:textAlignment w:val="center"/>
                    <w:rPr>
                      <w:rFonts w:hint="default"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t>48</w:t>
                  </w:r>
                </w:p>
              </w:tc>
            </w:tr>
          </w:tbl>
          <w:p w14:paraId="70A3ED58">
            <w:pPr>
              <w:spacing w:line="360" w:lineRule="auto"/>
              <w:ind w:firstLine="480" w:firstLineChars="200"/>
              <w:rPr>
                <w:color w:val="000000" w:themeColor="text1"/>
                <w:sz w:val="24"/>
                <w:highlight w:val="none"/>
                <w14:textFill>
                  <w14:solidFill>
                    <w14:schemeClr w14:val="tx1"/>
                  </w14:solidFill>
                </w14:textFill>
              </w:rPr>
            </w:pPr>
          </w:p>
        </w:tc>
      </w:tr>
    </w:tbl>
    <w:p w14:paraId="24C38802">
      <w:pPr>
        <w:spacing w:line="360" w:lineRule="auto"/>
        <w:ind w:firstLine="480" w:firstLineChars="200"/>
        <w:rPr>
          <w:color w:val="000000" w:themeColor="text1"/>
          <w:sz w:val="24"/>
          <w:highlight w:val="none"/>
          <w14:textFill>
            <w14:solidFill>
              <w14:schemeClr w14:val="tx1"/>
            </w14:solidFill>
          </w14:textFill>
        </w:rPr>
      </w:pPr>
    </w:p>
    <w:p w14:paraId="45D179B6">
      <w:pPr>
        <w:widowControl w:val="0"/>
        <w:spacing w:after="120" w:line="240" w:lineRule="auto"/>
        <w:ind w:firstLine="0" w:firstLineChars="0"/>
        <w:jc w:val="both"/>
        <w:rPr>
          <w:rFonts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p>
    <w:p w14:paraId="0310C9CF">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6738C8D4">
      <w:pPr>
        <w:pStyle w:val="2"/>
        <w:rPr>
          <w:color w:val="000000" w:themeColor="text1"/>
          <w:highlight w:val="none"/>
          <w14:textFill>
            <w14:solidFill>
              <w14:schemeClr w14:val="tx1"/>
            </w14:solidFill>
          </w14:textFill>
        </w:rPr>
      </w:pPr>
    </w:p>
    <w:p w14:paraId="39A8C2F5">
      <w:pPr>
        <w:spacing w:line="360" w:lineRule="auto"/>
        <w:ind w:firstLine="480" w:firstLineChars="200"/>
        <w:rPr>
          <w:color w:val="000000" w:themeColor="text1"/>
          <w:sz w:val="24"/>
          <w:highlight w:val="none"/>
          <w14:textFill>
            <w14:solidFill>
              <w14:schemeClr w14:val="tx1"/>
            </w14:solidFill>
          </w14:textFill>
        </w:rPr>
      </w:pPr>
    </w:p>
    <w:p w14:paraId="18B5A40D">
      <w:pPr>
        <w:keepNext/>
        <w:keepLines/>
        <w:widowControl w:val="0"/>
        <w:spacing w:line="240" w:lineRule="auto"/>
        <w:ind w:firstLine="562" w:firstLineChars="200"/>
        <w:jc w:val="center"/>
        <w:outlineLvl w:val="0"/>
        <w:rPr>
          <w:rFonts w:ascii="Times New Roman" w:hAnsi="Times New Roman" w:eastAsia="宋体" w:cs="Times New Roman"/>
          <w:b/>
          <w:color w:val="000000" w:themeColor="text1"/>
          <w:kern w:val="44"/>
          <w:sz w:val="28"/>
          <w:szCs w:val="24"/>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44"/>
          <w:sz w:val="28"/>
          <w:szCs w:val="24"/>
          <w:highlight w:val="none"/>
          <w:lang w:val="en-US" w:eastAsia="zh-CN" w:bidi="ar-SA"/>
          <w14:textFill>
            <w14:solidFill>
              <w14:schemeClr w14:val="tx1"/>
            </w14:solidFill>
          </w14:textFill>
        </w:rPr>
        <w:t>六、生态环境保护措施监督检查清单</w:t>
      </w:r>
    </w:p>
    <w:tbl>
      <w:tblPr>
        <w:tblStyle w:val="28"/>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2171"/>
        <w:gridCol w:w="2457"/>
        <w:gridCol w:w="1472"/>
        <w:gridCol w:w="1094"/>
      </w:tblGrid>
      <w:tr w14:paraId="3CE103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78" w:type="pct"/>
            <w:vMerge w:val="restart"/>
            <w:tcBorders>
              <w:top w:val="single" w:color="auto" w:sz="12" w:space="0"/>
              <w:left w:val="single" w:color="auto" w:sz="12" w:space="0"/>
              <w:bottom w:val="single" w:color="auto" w:sz="4" w:space="0"/>
              <w:tl2br w:val="single" w:color="auto" w:sz="4" w:space="0"/>
            </w:tcBorders>
          </w:tcPr>
          <w:p w14:paraId="1845E77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 xml:space="preserve">     </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内容</w:t>
            </w:r>
          </w:p>
          <w:p w14:paraId="1BE08D8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p w14:paraId="6AA983FC">
            <w:pPr>
              <w:pStyle w:val="2"/>
              <w:rPr>
                <w:color w:val="000000" w:themeColor="text1"/>
                <w:highlight w:val="none"/>
                <w:lang w:val="en-US" w:eastAsia="zh-CN"/>
                <w14:textFill>
                  <w14:solidFill>
                    <w14:schemeClr w14:val="tx1"/>
                  </w14:solidFill>
                </w14:textFill>
              </w:rPr>
            </w:pPr>
          </w:p>
          <w:p w14:paraId="5D7ED1F4">
            <w:pPr>
              <w:widowControl w:val="0"/>
              <w:spacing w:line="240" w:lineRule="auto"/>
              <w:ind w:left="0" w:firstLine="0" w:firstLineChars="0"/>
              <w:contextualSpacing/>
              <w:jc w:val="both"/>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要素</w:t>
            </w:r>
          </w:p>
        </w:tc>
        <w:tc>
          <w:tcPr>
            <w:tcW w:w="2716" w:type="pct"/>
            <w:gridSpan w:val="2"/>
            <w:tcBorders>
              <w:top w:val="single" w:color="auto" w:sz="12" w:space="0"/>
              <w:bottom w:val="single" w:color="auto" w:sz="4" w:space="0"/>
            </w:tcBorders>
            <w:vAlign w:val="center"/>
          </w:tcPr>
          <w:p w14:paraId="48271D9D">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施工期</w:t>
            </w:r>
          </w:p>
        </w:tc>
        <w:tc>
          <w:tcPr>
            <w:tcW w:w="1506" w:type="pct"/>
            <w:gridSpan w:val="2"/>
            <w:tcBorders>
              <w:top w:val="single" w:color="auto" w:sz="12" w:space="0"/>
              <w:bottom w:val="single" w:color="auto" w:sz="4" w:space="0"/>
              <w:right w:val="single" w:color="auto" w:sz="12" w:space="0"/>
            </w:tcBorders>
            <w:vAlign w:val="center"/>
          </w:tcPr>
          <w:p w14:paraId="4F682C1C">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运营期</w:t>
            </w:r>
          </w:p>
        </w:tc>
      </w:tr>
      <w:tr w14:paraId="1A859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78" w:type="pct"/>
            <w:vMerge w:val="continue"/>
            <w:tcBorders>
              <w:top w:val="single" w:color="auto" w:sz="4" w:space="0"/>
              <w:left w:val="single" w:color="auto" w:sz="12" w:space="0"/>
              <w:bottom w:val="single" w:color="auto" w:sz="4" w:space="0"/>
              <w:tl2br w:val="single" w:color="auto" w:sz="4" w:space="0"/>
            </w:tcBorders>
          </w:tcPr>
          <w:p w14:paraId="41988035">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c>
          <w:tcPr>
            <w:tcW w:w="1274" w:type="pct"/>
            <w:tcBorders>
              <w:top w:val="single" w:color="auto" w:sz="4" w:space="0"/>
              <w:bottom w:val="single" w:color="auto" w:sz="4" w:space="0"/>
            </w:tcBorders>
            <w:vAlign w:val="center"/>
          </w:tcPr>
          <w:p w14:paraId="64D4460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环境保护措施</w:t>
            </w:r>
          </w:p>
        </w:tc>
        <w:tc>
          <w:tcPr>
            <w:tcW w:w="1442" w:type="pct"/>
            <w:tcBorders>
              <w:top w:val="single" w:color="auto" w:sz="4" w:space="0"/>
              <w:bottom w:val="single" w:color="auto" w:sz="4" w:space="0"/>
            </w:tcBorders>
            <w:vAlign w:val="center"/>
          </w:tcPr>
          <w:p w14:paraId="5B0FC595">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验收要求</w:t>
            </w:r>
          </w:p>
        </w:tc>
        <w:tc>
          <w:tcPr>
            <w:tcW w:w="864" w:type="pct"/>
            <w:tcBorders>
              <w:top w:val="single" w:color="auto" w:sz="4" w:space="0"/>
              <w:bottom w:val="single" w:color="auto" w:sz="4" w:space="0"/>
            </w:tcBorders>
            <w:vAlign w:val="center"/>
          </w:tcPr>
          <w:p w14:paraId="6126FA57">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环境保护措施</w:t>
            </w:r>
          </w:p>
        </w:tc>
        <w:tc>
          <w:tcPr>
            <w:tcW w:w="642" w:type="pct"/>
            <w:tcBorders>
              <w:top w:val="single" w:color="auto" w:sz="4" w:space="0"/>
              <w:bottom w:val="single" w:color="auto" w:sz="4" w:space="0"/>
              <w:right w:val="single" w:color="auto" w:sz="12" w:space="0"/>
            </w:tcBorders>
            <w:vAlign w:val="center"/>
          </w:tcPr>
          <w:p w14:paraId="15658B53">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验收要求</w:t>
            </w:r>
          </w:p>
        </w:tc>
      </w:tr>
      <w:tr w14:paraId="7158BB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2DDE4AE0">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陆生生态</w:t>
            </w:r>
          </w:p>
        </w:tc>
        <w:tc>
          <w:tcPr>
            <w:tcW w:w="1274" w:type="pct"/>
            <w:tcBorders>
              <w:top w:val="single" w:color="auto" w:sz="4" w:space="0"/>
              <w:bottom w:val="single" w:color="auto" w:sz="4" w:space="0"/>
            </w:tcBorders>
            <w:vAlign w:val="center"/>
          </w:tcPr>
          <w:p w14:paraId="22026F8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施工期间在项目用地范围内施工，严禁超范围施工，注意对</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项目周围</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植被的保护，施工结束后及时采取工程和植物措施对临时用地进行迹地恢复</w:t>
            </w:r>
          </w:p>
        </w:tc>
        <w:tc>
          <w:tcPr>
            <w:tcW w:w="1442" w:type="pct"/>
            <w:tcBorders>
              <w:top w:val="single" w:color="auto" w:sz="4" w:space="0"/>
              <w:bottom w:val="single" w:color="auto" w:sz="4" w:space="0"/>
            </w:tcBorders>
            <w:vAlign w:val="center"/>
          </w:tcPr>
          <w:p w14:paraId="0DB066DC">
            <w:pPr>
              <w:widowControl w:val="0"/>
              <w:spacing w:line="240" w:lineRule="auto"/>
              <w:ind w:left="0" w:firstLine="0" w:firstLineChars="0"/>
              <w:contextualSpacing/>
              <w:jc w:val="center"/>
              <w:textAlignment w:val="center"/>
              <w:rPr>
                <w:rFonts w:ascii="Times New Roman" w:hAnsi="Times New Roman" w:eastAsia="宋体" w:cs="宋体"/>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严格限制施工作业范围，禁止破坏施工作业外的地表植被，临时占地复垦到原状态</w:t>
            </w:r>
          </w:p>
        </w:tc>
        <w:tc>
          <w:tcPr>
            <w:tcW w:w="864" w:type="pct"/>
            <w:tcBorders>
              <w:top w:val="single" w:color="auto" w:sz="4" w:space="0"/>
              <w:bottom w:val="single" w:color="auto" w:sz="4" w:space="0"/>
            </w:tcBorders>
            <w:vAlign w:val="center"/>
          </w:tcPr>
          <w:p w14:paraId="5EFEA23F">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2CFF40F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3135DE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2426738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水生生态</w:t>
            </w:r>
          </w:p>
        </w:tc>
        <w:tc>
          <w:tcPr>
            <w:tcW w:w="1274" w:type="pct"/>
            <w:tcBorders>
              <w:top w:val="single" w:color="auto" w:sz="4" w:space="0"/>
              <w:bottom w:val="single" w:color="auto" w:sz="4" w:space="0"/>
            </w:tcBorders>
            <w:vAlign w:val="center"/>
          </w:tcPr>
          <w:p w14:paraId="34CDD7B5">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1442" w:type="pct"/>
            <w:tcBorders>
              <w:top w:val="single" w:color="auto" w:sz="4" w:space="0"/>
              <w:bottom w:val="single" w:color="auto" w:sz="4" w:space="0"/>
            </w:tcBorders>
            <w:vAlign w:val="center"/>
          </w:tcPr>
          <w:p w14:paraId="6977419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864" w:type="pct"/>
            <w:tcBorders>
              <w:top w:val="single" w:color="auto" w:sz="4" w:space="0"/>
              <w:bottom w:val="single" w:color="auto" w:sz="4" w:space="0"/>
            </w:tcBorders>
            <w:vAlign w:val="center"/>
          </w:tcPr>
          <w:p w14:paraId="06E1A1C5">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438A83FB">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109E8F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0B50F365">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地表水环境</w:t>
            </w:r>
          </w:p>
        </w:tc>
        <w:tc>
          <w:tcPr>
            <w:tcW w:w="1274" w:type="pct"/>
            <w:tcBorders>
              <w:top w:val="single" w:color="auto" w:sz="4" w:space="0"/>
              <w:bottom w:val="single" w:color="auto" w:sz="4" w:space="0"/>
            </w:tcBorders>
          </w:tcPr>
          <w:p w14:paraId="282611DD">
            <w:pPr>
              <w:widowControl w:val="0"/>
              <w:spacing w:line="240" w:lineRule="auto"/>
              <w:ind w:left="0" w:firstLine="0" w:firstLineChars="0"/>
              <w:contextualSpacing/>
              <w:jc w:val="both"/>
              <w:textAlignment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生产废水经沉淀池</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沉淀后</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回用于钻探</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，不外排；生活污水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入一体化污水处理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设备</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处理达标后，用于</w:t>
            </w:r>
            <w:r>
              <w:rPr>
                <w:rFonts w:hint="eastAsia" w:cs="Times New Roman"/>
                <w:color w:val="000000" w:themeColor="text1"/>
                <w:kern w:val="2"/>
                <w:sz w:val="24"/>
                <w:szCs w:val="24"/>
                <w:highlight w:val="none"/>
                <w:lang w:val="en-US" w:eastAsia="zh-CN" w:bidi="ar-SA"/>
                <w14:textFill>
                  <w14:solidFill>
                    <w14:schemeClr w14:val="tx1"/>
                  </w14:solidFill>
                </w14:textFill>
              </w:rPr>
              <w:t>草地生态恢复回用</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，不外排</w:t>
            </w:r>
          </w:p>
        </w:tc>
        <w:tc>
          <w:tcPr>
            <w:tcW w:w="1442" w:type="pct"/>
            <w:tcBorders>
              <w:top w:val="single" w:color="auto" w:sz="4" w:space="0"/>
              <w:bottom w:val="single" w:color="auto" w:sz="4" w:space="0"/>
            </w:tcBorders>
          </w:tcPr>
          <w:p w14:paraId="6393FDE8">
            <w:pPr>
              <w:widowControl w:val="0"/>
              <w:spacing w:line="240" w:lineRule="auto"/>
              <w:ind w:left="0" w:firstLine="0" w:firstLineChars="0"/>
              <w:contextualSpacing/>
              <w:jc w:val="both"/>
              <w:textAlignment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生产废水经沉淀池</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（30m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沉淀后</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回用于钻探</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，不外排；生活污水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入一体化污水处理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设备</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处理达标后，用于</w:t>
            </w:r>
            <w:r>
              <w:rPr>
                <w:rFonts w:hint="eastAsia" w:cs="Times New Roman"/>
                <w:color w:val="000000" w:themeColor="text1"/>
                <w:kern w:val="2"/>
                <w:sz w:val="24"/>
                <w:szCs w:val="24"/>
                <w:highlight w:val="none"/>
                <w:lang w:val="en-US" w:eastAsia="zh-CN" w:bidi="ar-SA"/>
                <w14:textFill>
                  <w14:solidFill>
                    <w14:schemeClr w14:val="tx1"/>
                  </w14:solidFill>
                </w14:textFill>
              </w:rPr>
              <w:t>草地生态恢复回用</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，不外排</w:t>
            </w:r>
          </w:p>
        </w:tc>
        <w:tc>
          <w:tcPr>
            <w:tcW w:w="864" w:type="pct"/>
            <w:tcBorders>
              <w:top w:val="single" w:color="auto" w:sz="4" w:space="0"/>
              <w:bottom w:val="single" w:color="auto" w:sz="4" w:space="0"/>
            </w:tcBorders>
            <w:vAlign w:val="center"/>
          </w:tcPr>
          <w:p w14:paraId="56C5915C">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45F1EC4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47FA3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3A2AD5A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地下水及土壤环境</w:t>
            </w:r>
          </w:p>
        </w:tc>
        <w:tc>
          <w:tcPr>
            <w:tcW w:w="1274" w:type="pct"/>
            <w:tcBorders>
              <w:top w:val="single" w:color="auto" w:sz="4" w:space="0"/>
              <w:bottom w:val="single" w:color="auto" w:sz="4" w:space="0"/>
            </w:tcBorders>
            <w:vAlign w:val="center"/>
          </w:tcPr>
          <w:p w14:paraId="0EC42EDF">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1442" w:type="pct"/>
            <w:tcBorders>
              <w:top w:val="single" w:color="auto" w:sz="4" w:space="0"/>
              <w:bottom w:val="single" w:color="auto" w:sz="4" w:space="0"/>
            </w:tcBorders>
            <w:vAlign w:val="center"/>
          </w:tcPr>
          <w:p w14:paraId="7165A13A">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864" w:type="pct"/>
            <w:tcBorders>
              <w:top w:val="single" w:color="auto" w:sz="4" w:space="0"/>
              <w:bottom w:val="single" w:color="auto" w:sz="4" w:space="0"/>
            </w:tcBorders>
            <w:vAlign w:val="center"/>
          </w:tcPr>
          <w:p w14:paraId="3FA9677A">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1E383D1C">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r>
      <w:tr w14:paraId="3D401A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26347BC8">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声环境</w:t>
            </w:r>
          </w:p>
        </w:tc>
        <w:tc>
          <w:tcPr>
            <w:tcW w:w="1274" w:type="pct"/>
            <w:tcBorders>
              <w:top w:val="single" w:color="auto" w:sz="4" w:space="0"/>
              <w:bottom w:val="single" w:color="auto" w:sz="4" w:space="0"/>
            </w:tcBorders>
            <w:vAlign w:val="center"/>
          </w:tcPr>
          <w:p w14:paraId="62C73F70">
            <w:pPr>
              <w:widowControl w:val="0"/>
              <w:spacing w:line="240" w:lineRule="auto"/>
              <w:ind w:left="0" w:firstLine="0" w:firstLineChars="0"/>
              <w:contextualSpacing/>
              <w:jc w:val="both"/>
              <w:textAlignment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夜间应禁止施工作业；合理进行施工总平布置；采用低噪声设备并做好施工机械的保养和维护；对高噪声设备采取隔声措施</w:t>
            </w:r>
          </w:p>
        </w:tc>
        <w:tc>
          <w:tcPr>
            <w:tcW w:w="1442" w:type="pct"/>
            <w:tcBorders>
              <w:top w:val="single" w:color="auto" w:sz="4" w:space="0"/>
              <w:bottom w:val="single" w:color="auto" w:sz="4" w:space="0"/>
            </w:tcBorders>
            <w:vAlign w:val="center"/>
          </w:tcPr>
          <w:p w14:paraId="49059F2C">
            <w:pPr>
              <w:widowControl w:val="0"/>
              <w:spacing w:line="240" w:lineRule="auto"/>
              <w:ind w:left="0" w:firstLine="0" w:firstLineChars="0"/>
              <w:contextualSpacing/>
              <w:jc w:val="both"/>
              <w:textAlignment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建筑施工噪声排放标准</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》（GB12523-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2025</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排放限值</w:t>
            </w:r>
          </w:p>
        </w:tc>
        <w:tc>
          <w:tcPr>
            <w:tcW w:w="864" w:type="pct"/>
            <w:tcBorders>
              <w:top w:val="single" w:color="auto" w:sz="4" w:space="0"/>
              <w:bottom w:val="single" w:color="auto" w:sz="4" w:space="0"/>
            </w:tcBorders>
            <w:vAlign w:val="center"/>
          </w:tcPr>
          <w:p w14:paraId="27674A7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6445842E">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37C471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0F29FF9E">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振动</w:t>
            </w:r>
          </w:p>
        </w:tc>
        <w:tc>
          <w:tcPr>
            <w:tcW w:w="1274" w:type="pct"/>
            <w:tcBorders>
              <w:top w:val="single" w:color="auto" w:sz="4" w:space="0"/>
              <w:bottom w:val="single" w:color="auto" w:sz="4" w:space="0"/>
            </w:tcBorders>
            <w:vAlign w:val="center"/>
          </w:tcPr>
          <w:p w14:paraId="6B050F5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1442" w:type="pct"/>
            <w:tcBorders>
              <w:top w:val="single" w:color="auto" w:sz="4" w:space="0"/>
              <w:bottom w:val="single" w:color="auto" w:sz="4" w:space="0"/>
            </w:tcBorders>
            <w:vAlign w:val="center"/>
          </w:tcPr>
          <w:p w14:paraId="6264F587">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864" w:type="pct"/>
            <w:tcBorders>
              <w:top w:val="single" w:color="auto" w:sz="4" w:space="0"/>
              <w:bottom w:val="single" w:color="auto" w:sz="4" w:space="0"/>
            </w:tcBorders>
            <w:vAlign w:val="center"/>
          </w:tcPr>
          <w:p w14:paraId="57DF8E64">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302D2866">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039D1B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vMerge w:val="restart"/>
            <w:tcBorders>
              <w:top w:val="single" w:color="auto" w:sz="4" w:space="0"/>
              <w:left w:val="single" w:color="auto" w:sz="12" w:space="0"/>
              <w:bottom w:val="single" w:color="auto" w:sz="4" w:space="0"/>
            </w:tcBorders>
            <w:vAlign w:val="center"/>
          </w:tcPr>
          <w:p w14:paraId="0ED16EC7">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大气环境</w:t>
            </w:r>
          </w:p>
        </w:tc>
        <w:tc>
          <w:tcPr>
            <w:tcW w:w="1274" w:type="pct"/>
            <w:tcBorders>
              <w:top w:val="single" w:color="auto" w:sz="4" w:space="0"/>
              <w:bottom w:val="single" w:color="auto" w:sz="4" w:space="0"/>
            </w:tcBorders>
            <w:vAlign w:val="center"/>
          </w:tcPr>
          <w:p w14:paraId="6B4829A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施工扬尘设置围挡、洒水降尘</w:t>
            </w:r>
          </w:p>
        </w:tc>
        <w:tc>
          <w:tcPr>
            <w:tcW w:w="1442" w:type="pct"/>
            <w:tcBorders>
              <w:top w:val="single" w:color="auto" w:sz="4" w:space="0"/>
              <w:bottom w:val="single" w:color="auto" w:sz="4" w:space="0"/>
            </w:tcBorders>
            <w:vAlign w:val="center"/>
          </w:tcPr>
          <w:p w14:paraId="6301B1BB">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《大气污染物综合排放标准》（GB16297-1996）中表2的无组织排放监控浓度限值</w:t>
            </w:r>
          </w:p>
        </w:tc>
        <w:tc>
          <w:tcPr>
            <w:tcW w:w="864" w:type="pct"/>
            <w:tcBorders>
              <w:top w:val="single" w:color="auto" w:sz="4" w:space="0"/>
              <w:bottom w:val="single" w:color="auto" w:sz="4" w:space="0"/>
            </w:tcBorders>
            <w:vAlign w:val="center"/>
          </w:tcPr>
          <w:p w14:paraId="4BB350E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39D51CE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2CB5C8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vMerge w:val="continue"/>
            <w:tcBorders>
              <w:top w:val="single" w:color="auto" w:sz="4" w:space="0"/>
              <w:left w:val="single" w:color="auto" w:sz="12" w:space="0"/>
              <w:bottom w:val="single" w:color="auto" w:sz="4" w:space="0"/>
            </w:tcBorders>
            <w:vAlign w:val="center"/>
          </w:tcPr>
          <w:p w14:paraId="7F51B1D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c>
          <w:tcPr>
            <w:tcW w:w="1274" w:type="pct"/>
            <w:tcBorders>
              <w:top w:val="single" w:color="auto" w:sz="4" w:space="0"/>
              <w:bottom w:val="single" w:color="auto" w:sz="4" w:space="0"/>
            </w:tcBorders>
            <w:vAlign w:val="center"/>
          </w:tcPr>
          <w:p w14:paraId="71A8B753">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施工机械尾气自然扩散</w:t>
            </w:r>
          </w:p>
        </w:tc>
        <w:tc>
          <w:tcPr>
            <w:tcW w:w="1442" w:type="pct"/>
            <w:tcBorders>
              <w:top w:val="single" w:color="auto" w:sz="4" w:space="0"/>
              <w:bottom w:val="single" w:color="auto" w:sz="4" w:space="0"/>
            </w:tcBorders>
            <w:vAlign w:val="center"/>
          </w:tcPr>
          <w:p w14:paraId="7FBD55BA">
            <w:pPr>
              <w:widowControl w:val="0"/>
              <w:spacing w:line="240" w:lineRule="auto"/>
              <w:ind w:left="0" w:firstLine="0" w:firstLineChars="0"/>
              <w:contextualSpacing/>
              <w:jc w:val="both"/>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《非道路移动机械用柴油机排气污染物排放限值及测量方法（中国第三、四阶段）》（GB20891-2014）修改单以及《非道路柴油移动机械污染物排放控制技术要求》（HJ1014-2020）</w:t>
            </w:r>
          </w:p>
        </w:tc>
        <w:tc>
          <w:tcPr>
            <w:tcW w:w="864" w:type="pct"/>
            <w:tcBorders>
              <w:top w:val="single" w:color="auto" w:sz="4" w:space="0"/>
              <w:bottom w:val="single" w:color="auto" w:sz="4" w:space="0"/>
            </w:tcBorders>
            <w:vAlign w:val="center"/>
          </w:tcPr>
          <w:p w14:paraId="1EE96C9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c>
          <w:tcPr>
            <w:tcW w:w="642" w:type="pct"/>
            <w:tcBorders>
              <w:top w:val="single" w:color="auto" w:sz="4" w:space="0"/>
              <w:bottom w:val="single" w:color="auto" w:sz="4" w:space="0"/>
              <w:right w:val="single" w:color="auto" w:sz="12" w:space="0"/>
            </w:tcBorders>
            <w:vAlign w:val="center"/>
          </w:tcPr>
          <w:p w14:paraId="65A68B9E">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tc>
      </w:tr>
      <w:tr w14:paraId="10075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4D5DB9A3">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固体废物</w:t>
            </w:r>
          </w:p>
        </w:tc>
        <w:tc>
          <w:tcPr>
            <w:tcW w:w="1274" w:type="pct"/>
            <w:tcBorders>
              <w:top w:val="single" w:color="auto" w:sz="4" w:space="0"/>
              <w:bottom w:val="single" w:color="auto" w:sz="4" w:space="0"/>
            </w:tcBorders>
            <w:vAlign w:val="center"/>
          </w:tcPr>
          <w:p w14:paraId="6A7D8B53">
            <w:pPr>
              <w:widowControl w:val="0"/>
              <w:spacing w:line="240" w:lineRule="auto"/>
              <w:ind w:left="0" w:firstLine="0" w:firstLineChars="0"/>
              <w:contextualSpacing/>
              <w:jc w:val="both"/>
              <w:textAlignment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TimesNewRomanPSMT" w:hAnsi="TimesNewRomanPSMT" w:eastAsia="宋体" w:cs="Times New Roman"/>
                <w:color w:val="000000" w:themeColor="text1"/>
                <w:kern w:val="2"/>
                <w:sz w:val="24"/>
                <w:szCs w:val="24"/>
                <w:highlight w:val="none"/>
                <w:lang w:val="en-US" w:eastAsia="zh-CN" w:bidi="ar-SA"/>
                <w14:textFill>
                  <w14:solidFill>
                    <w14:schemeClr w14:val="tx1"/>
                  </w14:solidFill>
                </w14:textFill>
              </w:rPr>
              <w:t>表土单独堆存并分层回填用于复垦，废石优先回填利用，剩余妥善处置，不随意弃置；钻探岩屑人工回填；钻井泥浆固化</w:t>
            </w:r>
            <w:r>
              <w:rPr>
                <w:rFonts w:hint="eastAsia" w:ascii="TimesNewRomanPSMT" w:hAnsi="TimesNewRomanPSMT" w:cs="Times New Roman"/>
                <w:color w:val="000000" w:themeColor="text1"/>
                <w:kern w:val="2"/>
                <w:sz w:val="24"/>
                <w:szCs w:val="24"/>
                <w:highlight w:val="none"/>
                <w:lang w:val="en-US" w:eastAsia="zh-CN" w:bidi="ar-SA"/>
                <w14:textFill>
                  <w14:solidFill>
                    <w14:schemeClr w14:val="tx1"/>
                  </w14:solidFill>
                </w14:textFill>
              </w:rPr>
              <w:t>就地填埋</w:t>
            </w:r>
            <w:r>
              <w:rPr>
                <w:rFonts w:hint="eastAsia" w:ascii="TimesNewRomanPSMT" w:hAnsi="TimesNewRomanPSMT" w:eastAsia="宋体" w:cs="Times New Roman"/>
                <w:color w:val="000000" w:themeColor="text1"/>
                <w:kern w:val="2"/>
                <w:sz w:val="24"/>
                <w:szCs w:val="24"/>
                <w:highlight w:val="none"/>
                <w:lang w:val="en-US" w:eastAsia="zh-CN" w:bidi="ar-SA"/>
                <w14:textFill>
                  <w14:solidFill>
                    <w14:schemeClr w14:val="tx1"/>
                  </w14:solidFill>
                </w14:textFill>
              </w:rPr>
              <w:t>；生活垃圾采用垃圾桶集中收集后运出勘查区由环卫部门统一清运；沉淀池沉渣就地掩埋；大型设备外委维修，不在勘查区内进行。</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日常保养产生的废润滑油收集后贮存于危险废物贮存点，交由有危废处置资质的单位处置</w:t>
            </w:r>
          </w:p>
        </w:tc>
        <w:tc>
          <w:tcPr>
            <w:tcW w:w="1442" w:type="pct"/>
            <w:tcBorders>
              <w:top w:val="single" w:color="auto" w:sz="4" w:space="0"/>
              <w:bottom w:val="single" w:color="auto" w:sz="4" w:space="0"/>
            </w:tcBorders>
            <w:vAlign w:val="center"/>
          </w:tcPr>
          <w:p w14:paraId="4455A89C">
            <w:pPr>
              <w:widowControl w:val="0"/>
              <w:spacing w:line="240" w:lineRule="auto"/>
              <w:ind w:left="0" w:firstLine="0" w:firstLineChars="0"/>
              <w:contextualSpacing/>
              <w:jc w:val="center"/>
              <w:textAlignment w:val="cente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施工期的固废妥善</w:t>
            </w:r>
            <w:r>
              <w:rPr>
                <w:rFonts w:hint="eastAsia" w:cs="Times New Roman"/>
                <w:color w:val="000000" w:themeColor="text1"/>
                <w:kern w:val="2"/>
                <w:sz w:val="24"/>
                <w:szCs w:val="24"/>
                <w:highlight w:val="none"/>
                <w:lang w:val="en-US" w:eastAsia="zh-CN" w:bidi="ar-SA"/>
                <w14:textFill>
                  <w14:solidFill>
                    <w14:schemeClr w14:val="tx1"/>
                  </w14:solidFill>
                </w14:textFill>
              </w:rPr>
              <w:t>地</w:t>
            </w: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，不随意堆弃</w:t>
            </w:r>
          </w:p>
        </w:tc>
        <w:tc>
          <w:tcPr>
            <w:tcW w:w="864" w:type="pct"/>
            <w:tcBorders>
              <w:top w:val="single" w:color="auto" w:sz="4" w:space="0"/>
              <w:bottom w:val="single" w:color="auto" w:sz="4" w:space="0"/>
            </w:tcBorders>
            <w:vAlign w:val="center"/>
          </w:tcPr>
          <w:p w14:paraId="575B2AA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3C0CF9EE">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5A34B5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28F54300">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电磁环境</w:t>
            </w:r>
          </w:p>
        </w:tc>
        <w:tc>
          <w:tcPr>
            <w:tcW w:w="1274" w:type="pct"/>
            <w:tcBorders>
              <w:top w:val="single" w:color="auto" w:sz="4" w:space="0"/>
              <w:bottom w:val="single" w:color="auto" w:sz="4" w:space="0"/>
            </w:tcBorders>
            <w:vAlign w:val="center"/>
          </w:tcPr>
          <w:p w14:paraId="397520B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1442" w:type="pct"/>
            <w:tcBorders>
              <w:top w:val="single" w:color="auto" w:sz="4" w:space="0"/>
              <w:bottom w:val="single" w:color="auto" w:sz="4" w:space="0"/>
            </w:tcBorders>
            <w:vAlign w:val="center"/>
          </w:tcPr>
          <w:p w14:paraId="3830CA5E">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864" w:type="pct"/>
            <w:tcBorders>
              <w:top w:val="single" w:color="auto" w:sz="4" w:space="0"/>
              <w:bottom w:val="single" w:color="auto" w:sz="4" w:space="0"/>
            </w:tcBorders>
            <w:vAlign w:val="center"/>
          </w:tcPr>
          <w:p w14:paraId="3E652B78">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06177E18">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7D3B97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511AA749">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环境风险</w:t>
            </w:r>
          </w:p>
        </w:tc>
        <w:tc>
          <w:tcPr>
            <w:tcW w:w="1274" w:type="pct"/>
            <w:tcBorders>
              <w:top w:val="single" w:color="auto" w:sz="4" w:space="0"/>
              <w:bottom w:val="single" w:color="auto" w:sz="4" w:space="0"/>
            </w:tcBorders>
            <w:vAlign w:val="center"/>
          </w:tcPr>
          <w:p w14:paraId="6F407DF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加强柴油、废润滑油风险管理</w:t>
            </w:r>
          </w:p>
        </w:tc>
        <w:tc>
          <w:tcPr>
            <w:tcW w:w="1442" w:type="pct"/>
            <w:tcBorders>
              <w:top w:val="single" w:color="auto" w:sz="4" w:space="0"/>
              <w:bottom w:val="single" w:color="auto" w:sz="4" w:space="0"/>
            </w:tcBorders>
            <w:vAlign w:val="center"/>
          </w:tcPr>
          <w:p w14:paraId="4B49BC80">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勘探期间不得发生重大环境事故</w:t>
            </w:r>
          </w:p>
        </w:tc>
        <w:tc>
          <w:tcPr>
            <w:tcW w:w="864" w:type="pct"/>
            <w:tcBorders>
              <w:top w:val="single" w:color="auto" w:sz="4" w:space="0"/>
              <w:bottom w:val="single" w:color="auto" w:sz="4" w:space="0"/>
            </w:tcBorders>
            <w:vAlign w:val="center"/>
          </w:tcPr>
          <w:p w14:paraId="484F677D">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6E9BE3FE">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25AAFD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4" w:space="0"/>
            </w:tcBorders>
            <w:vAlign w:val="center"/>
          </w:tcPr>
          <w:p w14:paraId="74DDFAB3">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环境监测</w:t>
            </w:r>
          </w:p>
        </w:tc>
        <w:tc>
          <w:tcPr>
            <w:tcW w:w="1274" w:type="pct"/>
            <w:tcBorders>
              <w:top w:val="single" w:color="auto" w:sz="4" w:space="0"/>
              <w:bottom w:val="single" w:color="auto" w:sz="4" w:space="0"/>
            </w:tcBorders>
            <w:vAlign w:val="center"/>
          </w:tcPr>
          <w:p w14:paraId="61405900">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1442" w:type="pct"/>
            <w:tcBorders>
              <w:top w:val="single" w:color="auto" w:sz="4" w:space="0"/>
              <w:bottom w:val="single" w:color="auto" w:sz="4" w:space="0"/>
            </w:tcBorders>
            <w:vAlign w:val="center"/>
          </w:tcPr>
          <w:p w14:paraId="48DF33C6">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864" w:type="pct"/>
            <w:tcBorders>
              <w:top w:val="single" w:color="auto" w:sz="4" w:space="0"/>
              <w:bottom w:val="single" w:color="auto" w:sz="4" w:space="0"/>
            </w:tcBorders>
            <w:vAlign w:val="center"/>
          </w:tcPr>
          <w:p w14:paraId="0EFBF9BA">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4" w:space="0"/>
              <w:right w:val="single" w:color="auto" w:sz="12" w:space="0"/>
            </w:tcBorders>
            <w:vAlign w:val="center"/>
          </w:tcPr>
          <w:p w14:paraId="792603A2">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3393B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78" w:type="pct"/>
            <w:tcBorders>
              <w:top w:val="single" w:color="auto" w:sz="4" w:space="0"/>
              <w:left w:val="single" w:color="auto" w:sz="12" w:space="0"/>
              <w:bottom w:val="single" w:color="auto" w:sz="12" w:space="0"/>
            </w:tcBorders>
            <w:vAlign w:val="center"/>
          </w:tcPr>
          <w:p w14:paraId="4228EB06">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其他</w:t>
            </w:r>
          </w:p>
        </w:tc>
        <w:tc>
          <w:tcPr>
            <w:tcW w:w="1274" w:type="pct"/>
            <w:tcBorders>
              <w:top w:val="single" w:color="auto" w:sz="4" w:space="0"/>
              <w:bottom w:val="single" w:color="auto" w:sz="12" w:space="0"/>
            </w:tcBorders>
            <w:vAlign w:val="center"/>
          </w:tcPr>
          <w:p w14:paraId="393A2DF3">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1442" w:type="pct"/>
            <w:tcBorders>
              <w:top w:val="single" w:color="auto" w:sz="4" w:space="0"/>
              <w:bottom w:val="single" w:color="auto" w:sz="12" w:space="0"/>
            </w:tcBorders>
            <w:vAlign w:val="center"/>
          </w:tcPr>
          <w:p w14:paraId="716194E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864" w:type="pct"/>
            <w:tcBorders>
              <w:top w:val="single" w:color="auto" w:sz="4" w:space="0"/>
              <w:bottom w:val="single" w:color="auto" w:sz="12" w:space="0"/>
            </w:tcBorders>
            <w:vAlign w:val="center"/>
          </w:tcPr>
          <w:p w14:paraId="6421DC1F">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c>
          <w:tcPr>
            <w:tcW w:w="642" w:type="pct"/>
            <w:tcBorders>
              <w:top w:val="single" w:color="auto" w:sz="4" w:space="0"/>
              <w:bottom w:val="single" w:color="auto" w:sz="12" w:space="0"/>
              <w:right w:val="single" w:color="auto" w:sz="12" w:space="0"/>
            </w:tcBorders>
            <w:vAlign w:val="center"/>
          </w:tcPr>
          <w:p w14:paraId="496A9311">
            <w:pPr>
              <w:widowControl w:val="0"/>
              <w:spacing w:line="240" w:lineRule="auto"/>
              <w:ind w:left="0" w:firstLine="0" w:firstLineChars="0"/>
              <w:contextualSpacing/>
              <w:jc w:val="center"/>
              <w:textAlignment w:val="cente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bl>
    <w:p w14:paraId="6E0A5A20">
      <w:pPr>
        <w:keepNext/>
        <w:keepLines/>
        <w:widowControl w:val="0"/>
        <w:spacing w:line="240" w:lineRule="auto"/>
        <w:ind w:firstLine="562" w:firstLineChars="200"/>
        <w:jc w:val="center"/>
        <w:outlineLvl w:val="0"/>
        <w:rPr>
          <w:rFonts w:ascii="Times New Roman" w:hAnsi="Times New Roman" w:eastAsia="宋体" w:cs="Times New Roman"/>
          <w:b/>
          <w:color w:val="000000" w:themeColor="text1"/>
          <w:kern w:val="44"/>
          <w:sz w:val="28"/>
          <w:szCs w:val="24"/>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44"/>
          <w:sz w:val="28"/>
          <w:szCs w:val="24"/>
          <w:highlight w:val="none"/>
          <w:lang w:val="en-US" w:eastAsia="zh-CN" w:bidi="ar-SA"/>
          <w14:textFill>
            <w14:solidFill>
              <w14:schemeClr w14:val="tx1"/>
            </w14:solidFill>
          </w14:textFill>
        </w:rPr>
        <w:t>七、结论</w:t>
      </w:r>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522"/>
      </w:tblGrid>
      <w:tr w14:paraId="60E9935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3008" w:hRule="atLeast"/>
          <w:jc w:val="center"/>
        </w:trPr>
        <w:tc>
          <w:tcPr>
            <w:tcW w:w="5000" w:type="pct"/>
            <w:tcBorders>
              <w:tl2br w:val="nil"/>
              <w:tr2bl w:val="nil"/>
            </w:tcBorders>
          </w:tcPr>
          <w:p w14:paraId="6C3DD20C">
            <w:pPr>
              <w:spacing w:line="360" w:lineRule="auto"/>
              <w:ind w:firstLine="480" w:firstLineChars="200"/>
              <w:rPr>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综合上述，项目方应严格实施本环评报告提出的各项环保措施和建议，做到污染物达标排放，做好</w:t>
            </w:r>
            <w:r>
              <w:rPr>
                <w:rFonts w:hint="eastAsia" w:cs="Times New Roman"/>
                <w:color w:val="000000" w:themeColor="text1"/>
                <w:sz w:val="24"/>
                <w:szCs w:val="24"/>
                <w:highlight w:val="none"/>
                <w:lang w:eastAsia="zh-CN"/>
                <w14:textFill>
                  <w14:solidFill>
                    <w14:schemeClr w14:val="tx1"/>
                  </w14:solidFill>
                </w14:textFill>
              </w:rPr>
              <w:t>生态环境保护</w:t>
            </w:r>
            <w:r>
              <w:rPr>
                <w:rFonts w:hint="default" w:ascii="Times New Roman" w:hAnsi="Times New Roman" w:cs="Times New Roman"/>
                <w:color w:val="000000" w:themeColor="text1"/>
                <w:sz w:val="24"/>
                <w:szCs w:val="24"/>
                <w:highlight w:val="none"/>
                <w14:textFill>
                  <w14:solidFill>
                    <w14:schemeClr w14:val="tx1"/>
                  </w14:solidFill>
                </w14:textFill>
              </w:rPr>
              <w:t>与恢复。在严格落实本环评提出的各项污染物治理和生态保护措施的前提下，该项目的建设不会对区域环境质量及生态环境产生大的影响，从环境保护角度分析，本项</w:t>
            </w:r>
            <w:r>
              <w:rPr>
                <w:rFonts w:hint="default" w:ascii="Times New Roman" w:hAnsi="Times New Roman" w:cs="Times New Roman"/>
                <w:color w:val="000000" w:themeColor="text1"/>
                <w:sz w:val="24"/>
                <w:szCs w:val="24"/>
                <w:highlight w:val="none"/>
                <w:lang w:eastAsia="zh-CN"/>
                <w14:textFill>
                  <w14:solidFill>
                    <w14:schemeClr w14:val="tx1"/>
                  </w14:solidFill>
                </w14:textFill>
              </w:rPr>
              <w:t>目环境影响</w:t>
            </w:r>
            <w:r>
              <w:rPr>
                <w:rFonts w:hint="default" w:ascii="Times New Roman" w:hAnsi="Times New Roman" w:cs="Times New Roman"/>
                <w:color w:val="000000" w:themeColor="text1"/>
                <w:sz w:val="24"/>
                <w:szCs w:val="24"/>
                <w:highlight w:val="none"/>
                <w14:textFill>
                  <w14:solidFill>
                    <w14:schemeClr w14:val="tx1"/>
                  </w14:solidFill>
                </w14:textFill>
              </w:rPr>
              <w:t>可行。</w:t>
            </w:r>
          </w:p>
          <w:p w14:paraId="4BECB3E0">
            <w:pPr>
              <w:spacing w:line="360" w:lineRule="auto"/>
              <w:ind w:firstLine="480" w:firstLineChars="200"/>
              <w:rPr>
                <w:color w:val="000000" w:themeColor="text1"/>
                <w:sz w:val="24"/>
                <w:highlight w:val="none"/>
                <w14:textFill>
                  <w14:solidFill>
                    <w14:schemeClr w14:val="tx1"/>
                  </w14:solidFill>
                </w14:textFill>
              </w:rPr>
            </w:pPr>
          </w:p>
          <w:p w14:paraId="688B8933">
            <w:pPr>
              <w:spacing w:line="360" w:lineRule="auto"/>
              <w:ind w:firstLine="480" w:firstLineChars="200"/>
              <w:rPr>
                <w:color w:val="000000" w:themeColor="text1"/>
                <w:sz w:val="24"/>
                <w:highlight w:val="none"/>
                <w14:textFill>
                  <w14:solidFill>
                    <w14:schemeClr w14:val="tx1"/>
                  </w14:solidFill>
                </w14:textFill>
              </w:rPr>
            </w:pPr>
          </w:p>
          <w:p w14:paraId="42115823">
            <w:pPr>
              <w:spacing w:line="360" w:lineRule="auto"/>
              <w:ind w:firstLine="480" w:firstLineChars="200"/>
              <w:rPr>
                <w:color w:val="000000" w:themeColor="text1"/>
                <w:sz w:val="24"/>
                <w:highlight w:val="none"/>
                <w14:textFill>
                  <w14:solidFill>
                    <w14:schemeClr w14:val="tx1"/>
                  </w14:solidFill>
                </w14:textFill>
              </w:rPr>
            </w:pPr>
          </w:p>
          <w:p w14:paraId="4183CA54">
            <w:pPr>
              <w:spacing w:line="360" w:lineRule="auto"/>
              <w:ind w:firstLine="480" w:firstLineChars="200"/>
              <w:rPr>
                <w:color w:val="000000" w:themeColor="text1"/>
                <w:sz w:val="24"/>
                <w:highlight w:val="none"/>
                <w14:textFill>
                  <w14:solidFill>
                    <w14:schemeClr w14:val="tx1"/>
                  </w14:solidFill>
                </w14:textFill>
              </w:rPr>
            </w:pPr>
          </w:p>
          <w:p w14:paraId="1C3910E0">
            <w:pPr>
              <w:spacing w:line="360" w:lineRule="auto"/>
              <w:ind w:firstLine="480" w:firstLineChars="200"/>
              <w:rPr>
                <w:color w:val="000000" w:themeColor="text1"/>
                <w:sz w:val="24"/>
                <w:highlight w:val="none"/>
                <w14:textFill>
                  <w14:solidFill>
                    <w14:schemeClr w14:val="tx1"/>
                  </w14:solidFill>
                </w14:textFill>
              </w:rPr>
            </w:pPr>
          </w:p>
          <w:p w14:paraId="3DB66AD3">
            <w:pPr>
              <w:spacing w:line="360" w:lineRule="auto"/>
              <w:ind w:firstLine="480" w:firstLineChars="200"/>
              <w:rPr>
                <w:color w:val="000000" w:themeColor="text1"/>
                <w:sz w:val="24"/>
                <w:highlight w:val="none"/>
                <w14:textFill>
                  <w14:solidFill>
                    <w14:schemeClr w14:val="tx1"/>
                  </w14:solidFill>
                </w14:textFill>
              </w:rPr>
            </w:pPr>
          </w:p>
          <w:p w14:paraId="32E24417">
            <w:pPr>
              <w:spacing w:line="360" w:lineRule="auto"/>
              <w:ind w:firstLine="480" w:firstLineChars="200"/>
              <w:rPr>
                <w:color w:val="000000" w:themeColor="text1"/>
                <w:sz w:val="24"/>
                <w:highlight w:val="none"/>
                <w14:textFill>
                  <w14:solidFill>
                    <w14:schemeClr w14:val="tx1"/>
                  </w14:solidFill>
                </w14:textFill>
              </w:rPr>
            </w:pPr>
          </w:p>
          <w:p w14:paraId="2DF813CC">
            <w:pPr>
              <w:spacing w:line="360" w:lineRule="auto"/>
              <w:ind w:firstLine="480" w:firstLineChars="200"/>
              <w:rPr>
                <w:color w:val="000000" w:themeColor="text1"/>
                <w:sz w:val="24"/>
                <w:highlight w:val="none"/>
                <w14:textFill>
                  <w14:solidFill>
                    <w14:schemeClr w14:val="tx1"/>
                  </w14:solidFill>
                </w14:textFill>
              </w:rPr>
            </w:pPr>
          </w:p>
          <w:p w14:paraId="643F39FF">
            <w:pPr>
              <w:spacing w:line="360" w:lineRule="auto"/>
              <w:ind w:firstLine="480" w:firstLineChars="200"/>
              <w:rPr>
                <w:color w:val="000000" w:themeColor="text1"/>
                <w:sz w:val="24"/>
                <w:highlight w:val="none"/>
                <w14:textFill>
                  <w14:solidFill>
                    <w14:schemeClr w14:val="tx1"/>
                  </w14:solidFill>
                </w14:textFill>
              </w:rPr>
            </w:pPr>
          </w:p>
          <w:p w14:paraId="63F75981">
            <w:pPr>
              <w:spacing w:line="360" w:lineRule="auto"/>
              <w:ind w:firstLine="480" w:firstLineChars="200"/>
              <w:rPr>
                <w:color w:val="000000" w:themeColor="text1"/>
                <w:sz w:val="24"/>
                <w:highlight w:val="none"/>
                <w14:textFill>
                  <w14:solidFill>
                    <w14:schemeClr w14:val="tx1"/>
                  </w14:solidFill>
                </w14:textFill>
              </w:rPr>
            </w:pPr>
          </w:p>
          <w:p w14:paraId="7E9D46C0">
            <w:pPr>
              <w:spacing w:line="360" w:lineRule="auto"/>
              <w:ind w:firstLine="0" w:firstLineChars="0"/>
              <w:rPr>
                <w:color w:val="000000" w:themeColor="text1"/>
                <w:sz w:val="24"/>
                <w:highlight w:val="none"/>
                <w14:textFill>
                  <w14:solidFill>
                    <w14:schemeClr w14:val="tx1"/>
                  </w14:solidFill>
                </w14:textFill>
              </w:rPr>
            </w:pPr>
          </w:p>
        </w:tc>
      </w:tr>
    </w:tbl>
    <w:p w14:paraId="638E6EA7">
      <w:pPr>
        <w:spacing w:line="360" w:lineRule="auto"/>
        <w:ind w:firstLine="0" w:firstLineChars="0"/>
        <w:rPr>
          <w:color w:val="000000" w:themeColor="text1"/>
          <w:sz w:val="24"/>
          <w:highlight w:val="none"/>
          <w14:textFill>
            <w14:solidFill>
              <w14:schemeClr w14:val="tx1"/>
            </w14:solidFill>
          </w14:textFill>
        </w:rPr>
      </w:pPr>
    </w:p>
    <w:sectPr>
      <w:pgSz w:w="11906" w:h="16838"/>
      <w:pgMar w:top="1440" w:right="1800" w:bottom="1440" w:left="1800" w:header="851" w:footer="1077"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华文仿宋">
    <w:altName w:val="仿宋"/>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Segoe UI">
    <w:panose1 w:val="020B0502040204020203"/>
    <w:charset w:val="00"/>
    <w:family w:val="swiss"/>
    <w:pitch w:val="default"/>
    <w:sig w:usb0="E4002EFF" w:usb1="C000E47F"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336CF">
    <w:pPr>
      <w:pStyle w:val="2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DD237">
    <w:pPr>
      <w:pStyle w:val="20"/>
      <w:framePr w:wrap="around" w:vAnchor="text" w:hAnchor="margin" w:xAlign="outside" w:y="1"/>
      <w:rPr>
        <w:rStyle w:val="32"/>
        <w:rFonts w:ascii="宋体" w:hAnsi="宋体"/>
        <w:sz w:val="28"/>
        <w:szCs w:val="28"/>
      </w:rPr>
    </w:pPr>
    <w:r>
      <w:rPr>
        <w:rStyle w:val="32"/>
        <w:rFonts w:hint="eastAsia" w:ascii="宋体" w:hAnsi="宋体"/>
        <w:sz w:val="28"/>
        <w:szCs w:val="28"/>
      </w:rPr>
      <w:t>—</w:t>
    </w:r>
    <w:r>
      <w:rPr>
        <w:rStyle w:val="32"/>
        <w:rFonts w:hint="eastAsia" w:ascii="宋体" w:hAnsi="宋体"/>
        <w:sz w:val="20"/>
        <w:szCs w:val="20"/>
      </w:rPr>
      <w:t xml:space="preserve">  </w:t>
    </w:r>
    <w:r>
      <w:rPr>
        <w:rStyle w:val="32"/>
        <w:rFonts w:ascii="宋体" w:hAnsi="宋体"/>
        <w:sz w:val="26"/>
        <w:szCs w:val="26"/>
      </w:rPr>
      <w:fldChar w:fldCharType="begin"/>
    </w:r>
    <w:r>
      <w:rPr>
        <w:rStyle w:val="32"/>
        <w:rFonts w:ascii="宋体" w:hAnsi="宋体"/>
        <w:sz w:val="26"/>
        <w:szCs w:val="26"/>
      </w:rPr>
      <w:instrText xml:space="preserve">PAGE  </w:instrText>
    </w:r>
    <w:r>
      <w:rPr>
        <w:rStyle w:val="32"/>
        <w:rFonts w:ascii="宋体" w:hAnsi="宋体"/>
        <w:sz w:val="26"/>
        <w:szCs w:val="26"/>
      </w:rPr>
      <w:fldChar w:fldCharType="separate"/>
    </w:r>
    <w:r>
      <w:rPr>
        <w:rStyle w:val="32"/>
        <w:rFonts w:ascii="宋体" w:hAnsi="宋体"/>
        <w:sz w:val="26"/>
        <w:szCs w:val="26"/>
      </w:rPr>
      <w:t>22</w:t>
    </w:r>
    <w:r>
      <w:rPr>
        <w:rStyle w:val="32"/>
        <w:rFonts w:ascii="宋体" w:hAnsi="宋体"/>
        <w:sz w:val="26"/>
        <w:szCs w:val="26"/>
      </w:rPr>
      <w:fldChar w:fldCharType="end"/>
    </w:r>
    <w:r>
      <w:rPr>
        <w:rStyle w:val="32"/>
        <w:rFonts w:hint="eastAsia" w:ascii="宋体" w:hAnsi="宋体"/>
        <w:sz w:val="20"/>
        <w:szCs w:val="20"/>
      </w:rPr>
      <w:t xml:space="preserve">  </w:t>
    </w:r>
    <w:r>
      <w:rPr>
        <w:rStyle w:val="32"/>
        <w:rFonts w:hint="eastAsia" w:ascii="宋体" w:hAnsi="宋体"/>
        <w:sz w:val="28"/>
        <w:szCs w:val="28"/>
      </w:rPr>
      <w:t>—</w:t>
    </w:r>
  </w:p>
  <w:p w14:paraId="7EDEBB76">
    <w:pPr>
      <w:pStyle w:val="20"/>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1B28B">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1E173D"/>
    <w:multiLevelType w:val="multilevel"/>
    <w:tmpl w:val="561E173D"/>
    <w:lvl w:ilvl="0" w:tentative="0">
      <w:start w:val="1"/>
      <w:numFmt w:val="decimal"/>
      <w:suff w:val="space"/>
      <w:lvlText w:val="%1"/>
      <w:lvlJc w:val="left"/>
      <w:pPr>
        <w:tabs>
          <w:tab w:val="left" w:pos="0"/>
        </w:tabs>
        <w:ind w:left="0" w:firstLine="0"/>
      </w:pPr>
      <w:rPr>
        <w:rFonts w:hint="default" w:ascii="Times New Roman" w:hAnsi="Times New Roman" w:eastAsia="宋体" w:cs="宋体"/>
      </w:rPr>
    </w:lvl>
    <w:lvl w:ilvl="1" w:tentative="0">
      <w:start w:val="1"/>
      <w:numFmt w:val="decimal"/>
      <w:suff w:val="space"/>
      <w:lvlText w:val="%1.%2"/>
      <w:lvlJc w:val="left"/>
      <w:pPr>
        <w:tabs>
          <w:tab w:val="left" w:pos="0"/>
        </w:tabs>
        <w:ind w:left="0" w:firstLine="0"/>
      </w:pPr>
      <w:rPr>
        <w:rFonts w:hint="default" w:ascii="Times New Roman" w:hAnsi="Times New Roman" w:eastAsia="宋体" w:cs="宋体"/>
      </w:rPr>
    </w:lvl>
    <w:lvl w:ilvl="2" w:tentative="0">
      <w:start w:val="1"/>
      <w:numFmt w:val="decimal"/>
      <w:suff w:val="space"/>
      <w:lvlText w:val="%1.%2.%3"/>
      <w:lvlJc w:val="left"/>
      <w:pPr>
        <w:tabs>
          <w:tab w:val="left" w:pos="0"/>
        </w:tabs>
        <w:ind w:left="0" w:firstLine="0"/>
      </w:pPr>
      <w:rPr>
        <w:rFonts w:hint="default" w:ascii="Times New Roman" w:hAnsi="Times New Roman" w:eastAsia="宋体" w:cs="宋体"/>
      </w:rPr>
    </w:lvl>
    <w:lvl w:ilvl="3" w:tentative="0">
      <w:start w:val="1"/>
      <w:numFmt w:val="decimal"/>
      <w:suff w:val="space"/>
      <w:lvlText w:val="%1.%2.%3.%4"/>
      <w:lvlJc w:val="left"/>
      <w:pPr>
        <w:tabs>
          <w:tab w:val="left" w:pos="0"/>
        </w:tabs>
        <w:ind w:left="0" w:firstLine="0"/>
      </w:pPr>
      <w:rPr>
        <w:rFonts w:hint="default" w:ascii="Times New Roman" w:hAnsi="Times New Roman" w:eastAsia="宋体" w:cs="宋体"/>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1"/>
        </w:tabs>
        <w:ind w:left="1151" w:hanging="1151"/>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3"/>
        </w:tabs>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NTNhOWMzNThmMTgxMjhlYmYwYmRlODczZGZjNDkifQ=="/>
  </w:docVars>
  <w:rsids>
    <w:rsidRoot w:val="00172A2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9295D"/>
    <w:rsid w:val="000A178E"/>
    <w:rsid w:val="000A557E"/>
    <w:rsid w:val="000B058F"/>
    <w:rsid w:val="000B693F"/>
    <w:rsid w:val="000C09AC"/>
    <w:rsid w:val="000C0A63"/>
    <w:rsid w:val="000C437E"/>
    <w:rsid w:val="000E5F16"/>
    <w:rsid w:val="000F002E"/>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48E"/>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29AF"/>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01EC"/>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63F0A"/>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1383"/>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269A2"/>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5FBE"/>
    <w:rsid w:val="00A9708D"/>
    <w:rsid w:val="00AA2C17"/>
    <w:rsid w:val="00AA4172"/>
    <w:rsid w:val="00AB1914"/>
    <w:rsid w:val="00AB5330"/>
    <w:rsid w:val="00AB7747"/>
    <w:rsid w:val="00AC2532"/>
    <w:rsid w:val="00AD1507"/>
    <w:rsid w:val="00AD5A70"/>
    <w:rsid w:val="00AD738B"/>
    <w:rsid w:val="00AE1BF4"/>
    <w:rsid w:val="00AE53A5"/>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19DE"/>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A613C"/>
    <w:rsid w:val="00CB0183"/>
    <w:rsid w:val="00CB1EA3"/>
    <w:rsid w:val="00CB552C"/>
    <w:rsid w:val="00CB6A9E"/>
    <w:rsid w:val="00CC6181"/>
    <w:rsid w:val="00CD2BCD"/>
    <w:rsid w:val="00CD36AA"/>
    <w:rsid w:val="00CD3791"/>
    <w:rsid w:val="00CD65B0"/>
    <w:rsid w:val="00CE02CD"/>
    <w:rsid w:val="00CE10E9"/>
    <w:rsid w:val="00CE72AE"/>
    <w:rsid w:val="00D0072E"/>
    <w:rsid w:val="00D15727"/>
    <w:rsid w:val="00D16332"/>
    <w:rsid w:val="00D24972"/>
    <w:rsid w:val="00D2515E"/>
    <w:rsid w:val="00D308ED"/>
    <w:rsid w:val="00D370F7"/>
    <w:rsid w:val="00D56178"/>
    <w:rsid w:val="00D56CF0"/>
    <w:rsid w:val="00D56F5C"/>
    <w:rsid w:val="00D65C66"/>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33D"/>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0D262E"/>
    <w:rsid w:val="010D427B"/>
    <w:rsid w:val="010F53D5"/>
    <w:rsid w:val="01101675"/>
    <w:rsid w:val="01196E52"/>
    <w:rsid w:val="011D7843"/>
    <w:rsid w:val="012C1A19"/>
    <w:rsid w:val="01320EC9"/>
    <w:rsid w:val="014B2BEB"/>
    <w:rsid w:val="014B78B6"/>
    <w:rsid w:val="015C1523"/>
    <w:rsid w:val="015E6B1D"/>
    <w:rsid w:val="01655E65"/>
    <w:rsid w:val="01715BF2"/>
    <w:rsid w:val="017417EB"/>
    <w:rsid w:val="017635A2"/>
    <w:rsid w:val="01857C73"/>
    <w:rsid w:val="018759AC"/>
    <w:rsid w:val="018B21C1"/>
    <w:rsid w:val="019978BC"/>
    <w:rsid w:val="01B140BF"/>
    <w:rsid w:val="01B42207"/>
    <w:rsid w:val="01BA61B0"/>
    <w:rsid w:val="01BB2C92"/>
    <w:rsid w:val="01C16C2C"/>
    <w:rsid w:val="01C66596"/>
    <w:rsid w:val="01CF52F9"/>
    <w:rsid w:val="01D6466C"/>
    <w:rsid w:val="01D82621"/>
    <w:rsid w:val="01E27A17"/>
    <w:rsid w:val="01FD7E4B"/>
    <w:rsid w:val="02096B85"/>
    <w:rsid w:val="02110AC4"/>
    <w:rsid w:val="021653B1"/>
    <w:rsid w:val="021C128D"/>
    <w:rsid w:val="022E14F7"/>
    <w:rsid w:val="02323E22"/>
    <w:rsid w:val="02490F73"/>
    <w:rsid w:val="025905B8"/>
    <w:rsid w:val="025E2CEB"/>
    <w:rsid w:val="02671768"/>
    <w:rsid w:val="02737AF6"/>
    <w:rsid w:val="02786C45"/>
    <w:rsid w:val="02887C6F"/>
    <w:rsid w:val="02973D5F"/>
    <w:rsid w:val="02973F5D"/>
    <w:rsid w:val="02A4476B"/>
    <w:rsid w:val="02A8142E"/>
    <w:rsid w:val="02B66AA6"/>
    <w:rsid w:val="02D17E3E"/>
    <w:rsid w:val="02D44580"/>
    <w:rsid w:val="02E244D2"/>
    <w:rsid w:val="02E52166"/>
    <w:rsid w:val="02FB6862"/>
    <w:rsid w:val="030516AD"/>
    <w:rsid w:val="030C3E9B"/>
    <w:rsid w:val="03173601"/>
    <w:rsid w:val="031F5DB1"/>
    <w:rsid w:val="03256780"/>
    <w:rsid w:val="032E2649"/>
    <w:rsid w:val="03517621"/>
    <w:rsid w:val="035A31DA"/>
    <w:rsid w:val="036C4379"/>
    <w:rsid w:val="03773579"/>
    <w:rsid w:val="037B760F"/>
    <w:rsid w:val="039105B6"/>
    <w:rsid w:val="039849B2"/>
    <w:rsid w:val="03AC4D56"/>
    <w:rsid w:val="03B72CC7"/>
    <w:rsid w:val="03C04774"/>
    <w:rsid w:val="03C17E7E"/>
    <w:rsid w:val="03C36BA6"/>
    <w:rsid w:val="03CB2CE2"/>
    <w:rsid w:val="03DE5A5A"/>
    <w:rsid w:val="03E73206"/>
    <w:rsid w:val="03E90B1E"/>
    <w:rsid w:val="04026C8D"/>
    <w:rsid w:val="042F3D71"/>
    <w:rsid w:val="04395576"/>
    <w:rsid w:val="04425FE9"/>
    <w:rsid w:val="04432C66"/>
    <w:rsid w:val="044E7D8A"/>
    <w:rsid w:val="04513BA5"/>
    <w:rsid w:val="04584E73"/>
    <w:rsid w:val="04632D76"/>
    <w:rsid w:val="04635904"/>
    <w:rsid w:val="04694C49"/>
    <w:rsid w:val="046C750A"/>
    <w:rsid w:val="048D474C"/>
    <w:rsid w:val="049F4F72"/>
    <w:rsid w:val="04A02746"/>
    <w:rsid w:val="04DB23ED"/>
    <w:rsid w:val="04F14D2A"/>
    <w:rsid w:val="05026B7D"/>
    <w:rsid w:val="050E75A9"/>
    <w:rsid w:val="05104806"/>
    <w:rsid w:val="05170C7F"/>
    <w:rsid w:val="051847BF"/>
    <w:rsid w:val="051B38A9"/>
    <w:rsid w:val="051F41C0"/>
    <w:rsid w:val="051F7A75"/>
    <w:rsid w:val="05337791"/>
    <w:rsid w:val="053E7690"/>
    <w:rsid w:val="05447C28"/>
    <w:rsid w:val="05551283"/>
    <w:rsid w:val="05605B0F"/>
    <w:rsid w:val="05742AC8"/>
    <w:rsid w:val="05760640"/>
    <w:rsid w:val="058E0B21"/>
    <w:rsid w:val="058F48C8"/>
    <w:rsid w:val="05926C4E"/>
    <w:rsid w:val="05964489"/>
    <w:rsid w:val="05BB42A5"/>
    <w:rsid w:val="05C55E8E"/>
    <w:rsid w:val="05D642CE"/>
    <w:rsid w:val="05DC07B1"/>
    <w:rsid w:val="05EC0669"/>
    <w:rsid w:val="0603741A"/>
    <w:rsid w:val="06150B3E"/>
    <w:rsid w:val="06175B47"/>
    <w:rsid w:val="0619728A"/>
    <w:rsid w:val="062C6F51"/>
    <w:rsid w:val="062E0F1B"/>
    <w:rsid w:val="06352F05"/>
    <w:rsid w:val="063A0FE6"/>
    <w:rsid w:val="063C333F"/>
    <w:rsid w:val="063E7D85"/>
    <w:rsid w:val="06411B4C"/>
    <w:rsid w:val="06683799"/>
    <w:rsid w:val="069409F0"/>
    <w:rsid w:val="06B536D7"/>
    <w:rsid w:val="06CA61A3"/>
    <w:rsid w:val="06CC2DD0"/>
    <w:rsid w:val="06E174A3"/>
    <w:rsid w:val="06ED60F1"/>
    <w:rsid w:val="06F22278"/>
    <w:rsid w:val="06F955BE"/>
    <w:rsid w:val="070875E0"/>
    <w:rsid w:val="071252CD"/>
    <w:rsid w:val="0716462A"/>
    <w:rsid w:val="07240D7C"/>
    <w:rsid w:val="072872F3"/>
    <w:rsid w:val="07293586"/>
    <w:rsid w:val="07295285"/>
    <w:rsid w:val="072B545A"/>
    <w:rsid w:val="075208D7"/>
    <w:rsid w:val="07594F89"/>
    <w:rsid w:val="076444C8"/>
    <w:rsid w:val="076B3AA9"/>
    <w:rsid w:val="076E638B"/>
    <w:rsid w:val="07770C56"/>
    <w:rsid w:val="077E558A"/>
    <w:rsid w:val="07994C79"/>
    <w:rsid w:val="07A5586E"/>
    <w:rsid w:val="07C76659"/>
    <w:rsid w:val="07F65C31"/>
    <w:rsid w:val="07F96223"/>
    <w:rsid w:val="08002443"/>
    <w:rsid w:val="08065580"/>
    <w:rsid w:val="081E0B1B"/>
    <w:rsid w:val="08234384"/>
    <w:rsid w:val="082D5987"/>
    <w:rsid w:val="082E17EA"/>
    <w:rsid w:val="08377FAD"/>
    <w:rsid w:val="08387E2F"/>
    <w:rsid w:val="084B2F0B"/>
    <w:rsid w:val="084F33CB"/>
    <w:rsid w:val="085333A0"/>
    <w:rsid w:val="086A00E6"/>
    <w:rsid w:val="088B4C81"/>
    <w:rsid w:val="08A61E87"/>
    <w:rsid w:val="08AE049D"/>
    <w:rsid w:val="08BD248B"/>
    <w:rsid w:val="08C401C2"/>
    <w:rsid w:val="08CF48B6"/>
    <w:rsid w:val="08D97D1B"/>
    <w:rsid w:val="08DA0EE6"/>
    <w:rsid w:val="08EF10FC"/>
    <w:rsid w:val="08F63846"/>
    <w:rsid w:val="09023F99"/>
    <w:rsid w:val="091457BC"/>
    <w:rsid w:val="091D7619"/>
    <w:rsid w:val="092217DD"/>
    <w:rsid w:val="093A7294"/>
    <w:rsid w:val="093D20B4"/>
    <w:rsid w:val="09424A96"/>
    <w:rsid w:val="094D790A"/>
    <w:rsid w:val="094E63E5"/>
    <w:rsid w:val="094F10C7"/>
    <w:rsid w:val="09523CDC"/>
    <w:rsid w:val="09561A6E"/>
    <w:rsid w:val="09607FAA"/>
    <w:rsid w:val="096A6D08"/>
    <w:rsid w:val="096A6F5A"/>
    <w:rsid w:val="097B5CAC"/>
    <w:rsid w:val="098C06E0"/>
    <w:rsid w:val="09A20C96"/>
    <w:rsid w:val="09A314F6"/>
    <w:rsid w:val="09A514F4"/>
    <w:rsid w:val="09D879EF"/>
    <w:rsid w:val="09F4070E"/>
    <w:rsid w:val="0A073817"/>
    <w:rsid w:val="0A116C04"/>
    <w:rsid w:val="0A147B34"/>
    <w:rsid w:val="0A1F4703"/>
    <w:rsid w:val="0A231EDD"/>
    <w:rsid w:val="0A6E0464"/>
    <w:rsid w:val="0A721F4B"/>
    <w:rsid w:val="0A9A7AEB"/>
    <w:rsid w:val="0AE73511"/>
    <w:rsid w:val="0B0B2AE9"/>
    <w:rsid w:val="0B1A18FA"/>
    <w:rsid w:val="0B204BAA"/>
    <w:rsid w:val="0B472C6B"/>
    <w:rsid w:val="0B4A156F"/>
    <w:rsid w:val="0B4B7E79"/>
    <w:rsid w:val="0B8C2821"/>
    <w:rsid w:val="0B9B2926"/>
    <w:rsid w:val="0BB00343"/>
    <w:rsid w:val="0BB166B1"/>
    <w:rsid w:val="0BC4514F"/>
    <w:rsid w:val="0BC55E7E"/>
    <w:rsid w:val="0BC95F15"/>
    <w:rsid w:val="0BD04096"/>
    <w:rsid w:val="0BD27BF6"/>
    <w:rsid w:val="0BE52FAF"/>
    <w:rsid w:val="0BE90AC2"/>
    <w:rsid w:val="0BE91E37"/>
    <w:rsid w:val="0BE978FB"/>
    <w:rsid w:val="0BFD6797"/>
    <w:rsid w:val="0C0221CB"/>
    <w:rsid w:val="0C032AB2"/>
    <w:rsid w:val="0C037555"/>
    <w:rsid w:val="0C0D167A"/>
    <w:rsid w:val="0C1734E6"/>
    <w:rsid w:val="0C2B3807"/>
    <w:rsid w:val="0C3A0244"/>
    <w:rsid w:val="0C3B5076"/>
    <w:rsid w:val="0C452B1A"/>
    <w:rsid w:val="0C581A09"/>
    <w:rsid w:val="0C601A20"/>
    <w:rsid w:val="0C676F35"/>
    <w:rsid w:val="0C820FC8"/>
    <w:rsid w:val="0C9308B1"/>
    <w:rsid w:val="0CB34CF4"/>
    <w:rsid w:val="0CD62D8F"/>
    <w:rsid w:val="0CDD691A"/>
    <w:rsid w:val="0CDE6ACB"/>
    <w:rsid w:val="0CF109A7"/>
    <w:rsid w:val="0D04290B"/>
    <w:rsid w:val="0D1169EC"/>
    <w:rsid w:val="0D301348"/>
    <w:rsid w:val="0D3B62E5"/>
    <w:rsid w:val="0D3C2711"/>
    <w:rsid w:val="0D405695"/>
    <w:rsid w:val="0D471D25"/>
    <w:rsid w:val="0D5C4BD0"/>
    <w:rsid w:val="0D646FD0"/>
    <w:rsid w:val="0D755681"/>
    <w:rsid w:val="0D7D441B"/>
    <w:rsid w:val="0D7F3E0A"/>
    <w:rsid w:val="0D8C6527"/>
    <w:rsid w:val="0DB07359"/>
    <w:rsid w:val="0DB96E36"/>
    <w:rsid w:val="0DBA0A0C"/>
    <w:rsid w:val="0DCA3C27"/>
    <w:rsid w:val="0DD11376"/>
    <w:rsid w:val="0DE03144"/>
    <w:rsid w:val="0DED3F7D"/>
    <w:rsid w:val="0DF149A6"/>
    <w:rsid w:val="0DFE1D1F"/>
    <w:rsid w:val="0DFE7A3F"/>
    <w:rsid w:val="0E110D06"/>
    <w:rsid w:val="0E130311"/>
    <w:rsid w:val="0E236E8B"/>
    <w:rsid w:val="0E266AC3"/>
    <w:rsid w:val="0E2A1FC8"/>
    <w:rsid w:val="0E327A81"/>
    <w:rsid w:val="0E492AD6"/>
    <w:rsid w:val="0E4E1A06"/>
    <w:rsid w:val="0E565112"/>
    <w:rsid w:val="0E572FD9"/>
    <w:rsid w:val="0E5F3AD9"/>
    <w:rsid w:val="0E62253D"/>
    <w:rsid w:val="0E7255BD"/>
    <w:rsid w:val="0EA55AF2"/>
    <w:rsid w:val="0EAA2B43"/>
    <w:rsid w:val="0EAE684C"/>
    <w:rsid w:val="0EC92C77"/>
    <w:rsid w:val="0EDD0135"/>
    <w:rsid w:val="0EF36439"/>
    <w:rsid w:val="0EF949B1"/>
    <w:rsid w:val="0EFA4090"/>
    <w:rsid w:val="0F13775A"/>
    <w:rsid w:val="0F4E3E42"/>
    <w:rsid w:val="0F4E618A"/>
    <w:rsid w:val="0F607C6B"/>
    <w:rsid w:val="0F7428EE"/>
    <w:rsid w:val="0F791001"/>
    <w:rsid w:val="0F8868B2"/>
    <w:rsid w:val="0F9A112B"/>
    <w:rsid w:val="0FAF2860"/>
    <w:rsid w:val="0FDE2D02"/>
    <w:rsid w:val="0FE555D4"/>
    <w:rsid w:val="0FEF179E"/>
    <w:rsid w:val="0FF860F6"/>
    <w:rsid w:val="0FFA6753"/>
    <w:rsid w:val="10047B2F"/>
    <w:rsid w:val="10164837"/>
    <w:rsid w:val="10390BE8"/>
    <w:rsid w:val="103B55CC"/>
    <w:rsid w:val="10467DB1"/>
    <w:rsid w:val="1058689E"/>
    <w:rsid w:val="10620F29"/>
    <w:rsid w:val="106D2F64"/>
    <w:rsid w:val="107039FD"/>
    <w:rsid w:val="107439CE"/>
    <w:rsid w:val="10757746"/>
    <w:rsid w:val="107F689D"/>
    <w:rsid w:val="108A7467"/>
    <w:rsid w:val="10AB3168"/>
    <w:rsid w:val="10B01A9F"/>
    <w:rsid w:val="10B244F7"/>
    <w:rsid w:val="10B63710"/>
    <w:rsid w:val="10CC0C06"/>
    <w:rsid w:val="10CF4CD1"/>
    <w:rsid w:val="10D23005"/>
    <w:rsid w:val="10D85020"/>
    <w:rsid w:val="10E130BF"/>
    <w:rsid w:val="10E20B40"/>
    <w:rsid w:val="11072A94"/>
    <w:rsid w:val="1109477E"/>
    <w:rsid w:val="11182474"/>
    <w:rsid w:val="111C2F7A"/>
    <w:rsid w:val="112002C2"/>
    <w:rsid w:val="112924B4"/>
    <w:rsid w:val="112A6783"/>
    <w:rsid w:val="113013DE"/>
    <w:rsid w:val="11350618"/>
    <w:rsid w:val="11385BBB"/>
    <w:rsid w:val="11446485"/>
    <w:rsid w:val="11455CCA"/>
    <w:rsid w:val="114678B8"/>
    <w:rsid w:val="116427AF"/>
    <w:rsid w:val="11716160"/>
    <w:rsid w:val="118F65E6"/>
    <w:rsid w:val="119E3DD4"/>
    <w:rsid w:val="11A0470A"/>
    <w:rsid w:val="11A7236D"/>
    <w:rsid w:val="11AB65BF"/>
    <w:rsid w:val="11B8015A"/>
    <w:rsid w:val="11C46F35"/>
    <w:rsid w:val="11C743A6"/>
    <w:rsid w:val="11CC3D75"/>
    <w:rsid w:val="11D70F97"/>
    <w:rsid w:val="11D93DA0"/>
    <w:rsid w:val="11DB3FFF"/>
    <w:rsid w:val="11E15093"/>
    <w:rsid w:val="11E84674"/>
    <w:rsid w:val="11E937B9"/>
    <w:rsid w:val="11EA051C"/>
    <w:rsid w:val="11EA29C0"/>
    <w:rsid w:val="11EF5056"/>
    <w:rsid w:val="11FC011F"/>
    <w:rsid w:val="12023727"/>
    <w:rsid w:val="122072AA"/>
    <w:rsid w:val="12267B49"/>
    <w:rsid w:val="122B06C2"/>
    <w:rsid w:val="122B3718"/>
    <w:rsid w:val="123D74D6"/>
    <w:rsid w:val="12445229"/>
    <w:rsid w:val="124E4E5A"/>
    <w:rsid w:val="124E53FA"/>
    <w:rsid w:val="124F51D5"/>
    <w:rsid w:val="12502C70"/>
    <w:rsid w:val="12605BA3"/>
    <w:rsid w:val="12613C54"/>
    <w:rsid w:val="12634788"/>
    <w:rsid w:val="126B3B83"/>
    <w:rsid w:val="12736E94"/>
    <w:rsid w:val="12745F08"/>
    <w:rsid w:val="1279351E"/>
    <w:rsid w:val="128F2D41"/>
    <w:rsid w:val="129077DE"/>
    <w:rsid w:val="12960DCE"/>
    <w:rsid w:val="12A2059C"/>
    <w:rsid w:val="12BE1260"/>
    <w:rsid w:val="12C60256"/>
    <w:rsid w:val="12CE4E68"/>
    <w:rsid w:val="12D3750A"/>
    <w:rsid w:val="12D86EA3"/>
    <w:rsid w:val="12E46ABD"/>
    <w:rsid w:val="12EF6AB8"/>
    <w:rsid w:val="12F2507E"/>
    <w:rsid w:val="130B154D"/>
    <w:rsid w:val="13286CF2"/>
    <w:rsid w:val="133236CD"/>
    <w:rsid w:val="134E5C22"/>
    <w:rsid w:val="136441CE"/>
    <w:rsid w:val="138A1793"/>
    <w:rsid w:val="138B18F3"/>
    <w:rsid w:val="13951726"/>
    <w:rsid w:val="13A15444"/>
    <w:rsid w:val="13BC5A7B"/>
    <w:rsid w:val="13C609E5"/>
    <w:rsid w:val="13D61F78"/>
    <w:rsid w:val="13D628C0"/>
    <w:rsid w:val="13D82DFB"/>
    <w:rsid w:val="13EB044B"/>
    <w:rsid w:val="13ED5118"/>
    <w:rsid w:val="13F16624"/>
    <w:rsid w:val="13F50E66"/>
    <w:rsid w:val="13F6014E"/>
    <w:rsid w:val="14060550"/>
    <w:rsid w:val="141827A0"/>
    <w:rsid w:val="141A01E7"/>
    <w:rsid w:val="142940CA"/>
    <w:rsid w:val="142E20E6"/>
    <w:rsid w:val="14353475"/>
    <w:rsid w:val="14377E57"/>
    <w:rsid w:val="14396509"/>
    <w:rsid w:val="14397409"/>
    <w:rsid w:val="143E60BA"/>
    <w:rsid w:val="1447165C"/>
    <w:rsid w:val="14475755"/>
    <w:rsid w:val="145255D4"/>
    <w:rsid w:val="14556DB3"/>
    <w:rsid w:val="145E70D4"/>
    <w:rsid w:val="146B50E8"/>
    <w:rsid w:val="14750D5A"/>
    <w:rsid w:val="147E33C3"/>
    <w:rsid w:val="14870A36"/>
    <w:rsid w:val="14881E66"/>
    <w:rsid w:val="148F7029"/>
    <w:rsid w:val="149A2AF2"/>
    <w:rsid w:val="14AB7BDB"/>
    <w:rsid w:val="14B20F8C"/>
    <w:rsid w:val="14C64A14"/>
    <w:rsid w:val="14DC1BA5"/>
    <w:rsid w:val="14E86BD0"/>
    <w:rsid w:val="14F0050F"/>
    <w:rsid w:val="14FC21E4"/>
    <w:rsid w:val="150A42DA"/>
    <w:rsid w:val="15205755"/>
    <w:rsid w:val="152B3BAE"/>
    <w:rsid w:val="152C7305"/>
    <w:rsid w:val="152D05F0"/>
    <w:rsid w:val="154701F2"/>
    <w:rsid w:val="154A4FB3"/>
    <w:rsid w:val="154D1CD8"/>
    <w:rsid w:val="15581F72"/>
    <w:rsid w:val="155B0F75"/>
    <w:rsid w:val="15604521"/>
    <w:rsid w:val="156100F4"/>
    <w:rsid w:val="15637920"/>
    <w:rsid w:val="15646E47"/>
    <w:rsid w:val="15667DAD"/>
    <w:rsid w:val="156A1844"/>
    <w:rsid w:val="156B7CCE"/>
    <w:rsid w:val="15AC4A14"/>
    <w:rsid w:val="15B64457"/>
    <w:rsid w:val="15C956C5"/>
    <w:rsid w:val="15CE4223"/>
    <w:rsid w:val="15CE5420"/>
    <w:rsid w:val="15DA4676"/>
    <w:rsid w:val="161B6867"/>
    <w:rsid w:val="16220563"/>
    <w:rsid w:val="162623BA"/>
    <w:rsid w:val="162952E3"/>
    <w:rsid w:val="162C3809"/>
    <w:rsid w:val="16361310"/>
    <w:rsid w:val="1691733D"/>
    <w:rsid w:val="1695644C"/>
    <w:rsid w:val="16AB2114"/>
    <w:rsid w:val="16B70AB9"/>
    <w:rsid w:val="16BB4A0E"/>
    <w:rsid w:val="16C17BF4"/>
    <w:rsid w:val="16CC2C07"/>
    <w:rsid w:val="16D108B7"/>
    <w:rsid w:val="16F65FFD"/>
    <w:rsid w:val="170D06D9"/>
    <w:rsid w:val="170F179D"/>
    <w:rsid w:val="171A0D87"/>
    <w:rsid w:val="171A4B88"/>
    <w:rsid w:val="171F3E2C"/>
    <w:rsid w:val="172345B4"/>
    <w:rsid w:val="1724463E"/>
    <w:rsid w:val="17277927"/>
    <w:rsid w:val="173D173B"/>
    <w:rsid w:val="1759533F"/>
    <w:rsid w:val="17625724"/>
    <w:rsid w:val="1764623E"/>
    <w:rsid w:val="176B1EA6"/>
    <w:rsid w:val="17735226"/>
    <w:rsid w:val="17754F34"/>
    <w:rsid w:val="177C3206"/>
    <w:rsid w:val="178611DC"/>
    <w:rsid w:val="17902473"/>
    <w:rsid w:val="17991C3C"/>
    <w:rsid w:val="17A806BC"/>
    <w:rsid w:val="17B423BF"/>
    <w:rsid w:val="17C0399D"/>
    <w:rsid w:val="17C1100E"/>
    <w:rsid w:val="17C11909"/>
    <w:rsid w:val="17C528EE"/>
    <w:rsid w:val="17CE1006"/>
    <w:rsid w:val="17D3708B"/>
    <w:rsid w:val="17D77582"/>
    <w:rsid w:val="17E41539"/>
    <w:rsid w:val="17E80B02"/>
    <w:rsid w:val="18112FB1"/>
    <w:rsid w:val="181459D7"/>
    <w:rsid w:val="181F1822"/>
    <w:rsid w:val="18214C5F"/>
    <w:rsid w:val="18294C4F"/>
    <w:rsid w:val="183A374F"/>
    <w:rsid w:val="18420856"/>
    <w:rsid w:val="1853036D"/>
    <w:rsid w:val="18666832"/>
    <w:rsid w:val="186B3909"/>
    <w:rsid w:val="18786643"/>
    <w:rsid w:val="18832596"/>
    <w:rsid w:val="188D7D23"/>
    <w:rsid w:val="1890511D"/>
    <w:rsid w:val="18955D8E"/>
    <w:rsid w:val="18A36F6F"/>
    <w:rsid w:val="18C15C1F"/>
    <w:rsid w:val="18C96881"/>
    <w:rsid w:val="18DA672E"/>
    <w:rsid w:val="18F427E9"/>
    <w:rsid w:val="18FD3358"/>
    <w:rsid w:val="1906512C"/>
    <w:rsid w:val="190A44F3"/>
    <w:rsid w:val="190F50B5"/>
    <w:rsid w:val="191653D9"/>
    <w:rsid w:val="19431B6D"/>
    <w:rsid w:val="19481E9C"/>
    <w:rsid w:val="19616ABA"/>
    <w:rsid w:val="196216A7"/>
    <w:rsid w:val="19673177"/>
    <w:rsid w:val="19766A09"/>
    <w:rsid w:val="198549D1"/>
    <w:rsid w:val="199454D6"/>
    <w:rsid w:val="199E4403"/>
    <w:rsid w:val="19A12E37"/>
    <w:rsid w:val="19A35684"/>
    <w:rsid w:val="19AC6690"/>
    <w:rsid w:val="19B173EC"/>
    <w:rsid w:val="19BB08C0"/>
    <w:rsid w:val="19C534ED"/>
    <w:rsid w:val="19DD2CB2"/>
    <w:rsid w:val="19ED443E"/>
    <w:rsid w:val="19F62B74"/>
    <w:rsid w:val="1A127842"/>
    <w:rsid w:val="1A1C66C0"/>
    <w:rsid w:val="1A220073"/>
    <w:rsid w:val="1A220FF0"/>
    <w:rsid w:val="1A285DFB"/>
    <w:rsid w:val="1A307DAC"/>
    <w:rsid w:val="1A3B145C"/>
    <w:rsid w:val="1A407E0C"/>
    <w:rsid w:val="1A42393B"/>
    <w:rsid w:val="1A4C59BC"/>
    <w:rsid w:val="1A524411"/>
    <w:rsid w:val="1A5550F6"/>
    <w:rsid w:val="1A7570AC"/>
    <w:rsid w:val="1A8245D6"/>
    <w:rsid w:val="1A9952ED"/>
    <w:rsid w:val="1AB570BD"/>
    <w:rsid w:val="1ABA7CDE"/>
    <w:rsid w:val="1AD72F6D"/>
    <w:rsid w:val="1AE25F5A"/>
    <w:rsid w:val="1AEC72DF"/>
    <w:rsid w:val="1AEF014E"/>
    <w:rsid w:val="1AFE39A3"/>
    <w:rsid w:val="1B000BBA"/>
    <w:rsid w:val="1B046F80"/>
    <w:rsid w:val="1B094D68"/>
    <w:rsid w:val="1B2D1349"/>
    <w:rsid w:val="1B3267B5"/>
    <w:rsid w:val="1B3430F7"/>
    <w:rsid w:val="1B485930"/>
    <w:rsid w:val="1B523D51"/>
    <w:rsid w:val="1B59213E"/>
    <w:rsid w:val="1B6943CE"/>
    <w:rsid w:val="1B6A5A24"/>
    <w:rsid w:val="1B815128"/>
    <w:rsid w:val="1B825A10"/>
    <w:rsid w:val="1B8B7B95"/>
    <w:rsid w:val="1B8C4D6B"/>
    <w:rsid w:val="1B9E5B74"/>
    <w:rsid w:val="1BAE33B0"/>
    <w:rsid w:val="1BB13F6D"/>
    <w:rsid w:val="1BB850B8"/>
    <w:rsid w:val="1BC10824"/>
    <w:rsid w:val="1BC25DC8"/>
    <w:rsid w:val="1BC4107F"/>
    <w:rsid w:val="1BD935D1"/>
    <w:rsid w:val="1BF133BC"/>
    <w:rsid w:val="1BF51C89"/>
    <w:rsid w:val="1BF52CF8"/>
    <w:rsid w:val="1C197B20"/>
    <w:rsid w:val="1C1F5136"/>
    <w:rsid w:val="1C2C2182"/>
    <w:rsid w:val="1C2C7A15"/>
    <w:rsid w:val="1C4F709D"/>
    <w:rsid w:val="1C574168"/>
    <w:rsid w:val="1C5E7925"/>
    <w:rsid w:val="1C663AE3"/>
    <w:rsid w:val="1C71445B"/>
    <w:rsid w:val="1C765C9F"/>
    <w:rsid w:val="1C7669CC"/>
    <w:rsid w:val="1C864762"/>
    <w:rsid w:val="1C887FC8"/>
    <w:rsid w:val="1C8A55DB"/>
    <w:rsid w:val="1CA777C8"/>
    <w:rsid w:val="1CB514A9"/>
    <w:rsid w:val="1CC161ED"/>
    <w:rsid w:val="1CC61FCF"/>
    <w:rsid w:val="1CCD3268"/>
    <w:rsid w:val="1CE05A16"/>
    <w:rsid w:val="1CE9788F"/>
    <w:rsid w:val="1CF218F5"/>
    <w:rsid w:val="1D0216DB"/>
    <w:rsid w:val="1D081FED"/>
    <w:rsid w:val="1D0F7E37"/>
    <w:rsid w:val="1D1E5089"/>
    <w:rsid w:val="1D2A3FA0"/>
    <w:rsid w:val="1D5F6196"/>
    <w:rsid w:val="1D6132A5"/>
    <w:rsid w:val="1D63465A"/>
    <w:rsid w:val="1D6A43DB"/>
    <w:rsid w:val="1D8E56D5"/>
    <w:rsid w:val="1DA46927"/>
    <w:rsid w:val="1DC63DF7"/>
    <w:rsid w:val="1DD145C1"/>
    <w:rsid w:val="1DD9366C"/>
    <w:rsid w:val="1DEF48B1"/>
    <w:rsid w:val="1E053DEB"/>
    <w:rsid w:val="1E1C064C"/>
    <w:rsid w:val="1E1E2F7C"/>
    <w:rsid w:val="1E1E766F"/>
    <w:rsid w:val="1E2644A4"/>
    <w:rsid w:val="1E2A3198"/>
    <w:rsid w:val="1E3A67DB"/>
    <w:rsid w:val="1E3F6C3A"/>
    <w:rsid w:val="1E403AD7"/>
    <w:rsid w:val="1E473B8F"/>
    <w:rsid w:val="1E4D2BAC"/>
    <w:rsid w:val="1E5168F6"/>
    <w:rsid w:val="1E5915BE"/>
    <w:rsid w:val="1E5D3CF4"/>
    <w:rsid w:val="1E635082"/>
    <w:rsid w:val="1E6432D4"/>
    <w:rsid w:val="1E732AF6"/>
    <w:rsid w:val="1E7847F7"/>
    <w:rsid w:val="1E7A43DA"/>
    <w:rsid w:val="1E932132"/>
    <w:rsid w:val="1E9828AC"/>
    <w:rsid w:val="1E9B0CC0"/>
    <w:rsid w:val="1EA35913"/>
    <w:rsid w:val="1EA731C1"/>
    <w:rsid w:val="1EB26E5D"/>
    <w:rsid w:val="1EB277FE"/>
    <w:rsid w:val="1EC10280"/>
    <w:rsid w:val="1EC10726"/>
    <w:rsid w:val="1ED15AF8"/>
    <w:rsid w:val="1ED85DBC"/>
    <w:rsid w:val="1EFD4150"/>
    <w:rsid w:val="1F046673"/>
    <w:rsid w:val="1F05338C"/>
    <w:rsid w:val="1F1419B3"/>
    <w:rsid w:val="1F246799"/>
    <w:rsid w:val="1F26796B"/>
    <w:rsid w:val="1F2C1918"/>
    <w:rsid w:val="1F3E1885"/>
    <w:rsid w:val="1F5426F2"/>
    <w:rsid w:val="1F606B81"/>
    <w:rsid w:val="1F64759C"/>
    <w:rsid w:val="1F7832BB"/>
    <w:rsid w:val="1F816AB1"/>
    <w:rsid w:val="1F882B80"/>
    <w:rsid w:val="1F9F1DE5"/>
    <w:rsid w:val="1FAD0CAB"/>
    <w:rsid w:val="1FBD6E1F"/>
    <w:rsid w:val="1FC2787D"/>
    <w:rsid w:val="1FCE4BA0"/>
    <w:rsid w:val="1FE7539E"/>
    <w:rsid w:val="1FFB37C4"/>
    <w:rsid w:val="1FFB7C68"/>
    <w:rsid w:val="200A38BF"/>
    <w:rsid w:val="200F56D3"/>
    <w:rsid w:val="20105ECA"/>
    <w:rsid w:val="202F1927"/>
    <w:rsid w:val="203F2581"/>
    <w:rsid w:val="204F4230"/>
    <w:rsid w:val="20611216"/>
    <w:rsid w:val="20692E24"/>
    <w:rsid w:val="20735A50"/>
    <w:rsid w:val="20825115"/>
    <w:rsid w:val="20883E97"/>
    <w:rsid w:val="20895274"/>
    <w:rsid w:val="20963CB8"/>
    <w:rsid w:val="20A7394C"/>
    <w:rsid w:val="20AA62AC"/>
    <w:rsid w:val="20B07FB6"/>
    <w:rsid w:val="20B63B8F"/>
    <w:rsid w:val="20D02EA3"/>
    <w:rsid w:val="20D45886"/>
    <w:rsid w:val="20E5555B"/>
    <w:rsid w:val="20EC77BF"/>
    <w:rsid w:val="21063FC7"/>
    <w:rsid w:val="2113307A"/>
    <w:rsid w:val="21360DC6"/>
    <w:rsid w:val="213A2360"/>
    <w:rsid w:val="213B74B1"/>
    <w:rsid w:val="213D4223"/>
    <w:rsid w:val="215A2310"/>
    <w:rsid w:val="216658D2"/>
    <w:rsid w:val="216830DB"/>
    <w:rsid w:val="216D248C"/>
    <w:rsid w:val="21897DBB"/>
    <w:rsid w:val="21976550"/>
    <w:rsid w:val="21A25DD1"/>
    <w:rsid w:val="21C22E7F"/>
    <w:rsid w:val="21D45DE6"/>
    <w:rsid w:val="21DE318A"/>
    <w:rsid w:val="21EF5B80"/>
    <w:rsid w:val="21F07169"/>
    <w:rsid w:val="21F82280"/>
    <w:rsid w:val="21F93BC8"/>
    <w:rsid w:val="22010FDF"/>
    <w:rsid w:val="220A4192"/>
    <w:rsid w:val="22163203"/>
    <w:rsid w:val="22274D44"/>
    <w:rsid w:val="223B60CC"/>
    <w:rsid w:val="22576990"/>
    <w:rsid w:val="2266602C"/>
    <w:rsid w:val="226F4570"/>
    <w:rsid w:val="22757749"/>
    <w:rsid w:val="22794E74"/>
    <w:rsid w:val="229C4EAB"/>
    <w:rsid w:val="22AE0C5F"/>
    <w:rsid w:val="22B23823"/>
    <w:rsid w:val="22B27B4D"/>
    <w:rsid w:val="22B3038A"/>
    <w:rsid w:val="22BE3A20"/>
    <w:rsid w:val="22C51B6E"/>
    <w:rsid w:val="22CF718A"/>
    <w:rsid w:val="22D12F02"/>
    <w:rsid w:val="22DA23E2"/>
    <w:rsid w:val="22F610D4"/>
    <w:rsid w:val="23035EA9"/>
    <w:rsid w:val="2309444A"/>
    <w:rsid w:val="23166730"/>
    <w:rsid w:val="23203542"/>
    <w:rsid w:val="234423F0"/>
    <w:rsid w:val="236D2C2B"/>
    <w:rsid w:val="236D4403"/>
    <w:rsid w:val="23737D01"/>
    <w:rsid w:val="237C1F25"/>
    <w:rsid w:val="23827156"/>
    <w:rsid w:val="238D46E4"/>
    <w:rsid w:val="238F1D10"/>
    <w:rsid w:val="238F3A2A"/>
    <w:rsid w:val="23923F53"/>
    <w:rsid w:val="23953573"/>
    <w:rsid w:val="23970AF1"/>
    <w:rsid w:val="23B16245"/>
    <w:rsid w:val="23C00CD9"/>
    <w:rsid w:val="23C14D25"/>
    <w:rsid w:val="23C46D54"/>
    <w:rsid w:val="23C47A74"/>
    <w:rsid w:val="23C73B1B"/>
    <w:rsid w:val="23CD5478"/>
    <w:rsid w:val="23E17175"/>
    <w:rsid w:val="23E9569E"/>
    <w:rsid w:val="23F15571"/>
    <w:rsid w:val="23FA1FE5"/>
    <w:rsid w:val="24014120"/>
    <w:rsid w:val="240F73B9"/>
    <w:rsid w:val="24134F0B"/>
    <w:rsid w:val="241A7F42"/>
    <w:rsid w:val="2424436B"/>
    <w:rsid w:val="243C0204"/>
    <w:rsid w:val="24486D5C"/>
    <w:rsid w:val="24586973"/>
    <w:rsid w:val="245D1BD9"/>
    <w:rsid w:val="246D6C5B"/>
    <w:rsid w:val="247A6A25"/>
    <w:rsid w:val="24804B18"/>
    <w:rsid w:val="248975AD"/>
    <w:rsid w:val="249266C1"/>
    <w:rsid w:val="24A878BD"/>
    <w:rsid w:val="24B1044B"/>
    <w:rsid w:val="24B12ABC"/>
    <w:rsid w:val="24BA341D"/>
    <w:rsid w:val="24D6038A"/>
    <w:rsid w:val="24E54A43"/>
    <w:rsid w:val="24ED7441"/>
    <w:rsid w:val="24EE7D9B"/>
    <w:rsid w:val="24FE78B3"/>
    <w:rsid w:val="250A27B1"/>
    <w:rsid w:val="252830C1"/>
    <w:rsid w:val="252D53FE"/>
    <w:rsid w:val="25483FFD"/>
    <w:rsid w:val="254F125D"/>
    <w:rsid w:val="25545725"/>
    <w:rsid w:val="255F0C6E"/>
    <w:rsid w:val="256718FC"/>
    <w:rsid w:val="256E1EA7"/>
    <w:rsid w:val="25796182"/>
    <w:rsid w:val="257B7155"/>
    <w:rsid w:val="257F27A2"/>
    <w:rsid w:val="258C4EBE"/>
    <w:rsid w:val="2592441B"/>
    <w:rsid w:val="25A81599"/>
    <w:rsid w:val="25A97AD1"/>
    <w:rsid w:val="25B81091"/>
    <w:rsid w:val="25BA1039"/>
    <w:rsid w:val="25C15374"/>
    <w:rsid w:val="25D95CAF"/>
    <w:rsid w:val="25EC2D81"/>
    <w:rsid w:val="25EE4EC1"/>
    <w:rsid w:val="25F17E48"/>
    <w:rsid w:val="26032D97"/>
    <w:rsid w:val="260D3D3C"/>
    <w:rsid w:val="261A696E"/>
    <w:rsid w:val="26213859"/>
    <w:rsid w:val="26357304"/>
    <w:rsid w:val="263A6EE2"/>
    <w:rsid w:val="263B7010"/>
    <w:rsid w:val="264528BD"/>
    <w:rsid w:val="265C0D35"/>
    <w:rsid w:val="265E4AAD"/>
    <w:rsid w:val="265F14A3"/>
    <w:rsid w:val="266417B3"/>
    <w:rsid w:val="266D6C98"/>
    <w:rsid w:val="26721FBD"/>
    <w:rsid w:val="267B6203"/>
    <w:rsid w:val="26A56238"/>
    <w:rsid w:val="26AA58BF"/>
    <w:rsid w:val="26BE6B2A"/>
    <w:rsid w:val="26CC6975"/>
    <w:rsid w:val="26DB5FC7"/>
    <w:rsid w:val="26EE19AF"/>
    <w:rsid w:val="26EE562D"/>
    <w:rsid w:val="26F80972"/>
    <w:rsid w:val="26FF2C9C"/>
    <w:rsid w:val="271E159B"/>
    <w:rsid w:val="272343DC"/>
    <w:rsid w:val="27335FDD"/>
    <w:rsid w:val="27340FD7"/>
    <w:rsid w:val="2744257E"/>
    <w:rsid w:val="27661C4E"/>
    <w:rsid w:val="27695881"/>
    <w:rsid w:val="277F2F2D"/>
    <w:rsid w:val="27821EC9"/>
    <w:rsid w:val="2785219A"/>
    <w:rsid w:val="279B2689"/>
    <w:rsid w:val="27AC1848"/>
    <w:rsid w:val="27B0569E"/>
    <w:rsid w:val="27B77C28"/>
    <w:rsid w:val="27C3506D"/>
    <w:rsid w:val="27D15DD1"/>
    <w:rsid w:val="27DB76F9"/>
    <w:rsid w:val="27E04456"/>
    <w:rsid w:val="27E47B16"/>
    <w:rsid w:val="27E50D7B"/>
    <w:rsid w:val="27EA0853"/>
    <w:rsid w:val="27FF2DB6"/>
    <w:rsid w:val="280107B4"/>
    <w:rsid w:val="280F3966"/>
    <w:rsid w:val="280F4E65"/>
    <w:rsid w:val="28120712"/>
    <w:rsid w:val="2816159A"/>
    <w:rsid w:val="28200659"/>
    <w:rsid w:val="282E405C"/>
    <w:rsid w:val="283A6E54"/>
    <w:rsid w:val="283D06F2"/>
    <w:rsid w:val="283D58BA"/>
    <w:rsid w:val="283E5C4B"/>
    <w:rsid w:val="284967A8"/>
    <w:rsid w:val="286D3C14"/>
    <w:rsid w:val="287556F2"/>
    <w:rsid w:val="288959FF"/>
    <w:rsid w:val="28924926"/>
    <w:rsid w:val="28936446"/>
    <w:rsid w:val="28944720"/>
    <w:rsid w:val="289742A6"/>
    <w:rsid w:val="28984110"/>
    <w:rsid w:val="28A76295"/>
    <w:rsid w:val="28B050B6"/>
    <w:rsid w:val="28B704A4"/>
    <w:rsid w:val="28D155C8"/>
    <w:rsid w:val="28D453DC"/>
    <w:rsid w:val="28DE0C3D"/>
    <w:rsid w:val="2916341D"/>
    <w:rsid w:val="29206EB8"/>
    <w:rsid w:val="29223BD4"/>
    <w:rsid w:val="29230EE1"/>
    <w:rsid w:val="292E4C0A"/>
    <w:rsid w:val="293F1840"/>
    <w:rsid w:val="296044D3"/>
    <w:rsid w:val="296E1FD7"/>
    <w:rsid w:val="297C2A05"/>
    <w:rsid w:val="297C2B4D"/>
    <w:rsid w:val="298E19E8"/>
    <w:rsid w:val="29A6389C"/>
    <w:rsid w:val="29C54E43"/>
    <w:rsid w:val="29C7422F"/>
    <w:rsid w:val="29CA4B8D"/>
    <w:rsid w:val="29D273F6"/>
    <w:rsid w:val="29DC2793"/>
    <w:rsid w:val="29E325E0"/>
    <w:rsid w:val="29ED3324"/>
    <w:rsid w:val="29F3304F"/>
    <w:rsid w:val="2A0F0A83"/>
    <w:rsid w:val="2A111BBA"/>
    <w:rsid w:val="2A1404BC"/>
    <w:rsid w:val="2A156FFA"/>
    <w:rsid w:val="2A1927CF"/>
    <w:rsid w:val="2A452503"/>
    <w:rsid w:val="2A461F23"/>
    <w:rsid w:val="2A4C4BE5"/>
    <w:rsid w:val="2A4E643C"/>
    <w:rsid w:val="2A506E02"/>
    <w:rsid w:val="2A5C7555"/>
    <w:rsid w:val="2A73719B"/>
    <w:rsid w:val="2A9F6E40"/>
    <w:rsid w:val="2AA03D05"/>
    <w:rsid w:val="2AAD6003"/>
    <w:rsid w:val="2AB50F6F"/>
    <w:rsid w:val="2ABB0A6C"/>
    <w:rsid w:val="2AD217A2"/>
    <w:rsid w:val="2AE055CA"/>
    <w:rsid w:val="2AE2772E"/>
    <w:rsid w:val="2AEA7171"/>
    <w:rsid w:val="2B035C23"/>
    <w:rsid w:val="2B1240B8"/>
    <w:rsid w:val="2B165705"/>
    <w:rsid w:val="2B33302D"/>
    <w:rsid w:val="2B397896"/>
    <w:rsid w:val="2B5976BB"/>
    <w:rsid w:val="2B604E23"/>
    <w:rsid w:val="2B944ACD"/>
    <w:rsid w:val="2B981596"/>
    <w:rsid w:val="2B9944E0"/>
    <w:rsid w:val="2B9C067B"/>
    <w:rsid w:val="2B9E0089"/>
    <w:rsid w:val="2BA301A0"/>
    <w:rsid w:val="2BA57E24"/>
    <w:rsid w:val="2BA85397"/>
    <w:rsid w:val="2BA936A8"/>
    <w:rsid w:val="2BBB4072"/>
    <w:rsid w:val="2BC37404"/>
    <w:rsid w:val="2BCE6522"/>
    <w:rsid w:val="2BDB21E0"/>
    <w:rsid w:val="2BDF3F0E"/>
    <w:rsid w:val="2BE85BF2"/>
    <w:rsid w:val="2BFE2949"/>
    <w:rsid w:val="2C0B3B29"/>
    <w:rsid w:val="2C113CE1"/>
    <w:rsid w:val="2C23290B"/>
    <w:rsid w:val="2C2D1D71"/>
    <w:rsid w:val="2C2F1949"/>
    <w:rsid w:val="2C315A5A"/>
    <w:rsid w:val="2C3165D7"/>
    <w:rsid w:val="2C3F5C19"/>
    <w:rsid w:val="2C6C7279"/>
    <w:rsid w:val="2C7B2222"/>
    <w:rsid w:val="2C801934"/>
    <w:rsid w:val="2C813804"/>
    <w:rsid w:val="2C8C35AA"/>
    <w:rsid w:val="2C907B46"/>
    <w:rsid w:val="2C923C0C"/>
    <w:rsid w:val="2CA07176"/>
    <w:rsid w:val="2CA84CAA"/>
    <w:rsid w:val="2CB07E07"/>
    <w:rsid w:val="2CB561BD"/>
    <w:rsid w:val="2CC53720"/>
    <w:rsid w:val="2CC71FB9"/>
    <w:rsid w:val="2CCC47E4"/>
    <w:rsid w:val="2CDF3AC0"/>
    <w:rsid w:val="2CE46656"/>
    <w:rsid w:val="2D031F0A"/>
    <w:rsid w:val="2D144117"/>
    <w:rsid w:val="2D19172E"/>
    <w:rsid w:val="2D1C2904"/>
    <w:rsid w:val="2D214A86"/>
    <w:rsid w:val="2D256324"/>
    <w:rsid w:val="2D573FF2"/>
    <w:rsid w:val="2D5C59D6"/>
    <w:rsid w:val="2D690450"/>
    <w:rsid w:val="2D6D5C98"/>
    <w:rsid w:val="2D7579BD"/>
    <w:rsid w:val="2D7638ED"/>
    <w:rsid w:val="2D842796"/>
    <w:rsid w:val="2D921791"/>
    <w:rsid w:val="2D981A9F"/>
    <w:rsid w:val="2D9E56F5"/>
    <w:rsid w:val="2D9E60D7"/>
    <w:rsid w:val="2DA10DD0"/>
    <w:rsid w:val="2DA23F11"/>
    <w:rsid w:val="2DA3256D"/>
    <w:rsid w:val="2DCA0C7A"/>
    <w:rsid w:val="2DCF4E03"/>
    <w:rsid w:val="2DD02CED"/>
    <w:rsid w:val="2DEB19C0"/>
    <w:rsid w:val="2E073308"/>
    <w:rsid w:val="2E0903C4"/>
    <w:rsid w:val="2E163DF8"/>
    <w:rsid w:val="2E205234"/>
    <w:rsid w:val="2E2C36E3"/>
    <w:rsid w:val="2E3B2871"/>
    <w:rsid w:val="2E482E0D"/>
    <w:rsid w:val="2E59496A"/>
    <w:rsid w:val="2E667F96"/>
    <w:rsid w:val="2E6F11C8"/>
    <w:rsid w:val="2E716C3A"/>
    <w:rsid w:val="2E813A2E"/>
    <w:rsid w:val="2E8226AB"/>
    <w:rsid w:val="2E936FD0"/>
    <w:rsid w:val="2EA97C9B"/>
    <w:rsid w:val="2EC45323"/>
    <w:rsid w:val="2ED66A29"/>
    <w:rsid w:val="2EDC6EB7"/>
    <w:rsid w:val="2EE328D7"/>
    <w:rsid w:val="2EF34C4B"/>
    <w:rsid w:val="2EF37171"/>
    <w:rsid w:val="2F1048FF"/>
    <w:rsid w:val="2F2B28F9"/>
    <w:rsid w:val="2F444C9A"/>
    <w:rsid w:val="2F4B1213"/>
    <w:rsid w:val="2F4F2BF6"/>
    <w:rsid w:val="2F6056DE"/>
    <w:rsid w:val="2F677BD1"/>
    <w:rsid w:val="2F6916AA"/>
    <w:rsid w:val="2F6A6F3F"/>
    <w:rsid w:val="2F832C79"/>
    <w:rsid w:val="2FAF59F5"/>
    <w:rsid w:val="2FD8767E"/>
    <w:rsid w:val="2FD91648"/>
    <w:rsid w:val="2FE20ECB"/>
    <w:rsid w:val="2FEB1FC6"/>
    <w:rsid w:val="2FEF2D58"/>
    <w:rsid w:val="2FF210E0"/>
    <w:rsid w:val="2FF25082"/>
    <w:rsid w:val="30103067"/>
    <w:rsid w:val="3016316E"/>
    <w:rsid w:val="301914A6"/>
    <w:rsid w:val="301A4113"/>
    <w:rsid w:val="3036354F"/>
    <w:rsid w:val="303B1D8C"/>
    <w:rsid w:val="30580BC9"/>
    <w:rsid w:val="306236DA"/>
    <w:rsid w:val="30662EDC"/>
    <w:rsid w:val="30672D70"/>
    <w:rsid w:val="306B283F"/>
    <w:rsid w:val="306E2476"/>
    <w:rsid w:val="307775C1"/>
    <w:rsid w:val="309E6346"/>
    <w:rsid w:val="30A546C9"/>
    <w:rsid w:val="30D83E02"/>
    <w:rsid w:val="30DF62C7"/>
    <w:rsid w:val="30F77C75"/>
    <w:rsid w:val="31083F93"/>
    <w:rsid w:val="31184CE2"/>
    <w:rsid w:val="311E2ED7"/>
    <w:rsid w:val="31324374"/>
    <w:rsid w:val="313558AC"/>
    <w:rsid w:val="313855F1"/>
    <w:rsid w:val="31490EED"/>
    <w:rsid w:val="315C449C"/>
    <w:rsid w:val="31602870"/>
    <w:rsid w:val="31794357"/>
    <w:rsid w:val="318402FA"/>
    <w:rsid w:val="318416EF"/>
    <w:rsid w:val="31850E90"/>
    <w:rsid w:val="31966E80"/>
    <w:rsid w:val="3197127B"/>
    <w:rsid w:val="319C0B7F"/>
    <w:rsid w:val="31AA39BD"/>
    <w:rsid w:val="31B82709"/>
    <w:rsid w:val="31BD4A2C"/>
    <w:rsid w:val="31D2535D"/>
    <w:rsid w:val="31E77E1C"/>
    <w:rsid w:val="31FB713A"/>
    <w:rsid w:val="31FC6025"/>
    <w:rsid w:val="31FD48C6"/>
    <w:rsid w:val="32056A82"/>
    <w:rsid w:val="321E639F"/>
    <w:rsid w:val="32242987"/>
    <w:rsid w:val="3227268C"/>
    <w:rsid w:val="3228123F"/>
    <w:rsid w:val="323F30EA"/>
    <w:rsid w:val="32400B34"/>
    <w:rsid w:val="3277593D"/>
    <w:rsid w:val="327C2D11"/>
    <w:rsid w:val="329217C9"/>
    <w:rsid w:val="32953A89"/>
    <w:rsid w:val="329E6876"/>
    <w:rsid w:val="32A852AA"/>
    <w:rsid w:val="32B1065A"/>
    <w:rsid w:val="32B16170"/>
    <w:rsid w:val="32BA5629"/>
    <w:rsid w:val="32C75FAF"/>
    <w:rsid w:val="32E479AB"/>
    <w:rsid w:val="332130EA"/>
    <w:rsid w:val="33235DD3"/>
    <w:rsid w:val="332D3A92"/>
    <w:rsid w:val="333C7D1C"/>
    <w:rsid w:val="334100E2"/>
    <w:rsid w:val="336057C5"/>
    <w:rsid w:val="336A1A14"/>
    <w:rsid w:val="336A4F83"/>
    <w:rsid w:val="336F4286"/>
    <w:rsid w:val="338213DC"/>
    <w:rsid w:val="33923D3D"/>
    <w:rsid w:val="3396053C"/>
    <w:rsid w:val="339731A0"/>
    <w:rsid w:val="339C6C14"/>
    <w:rsid w:val="33AC63B4"/>
    <w:rsid w:val="33B26FA6"/>
    <w:rsid w:val="33B645E2"/>
    <w:rsid w:val="33D53B72"/>
    <w:rsid w:val="33D934D4"/>
    <w:rsid w:val="33E472C3"/>
    <w:rsid w:val="33E52FA1"/>
    <w:rsid w:val="33E540EB"/>
    <w:rsid w:val="33EE2197"/>
    <w:rsid w:val="33F013E9"/>
    <w:rsid w:val="33F660E8"/>
    <w:rsid w:val="33F8502F"/>
    <w:rsid w:val="33FE2F6A"/>
    <w:rsid w:val="340F5638"/>
    <w:rsid w:val="34117416"/>
    <w:rsid w:val="34197824"/>
    <w:rsid w:val="34216F41"/>
    <w:rsid w:val="342713F4"/>
    <w:rsid w:val="342A2472"/>
    <w:rsid w:val="342E7216"/>
    <w:rsid w:val="34563CE3"/>
    <w:rsid w:val="34691A70"/>
    <w:rsid w:val="348F1BDE"/>
    <w:rsid w:val="34974931"/>
    <w:rsid w:val="349E1AAD"/>
    <w:rsid w:val="349E333C"/>
    <w:rsid w:val="34A118FF"/>
    <w:rsid w:val="34B8182C"/>
    <w:rsid w:val="34D77967"/>
    <w:rsid w:val="34D81ECE"/>
    <w:rsid w:val="34F767F8"/>
    <w:rsid w:val="350967BD"/>
    <w:rsid w:val="350B691C"/>
    <w:rsid w:val="3520443C"/>
    <w:rsid w:val="35491BD9"/>
    <w:rsid w:val="35504103"/>
    <w:rsid w:val="35614940"/>
    <w:rsid w:val="35730104"/>
    <w:rsid w:val="35814314"/>
    <w:rsid w:val="35831767"/>
    <w:rsid w:val="358374A7"/>
    <w:rsid w:val="359F5039"/>
    <w:rsid w:val="359F6611"/>
    <w:rsid w:val="35A22AB8"/>
    <w:rsid w:val="35AE0E2F"/>
    <w:rsid w:val="35AE5DEE"/>
    <w:rsid w:val="35B355F7"/>
    <w:rsid w:val="35E6061B"/>
    <w:rsid w:val="35E91A43"/>
    <w:rsid w:val="35E949AD"/>
    <w:rsid w:val="35F80CE6"/>
    <w:rsid w:val="36064819"/>
    <w:rsid w:val="36074A7F"/>
    <w:rsid w:val="360945A4"/>
    <w:rsid w:val="36107446"/>
    <w:rsid w:val="361D5769"/>
    <w:rsid w:val="362F3A4D"/>
    <w:rsid w:val="36361FEC"/>
    <w:rsid w:val="366074F2"/>
    <w:rsid w:val="3667350A"/>
    <w:rsid w:val="366D0D29"/>
    <w:rsid w:val="367023D8"/>
    <w:rsid w:val="367B3862"/>
    <w:rsid w:val="36864261"/>
    <w:rsid w:val="36923549"/>
    <w:rsid w:val="36AB3FB2"/>
    <w:rsid w:val="36AD71B0"/>
    <w:rsid w:val="36B75FBF"/>
    <w:rsid w:val="36B77CE8"/>
    <w:rsid w:val="36BE7876"/>
    <w:rsid w:val="36C04FDB"/>
    <w:rsid w:val="36E030CE"/>
    <w:rsid w:val="36EC570D"/>
    <w:rsid w:val="36FB4891"/>
    <w:rsid w:val="370D15D3"/>
    <w:rsid w:val="37162CA1"/>
    <w:rsid w:val="37166CDE"/>
    <w:rsid w:val="37177E1B"/>
    <w:rsid w:val="37227D0E"/>
    <w:rsid w:val="3723490B"/>
    <w:rsid w:val="37265F77"/>
    <w:rsid w:val="37346E22"/>
    <w:rsid w:val="3737640B"/>
    <w:rsid w:val="37482E8A"/>
    <w:rsid w:val="374A3AED"/>
    <w:rsid w:val="374B4BD9"/>
    <w:rsid w:val="37615898"/>
    <w:rsid w:val="37676698"/>
    <w:rsid w:val="3774006A"/>
    <w:rsid w:val="3774310E"/>
    <w:rsid w:val="37784E13"/>
    <w:rsid w:val="377B0137"/>
    <w:rsid w:val="378749FA"/>
    <w:rsid w:val="378E0F6A"/>
    <w:rsid w:val="37916E18"/>
    <w:rsid w:val="37920F3E"/>
    <w:rsid w:val="37923DC9"/>
    <w:rsid w:val="37961A4D"/>
    <w:rsid w:val="37AF5632"/>
    <w:rsid w:val="37B947E7"/>
    <w:rsid w:val="37BE6B2A"/>
    <w:rsid w:val="37D800AA"/>
    <w:rsid w:val="37E17FC6"/>
    <w:rsid w:val="37EA6EBE"/>
    <w:rsid w:val="37F36451"/>
    <w:rsid w:val="37F9032E"/>
    <w:rsid w:val="38042FD6"/>
    <w:rsid w:val="380D1E8F"/>
    <w:rsid w:val="381834D0"/>
    <w:rsid w:val="382036A8"/>
    <w:rsid w:val="382A2218"/>
    <w:rsid w:val="382B0567"/>
    <w:rsid w:val="383E6B55"/>
    <w:rsid w:val="38571D22"/>
    <w:rsid w:val="385B18FF"/>
    <w:rsid w:val="385F45BE"/>
    <w:rsid w:val="386878A2"/>
    <w:rsid w:val="387A7301"/>
    <w:rsid w:val="388333AE"/>
    <w:rsid w:val="38912AC0"/>
    <w:rsid w:val="3894603B"/>
    <w:rsid w:val="38A43AD0"/>
    <w:rsid w:val="38A905B1"/>
    <w:rsid w:val="38A91071"/>
    <w:rsid w:val="38C868F6"/>
    <w:rsid w:val="38CF6F69"/>
    <w:rsid w:val="38D330D8"/>
    <w:rsid w:val="38DA751E"/>
    <w:rsid w:val="38E54BBA"/>
    <w:rsid w:val="38E861A2"/>
    <w:rsid w:val="38F12CD3"/>
    <w:rsid w:val="38F47066"/>
    <w:rsid w:val="38F94775"/>
    <w:rsid w:val="39020A10"/>
    <w:rsid w:val="390A6409"/>
    <w:rsid w:val="390C55B1"/>
    <w:rsid w:val="390E0D37"/>
    <w:rsid w:val="391A6EAA"/>
    <w:rsid w:val="391F42ED"/>
    <w:rsid w:val="392971ED"/>
    <w:rsid w:val="392C6831"/>
    <w:rsid w:val="392D6269"/>
    <w:rsid w:val="39316051"/>
    <w:rsid w:val="39361575"/>
    <w:rsid w:val="394332ED"/>
    <w:rsid w:val="39482A81"/>
    <w:rsid w:val="395960C9"/>
    <w:rsid w:val="398A32F4"/>
    <w:rsid w:val="399436D2"/>
    <w:rsid w:val="399C4100"/>
    <w:rsid w:val="39A7241F"/>
    <w:rsid w:val="39AA6790"/>
    <w:rsid w:val="39BD4334"/>
    <w:rsid w:val="39C24EFB"/>
    <w:rsid w:val="39D30EB6"/>
    <w:rsid w:val="39DB4EEB"/>
    <w:rsid w:val="39DE2DAD"/>
    <w:rsid w:val="39E61106"/>
    <w:rsid w:val="39F02433"/>
    <w:rsid w:val="39F350B4"/>
    <w:rsid w:val="39FC6C85"/>
    <w:rsid w:val="3A033549"/>
    <w:rsid w:val="3A121975"/>
    <w:rsid w:val="3A253B5C"/>
    <w:rsid w:val="3A2F2EE2"/>
    <w:rsid w:val="3A2F6E47"/>
    <w:rsid w:val="3A30455A"/>
    <w:rsid w:val="3A340B0B"/>
    <w:rsid w:val="3A41078C"/>
    <w:rsid w:val="3A5169AB"/>
    <w:rsid w:val="3A564669"/>
    <w:rsid w:val="3A655FB2"/>
    <w:rsid w:val="3A6A767D"/>
    <w:rsid w:val="3A792D38"/>
    <w:rsid w:val="3A917BA6"/>
    <w:rsid w:val="3A9832FF"/>
    <w:rsid w:val="3AAF7B70"/>
    <w:rsid w:val="3AB42A96"/>
    <w:rsid w:val="3ABE0A76"/>
    <w:rsid w:val="3AC56653"/>
    <w:rsid w:val="3AE10AFA"/>
    <w:rsid w:val="3AE3204D"/>
    <w:rsid w:val="3B014A93"/>
    <w:rsid w:val="3B320E8D"/>
    <w:rsid w:val="3B3616FD"/>
    <w:rsid w:val="3B3763D1"/>
    <w:rsid w:val="3B401F03"/>
    <w:rsid w:val="3B491DD3"/>
    <w:rsid w:val="3B582E1E"/>
    <w:rsid w:val="3B5B576D"/>
    <w:rsid w:val="3B5D58D4"/>
    <w:rsid w:val="3B6816D8"/>
    <w:rsid w:val="3B697CF5"/>
    <w:rsid w:val="3B783AC3"/>
    <w:rsid w:val="3B7848F3"/>
    <w:rsid w:val="3B801763"/>
    <w:rsid w:val="3B853517"/>
    <w:rsid w:val="3B8E31E3"/>
    <w:rsid w:val="3B935CDD"/>
    <w:rsid w:val="3B971BE6"/>
    <w:rsid w:val="3B9755D7"/>
    <w:rsid w:val="3BA23004"/>
    <w:rsid w:val="3BA47BA1"/>
    <w:rsid w:val="3BB05953"/>
    <w:rsid w:val="3BD00198"/>
    <w:rsid w:val="3BDD4151"/>
    <w:rsid w:val="3C0E030A"/>
    <w:rsid w:val="3C16040A"/>
    <w:rsid w:val="3C1C0729"/>
    <w:rsid w:val="3C2F1D1B"/>
    <w:rsid w:val="3C763519"/>
    <w:rsid w:val="3C8041A7"/>
    <w:rsid w:val="3C9031B9"/>
    <w:rsid w:val="3CAB099C"/>
    <w:rsid w:val="3CAF17E7"/>
    <w:rsid w:val="3CB23BBC"/>
    <w:rsid w:val="3CB52AF5"/>
    <w:rsid w:val="3CC01BC6"/>
    <w:rsid w:val="3CD45671"/>
    <w:rsid w:val="3CDA245A"/>
    <w:rsid w:val="3CEE0A37"/>
    <w:rsid w:val="3CF1603F"/>
    <w:rsid w:val="3CF950D8"/>
    <w:rsid w:val="3D0B619B"/>
    <w:rsid w:val="3D0C6BB9"/>
    <w:rsid w:val="3D1200FE"/>
    <w:rsid w:val="3D164CBE"/>
    <w:rsid w:val="3D1D0DC6"/>
    <w:rsid w:val="3D295850"/>
    <w:rsid w:val="3D343A76"/>
    <w:rsid w:val="3D3703C7"/>
    <w:rsid w:val="3D371198"/>
    <w:rsid w:val="3D3C05D3"/>
    <w:rsid w:val="3D3D4FC4"/>
    <w:rsid w:val="3D483969"/>
    <w:rsid w:val="3D4E66AD"/>
    <w:rsid w:val="3D5E72E1"/>
    <w:rsid w:val="3D6562C9"/>
    <w:rsid w:val="3D6E3062"/>
    <w:rsid w:val="3D751C48"/>
    <w:rsid w:val="3D7F21CE"/>
    <w:rsid w:val="3D845004"/>
    <w:rsid w:val="3D8517BA"/>
    <w:rsid w:val="3D883510"/>
    <w:rsid w:val="3D8B543F"/>
    <w:rsid w:val="3D8C3369"/>
    <w:rsid w:val="3D950CBD"/>
    <w:rsid w:val="3D9F76BF"/>
    <w:rsid w:val="3DAA0180"/>
    <w:rsid w:val="3DB179DF"/>
    <w:rsid w:val="3DB23AF4"/>
    <w:rsid w:val="3DC875EB"/>
    <w:rsid w:val="3DD340EC"/>
    <w:rsid w:val="3DD671C7"/>
    <w:rsid w:val="3DDC6506"/>
    <w:rsid w:val="3DE50E6C"/>
    <w:rsid w:val="3DF0662A"/>
    <w:rsid w:val="3E0E5BB0"/>
    <w:rsid w:val="3E1C3B38"/>
    <w:rsid w:val="3E2148E6"/>
    <w:rsid w:val="3E2B12C1"/>
    <w:rsid w:val="3E3A750F"/>
    <w:rsid w:val="3E491824"/>
    <w:rsid w:val="3E4C4F04"/>
    <w:rsid w:val="3E615292"/>
    <w:rsid w:val="3E780225"/>
    <w:rsid w:val="3E840A3D"/>
    <w:rsid w:val="3E923FE9"/>
    <w:rsid w:val="3E976956"/>
    <w:rsid w:val="3EAA270B"/>
    <w:rsid w:val="3EB05EF1"/>
    <w:rsid w:val="3ECD05CA"/>
    <w:rsid w:val="3ED85C60"/>
    <w:rsid w:val="3EE55913"/>
    <w:rsid w:val="3EED6196"/>
    <w:rsid w:val="3EF75647"/>
    <w:rsid w:val="3EFB6EE5"/>
    <w:rsid w:val="3EFE6A8B"/>
    <w:rsid w:val="3F10435E"/>
    <w:rsid w:val="3F29225B"/>
    <w:rsid w:val="3F3372C6"/>
    <w:rsid w:val="3F3D7BE8"/>
    <w:rsid w:val="3F4F6143"/>
    <w:rsid w:val="3F5209D1"/>
    <w:rsid w:val="3F660E74"/>
    <w:rsid w:val="3F6F6A48"/>
    <w:rsid w:val="3F71488F"/>
    <w:rsid w:val="3F86087E"/>
    <w:rsid w:val="3F93711E"/>
    <w:rsid w:val="3FA07A8C"/>
    <w:rsid w:val="3FE673A7"/>
    <w:rsid w:val="3FFC248D"/>
    <w:rsid w:val="40014E06"/>
    <w:rsid w:val="400A2F55"/>
    <w:rsid w:val="40175FA1"/>
    <w:rsid w:val="40307C5E"/>
    <w:rsid w:val="405465FD"/>
    <w:rsid w:val="40647F06"/>
    <w:rsid w:val="4070745F"/>
    <w:rsid w:val="40713C8B"/>
    <w:rsid w:val="4079618D"/>
    <w:rsid w:val="407A6407"/>
    <w:rsid w:val="40897515"/>
    <w:rsid w:val="408A147C"/>
    <w:rsid w:val="409940E6"/>
    <w:rsid w:val="40A30188"/>
    <w:rsid w:val="40A823FF"/>
    <w:rsid w:val="40AE0330"/>
    <w:rsid w:val="40B732E0"/>
    <w:rsid w:val="40BC6B48"/>
    <w:rsid w:val="40D60E38"/>
    <w:rsid w:val="40DC2D46"/>
    <w:rsid w:val="40DD6579"/>
    <w:rsid w:val="40E63C21"/>
    <w:rsid w:val="410A5D60"/>
    <w:rsid w:val="410E3FFA"/>
    <w:rsid w:val="41105CD2"/>
    <w:rsid w:val="413B1439"/>
    <w:rsid w:val="41463739"/>
    <w:rsid w:val="415131CB"/>
    <w:rsid w:val="41560DD0"/>
    <w:rsid w:val="415702E0"/>
    <w:rsid w:val="4159130B"/>
    <w:rsid w:val="416C5E78"/>
    <w:rsid w:val="41814577"/>
    <w:rsid w:val="418A40DA"/>
    <w:rsid w:val="41A75102"/>
    <w:rsid w:val="41A7646C"/>
    <w:rsid w:val="41B31CF9"/>
    <w:rsid w:val="41D60885"/>
    <w:rsid w:val="41DF69BD"/>
    <w:rsid w:val="420049FD"/>
    <w:rsid w:val="42054F0F"/>
    <w:rsid w:val="42071629"/>
    <w:rsid w:val="421A1C49"/>
    <w:rsid w:val="421E426D"/>
    <w:rsid w:val="423A3BCC"/>
    <w:rsid w:val="423B2AF6"/>
    <w:rsid w:val="423B30A8"/>
    <w:rsid w:val="42490F27"/>
    <w:rsid w:val="42535488"/>
    <w:rsid w:val="42562624"/>
    <w:rsid w:val="42651A3E"/>
    <w:rsid w:val="426B5D0D"/>
    <w:rsid w:val="427746B3"/>
    <w:rsid w:val="427A3A47"/>
    <w:rsid w:val="427E6FF7"/>
    <w:rsid w:val="42870A90"/>
    <w:rsid w:val="42977F77"/>
    <w:rsid w:val="429E2606"/>
    <w:rsid w:val="42B4071F"/>
    <w:rsid w:val="42B81ABC"/>
    <w:rsid w:val="42BA2CCA"/>
    <w:rsid w:val="42C46384"/>
    <w:rsid w:val="42D05841"/>
    <w:rsid w:val="430C7F46"/>
    <w:rsid w:val="43150DBB"/>
    <w:rsid w:val="431C38CE"/>
    <w:rsid w:val="43282273"/>
    <w:rsid w:val="432B0845"/>
    <w:rsid w:val="432B52F7"/>
    <w:rsid w:val="432B5830"/>
    <w:rsid w:val="43367C06"/>
    <w:rsid w:val="433A6FE6"/>
    <w:rsid w:val="43431778"/>
    <w:rsid w:val="43476B9D"/>
    <w:rsid w:val="434844DE"/>
    <w:rsid w:val="4350713C"/>
    <w:rsid w:val="43607D93"/>
    <w:rsid w:val="436653E0"/>
    <w:rsid w:val="436E72E2"/>
    <w:rsid w:val="437833E7"/>
    <w:rsid w:val="437C5A4F"/>
    <w:rsid w:val="438230AB"/>
    <w:rsid w:val="43841169"/>
    <w:rsid w:val="438F3CDD"/>
    <w:rsid w:val="43A66FCE"/>
    <w:rsid w:val="43B22E88"/>
    <w:rsid w:val="43BB49FE"/>
    <w:rsid w:val="43BF3FB9"/>
    <w:rsid w:val="43C33DCA"/>
    <w:rsid w:val="43C346CA"/>
    <w:rsid w:val="43C35C1B"/>
    <w:rsid w:val="43D75300"/>
    <w:rsid w:val="43E56907"/>
    <w:rsid w:val="43F2077F"/>
    <w:rsid w:val="43FB0A8D"/>
    <w:rsid w:val="440467FC"/>
    <w:rsid w:val="4409050C"/>
    <w:rsid w:val="440B10FC"/>
    <w:rsid w:val="441C1C24"/>
    <w:rsid w:val="441D224A"/>
    <w:rsid w:val="4440393A"/>
    <w:rsid w:val="444E1AA8"/>
    <w:rsid w:val="446F3569"/>
    <w:rsid w:val="4477557D"/>
    <w:rsid w:val="44797F00"/>
    <w:rsid w:val="448B3E4F"/>
    <w:rsid w:val="448F2567"/>
    <w:rsid w:val="4499153B"/>
    <w:rsid w:val="44A616A1"/>
    <w:rsid w:val="44B459CC"/>
    <w:rsid w:val="44BC3FEE"/>
    <w:rsid w:val="44C33ACC"/>
    <w:rsid w:val="44C935E1"/>
    <w:rsid w:val="44CD14E0"/>
    <w:rsid w:val="44DE20BF"/>
    <w:rsid w:val="44EC6B76"/>
    <w:rsid w:val="44F75334"/>
    <w:rsid w:val="45043F93"/>
    <w:rsid w:val="45106B89"/>
    <w:rsid w:val="4515575F"/>
    <w:rsid w:val="45220687"/>
    <w:rsid w:val="452F5B3A"/>
    <w:rsid w:val="45344BF2"/>
    <w:rsid w:val="4537637C"/>
    <w:rsid w:val="454406F1"/>
    <w:rsid w:val="455A27D4"/>
    <w:rsid w:val="455D6DB1"/>
    <w:rsid w:val="457272D0"/>
    <w:rsid w:val="45737E49"/>
    <w:rsid w:val="45857895"/>
    <w:rsid w:val="458946E9"/>
    <w:rsid w:val="45B147A1"/>
    <w:rsid w:val="45CB49F3"/>
    <w:rsid w:val="45D205E0"/>
    <w:rsid w:val="45DC472F"/>
    <w:rsid w:val="45F955F7"/>
    <w:rsid w:val="45FB14C5"/>
    <w:rsid w:val="46024FFD"/>
    <w:rsid w:val="46121554"/>
    <w:rsid w:val="46164604"/>
    <w:rsid w:val="461F17AF"/>
    <w:rsid w:val="46363FA1"/>
    <w:rsid w:val="464C306C"/>
    <w:rsid w:val="465852A6"/>
    <w:rsid w:val="466F11C7"/>
    <w:rsid w:val="468D6EA3"/>
    <w:rsid w:val="469E55F6"/>
    <w:rsid w:val="46B13E26"/>
    <w:rsid w:val="46B61793"/>
    <w:rsid w:val="46C03441"/>
    <w:rsid w:val="46C04E5C"/>
    <w:rsid w:val="46C53F32"/>
    <w:rsid w:val="46CA3945"/>
    <w:rsid w:val="46CD6556"/>
    <w:rsid w:val="46CF12B4"/>
    <w:rsid w:val="46CF693C"/>
    <w:rsid w:val="46D7195E"/>
    <w:rsid w:val="46D83FB0"/>
    <w:rsid w:val="46D955A7"/>
    <w:rsid w:val="46E0403D"/>
    <w:rsid w:val="46F47588"/>
    <w:rsid w:val="46F54B62"/>
    <w:rsid w:val="471274C2"/>
    <w:rsid w:val="47133957"/>
    <w:rsid w:val="471C7124"/>
    <w:rsid w:val="4723695D"/>
    <w:rsid w:val="472B69E8"/>
    <w:rsid w:val="472E597E"/>
    <w:rsid w:val="474A2312"/>
    <w:rsid w:val="47600578"/>
    <w:rsid w:val="47635578"/>
    <w:rsid w:val="4779329E"/>
    <w:rsid w:val="477E06B3"/>
    <w:rsid w:val="477F442B"/>
    <w:rsid w:val="479B0BA0"/>
    <w:rsid w:val="479B74B7"/>
    <w:rsid w:val="47A07E0C"/>
    <w:rsid w:val="47A17247"/>
    <w:rsid w:val="47B576EE"/>
    <w:rsid w:val="47B71E17"/>
    <w:rsid w:val="47BF0CC8"/>
    <w:rsid w:val="47C86F90"/>
    <w:rsid w:val="47D96394"/>
    <w:rsid w:val="47EC7D13"/>
    <w:rsid w:val="47EF2935"/>
    <w:rsid w:val="480E46F8"/>
    <w:rsid w:val="481C6EE1"/>
    <w:rsid w:val="481D6B0C"/>
    <w:rsid w:val="48376AB4"/>
    <w:rsid w:val="4842667B"/>
    <w:rsid w:val="48435459"/>
    <w:rsid w:val="48495CC2"/>
    <w:rsid w:val="48585234"/>
    <w:rsid w:val="48585B34"/>
    <w:rsid w:val="48617AEA"/>
    <w:rsid w:val="486C4F5F"/>
    <w:rsid w:val="4870272E"/>
    <w:rsid w:val="48AE671E"/>
    <w:rsid w:val="48B1464B"/>
    <w:rsid w:val="48BC5490"/>
    <w:rsid w:val="48BE0884"/>
    <w:rsid w:val="48BF5427"/>
    <w:rsid w:val="48C040AA"/>
    <w:rsid w:val="48DC7D87"/>
    <w:rsid w:val="48EE5D90"/>
    <w:rsid w:val="48F33AC5"/>
    <w:rsid w:val="48FA4F21"/>
    <w:rsid w:val="49090450"/>
    <w:rsid w:val="49415E3C"/>
    <w:rsid w:val="494A2E8F"/>
    <w:rsid w:val="4959732F"/>
    <w:rsid w:val="495F4514"/>
    <w:rsid w:val="49683266"/>
    <w:rsid w:val="49794AF8"/>
    <w:rsid w:val="498843CF"/>
    <w:rsid w:val="49AE7234"/>
    <w:rsid w:val="49BE129E"/>
    <w:rsid w:val="49C0532A"/>
    <w:rsid w:val="49C32CF5"/>
    <w:rsid w:val="49CD6A5C"/>
    <w:rsid w:val="49D17C2D"/>
    <w:rsid w:val="49D31355"/>
    <w:rsid w:val="49D561EC"/>
    <w:rsid w:val="49DB003F"/>
    <w:rsid w:val="49DC7715"/>
    <w:rsid w:val="4A023139"/>
    <w:rsid w:val="4A072E04"/>
    <w:rsid w:val="4A1277D9"/>
    <w:rsid w:val="4A1F6E18"/>
    <w:rsid w:val="4A27689B"/>
    <w:rsid w:val="4A2B058E"/>
    <w:rsid w:val="4A2D2262"/>
    <w:rsid w:val="4A3B25F9"/>
    <w:rsid w:val="4A482542"/>
    <w:rsid w:val="4A536BCB"/>
    <w:rsid w:val="4A5E47CC"/>
    <w:rsid w:val="4A71383E"/>
    <w:rsid w:val="4A735A25"/>
    <w:rsid w:val="4A783D80"/>
    <w:rsid w:val="4A7B576F"/>
    <w:rsid w:val="4A852A36"/>
    <w:rsid w:val="4A9140FF"/>
    <w:rsid w:val="4A9F2732"/>
    <w:rsid w:val="4AA368EC"/>
    <w:rsid w:val="4ACC3E2B"/>
    <w:rsid w:val="4AD40244"/>
    <w:rsid w:val="4ADE244F"/>
    <w:rsid w:val="4AEC7372"/>
    <w:rsid w:val="4AEF3676"/>
    <w:rsid w:val="4AFB5971"/>
    <w:rsid w:val="4B035107"/>
    <w:rsid w:val="4B0D32E2"/>
    <w:rsid w:val="4B0D4E47"/>
    <w:rsid w:val="4B1347E5"/>
    <w:rsid w:val="4B137A40"/>
    <w:rsid w:val="4B187071"/>
    <w:rsid w:val="4B2012CE"/>
    <w:rsid w:val="4B2C6678"/>
    <w:rsid w:val="4B715842"/>
    <w:rsid w:val="4B7C1CC0"/>
    <w:rsid w:val="4B8245DA"/>
    <w:rsid w:val="4BA24238"/>
    <w:rsid w:val="4BAD7871"/>
    <w:rsid w:val="4BBC5C4E"/>
    <w:rsid w:val="4BC46FA7"/>
    <w:rsid w:val="4BCC79C4"/>
    <w:rsid w:val="4BDD5354"/>
    <w:rsid w:val="4BE36845"/>
    <w:rsid w:val="4BFD0FED"/>
    <w:rsid w:val="4BFE4852"/>
    <w:rsid w:val="4BFE6267"/>
    <w:rsid w:val="4C2C2250"/>
    <w:rsid w:val="4C4A0649"/>
    <w:rsid w:val="4C567718"/>
    <w:rsid w:val="4C687B84"/>
    <w:rsid w:val="4C7708FD"/>
    <w:rsid w:val="4C814A4B"/>
    <w:rsid w:val="4C9E49B2"/>
    <w:rsid w:val="4CA272E9"/>
    <w:rsid w:val="4CA76B27"/>
    <w:rsid w:val="4CAB40AA"/>
    <w:rsid w:val="4CAF7561"/>
    <w:rsid w:val="4CCD186E"/>
    <w:rsid w:val="4CD2055C"/>
    <w:rsid w:val="4CD356E0"/>
    <w:rsid w:val="4CD7062B"/>
    <w:rsid w:val="4CD945DE"/>
    <w:rsid w:val="4CE470D3"/>
    <w:rsid w:val="4CE54D31"/>
    <w:rsid w:val="4CEA0CFB"/>
    <w:rsid w:val="4CFA4B92"/>
    <w:rsid w:val="4D003831"/>
    <w:rsid w:val="4D095CC2"/>
    <w:rsid w:val="4D1C7F38"/>
    <w:rsid w:val="4D1F7DF0"/>
    <w:rsid w:val="4D250793"/>
    <w:rsid w:val="4D2A18DE"/>
    <w:rsid w:val="4D2D60B9"/>
    <w:rsid w:val="4D3F453D"/>
    <w:rsid w:val="4D65092C"/>
    <w:rsid w:val="4D6632B1"/>
    <w:rsid w:val="4D665E71"/>
    <w:rsid w:val="4D726C18"/>
    <w:rsid w:val="4D9E5C73"/>
    <w:rsid w:val="4D9F3131"/>
    <w:rsid w:val="4DA651AE"/>
    <w:rsid w:val="4DAB41CC"/>
    <w:rsid w:val="4DB2164B"/>
    <w:rsid w:val="4DC969B3"/>
    <w:rsid w:val="4DCA28A4"/>
    <w:rsid w:val="4DCB2A58"/>
    <w:rsid w:val="4DEC4FB0"/>
    <w:rsid w:val="4DFA480C"/>
    <w:rsid w:val="4E075D8A"/>
    <w:rsid w:val="4E0B5312"/>
    <w:rsid w:val="4E155D7E"/>
    <w:rsid w:val="4E4769A2"/>
    <w:rsid w:val="4E506598"/>
    <w:rsid w:val="4E513743"/>
    <w:rsid w:val="4E5A0417"/>
    <w:rsid w:val="4E611B9A"/>
    <w:rsid w:val="4E6C07EA"/>
    <w:rsid w:val="4E73286E"/>
    <w:rsid w:val="4E9609D8"/>
    <w:rsid w:val="4E9E7AAE"/>
    <w:rsid w:val="4E9F0C87"/>
    <w:rsid w:val="4EB127EA"/>
    <w:rsid w:val="4EB80F4C"/>
    <w:rsid w:val="4EBA70BD"/>
    <w:rsid w:val="4EBA746F"/>
    <w:rsid w:val="4ECC0D3D"/>
    <w:rsid w:val="4ECC660A"/>
    <w:rsid w:val="4EF525D6"/>
    <w:rsid w:val="4EF80DAD"/>
    <w:rsid w:val="4F0A7EDE"/>
    <w:rsid w:val="4F29214E"/>
    <w:rsid w:val="4F292345"/>
    <w:rsid w:val="4F3709BD"/>
    <w:rsid w:val="4F4E12B3"/>
    <w:rsid w:val="4F5B33BA"/>
    <w:rsid w:val="4F5C1620"/>
    <w:rsid w:val="4F7A3479"/>
    <w:rsid w:val="4F991859"/>
    <w:rsid w:val="4F9F68AD"/>
    <w:rsid w:val="4FA107F2"/>
    <w:rsid w:val="4FA267CB"/>
    <w:rsid w:val="4FAC7DC3"/>
    <w:rsid w:val="4FB27BB5"/>
    <w:rsid w:val="4FC44945"/>
    <w:rsid w:val="4FC62A8C"/>
    <w:rsid w:val="4FC913EA"/>
    <w:rsid w:val="4FCF2ACA"/>
    <w:rsid w:val="4FD83119"/>
    <w:rsid w:val="4FDD0D75"/>
    <w:rsid w:val="4FE20F0D"/>
    <w:rsid w:val="4FE85BD4"/>
    <w:rsid w:val="4FF358B1"/>
    <w:rsid w:val="4FFB2892"/>
    <w:rsid w:val="4FFE6835"/>
    <w:rsid w:val="500278C5"/>
    <w:rsid w:val="5005507B"/>
    <w:rsid w:val="50281264"/>
    <w:rsid w:val="502B33A2"/>
    <w:rsid w:val="5035654E"/>
    <w:rsid w:val="504639A3"/>
    <w:rsid w:val="50502E09"/>
    <w:rsid w:val="50504C4B"/>
    <w:rsid w:val="50646A75"/>
    <w:rsid w:val="506D0500"/>
    <w:rsid w:val="50772144"/>
    <w:rsid w:val="507B22BA"/>
    <w:rsid w:val="508A6399"/>
    <w:rsid w:val="508B0AF1"/>
    <w:rsid w:val="509251CF"/>
    <w:rsid w:val="509B22D6"/>
    <w:rsid w:val="509C6E7C"/>
    <w:rsid w:val="509D2DB8"/>
    <w:rsid w:val="50A05456"/>
    <w:rsid w:val="50A815FE"/>
    <w:rsid w:val="50BC74E9"/>
    <w:rsid w:val="50C76717"/>
    <w:rsid w:val="50E0152B"/>
    <w:rsid w:val="50FE2865"/>
    <w:rsid w:val="51016C27"/>
    <w:rsid w:val="51122D44"/>
    <w:rsid w:val="51153507"/>
    <w:rsid w:val="511B3417"/>
    <w:rsid w:val="512A5408"/>
    <w:rsid w:val="51436893"/>
    <w:rsid w:val="514B60EC"/>
    <w:rsid w:val="51544699"/>
    <w:rsid w:val="51553621"/>
    <w:rsid w:val="515F3A7B"/>
    <w:rsid w:val="5162104E"/>
    <w:rsid w:val="5175687A"/>
    <w:rsid w:val="51825244"/>
    <w:rsid w:val="51987D41"/>
    <w:rsid w:val="519E3267"/>
    <w:rsid w:val="51A46843"/>
    <w:rsid w:val="51AE428B"/>
    <w:rsid w:val="51C847D3"/>
    <w:rsid w:val="51D90B0E"/>
    <w:rsid w:val="51E111B6"/>
    <w:rsid w:val="51F53C68"/>
    <w:rsid w:val="5200736B"/>
    <w:rsid w:val="52067C23"/>
    <w:rsid w:val="52094E0E"/>
    <w:rsid w:val="521A1920"/>
    <w:rsid w:val="521C465F"/>
    <w:rsid w:val="5234135F"/>
    <w:rsid w:val="524831DD"/>
    <w:rsid w:val="524F5CF2"/>
    <w:rsid w:val="52506D4F"/>
    <w:rsid w:val="526B217C"/>
    <w:rsid w:val="526D1F45"/>
    <w:rsid w:val="527E1028"/>
    <w:rsid w:val="52815DAE"/>
    <w:rsid w:val="52820787"/>
    <w:rsid w:val="52916F1A"/>
    <w:rsid w:val="529945F3"/>
    <w:rsid w:val="52996A7D"/>
    <w:rsid w:val="529B3274"/>
    <w:rsid w:val="52A01A2F"/>
    <w:rsid w:val="52C17D00"/>
    <w:rsid w:val="52CB63DF"/>
    <w:rsid w:val="52DB5553"/>
    <w:rsid w:val="531044E6"/>
    <w:rsid w:val="53137801"/>
    <w:rsid w:val="5322283B"/>
    <w:rsid w:val="534157F1"/>
    <w:rsid w:val="535D3873"/>
    <w:rsid w:val="536B2FE6"/>
    <w:rsid w:val="538F3C48"/>
    <w:rsid w:val="53913289"/>
    <w:rsid w:val="539574B0"/>
    <w:rsid w:val="539D2159"/>
    <w:rsid w:val="539F77FF"/>
    <w:rsid w:val="53A039CC"/>
    <w:rsid w:val="53A1505A"/>
    <w:rsid w:val="53A47025"/>
    <w:rsid w:val="53B9306E"/>
    <w:rsid w:val="53C01A47"/>
    <w:rsid w:val="53C241CE"/>
    <w:rsid w:val="53E25C9A"/>
    <w:rsid w:val="53F51CFD"/>
    <w:rsid w:val="540339DE"/>
    <w:rsid w:val="54063E08"/>
    <w:rsid w:val="54072661"/>
    <w:rsid w:val="540A6FA1"/>
    <w:rsid w:val="540A77A2"/>
    <w:rsid w:val="540D0BB3"/>
    <w:rsid w:val="543437E8"/>
    <w:rsid w:val="54480953"/>
    <w:rsid w:val="544E765F"/>
    <w:rsid w:val="545304B1"/>
    <w:rsid w:val="54751090"/>
    <w:rsid w:val="547B46EA"/>
    <w:rsid w:val="5480697A"/>
    <w:rsid w:val="54843081"/>
    <w:rsid w:val="548A5BF9"/>
    <w:rsid w:val="549A54AC"/>
    <w:rsid w:val="549C2D9C"/>
    <w:rsid w:val="54B35F7D"/>
    <w:rsid w:val="54C867F3"/>
    <w:rsid w:val="54C93498"/>
    <w:rsid w:val="54D23DEC"/>
    <w:rsid w:val="54E75AF6"/>
    <w:rsid w:val="54E80EA4"/>
    <w:rsid w:val="55084628"/>
    <w:rsid w:val="55214023"/>
    <w:rsid w:val="55262800"/>
    <w:rsid w:val="5527132A"/>
    <w:rsid w:val="55276C7B"/>
    <w:rsid w:val="55382027"/>
    <w:rsid w:val="556914AB"/>
    <w:rsid w:val="55733821"/>
    <w:rsid w:val="557912EA"/>
    <w:rsid w:val="557B5277"/>
    <w:rsid w:val="5588094F"/>
    <w:rsid w:val="559B174B"/>
    <w:rsid w:val="55B04A86"/>
    <w:rsid w:val="55C60090"/>
    <w:rsid w:val="55CE055B"/>
    <w:rsid w:val="55CE0CF4"/>
    <w:rsid w:val="55D20672"/>
    <w:rsid w:val="55D32512"/>
    <w:rsid w:val="55D50E0F"/>
    <w:rsid w:val="55DF4BE8"/>
    <w:rsid w:val="55E14DD3"/>
    <w:rsid w:val="55E31AE3"/>
    <w:rsid w:val="55EA5F01"/>
    <w:rsid w:val="55FB18B5"/>
    <w:rsid w:val="560307EB"/>
    <w:rsid w:val="56044DC2"/>
    <w:rsid w:val="560C332E"/>
    <w:rsid w:val="561A36DD"/>
    <w:rsid w:val="5630526E"/>
    <w:rsid w:val="56376705"/>
    <w:rsid w:val="56440D1A"/>
    <w:rsid w:val="5656765D"/>
    <w:rsid w:val="565A678F"/>
    <w:rsid w:val="566F02CE"/>
    <w:rsid w:val="56723AD9"/>
    <w:rsid w:val="56754B5B"/>
    <w:rsid w:val="567C7047"/>
    <w:rsid w:val="56804164"/>
    <w:rsid w:val="5684174D"/>
    <w:rsid w:val="569210B7"/>
    <w:rsid w:val="569A4794"/>
    <w:rsid w:val="56A7565F"/>
    <w:rsid w:val="56AD2F30"/>
    <w:rsid w:val="56AE5351"/>
    <w:rsid w:val="56B22A9C"/>
    <w:rsid w:val="56BF4B95"/>
    <w:rsid w:val="56CA5E49"/>
    <w:rsid w:val="56D979A5"/>
    <w:rsid w:val="57062473"/>
    <w:rsid w:val="571C57F3"/>
    <w:rsid w:val="571D1CAB"/>
    <w:rsid w:val="572172AD"/>
    <w:rsid w:val="572E6B98"/>
    <w:rsid w:val="573C4502"/>
    <w:rsid w:val="57435BF8"/>
    <w:rsid w:val="574A4432"/>
    <w:rsid w:val="57571E7E"/>
    <w:rsid w:val="5765719A"/>
    <w:rsid w:val="57664CC0"/>
    <w:rsid w:val="577108D4"/>
    <w:rsid w:val="578C6E05"/>
    <w:rsid w:val="579D75CB"/>
    <w:rsid w:val="57A36F6D"/>
    <w:rsid w:val="57B72A76"/>
    <w:rsid w:val="57B851ED"/>
    <w:rsid w:val="57CA41EB"/>
    <w:rsid w:val="57D1482F"/>
    <w:rsid w:val="57DC5214"/>
    <w:rsid w:val="57E94906"/>
    <w:rsid w:val="57EC78BB"/>
    <w:rsid w:val="57F624E8"/>
    <w:rsid w:val="58046C58"/>
    <w:rsid w:val="581026FC"/>
    <w:rsid w:val="58245193"/>
    <w:rsid w:val="582836A2"/>
    <w:rsid w:val="58457759"/>
    <w:rsid w:val="585242DC"/>
    <w:rsid w:val="585E71A5"/>
    <w:rsid w:val="5862495B"/>
    <w:rsid w:val="58683662"/>
    <w:rsid w:val="58A77952"/>
    <w:rsid w:val="58C3426C"/>
    <w:rsid w:val="58CC267F"/>
    <w:rsid w:val="58CF5213"/>
    <w:rsid w:val="58D04AE7"/>
    <w:rsid w:val="58DA1BC8"/>
    <w:rsid w:val="58E14F46"/>
    <w:rsid w:val="58F06F55"/>
    <w:rsid w:val="58F3077A"/>
    <w:rsid w:val="58F9040C"/>
    <w:rsid w:val="58FD7D1F"/>
    <w:rsid w:val="5902799B"/>
    <w:rsid w:val="59123710"/>
    <w:rsid w:val="59145852"/>
    <w:rsid w:val="59163876"/>
    <w:rsid w:val="592212C0"/>
    <w:rsid w:val="5923465F"/>
    <w:rsid w:val="592F6606"/>
    <w:rsid w:val="593111DC"/>
    <w:rsid w:val="593A75C2"/>
    <w:rsid w:val="595079D6"/>
    <w:rsid w:val="595606C9"/>
    <w:rsid w:val="59771406"/>
    <w:rsid w:val="59795220"/>
    <w:rsid w:val="59907AF6"/>
    <w:rsid w:val="59A170F7"/>
    <w:rsid w:val="59A93F65"/>
    <w:rsid w:val="59AA08C4"/>
    <w:rsid w:val="59BB4DA4"/>
    <w:rsid w:val="59BF2E55"/>
    <w:rsid w:val="59CC1A83"/>
    <w:rsid w:val="59DB3E06"/>
    <w:rsid w:val="59E41262"/>
    <w:rsid w:val="59F42EFD"/>
    <w:rsid w:val="59FF63EB"/>
    <w:rsid w:val="5A0A227A"/>
    <w:rsid w:val="5A252C10"/>
    <w:rsid w:val="5A283E83"/>
    <w:rsid w:val="5A3A6AAE"/>
    <w:rsid w:val="5A3C747D"/>
    <w:rsid w:val="5A415526"/>
    <w:rsid w:val="5A4B0393"/>
    <w:rsid w:val="5A551748"/>
    <w:rsid w:val="5A6A6727"/>
    <w:rsid w:val="5A7400D4"/>
    <w:rsid w:val="5A7D584B"/>
    <w:rsid w:val="5A874076"/>
    <w:rsid w:val="5A9662A1"/>
    <w:rsid w:val="5AA1498D"/>
    <w:rsid w:val="5AA41CEA"/>
    <w:rsid w:val="5ABD70AB"/>
    <w:rsid w:val="5ABE2233"/>
    <w:rsid w:val="5AC73436"/>
    <w:rsid w:val="5ACE7AC6"/>
    <w:rsid w:val="5AEB0587"/>
    <w:rsid w:val="5AEE75AA"/>
    <w:rsid w:val="5AFB639C"/>
    <w:rsid w:val="5B0031FB"/>
    <w:rsid w:val="5B022AC1"/>
    <w:rsid w:val="5B056434"/>
    <w:rsid w:val="5B0D59C4"/>
    <w:rsid w:val="5B112FE6"/>
    <w:rsid w:val="5B16746E"/>
    <w:rsid w:val="5B174BD9"/>
    <w:rsid w:val="5B1832E1"/>
    <w:rsid w:val="5B276D18"/>
    <w:rsid w:val="5B2B4256"/>
    <w:rsid w:val="5B3A093D"/>
    <w:rsid w:val="5B4256B7"/>
    <w:rsid w:val="5B4A6146"/>
    <w:rsid w:val="5B597737"/>
    <w:rsid w:val="5B621404"/>
    <w:rsid w:val="5B65337D"/>
    <w:rsid w:val="5B752102"/>
    <w:rsid w:val="5B766879"/>
    <w:rsid w:val="5B773003"/>
    <w:rsid w:val="5B8F47E5"/>
    <w:rsid w:val="5B92679F"/>
    <w:rsid w:val="5B9D68C6"/>
    <w:rsid w:val="5B9E5670"/>
    <w:rsid w:val="5BA04A9C"/>
    <w:rsid w:val="5BA26C0E"/>
    <w:rsid w:val="5BA65DCC"/>
    <w:rsid w:val="5BAC0560"/>
    <w:rsid w:val="5BB40BA6"/>
    <w:rsid w:val="5BC764F6"/>
    <w:rsid w:val="5BCF382F"/>
    <w:rsid w:val="5BD01244"/>
    <w:rsid w:val="5BD12F11"/>
    <w:rsid w:val="5BDC37A3"/>
    <w:rsid w:val="5BDF5D95"/>
    <w:rsid w:val="5BED3473"/>
    <w:rsid w:val="5BF22FC6"/>
    <w:rsid w:val="5C096684"/>
    <w:rsid w:val="5C11169E"/>
    <w:rsid w:val="5C1C63A8"/>
    <w:rsid w:val="5C285A3E"/>
    <w:rsid w:val="5C29540E"/>
    <w:rsid w:val="5C516770"/>
    <w:rsid w:val="5C5D48E3"/>
    <w:rsid w:val="5C766E4A"/>
    <w:rsid w:val="5C783DC5"/>
    <w:rsid w:val="5C891B7C"/>
    <w:rsid w:val="5C9950C8"/>
    <w:rsid w:val="5C9E454D"/>
    <w:rsid w:val="5CA2679A"/>
    <w:rsid w:val="5CA37228"/>
    <w:rsid w:val="5CA72E3F"/>
    <w:rsid w:val="5CB079D7"/>
    <w:rsid w:val="5CB868F2"/>
    <w:rsid w:val="5CCC0FE5"/>
    <w:rsid w:val="5CDB70F2"/>
    <w:rsid w:val="5D047072"/>
    <w:rsid w:val="5D1256CE"/>
    <w:rsid w:val="5D1D14DE"/>
    <w:rsid w:val="5D272491"/>
    <w:rsid w:val="5D2C7751"/>
    <w:rsid w:val="5D2E6280"/>
    <w:rsid w:val="5D331AE8"/>
    <w:rsid w:val="5D343B95"/>
    <w:rsid w:val="5D3D751A"/>
    <w:rsid w:val="5D5C1CB8"/>
    <w:rsid w:val="5D7A7717"/>
    <w:rsid w:val="5D7F137B"/>
    <w:rsid w:val="5D804894"/>
    <w:rsid w:val="5D811E11"/>
    <w:rsid w:val="5D877544"/>
    <w:rsid w:val="5DAA3E0E"/>
    <w:rsid w:val="5DAF2F7B"/>
    <w:rsid w:val="5DBF0F58"/>
    <w:rsid w:val="5DCD3CEB"/>
    <w:rsid w:val="5DCD5A99"/>
    <w:rsid w:val="5DCE7E16"/>
    <w:rsid w:val="5DD1377F"/>
    <w:rsid w:val="5DD21301"/>
    <w:rsid w:val="5DE50617"/>
    <w:rsid w:val="5DEF412A"/>
    <w:rsid w:val="5DF136A3"/>
    <w:rsid w:val="5DF87A0F"/>
    <w:rsid w:val="5E062D59"/>
    <w:rsid w:val="5E0C02C8"/>
    <w:rsid w:val="5E1C013A"/>
    <w:rsid w:val="5E1C51EC"/>
    <w:rsid w:val="5E2A735D"/>
    <w:rsid w:val="5E364C03"/>
    <w:rsid w:val="5E3A7034"/>
    <w:rsid w:val="5E4332B3"/>
    <w:rsid w:val="5E4966A0"/>
    <w:rsid w:val="5E4A2B2E"/>
    <w:rsid w:val="5E5C75F5"/>
    <w:rsid w:val="5E7E4670"/>
    <w:rsid w:val="5E8E550E"/>
    <w:rsid w:val="5E983162"/>
    <w:rsid w:val="5E99463E"/>
    <w:rsid w:val="5EA048F9"/>
    <w:rsid w:val="5EA54320"/>
    <w:rsid w:val="5EB237E6"/>
    <w:rsid w:val="5ECC4315"/>
    <w:rsid w:val="5EE404C5"/>
    <w:rsid w:val="5EFC18D7"/>
    <w:rsid w:val="5F092816"/>
    <w:rsid w:val="5F103A21"/>
    <w:rsid w:val="5F1A2B43"/>
    <w:rsid w:val="5F1D035A"/>
    <w:rsid w:val="5F253005"/>
    <w:rsid w:val="5F285AE4"/>
    <w:rsid w:val="5F322057"/>
    <w:rsid w:val="5F322752"/>
    <w:rsid w:val="5F447E3D"/>
    <w:rsid w:val="5F58578F"/>
    <w:rsid w:val="5F631071"/>
    <w:rsid w:val="5F6706E3"/>
    <w:rsid w:val="5F796DF2"/>
    <w:rsid w:val="5F7E2339"/>
    <w:rsid w:val="5F9F3EE1"/>
    <w:rsid w:val="5FA365D5"/>
    <w:rsid w:val="5FA56DDB"/>
    <w:rsid w:val="5FB837BB"/>
    <w:rsid w:val="5FBA204D"/>
    <w:rsid w:val="5FBD4486"/>
    <w:rsid w:val="5FC13DAD"/>
    <w:rsid w:val="5FD163C4"/>
    <w:rsid w:val="5FDF7B54"/>
    <w:rsid w:val="5FE06EEA"/>
    <w:rsid w:val="5FE3356B"/>
    <w:rsid w:val="5FE54AEF"/>
    <w:rsid w:val="5FE82AA9"/>
    <w:rsid w:val="5FED5F7E"/>
    <w:rsid w:val="5FEE5745"/>
    <w:rsid w:val="60030E42"/>
    <w:rsid w:val="60085DAB"/>
    <w:rsid w:val="600D75AD"/>
    <w:rsid w:val="601367AA"/>
    <w:rsid w:val="601377FC"/>
    <w:rsid w:val="6025396A"/>
    <w:rsid w:val="602A71D2"/>
    <w:rsid w:val="603138EA"/>
    <w:rsid w:val="6045400C"/>
    <w:rsid w:val="604E1976"/>
    <w:rsid w:val="6055425E"/>
    <w:rsid w:val="605E50CE"/>
    <w:rsid w:val="606549B5"/>
    <w:rsid w:val="6067296E"/>
    <w:rsid w:val="606A01E6"/>
    <w:rsid w:val="606B77E0"/>
    <w:rsid w:val="607E751E"/>
    <w:rsid w:val="608A282A"/>
    <w:rsid w:val="608D0753"/>
    <w:rsid w:val="608F727F"/>
    <w:rsid w:val="60B112C5"/>
    <w:rsid w:val="60B77FA4"/>
    <w:rsid w:val="60C457EE"/>
    <w:rsid w:val="60D10950"/>
    <w:rsid w:val="60D57568"/>
    <w:rsid w:val="60E31C84"/>
    <w:rsid w:val="60E814EB"/>
    <w:rsid w:val="60F5392F"/>
    <w:rsid w:val="60FE422C"/>
    <w:rsid w:val="61053764"/>
    <w:rsid w:val="61316CF9"/>
    <w:rsid w:val="61393EFB"/>
    <w:rsid w:val="613F7BEC"/>
    <w:rsid w:val="614537CD"/>
    <w:rsid w:val="6149217F"/>
    <w:rsid w:val="61495DD0"/>
    <w:rsid w:val="614E41B0"/>
    <w:rsid w:val="615501AE"/>
    <w:rsid w:val="61554FB0"/>
    <w:rsid w:val="616616D2"/>
    <w:rsid w:val="616B1851"/>
    <w:rsid w:val="61706E67"/>
    <w:rsid w:val="617A1A94"/>
    <w:rsid w:val="617C3A5E"/>
    <w:rsid w:val="617C7D2B"/>
    <w:rsid w:val="61994C6D"/>
    <w:rsid w:val="61A46B11"/>
    <w:rsid w:val="61AE1315"/>
    <w:rsid w:val="61B3163D"/>
    <w:rsid w:val="61D01CF8"/>
    <w:rsid w:val="61E737AA"/>
    <w:rsid w:val="61E84E43"/>
    <w:rsid w:val="6208709F"/>
    <w:rsid w:val="62206ADF"/>
    <w:rsid w:val="62214DFA"/>
    <w:rsid w:val="62364782"/>
    <w:rsid w:val="6247291B"/>
    <w:rsid w:val="624833DC"/>
    <w:rsid w:val="625614D2"/>
    <w:rsid w:val="626544F2"/>
    <w:rsid w:val="62752C1C"/>
    <w:rsid w:val="62830E1C"/>
    <w:rsid w:val="62922D69"/>
    <w:rsid w:val="62AA26A1"/>
    <w:rsid w:val="62CC4571"/>
    <w:rsid w:val="62FC712E"/>
    <w:rsid w:val="62FD05C2"/>
    <w:rsid w:val="62FE5F36"/>
    <w:rsid w:val="630C6EA9"/>
    <w:rsid w:val="63175C20"/>
    <w:rsid w:val="632443AD"/>
    <w:rsid w:val="634942E6"/>
    <w:rsid w:val="63514A76"/>
    <w:rsid w:val="636155BC"/>
    <w:rsid w:val="63656AFC"/>
    <w:rsid w:val="637403CC"/>
    <w:rsid w:val="637846F9"/>
    <w:rsid w:val="638346DD"/>
    <w:rsid w:val="638C5AAE"/>
    <w:rsid w:val="638F4503"/>
    <w:rsid w:val="63917843"/>
    <w:rsid w:val="63A1212E"/>
    <w:rsid w:val="63A454EE"/>
    <w:rsid w:val="63A8314E"/>
    <w:rsid w:val="63AE3C76"/>
    <w:rsid w:val="63BD0899"/>
    <w:rsid w:val="63C13032"/>
    <w:rsid w:val="63D40BE9"/>
    <w:rsid w:val="63D60CF2"/>
    <w:rsid w:val="63E0211F"/>
    <w:rsid w:val="63F94D40"/>
    <w:rsid w:val="63FD12C8"/>
    <w:rsid w:val="64050106"/>
    <w:rsid w:val="64075CC4"/>
    <w:rsid w:val="640E2967"/>
    <w:rsid w:val="64287C1B"/>
    <w:rsid w:val="64364A89"/>
    <w:rsid w:val="64436AB5"/>
    <w:rsid w:val="644E185F"/>
    <w:rsid w:val="645E7BDA"/>
    <w:rsid w:val="646C39F8"/>
    <w:rsid w:val="647A47BD"/>
    <w:rsid w:val="648A0240"/>
    <w:rsid w:val="64963B81"/>
    <w:rsid w:val="64972872"/>
    <w:rsid w:val="64A04C33"/>
    <w:rsid w:val="64AA3A15"/>
    <w:rsid w:val="64BD5068"/>
    <w:rsid w:val="64C554BE"/>
    <w:rsid w:val="64CD45D0"/>
    <w:rsid w:val="64DF4E7D"/>
    <w:rsid w:val="64E56E1C"/>
    <w:rsid w:val="64E65629"/>
    <w:rsid w:val="64FC6011"/>
    <w:rsid w:val="650128E8"/>
    <w:rsid w:val="652A31DB"/>
    <w:rsid w:val="653463FD"/>
    <w:rsid w:val="65373578"/>
    <w:rsid w:val="65415EB7"/>
    <w:rsid w:val="65420B1A"/>
    <w:rsid w:val="65436A9C"/>
    <w:rsid w:val="654F2EE5"/>
    <w:rsid w:val="657B402C"/>
    <w:rsid w:val="65A173AE"/>
    <w:rsid w:val="65D327C2"/>
    <w:rsid w:val="65DC0F6F"/>
    <w:rsid w:val="65E027BC"/>
    <w:rsid w:val="65F46C16"/>
    <w:rsid w:val="66281865"/>
    <w:rsid w:val="662B36E0"/>
    <w:rsid w:val="663629FF"/>
    <w:rsid w:val="663C7C5F"/>
    <w:rsid w:val="663D0790"/>
    <w:rsid w:val="665B6338"/>
    <w:rsid w:val="665B7D83"/>
    <w:rsid w:val="666431EA"/>
    <w:rsid w:val="668D30D8"/>
    <w:rsid w:val="669E4620"/>
    <w:rsid w:val="66BD7E36"/>
    <w:rsid w:val="66C22A14"/>
    <w:rsid w:val="66C3141F"/>
    <w:rsid w:val="66CC3515"/>
    <w:rsid w:val="66D81826"/>
    <w:rsid w:val="66F22E0A"/>
    <w:rsid w:val="66F74000"/>
    <w:rsid w:val="66FA6AAC"/>
    <w:rsid w:val="67053AFC"/>
    <w:rsid w:val="671C1593"/>
    <w:rsid w:val="67265724"/>
    <w:rsid w:val="672C3AE2"/>
    <w:rsid w:val="67303483"/>
    <w:rsid w:val="673E2696"/>
    <w:rsid w:val="673F2C7A"/>
    <w:rsid w:val="67446DEC"/>
    <w:rsid w:val="6760172C"/>
    <w:rsid w:val="676705E3"/>
    <w:rsid w:val="67680108"/>
    <w:rsid w:val="67725DFD"/>
    <w:rsid w:val="678D04E0"/>
    <w:rsid w:val="67B41AC4"/>
    <w:rsid w:val="67C560BE"/>
    <w:rsid w:val="67D47004"/>
    <w:rsid w:val="67E404B6"/>
    <w:rsid w:val="67EB5499"/>
    <w:rsid w:val="67ED6375"/>
    <w:rsid w:val="67FA1DA2"/>
    <w:rsid w:val="67FB3C27"/>
    <w:rsid w:val="68030E0A"/>
    <w:rsid w:val="6804038D"/>
    <w:rsid w:val="6804655B"/>
    <w:rsid w:val="680A6139"/>
    <w:rsid w:val="680D6040"/>
    <w:rsid w:val="68177056"/>
    <w:rsid w:val="681F57EA"/>
    <w:rsid w:val="681F6961"/>
    <w:rsid w:val="682870D1"/>
    <w:rsid w:val="684D1CB0"/>
    <w:rsid w:val="68610A2F"/>
    <w:rsid w:val="68612D68"/>
    <w:rsid w:val="68664B20"/>
    <w:rsid w:val="68727F42"/>
    <w:rsid w:val="6874548F"/>
    <w:rsid w:val="68805514"/>
    <w:rsid w:val="68991C3F"/>
    <w:rsid w:val="689A6B3D"/>
    <w:rsid w:val="689F5992"/>
    <w:rsid w:val="68A81BF4"/>
    <w:rsid w:val="68AB721C"/>
    <w:rsid w:val="68B021BE"/>
    <w:rsid w:val="68C405FA"/>
    <w:rsid w:val="68DC3258"/>
    <w:rsid w:val="68DE5385"/>
    <w:rsid w:val="68DF122C"/>
    <w:rsid w:val="68E92CAD"/>
    <w:rsid w:val="68FD5B33"/>
    <w:rsid w:val="69092490"/>
    <w:rsid w:val="69097014"/>
    <w:rsid w:val="690F5789"/>
    <w:rsid w:val="691664EE"/>
    <w:rsid w:val="691B6B54"/>
    <w:rsid w:val="69313380"/>
    <w:rsid w:val="693B4E23"/>
    <w:rsid w:val="694B6EB9"/>
    <w:rsid w:val="694E2071"/>
    <w:rsid w:val="69613B48"/>
    <w:rsid w:val="697A3B33"/>
    <w:rsid w:val="697A7DBE"/>
    <w:rsid w:val="69905DD7"/>
    <w:rsid w:val="6997151D"/>
    <w:rsid w:val="699D23D7"/>
    <w:rsid w:val="699E2456"/>
    <w:rsid w:val="69A8442E"/>
    <w:rsid w:val="69BE423C"/>
    <w:rsid w:val="69C24B64"/>
    <w:rsid w:val="69C76310"/>
    <w:rsid w:val="69D211A4"/>
    <w:rsid w:val="69DD1E58"/>
    <w:rsid w:val="69E42540"/>
    <w:rsid w:val="69EF49DE"/>
    <w:rsid w:val="69FD31CD"/>
    <w:rsid w:val="6A254F5A"/>
    <w:rsid w:val="6A257AFF"/>
    <w:rsid w:val="6A2A6BDA"/>
    <w:rsid w:val="6A2F784C"/>
    <w:rsid w:val="6A324629"/>
    <w:rsid w:val="6A396EA9"/>
    <w:rsid w:val="6A3A44B6"/>
    <w:rsid w:val="6A42336B"/>
    <w:rsid w:val="6A485AEF"/>
    <w:rsid w:val="6A4B521B"/>
    <w:rsid w:val="6A5079A9"/>
    <w:rsid w:val="6A675E4D"/>
    <w:rsid w:val="6A705D42"/>
    <w:rsid w:val="6A713A2E"/>
    <w:rsid w:val="6A782DA5"/>
    <w:rsid w:val="6A78576F"/>
    <w:rsid w:val="6AAA13B7"/>
    <w:rsid w:val="6AB06526"/>
    <w:rsid w:val="6AB24B59"/>
    <w:rsid w:val="6AC15C71"/>
    <w:rsid w:val="6AC2028C"/>
    <w:rsid w:val="6ACD783B"/>
    <w:rsid w:val="6AD8207B"/>
    <w:rsid w:val="6ADD62AD"/>
    <w:rsid w:val="6AE078B7"/>
    <w:rsid w:val="6AEF5EFF"/>
    <w:rsid w:val="6AF01018"/>
    <w:rsid w:val="6AF02DC7"/>
    <w:rsid w:val="6AFA59F3"/>
    <w:rsid w:val="6B1E6F16"/>
    <w:rsid w:val="6B295AA1"/>
    <w:rsid w:val="6B322639"/>
    <w:rsid w:val="6B3724F2"/>
    <w:rsid w:val="6B3C1BC0"/>
    <w:rsid w:val="6B3F3FDB"/>
    <w:rsid w:val="6B454EC0"/>
    <w:rsid w:val="6B487D6B"/>
    <w:rsid w:val="6B5C3F06"/>
    <w:rsid w:val="6B637A3C"/>
    <w:rsid w:val="6B6A2B79"/>
    <w:rsid w:val="6B7A4F14"/>
    <w:rsid w:val="6B951E5C"/>
    <w:rsid w:val="6BBF6F18"/>
    <w:rsid w:val="6BD758BC"/>
    <w:rsid w:val="6BE12B9A"/>
    <w:rsid w:val="6BE244AA"/>
    <w:rsid w:val="6BE350EA"/>
    <w:rsid w:val="6BE92BB1"/>
    <w:rsid w:val="6BFE3BD0"/>
    <w:rsid w:val="6C033A1C"/>
    <w:rsid w:val="6C052E0C"/>
    <w:rsid w:val="6C111246"/>
    <w:rsid w:val="6C336698"/>
    <w:rsid w:val="6C427652"/>
    <w:rsid w:val="6C432EB8"/>
    <w:rsid w:val="6C472CF7"/>
    <w:rsid w:val="6C5C75F7"/>
    <w:rsid w:val="6C636C38"/>
    <w:rsid w:val="6C653CD7"/>
    <w:rsid w:val="6C700348"/>
    <w:rsid w:val="6C717819"/>
    <w:rsid w:val="6C786982"/>
    <w:rsid w:val="6C807100"/>
    <w:rsid w:val="6CA36342"/>
    <w:rsid w:val="6CA7196F"/>
    <w:rsid w:val="6CB17FB2"/>
    <w:rsid w:val="6CB2505C"/>
    <w:rsid w:val="6CBA7124"/>
    <w:rsid w:val="6CE801EE"/>
    <w:rsid w:val="6CE81FD1"/>
    <w:rsid w:val="6CF30EFC"/>
    <w:rsid w:val="6CFD6CF2"/>
    <w:rsid w:val="6CFE20B7"/>
    <w:rsid w:val="6D0A4613"/>
    <w:rsid w:val="6D0B213A"/>
    <w:rsid w:val="6D1E7AB0"/>
    <w:rsid w:val="6D2A3CB8"/>
    <w:rsid w:val="6D3726C0"/>
    <w:rsid w:val="6D3C13EF"/>
    <w:rsid w:val="6D417C28"/>
    <w:rsid w:val="6D566DCE"/>
    <w:rsid w:val="6D5E04BB"/>
    <w:rsid w:val="6D610768"/>
    <w:rsid w:val="6D615924"/>
    <w:rsid w:val="6D6758F6"/>
    <w:rsid w:val="6D70286F"/>
    <w:rsid w:val="6D726375"/>
    <w:rsid w:val="6D8605B7"/>
    <w:rsid w:val="6D86469A"/>
    <w:rsid w:val="6DB0737B"/>
    <w:rsid w:val="6DB12CE1"/>
    <w:rsid w:val="6DB27B28"/>
    <w:rsid w:val="6DB34098"/>
    <w:rsid w:val="6DB545B6"/>
    <w:rsid w:val="6DBE560D"/>
    <w:rsid w:val="6DD01EAE"/>
    <w:rsid w:val="6DD84FE3"/>
    <w:rsid w:val="6DDF2BA1"/>
    <w:rsid w:val="6DF0064C"/>
    <w:rsid w:val="6DF901E4"/>
    <w:rsid w:val="6DFC1C1C"/>
    <w:rsid w:val="6E0C6D84"/>
    <w:rsid w:val="6E1D7CFF"/>
    <w:rsid w:val="6E360D97"/>
    <w:rsid w:val="6E4375A0"/>
    <w:rsid w:val="6E4A5348"/>
    <w:rsid w:val="6E514CED"/>
    <w:rsid w:val="6E5F098F"/>
    <w:rsid w:val="6E5F380F"/>
    <w:rsid w:val="6E6152B3"/>
    <w:rsid w:val="6E627E2F"/>
    <w:rsid w:val="6E632885"/>
    <w:rsid w:val="6E6708D6"/>
    <w:rsid w:val="6E6B73B8"/>
    <w:rsid w:val="6E6E1A43"/>
    <w:rsid w:val="6E761835"/>
    <w:rsid w:val="6E79491A"/>
    <w:rsid w:val="6E7E3225"/>
    <w:rsid w:val="6E833E77"/>
    <w:rsid w:val="6E8A48AD"/>
    <w:rsid w:val="6E9B1118"/>
    <w:rsid w:val="6EB563D5"/>
    <w:rsid w:val="6EB84FAC"/>
    <w:rsid w:val="6EBE2657"/>
    <w:rsid w:val="6EC010B0"/>
    <w:rsid w:val="6ED61BD6"/>
    <w:rsid w:val="6EDA1C9B"/>
    <w:rsid w:val="6EE43096"/>
    <w:rsid w:val="6EF76598"/>
    <w:rsid w:val="6F0B34FD"/>
    <w:rsid w:val="6F0F745A"/>
    <w:rsid w:val="6F165D50"/>
    <w:rsid w:val="6F191AC6"/>
    <w:rsid w:val="6F225983"/>
    <w:rsid w:val="6F274A33"/>
    <w:rsid w:val="6F2F2676"/>
    <w:rsid w:val="6F4B0F13"/>
    <w:rsid w:val="6F583B84"/>
    <w:rsid w:val="6F685621"/>
    <w:rsid w:val="6F6B536A"/>
    <w:rsid w:val="6F7D1591"/>
    <w:rsid w:val="6FB30830"/>
    <w:rsid w:val="6FB3753A"/>
    <w:rsid w:val="6FD11419"/>
    <w:rsid w:val="6FD57B35"/>
    <w:rsid w:val="6FE3419F"/>
    <w:rsid w:val="6FF25F04"/>
    <w:rsid w:val="6FFC5590"/>
    <w:rsid w:val="70301DA3"/>
    <w:rsid w:val="70390FB7"/>
    <w:rsid w:val="70486433"/>
    <w:rsid w:val="704A4117"/>
    <w:rsid w:val="705A70B3"/>
    <w:rsid w:val="70623977"/>
    <w:rsid w:val="706D1DD0"/>
    <w:rsid w:val="70763D6E"/>
    <w:rsid w:val="70856B87"/>
    <w:rsid w:val="70891CF3"/>
    <w:rsid w:val="708B529E"/>
    <w:rsid w:val="70B054D2"/>
    <w:rsid w:val="70BD1BC9"/>
    <w:rsid w:val="70CC4DD8"/>
    <w:rsid w:val="70D13BDC"/>
    <w:rsid w:val="70D527EE"/>
    <w:rsid w:val="70D72A5F"/>
    <w:rsid w:val="70DC329D"/>
    <w:rsid w:val="70DE3EF0"/>
    <w:rsid w:val="70EE7DA8"/>
    <w:rsid w:val="70F5516F"/>
    <w:rsid w:val="70FE3E32"/>
    <w:rsid w:val="70FE48F8"/>
    <w:rsid w:val="71136DEE"/>
    <w:rsid w:val="715A1226"/>
    <w:rsid w:val="715B5300"/>
    <w:rsid w:val="715F4BD7"/>
    <w:rsid w:val="716B0995"/>
    <w:rsid w:val="717778BB"/>
    <w:rsid w:val="7178018F"/>
    <w:rsid w:val="71793B16"/>
    <w:rsid w:val="71885213"/>
    <w:rsid w:val="718F3339"/>
    <w:rsid w:val="7192216C"/>
    <w:rsid w:val="71A306A7"/>
    <w:rsid w:val="71B73C2D"/>
    <w:rsid w:val="71BB2D89"/>
    <w:rsid w:val="71D27F8A"/>
    <w:rsid w:val="71D340B8"/>
    <w:rsid w:val="71DF5810"/>
    <w:rsid w:val="71E847F7"/>
    <w:rsid w:val="71ED1AE4"/>
    <w:rsid w:val="71EF3DD8"/>
    <w:rsid w:val="71F744C6"/>
    <w:rsid w:val="71F960CF"/>
    <w:rsid w:val="71FA428B"/>
    <w:rsid w:val="72007998"/>
    <w:rsid w:val="72040EDF"/>
    <w:rsid w:val="720B3FAF"/>
    <w:rsid w:val="72143A86"/>
    <w:rsid w:val="72167F76"/>
    <w:rsid w:val="72200435"/>
    <w:rsid w:val="722B0C93"/>
    <w:rsid w:val="7230498D"/>
    <w:rsid w:val="72417A2A"/>
    <w:rsid w:val="7250733B"/>
    <w:rsid w:val="72525666"/>
    <w:rsid w:val="72606A84"/>
    <w:rsid w:val="726A21AE"/>
    <w:rsid w:val="728848F2"/>
    <w:rsid w:val="72A21274"/>
    <w:rsid w:val="72BA3C47"/>
    <w:rsid w:val="72BB015E"/>
    <w:rsid w:val="72BB1F0C"/>
    <w:rsid w:val="72CD440E"/>
    <w:rsid w:val="72D046E2"/>
    <w:rsid w:val="72D0499C"/>
    <w:rsid w:val="72FE1DE6"/>
    <w:rsid w:val="730D40BD"/>
    <w:rsid w:val="73153620"/>
    <w:rsid w:val="731F5D5E"/>
    <w:rsid w:val="733650F3"/>
    <w:rsid w:val="733A1083"/>
    <w:rsid w:val="733F2D28"/>
    <w:rsid w:val="73427283"/>
    <w:rsid w:val="7344584D"/>
    <w:rsid w:val="7359750C"/>
    <w:rsid w:val="735A6AC0"/>
    <w:rsid w:val="73644352"/>
    <w:rsid w:val="736600CA"/>
    <w:rsid w:val="736912ED"/>
    <w:rsid w:val="736965E6"/>
    <w:rsid w:val="73723EC4"/>
    <w:rsid w:val="73733E55"/>
    <w:rsid w:val="739D4185"/>
    <w:rsid w:val="739E7864"/>
    <w:rsid w:val="73A01AA0"/>
    <w:rsid w:val="73A0375E"/>
    <w:rsid w:val="73A25B4E"/>
    <w:rsid w:val="73AF3ED7"/>
    <w:rsid w:val="73B17736"/>
    <w:rsid w:val="73C21E17"/>
    <w:rsid w:val="73CF3EC6"/>
    <w:rsid w:val="73D4451E"/>
    <w:rsid w:val="73DB142D"/>
    <w:rsid w:val="73DF3DB1"/>
    <w:rsid w:val="73E55116"/>
    <w:rsid w:val="73E7597F"/>
    <w:rsid w:val="73E9749F"/>
    <w:rsid w:val="73F317FA"/>
    <w:rsid w:val="73FA5677"/>
    <w:rsid w:val="74031DBD"/>
    <w:rsid w:val="74032EFE"/>
    <w:rsid w:val="740F3F2A"/>
    <w:rsid w:val="74135DC8"/>
    <w:rsid w:val="7416389E"/>
    <w:rsid w:val="741915E0"/>
    <w:rsid w:val="741E793C"/>
    <w:rsid w:val="74341F76"/>
    <w:rsid w:val="743E36E9"/>
    <w:rsid w:val="746A5783"/>
    <w:rsid w:val="746B0BAD"/>
    <w:rsid w:val="746F1200"/>
    <w:rsid w:val="746F2FAE"/>
    <w:rsid w:val="747018E5"/>
    <w:rsid w:val="74714F78"/>
    <w:rsid w:val="74827185"/>
    <w:rsid w:val="749F7D37"/>
    <w:rsid w:val="74B66177"/>
    <w:rsid w:val="74C23A26"/>
    <w:rsid w:val="74C62050"/>
    <w:rsid w:val="74D448E6"/>
    <w:rsid w:val="74EA49FD"/>
    <w:rsid w:val="74FD05BA"/>
    <w:rsid w:val="74FE2D6F"/>
    <w:rsid w:val="75022BDD"/>
    <w:rsid w:val="750F158B"/>
    <w:rsid w:val="752E10BB"/>
    <w:rsid w:val="7544268D"/>
    <w:rsid w:val="754729DC"/>
    <w:rsid w:val="75530B22"/>
    <w:rsid w:val="755A18C8"/>
    <w:rsid w:val="755A6C79"/>
    <w:rsid w:val="755B7732"/>
    <w:rsid w:val="755E784D"/>
    <w:rsid w:val="7560120D"/>
    <w:rsid w:val="7561323F"/>
    <w:rsid w:val="75680129"/>
    <w:rsid w:val="756C6357"/>
    <w:rsid w:val="75813F91"/>
    <w:rsid w:val="75851C18"/>
    <w:rsid w:val="758D75E2"/>
    <w:rsid w:val="759877EE"/>
    <w:rsid w:val="75992D4C"/>
    <w:rsid w:val="75B01439"/>
    <w:rsid w:val="75B14511"/>
    <w:rsid w:val="75B74C0D"/>
    <w:rsid w:val="75B95F6C"/>
    <w:rsid w:val="75BD407D"/>
    <w:rsid w:val="75C20CE1"/>
    <w:rsid w:val="75D3529B"/>
    <w:rsid w:val="75D51148"/>
    <w:rsid w:val="7608190C"/>
    <w:rsid w:val="763515C6"/>
    <w:rsid w:val="76426BCC"/>
    <w:rsid w:val="76520D43"/>
    <w:rsid w:val="76634D94"/>
    <w:rsid w:val="767100D2"/>
    <w:rsid w:val="76741FA1"/>
    <w:rsid w:val="7682467B"/>
    <w:rsid w:val="76BC1226"/>
    <w:rsid w:val="76D11CFE"/>
    <w:rsid w:val="76D77426"/>
    <w:rsid w:val="76E11F70"/>
    <w:rsid w:val="76E16C86"/>
    <w:rsid w:val="76EB5E26"/>
    <w:rsid w:val="76ED456A"/>
    <w:rsid w:val="76F60514"/>
    <w:rsid w:val="770C2D36"/>
    <w:rsid w:val="771B4F77"/>
    <w:rsid w:val="77376CED"/>
    <w:rsid w:val="775B37B3"/>
    <w:rsid w:val="775B5A6C"/>
    <w:rsid w:val="77626DFA"/>
    <w:rsid w:val="77762421"/>
    <w:rsid w:val="77785105"/>
    <w:rsid w:val="778D0A0C"/>
    <w:rsid w:val="77AB3A64"/>
    <w:rsid w:val="77AB7369"/>
    <w:rsid w:val="77B13B07"/>
    <w:rsid w:val="77B92EBE"/>
    <w:rsid w:val="77BD15A4"/>
    <w:rsid w:val="78075902"/>
    <w:rsid w:val="780D6D66"/>
    <w:rsid w:val="780F09F4"/>
    <w:rsid w:val="781C1A40"/>
    <w:rsid w:val="782B3690"/>
    <w:rsid w:val="78382EF8"/>
    <w:rsid w:val="783A38D3"/>
    <w:rsid w:val="784A10DC"/>
    <w:rsid w:val="784F3560"/>
    <w:rsid w:val="7850458F"/>
    <w:rsid w:val="78562D80"/>
    <w:rsid w:val="786C6827"/>
    <w:rsid w:val="787B248E"/>
    <w:rsid w:val="788007E2"/>
    <w:rsid w:val="78801C2E"/>
    <w:rsid w:val="788267F7"/>
    <w:rsid w:val="7886117B"/>
    <w:rsid w:val="789C4F47"/>
    <w:rsid w:val="789C633C"/>
    <w:rsid w:val="78A27DF6"/>
    <w:rsid w:val="78A90480"/>
    <w:rsid w:val="78C31C0F"/>
    <w:rsid w:val="78DF1AD6"/>
    <w:rsid w:val="78E8332F"/>
    <w:rsid w:val="78F24CB5"/>
    <w:rsid w:val="78F9378E"/>
    <w:rsid w:val="790418E6"/>
    <w:rsid w:val="791C3DF8"/>
    <w:rsid w:val="79222CE5"/>
    <w:rsid w:val="792E3438"/>
    <w:rsid w:val="79352681"/>
    <w:rsid w:val="79424897"/>
    <w:rsid w:val="794C645A"/>
    <w:rsid w:val="79506DF1"/>
    <w:rsid w:val="79556C16"/>
    <w:rsid w:val="795A247F"/>
    <w:rsid w:val="79701CA2"/>
    <w:rsid w:val="79811327"/>
    <w:rsid w:val="79813945"/>
    <w:rsid w:val="79930A94"/>
    <w:rsid w:val="79954AEE"/>
    <w:rsid w:val="79982862"/>
    <w:rsid w:val="79982FA7"/>
    <w:rsid w:val="79A67472"/>
    <w:rsid w:val="79AE6327"/>
    <w:rsid w:val="79BD4575"/>
    <w:rsid w:val="79C630CB"/>
    <w:rsid w:val="79D722A7"/>
    <w:rsid w:val="79DA5B24"/>
    <w:rsid w:val="79DD4919"/>
    <w:rsid w:val="79F959FA"/>
    <w:rsid w:val="79FB4964"/>
    <w:rsid w:val="7A0302E5"/>
    <w:rsid w:val="7A115712"/>
    <w:rsid w:val="7A1F7224"/>
    <w:rsid w:val="7A364017"/>
    <w:rsid w:val="7A444E4A"/>
    <w:rsid w:val="7A4C15F4"/>
    <w:rsid w:val="7A5310CD"/>
    <w:rsid w:val="7A595F92"/>
    <w:rsid w:val="7A601D17"/>
    <w:rsid w:val="7A620597"/>
    <w:rsid w:val="7A6E76E1"/>
    <w:rsid w:val="7A8265E1"/>
    <w:rsid w:val="7A842CA7"/>
    <w:rsid w:val="7A9B4AFD"/>
    <w:rsid w:val="7ABD2CC5"/>
    <w:rsid w:val="7AE15030"/>
    <w:rsid w:val="7AE56F93"/>
    <w:rsid w:val="7AF83F51"/>
    <w:rsid w:val="7B117990"/>
    <w:rsid w:val="7B263E32"/>
    <w:rsid w:val="7B2817DD"/>
    <w:rsid w:val="7B2C1881"/>
    <w:rsid w:val="7B2F7570"/>
    <w:rsid w:val="7B315461"/>
    <w:rsid w:val="7B4D22AB"/>
    <w:rsid w:val="7B5109BD"/>
    <w:rsid w:val="7B511678"/>
    <w:rsid w:val="7B614279"/>
    <w:rsid w:val="7B686D42"/>
    <w:rsid w:val="7B7216D8"/>
    <w:rsid w:val="7B791DDF"/>
    <w:rsid w:val="7B821819"/>
    <w:rsid w:val="7B841746"/>
    <w:rsid w:val="7B86755B"/>
    <w:rsid w:val="7B8C29DC"/>
    <w:rsid w:val="7B902188"/>
    <w:rsid w:val="7BB424C3"/>
    <w:rsid w:val="7BB97BA2"/>
    <w:rsid w:val="7BEB768C"/>
    <w:rsid w:val="7BF23C6E"/>
    <w:rsid w:val="7BF92B4E"/>
    <w:rsid w:val="7BFA609C"/>
    <w:rsid w:val="7C0A4D10"/>
    <w:rsid w:val="7C0B3B92"/>
    <w:rsid w:val="7C0C51EE"/>
    <w:rsid w:val="7C226A0C"/>
    <w:rsid w:val="7C3B7650"/>
    <w:rsid w:val="7C3E65E2"/>
    <w:rsid w:val="7C4B2DF5"/>
    <w:rsid w:val="7C6153C2"/>
    <w:rsid w:val="7C673344"/>
    <w:rsid w:val="7C6D071B"/>
    <w:rsid w:val="7C787319"/>
    <w:rsid w:val="7C994AFF"/>
    <w:rsid w:val="7CA26DD4"/>
    <w:rsid w:val="7CA35EEB"/>
    <w:rsid w:val="7CAA00E0"/>
    <w:rsid w:val="7CCC7A15"/>
    <w:rsid w:val="7CDF7C7E"/>
    <w:rsid w:val="7CE64A4C"/>
    <w:rsid w:val="7CED360A"/>
    <w:rsid w:val="7D0239FF"/>
    <w:rsid w:val="7D096E3E"/>
    <w:rsid w:val="7D264C9A"/>
    <w:rsid w:val="7D5E40CD"/>
    <w:rsid w:val="7D6514FE"/>
    <w:rsid w:val="7D693BED"/>
    <w:rsid w:val="7D725C18"/>
    <w:rsid w:val="7D8056AC"/>
    <w:rsid w:val="7D8D7B32"/>
    <w:rsid w:val="7DA65A5C"/>
    <w:rsid w:val="7DA96855"/>
    <w:rsid w:val="7DAD6864"/>
    <w:rsid w:val="7DB008BF"/>
    <w:rsid w:val="7DB647A8"/>
    <w:rsid w:val="7DCA0DE6"/>
    <w:rsid w:val="7DEA542C"/>
    <w:rsid w:val="7E122809"/>
    <w:rsid w:val="7E206DAB"/>
    <w:rsid w:val="7E2D0915"/>
    <w:rsid w:val="7E325778"/>
    <w:rsid w:val="7E355E62"/>
    <w:rsid w:val="7E3F75FE"/>
    <w:rsid w:val="7E402C0C"/>
    <w:rsid w:val="7E435D95"/>
    <w:rsid w:val="7E553C2B"/>
    <w:rsid w:val="7E576F8D"/>
    <w:rsid w:val="7E581516"/>
    <w:rsid w:val="7E5E358C"/>
    <w:rsid w:val="7E800F17"/>
    <w:rsid w:val="7E8F35E5"/>
    <w:rsid w:val="7E9A66E0"/>
    <w:rsid w:val="7EA5274C"/>
    <w:rsid w:val="7EAE7081"/>
    <w:rsid w:val="7EB00FFA"/>
    <w:rsid w:val="7EB90E2D"/>
    <w:rsid w:val="7EDA196C"/>
    <w:rsid w:val="7EDC1B29"/>
    <w:rsid w:val="7EF939F5"/>
    <w:rsid w:val="7EFD18A2"/>
    <w:rsid w:val="7F2826D7"/>
    <w:rsid w:val="7F2A63D2"/>
    <w:rsid w:val="7F3A5D6A"/>
    <w:rsid w:val="7F4A0143"/>
    <w:rsid w:val="7F552938"/>
    <w:rsid w:val="7F6B7CCC"/>
    <w:rsid w:val="7F72355B"/>
    <w:rsid w:val="7F7407A6"/>
    <w:rsid w:val="7F7605F4"/>
    <w:rsid w:val="7F7C22C3"/>
    <w:rsid w:val="7F7D0C75"/>
    <w:rsid w:val="7F83193F"/>
    <w:rsid w:val="7F8C25F6"/>
    <w:rsid w:val="7F977AA3"/>
    <w:rsid w:val="7F9F0E2D"/>
    <w:rsid w:val="7FB16B71"/>
    <w:rsid w:val="7FCA6E59"/>
    <w:rsid w:val="7FCB7C32"/>
    <w:rsid w:val="7FE47E50"/>
    <w:rsid w:val="7FE848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qFormat="1" w:uiPriority="99"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iPriority="99" w:name="index heading"/>
    <w:lsdException w:qFormat="1"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6"/>
    <w:next w:val="1"/>
    <w:qFormat/>
    <w:locked/>
    <w:uiPriority w:val="0"/>
    <w:pPr>
      <w:keepNext/>
      <w:keepLines/>
      <w:spacing w:before="260" w:beforeLines="0" w:beforeAutospacing="0" w:after="260" w:afterLines="0" w:afterAutospacing="0" w:line="413" w:lineRule="auto"/>
      <w:outlineLvl w:val="1"/>
    </w:pPr>
    <w:rPr>
      <w:rFonts w:ascii="Arial" w:hAnsi="Arial" w:eastAsia="黑体"/>
      <w:sz w:val="32"/>
    </w:rPr>
  </w:style>
  <w:style w:type="paragraph" w:styleId="7">
    <w:name w:val="heading 3"/>
    <w:basedOn w:val="1"/>
    <w:next w:val="1"/>
    <w:qFormat/>
    <w:locked/>
    <w:uiPriority w:val="0"/>
    <w:pPr>
      <w:keepNext/>
      <w:keepLines/>
      <w:widowControl w:val="0"/>
      <w:spacing w:before="260" w:after="260" w:line="416" w:lineRule="auto"/>
      <w:jc w:val="left"/>
      <w:outlineLvl w:val="2"/>
    </w:pPr>
    <w:rPr>
      <w:rFonts w:ascii="Times New Roman" w:hAnsi="Times New Roman" w:eastAsia="宋体" w:cs="Times New Roman"/>
      <w:b/>
      <w:bCs/>
      <w:kern w:val="2"/>
      <w:sz w:val="30"/>
      <w:szCs w:val="32"/>
      <w:lang w:val="en-US" w:eastAsia="zh-CN" w:bidi="ar-SA"/>
    </w:rPr>
  </w:style>
  <w:style w:type="paragraph" w:styleId="8">
    <w:name w:val="heading 4"/>
    <w:basedOn w:val="1"/>
    <w:next w:val="1"/>
    <w:unhideWhenUsed/>
    <w:qFormat/>
    <w:locked/>
    <w:uiPriority w:val="0"/>
    <w:pPr>
      <w:spacing w:line="240" w:lineRule="auto"/>
      <w:ind w:firstLine="0" w:firstLineChars="0"/>
      <w:outlineLvl w:val="3"/>
    </w:pPr>
    <w:rPr>
      <w:rFonts w:ascii="Times New Roman" w:hAnsi="Times New Roman" w:eastAsia="宋体"/>
      <w:bCs/>
      <w:sz w:val="21"/>
      <w:szCs w:val="28"/>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2">
    <w:name w:val="index heading"/>
    <w:basedOn w:val="1"/>
    <w:next w:val="3"/>
    <w:semiHidden/>
    <w:unhideWhenUsed/>
    <w:qFormat/>
    <w:uiPriority w:val="99"/>
    <w:rPr>
      <w:rFonts w:asciiTheme="majorHAnsi" w:hAnsiTheme="majorHAnsi" w:eastAsiaTheme="majorEastAsia" w:cstheme="majorBidi"/>
      <w:b/>
      <w:bCs/>
    </w:rPr>
  </w:style>
  <w:style w:type="paragraph" w:styleId="3">
    <w:name w:val="index 1"/>
    <w:basedOn w:val="1"/>
    <w:next w:val="1"/>
    <w:semiHidden/>
    <w:unhideWhenUsed/>
    <w:qFormat/>
    <w:uiPriority w:val="99"/>
  </w:style>
  <w:style w:type="paragraph" w:styleId="6">
    <w:name w:val="Title"/>
    <w:basedOn w:val="1"/>
    <w:next w:val="1"/>
    <w:qFormat/>
    <w:locked/>
    <w:uiPriority w:val="0"/>
    <w:pPr>
      <w:spacing w:before="240" w:after="60"/>
      <w:jc w:val="center"/>
      <w:outlineLvl w:val="0"/>
    </w:pPr>
    <w:rPr>
      <w:rFonts w:ascii="Arial" w:hAnsi="Arial"/>
      <w:b/>
      <w:sz w:val="32"/>
      <w:szCs w:val="20"/>
    </w:rPr>
  </w:style>
  <w:style w:type="paragraph" w:styleId="9">
    <w:name w:val="Normal Indent"/>
    <w:basedOn w:val="1"/>
    <w:next w:val="1"/>
    <w:qFormat/>
    <w:uiPriority w:val="99"/>
    <w:pPr>
      <w:adjustRightInd w:val="0"/>
      <w:snapToGrid w:val="0"/>
      <w:ind w:firstLine="200"/>
      <w:jc w:val="left"/>
    </w:pPr>
  </w:style>
  <w:style w:type="paragraph" w:styleId="10">
    <w:name w:val="caption"/>
    <w:basedOn w:val="1"/>
    <w:next w:val="1"/>
    <w:qFormat/>
    <w:locked/>
    <w:uiPriority w:val="0"/>
    <w:pPr>
      <w:spacing w:before="152" w:beforeLines="0" w:after="160" w:afterLines="0" w:line="240" w:lineRule="auto"/>
      <w:ind w:firstLine="0" w:firstLineChars="0"/>
      <w:jc w:val="center"/>
    </w:pPr>
    <w:rPr>
      <w:rFonts w:ascii="Times New Roman" w:hAnsi="Times New Roman" w:eastAsia="宋体" w:cs="Arial"/>
      <w:kern w:val="2"/>
      <w:sz w:val="21"/>
      <w:szCs w:val="21"/>
    </w:rPr>
  </w:style>
  <w:style w:type="paragraph" w:styleId="11">
    <w:name w:val="index 5"/>
    <w:basedOn w:val="1"/>
    <w:next w:val="1"/>
    <w:qFormat/>
    <w:uiPriority w:val="0"/>
    <w:pPr>
      <w:ind w:left="800" w:leftChars="800"/>
    </w:pPr>
    <w:rPr>
      <w:szCs w:val="24"/>
    </w:rPr>
  </w:style>
  <w:style w:type="paragraph" w:styleId="12">
    <w:name w:val="annotation text"/>
    <w:basedOn w:val="1"/>
    <w:link w:val="38"/>
    <w:semiHidden/>
    <w:qFormat/>
    <w:uiPriority w:val="0"/>
    <w:pPr>
      <w:jc w:val="left"/>
    </w:pPr>
    <w:rPr>
      <w:kern w:val="0"/>
      <w:sz w:val="20"/>
    </w:rPr>
  </w:style>
  <w:style w:type="paragraph" w:styleId="13">
    <w:name w:val="Body Text"/>
    <w:basedOn w:val="1"/>
    <w:link w:val="39"/>
    <w:qFormat/>
    <w:uiPriority w:val="0"/>
    <w:pPr>
      <w:widowControl/>
      <w:snapToGrid w:val="0"/>
      <w:spacing w:before="60" w:after="160" w:line="259" w:lineRule="auto"/>
      <w:ind w:right="113"/>
    </w:pPr>
    <w:rPr>
      <w:kern w:val="0"/>
      <w:sz w:val="18"/>
      <w:szCs w:val="18"/>
    </w:rPr>
  </w:style>
  <w:style w:type="paragraph" w:styleId="14">
    <w:name w:val="Body Text Indent"/>
    <w:basedOn w:val="1"/>
    <w:link w:val="40"/>
    <w:semiHidden/>
    <w:qFormat/>
    <w:uiPriority w:val="0"/>
    <w:pPr>
      <w:spacing w:after="120"/>
      <w:ind w:left="420" w:leftChars="200"/>
    </w:pPr>
  </w:style>
  <w:style w:type="paragraph" w:styleId="15">
    <w:name w:val="List 2"/>
    <w:basedOn w:val="1"/>
    <w:unhideWhenUsed/>
    <w:qFormat/>
    <w:uiPriority w:val="0"/>
    <w:pPr>
      <w:widowControl w:val="0"/>
      <w:adjustRightInd/>
      <w:snapToGrid/>
      <w:ind w:left="100" w:leftChars="200" w:hanging="200" w:hangingChars="200"/>
      <w:contextualSpacing/>
    </w:pPr>
    <w:rPr>
      <w:szCs w:val="22"/>
      <w:lang w:bidi="ar-SA"/>
    </w:rPr>
  </w:style>
  <w:style w:type="paragraph" w:styleId="16">
    <w:name w:val="Plain Text"/>
    <w:basedOn w:val="1"/>
    <w:next w:val="11"/>
    <w:unhideWhenUsed/>
    <w:qFormat/>
    <w:uiPriority w:val="99"/>
    <w:rPr>
      <w:rFonts w:ascii="宋体" w:hAnsi="Courier New"/>
      <w:bCs/>
      <w:sz w:val="21"/>
    </w:rPr>
  </w:style>
  <w:style w:type="paragraph" w:styleId="17">
    <w:name w:val="Date"/>
    <w:basedOn w:val="1"/>
    <w:next w:val="1"/>
    <w:link w:val="41"/>
    <w:qFormat/>
    <w:uiPriority w:val="0"/>
    <w:pPr>
      <w:ind w:left="100" w:leftChars="2500"/>
    </w:pPr>
    <w:rPr>
      <w:kern w:val="0"/>
      <w:sz w:val="20"/>
    </w:rPr>
  </w:style>
  <w:style w:type="paragraph" w:styleId="18">
    <w:name w:val="Body Text Indent 2"/>
    <w:basedOn w:val="1"/>
    <w:qFormat/>
    <w:uiPriority w:val="0"/>
    <w:pPr>
      <w:spacing w:after="120" w:afterLines="0" w:line="480" w:lineRule="auto"/>
      <w:ind w:left="420" w:leftChars="200"/>
    </w:pPr>
    <w:rPr>
      <w:szCs w:val="24"/>
    </w:rPr>
  </w:style>
  <w:style w:type="paragraph" w:styleId="19">
    <w:name w:val="Balloon Text"/>
    <w:basedOn w:val="1"/>
    <w:link w:val="42"/>
    <w:semiHidden/>
    <w:qFormat/>
    <w:uiPriority w:val="0"/>
    <w:rPr>
      <w:sz w:val="18"/>
      <w:szCs w:val="18"/>
    </w:rPr>
  </w:style>
  <w:style w:type="paragraph" w:styleId="20">
    <w:name w:val="footer"/>
    <w:basedOn w:val="1"/>
    <w:link w:val="43"/>
    <w:qFormat/>
    <w:uiPriority w:val="0"/>
    <w:pPr>
      <w:tabs>
        <w:tab w:val="center" w:pos="4153"/>
        <w:tab w:val="right" w:pos="8306"/>
      </w:tabs>
      <w:snapToGrid w:val="0"/>
      <w:jc w:val="left"/>
    </w:pPr>
    <w:rPr>
      <w:sz w:val="18"/>
      <w:szCs w:val="18"/>
    </w:rPr>
  </w:style>
  <w:style w:type="paragraph" w:styleId="21">
    <w:name w:val="header"/>
    <w:basedOn w:val="1"/>
    <w:link w:val="44"/>
    <w:qFormat/>
    <w:uiPriority w:val="0"/>
    <w:pPr>
      <w:pBdr>
        <w:bottom w:val="single" w:color="auto" w:sz="6" w:space="1"/>
      </w:pBdr>
      <w:tabs>
        <w:tab w:val="center" w:pos="4153"/>
        <w:tab w:val="right" w:pos="8306"/>
      </w:tabs>
      <w:snapToGrid w:val="0"/>
      <w:jc w:val="center"/>
    </w:pPr>
    <w:rPr>
      <w:sz w:val="18"/>
      <w:szCs w:val="18"/>
    </w:rPr>
  </w:style>
  <w:style w:type="paragraph" w:styleId="22">
    <w:name w:val="List"/>
    <w:basedOn w:val="1"/>
    <w:qFormat/>
    <w:uiPriority w:val="0"/>
    <w:pPr>
      <w:spacing w:line="360" w:lineRule="auto"/>
      <w:ind w:left="200" w:hanging="200" w:hangingChars="200"/>
    </w:pPr>
    <w:rPr>
      <w:sz w:val="24"/>
    </w:rPr>
  </w:style>
  <w:style w:type="paragraph" w:styleId="23">
    <w:name w:val="Body Text Indent 3"/>
    <w:basedOn w:val="1"/>
    <w:qFormat/>
    <w:uiPriority w:val="99"/>
    <w:pPr>
      <w:spacing w:line="480" w:lineRule="exact"/>
      <w:ind w:firstLine="588" w:firstLineChars="210"/>
    </w:pPr>
    <w:rPr>
      <w:rFonts w:ascii="仿宋_GB2312" w:hAnsi="宋体" w:eastAsia="仿宋_GB2312"/>
      <w:sz w:val="28"/>
    </w:rPr>
  </w:style>
  <w:style w:type="paragraph" w:styleId="24">
    <w:name w:val="toc 2"/>
    <w:basedOn w:val="1"/>
    <w:next w:val="1"/>
    <w:qFormat/>
    <w:locked/>
    <w:uiPriority w:val="0"/>
    <w:pPr>
      <w:spacing w:before="156" w:line="240" w:lineRule="auto"/>
      <w:ind w:left="480" w:leftChars="200" w:firstLine="422"/>
      <w:jc w:val="center"/>
    </w:pPr>
    <w:rPr>
      <w:b/>
      <w:bCs/>
      <w:sz w:val="21"/>
      <w:szCs w:val="21"/>
    </w:rPr>
  </w:style>
  <w:style w:type="paragraph" w:styleId="25">
    <w:name w:val="Normal (Web)"/>
    <w:basedOn w:val="1"/>
    <w:link w:val="45"/>
    <w:qFormat/>
    <w:uiPriority w:val="0"/>
    <w:pPr>
      <w:widowControl/>
      <w:spacing w:before="100" w:beforeAutospacing="1" w:after="100" w:afterAutospacing="1"/>
      <w:jc w:val="left"/>
    </w:pPr>
    <w:rPr>
      <w:rFonts w:ascii="宋体" w:hAnsi="宋体"/>
      <w:kern w:val="0"/>
      <w:sz w:val="24"/>
    </w:rPr>
  </w:style>
  <w:style w:type="paragraph" w:styleId="26">
    <w:name w:val="annotation subject"/>
    <w:basedOn w:val="12"/>
    <w:next w:val="12"/>
    <w:link w:val="46"/>
    <w:semiHidden/>
    <w:qFormat/>
    <w:uiPriority w:val="0"/>
    <w:rPr>
      <w:b/>
      <w:bCs/>
    </w:rPr>
  </w:style>
  <w:style w:type="paragraph" w:styleId="27">
    <w:name w:val="Body Text First Indent 2"/>
    <w:basedOn w:val="14"/>
    <w:next w:val="14"/>
    <w:qFormat/>
    <w:uiPriority w:val="0"/>
    <w:pPr>
      <w:widowControl w:val="0"/>
      <w:adjustRightInd w:val="0"/>
      <w:snapToGrid w:val="0"/>
      <w:spacing w:after="120" w:line="480" w:lineRule="exact"/>
      <w:ind w:left="420" w:leftChars="200" w:firstLine="420" w:firstLineChars="200"/>
      <w:jc w:val="both"/>
    </w:pPr>
    <w:rPr>
      <w:rFonts w:ascii="宋体" w:eastAsia="黑体"/>
      <w:snapToGrid w:val="0"/>
      <w:spacing w:val="12"/>
      <w:sz w:val="28"/>
      <w:szCs w:val="24"/>
      <w:lang w:val="en-US" w:eastAsia="zh-CN" w:bidi="ar-SA"/>
    </w:rPr>
  </w:style>
  <w:style w:type="table" w:styleId="29">
    <w:name w:val="Table Grid"/>
    <w:basedOn w:val="2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locked/>
    <w:uiPriority w:val="0"/>
    <w:rPr>
      <w:b/>
    </w:rPr>
  </w:style>
  <w:style w:type="character" w:styleId="32">
    <w:name w:val="page number"/>
    <w:basedOn w:val="30"/>
    <w:qFormat/>
    <w:uiPriority w:val="0"/>
  </w:style>
  <w:style w:type="character" w:styleId="33">
    <w:name w:val="Emphasis"/>
    <w:qFormat/>
    <w:locked/>
    <w:uiPriority w:val="0"/>
    <w:rPr>
      <w:i/>
    </w:rPr>
  </w:style>
  <w:style w:type="character" w:styleId="34">
    <w:name w:val="Hyperlink"/>
    <w:basedOn w:val="30"/>
    <w:qFormat/>
    <w:uiPriority w:val="0"/>
    <w:rPr>
      <w:color w:val="0000FF"/>
      <w:u w:val="single"/>
    </w:rPr>
  </w:style>
  <w:style w:type="character" w:styleId="35">
    <w:name w:val="annotation reference"/>
    <w:basedOn w:val="30"/>
    <w:semiHidden/>
    <w:qFormat/>
    <w:uiPriority w:val="0"/>
    <w:rPr>
      <w:sz w:val="21"/>
    </w:rPr>
  </w:style>
  <w:style w:type="paragraph" w:customStyle="1" w:styleId="36">
    <w:name w:val="Default"/>
    <w:basedOn w:val="37"/>
    <w:next w:val="1"/>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7">
    <w:name w:val="1 表头"/>
    <w:basedOn w:val="1"/>
    <w:qFormat/>
    <w:uiPriority w:val="0"/>
    <w:pPr>
      <w:spacing w:line="240" w:lineRule="auto"/>
      <w:ind w:firstLine="0" w:firstLineChars="0"/>
      <w:jc w:val="center"/>
    </w:pPr>
    <w:rPr>
      <w:b/>
      <w:color w:val="000000"/>
      <w:sz w:val="21"/>
      <w:szCs w:val="21"/>
    </w:rPr>
  </w:style>
  <w:style w:type="character" w:customStyle="1" w:styleId="38">
    <w:name w:val="Comment Text Char"/>
    <w:link w:val="12"/>
    <w:qFormat/>
    <w:locked/>
    <w:uiPriority w:val="0"/>
    <w:rPr>
      <w:rFonts w:ascii="Times New Roman" w:hAnsi="Times New Roman" w:eastAsia="宋体"/>
      <w:sz w:val="24"/>
    </w:rPr>
  </w:style>
  <w:style w:type="character" w:customStyle="1" w:styleId="39">
    <w:name w:val="Body Text Char"/>
    <w:link w:val="13"/>
    <w:qFormat/>
    <w:locked/>
    <w:uiPriority w:val="0"/>
    <w:rPr>
      <w:sz w:val="18"/>
    </w:rPr>
  </w:style>
  <w:style w:type="character" w:customStyle="1" w:styleId="40">
    <w:name w:val="Body Text Indent Char"/>
    <w:basedOn w:val="30"/>
    <w:link w:val="14"/>
    <w:semiHidden/>
    <w:qFormat/>
    <w:locked/>
    <w:uiPriority w:val="0"/>
    <w:rPr>
      <w:rFonts w:ascii="Times New Roman" w:hAnsi="Times New Roman" w:eastAsia="宋体" w:cs="Times New Roman"/>
      <w:sz w:val="24"/>
      <w:szCs w:val="24"/>
    </w:rPr>
  </w:style>
  <w:style w:type="character" w:customStyle="1" w:styleId="41">
    <w:name w:val="Date Char"/>
    <w:link w:val="17"/>
    <w:qFormat/>
    <w:locked/>
    <w:uiPriority w:val="0"/>
    <w:rPr>
      <w:rFonts w:ascii="Times New Roman" w:hAnsi="Times New Roman" w:eastAsia="宋体"/>
      <w:sz w:val="24"/>
    </w:rPr>
  </w:style>
  <w:style w:type="character" w:customStyle="1" w:styleId="42">
    <w:name w:val="Balloon Text Char"/>
    <w:basedOn w:val="30"/>
    <w:link w:val="19"/>
    <w:semiHidden/>
    <w:qFormat/>
    <w:locked/>
    <w:uiPriority w:val="0"/>
    <w:rPr>
      <w:rFonts w:ascii="Times New Roman" w:hAnsi="Times New Roman" w:eastAsia="宋体" w:cs="Times New Roman"/>
      <w:sz w:val="18"/>
      <w:szCs w:val="18"/>
    </w:rPr>
  </w:style>
  <w:style w:type="character" w:customStyle="1" w:styleId="43">
    <w:name w:val="Footer Char"/>
    <w:basedOn w:val="30"/>
    <w:link w:val="20"/>
    <w:qFormat/>
    <w:locked/>
    <w:uiPriority w:val="0"/>
    <w:rPr>
      <w:rFonts w:cs="Times New Roman"/>
      <w:sz w:val="18"/>
      <w:szCs w:val="18"/>
    </w:rPr>
  </w:style>
  <w:style w:type="character" w:customStyle="1" w:styleId="44">
    <w:name w:val="Header Char"/>
    <w:basedOn w:val="30"/>
    <w:link w:val="21"/>
    <w:qFormat/>
    <w:locked/>
    <w:uiPriority w:val="0"/>
    <w:rPr>
      <w:rFonts w:cs="Times New Roman"/>
      <w:sz w:val="18"/>
      <w:szCs w:val="18"/>
    </w:rPr>
  </w:style>
  <w:style w:type="character" w:customStyle="1" w:styleId="45">
    <w:name w:val="Normal (Web) Char"/>
    <w:link w:val="25"/>
    <w:qFormat/>
    <w:locked/>
    <w:uiPriority w:val="0"/>
    <w:rPr>
      <w:rFonts w:ascii="宋体" w:hAnsi="宋体" w:eastAsia="宋体"/>
      <w:sz w:val="24"/>
    </w:rPr>
  </w:style>
  <w:style w:type="character" w:customStyle="1" w:styleId="46">
    <w:name w:val="Comment Subject Char"/>
    <w:basedOn w:val="38"/>
    <w:link w:val="26"/>
    <w:semiHidden/>
    <w:qFormat/>
    <w:locked/>
    <w:uiPriority w:val="0"/>
    <w:rPr>
      <w:rFonts w:cs="Times New Roman"/>
      <w:b/>
      <w:bCs/>
      <w:kern w:val="2"/>
      <w:szCs w:val="24"/>
    </w:rPr>
  </w:style>
  <w:style w:type="character" w:customStyle="1" w:styleId="47">
    <w:name w:val="日期 字符"/>
    <w:basedOn w:val="30"/>
    <w:semiHidden/>
    <w:qFormat/>
    <w:uiPriority w:val="0"/>
    <w:rPr>
      <w:rFonts w:ascii="Times New Roman" w:hAnsi="Times New Roman" w:eastAsia="宋体" w:cs="Times New Roman"/>
      <w:sz w:val="24"/>
      <w:szCs w:val="24"/>
    </w:rPr>
  </w:style>
  <w:style w:type="character" w:customStyle="1" w:styleId="48">
    <w:name w:val="正文文本 字符1"/>
    <w:basedOn w:val="30"/>
    <w:semiHidden/>
    <w:qFormat/>
    <w:uiPriority w:val="0"/>
    <w:rPr>
      <w:rFonts w:ascii="Times New Roman" w:hAnsi="Times New Roman" w:eastAsia="宋体" w:cs="Times New Roman"/>
      <w:sz w:val="24"/>
      <w:szCs w:val="24"/>
    </w:rPr>
  </w:style>
  <w:style w:type="paragraph" w:customStyle="1" w:styleId="49">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0">
    <w:name w:val="表格 Char"/>
    <w:link w:val="51"/>
    <w:qFormat/>
    <w:locked/>
    <w:uiPriority w:val="0"/>
    <w:rPr>
      <w:rFonts w:ascii="宋体"/>
      <w:sz w:val="21"/>
    </w:rPr>
  </w:style>
  <w:style w:type="paragraph" w:customStyle="1" w:styleId="51">
    <w:name w:val="表格"/>
    <w:basedOn w:val="1"/>
    <w:link w:val="50"/>
    <w:qFormat/>
    <w:uiPriority w:val="0"/>
    <w:pPr>
      <w:adjustRightInd w:val="0"/>
      <w:snapToGrid w:val="0"/>
      <w:spacing w:beforeLines="10" w:afterLines="10" w:line="259" w:lineRule="auto"/>
      <w:jc w:val="center"/>
    </w:pPr>
    <w:rPr>
      <w:rFonts w:ascii="宋体"/>
      <w:kern w:val="0"/>
      <w:sz w:val="20"/>
      <w:szCs w:val="21"/>
    </w:rPr>
  </w:style>
  <w:style w:type="character" w:customStyle="1" w:styleId="52">
    <w:name w:val="批注文字 字符1"/>
    <w:basedOn w:val="30"/>
    <w:semiHidden/>
    <w:qFormat/>
    <w:uiPriority w:val="0"/>
    <w:rPr>
      <w:rFonts w:ascii="Times New Roman" w:hAnsi="Times New Roman" w:eastAsia="宋体" w:cs="Times New Roman"/>
      <w:sz w:val="24"/>
      <w:szCs w:val="24"/>
    </w:rPr>
  </w:style>
  <w:style w:type="paragraph" w:customStyle="1" w:styleId="53">
    <w:name w:val="正文格式啊啊啊啊"/>
    <w:basedOn w:val="1"/>
    <w:link w:val="54"/>
    <w:qFormat/>
    <w:uiPriority w:val="0"/>
    <w:pPr>
      <w:wordWrap w:val="0"/>
      <w:adjustRightInd w:val="0"/>
      <w:snapToGrid w:val="0"/>
      <w:spacing w:line="520" w:lineRule="exact"/>
      <w:ind w:firstLine="720" w:firstLineChars="200"/>
      <w:jc w:val="left"/>
    </w:pPr>
    <w:rPr>
      <w:rFonts w:ascii="Times New Roman" w:hAnsi="Times New Roman" w:eastAsia="宋体" w:cs="宋体"/>
      <w:kern w:val="0"/>
      <w:sz w:val="24"/>
    </w:rPr>
  </w:style>
  <w:style w:type="character" w:customStyle="1" w:styleId="54">
    <w:name w:val="正文格式啊啊啊啊 Char"/>
    <w:link w:val="53"/>
    <w:qFormat/>
    <w:uiPriority w:val="0"/>
    <w:rPr>
      <w:rFonts w:ascii="Times New Roman" w:hAnsi="Times New Roman" w:eastAsia="宋体" w:cs="宋体"/>
      <w:kern w:val="0"/>
      <w:sz w:val="24"/>
    </w:rPr>
  </w:style>
  <w:style w:type="paragraph" w:customStyle="1" w:styleId="55">
    <w:name w:val="小标题啊啊啊啊啊"/>
    <w:basedOn w:val="1"/>
    <w:link w:val="56"/>
    <w:qFormat/>
    <w:uiPriority w:val="0"/>
    <w:pPr>
      <w:adjustRightInd w:val="0"/>
      <w:snapToGrid w:val="0"/>
      <w:spacing w:line="520" w:lineRule="exact"/>
      <w:jc w:val="left"/>
    </w:pPr>
    <w:rPr>
      <w:rFonts w:ascii="Times New Roman" w:hAnsi="Times New Roman" w:eastAsia="宋体" w:cs="宋体"/>
      <w:b/>
      <w:kern w:val="0"/>
      <w:sz w:val="24"/>
    </w:rPr>
  </w:style>
  <w:style w:type="character" w:customStyle="1" w:styleId="56">
    <w:name w:val="小标题啊啊啊啊啊 Char"/>
    <w:link w:val="55"/>
    <w:qFormat/>
    <w:uiPriority w:val="0"/>
    <w:rPr>
      <w:rFonts w:ascii="Times New Roman" w:hAnsi="Times New Roman" w:eastAsia="宋体" w:cs="宋体"/>
      <w:b/>
      <w:kern w:val="0"/>
      <w:sz w:val="24"/>
    </w:rPr>
  </w:style>
  <w:style w:type="paragraph" w:customStyle="1" w:styleId="57">
    <w:name w:val="表头啊啊啊啊"/>
    <w:basedOn w:val="1"/>
    <w:link w:val="58"/>
    <w:qFormat/>
    <w:uiPriority w:val="0"/>
    <w:pPr>
      <w:adjustRightInd w:val="0"/>
      <w:snapToGrid w:val="0"/>
      <w:jc w:val="center"/>
    </w:pPr>
    <w:rPr>
      <w:rFonts w:hint="eastAsia" w:ascii="Times New Roman" w:hAnsi="Times New Roman" w:cs="宋体"/>
      <w:b/>
      <w:szCs w:val="21"/>
    </w:rPr>
  </w:style>
  <w:style w:type="character" w:customStyle="1" w:styleId="58">
    <w:name w:val="表头啊啊啊啊 Char"/>
    <w:link w:val="57"/>
    <w:qFormat/>
    <w:uiPriority w:val="0"/>
    <w:rPr>
      <w:rFonts w:hint="eastAsia" w:ascii="Times New Roman" w:hAnsi="Times New Roman" w:cs="宋体"/>
      <w:b/>
      <w:szCs w:val="21"/>
    </w:rPr>
  </w:style>
  <w:style w:type="paragraph" w:customStyle="1" w:styleId="59">
    <w:name w:val="表格内文字啊啊啊啊"/>
    <w:basedOn w:val="1"/>
    <w:link w:val="60"/>
    <w:qFormat/>
    <w:uiPriority w:val="0"/>
    <w:pPr>
      <w:widowControl/>
      <w:wordWrap w:val="0"/>
      <w:jc w:val="center"/>
    </w:pPr>
    <w:rPr>
      <w:rFonts w:hint="eastAsia" w:ascii="Times New Roman" w:hAnsi="Times New Roman" w:eastAsia="宋体" w:cs="宋体"/>
      <w:color w:val="000000"/>
      <w:kern w:val="0"/>
      <w:szCs w:val="21"/>
    </w:rPr>
  </w:style>
  <w:style w:type="character" w:customStyle="1" w:styleId="60">
    <w:name w:val="表格内文字啊啊啊啊 Char"/>
    <w:link w:val="59"/>
    <w:qFormat/>
    <w:uiPriority w:val="0"/>
    <w:rPr>
      <w:rFonts w:hint="eastAsia" w:ascii="Times New Roman" w:hAnsi="Times New Roman" w:eastAsia="宋体" w:cs="宋体"/>
      <w:color w:val="000000"/>
      <w:kern w:val="0"/>
      <w:szCs w:val="21"/>
    </w:rPr>
  </w:style>
  <w:style w:type="paragraph" w:customStyle="1" w:styleId="61">
    <w:name w:val="表头啊啊啊啊啊"/>
    <w:basedOn w:val="1"/>
    <w:link w:val="62"/>
    <w:qFormat/>
    <w:uiPriority w:val="0"/>
    <w:pPr>
      <w:jc w:val="center"/>
    </w:pPr>
    <w:rPr>
      <w:rFonts w:ascii="Times New Roman" w:hAnsi="Times New Roman" w:eastAsia="宋体" w:cs="Times New Roman"/>
      <w:b/>
      <w:bCs/>
      <w:szCs w:val="21"/>
    </w:rPr>
  </w:style>
  <w:style w:type="character" w:customStyle="1" w:styleId="62">
    <w:name w:val="表头啊啊啊啊啊 Char"/>
    <w:link w:val="61"/>
    <w:qFormat/>
    <w:uiPriority w:val="0"/>
    <w:rPr>
      <w:rFonts w:ascii="Times New Roman" w:hAnsi="Times New Roman" w:eastAsia="宋体" w:cs="Times New Roman"/>
      <w:b/>
      <w:bCs/>
      <w:szCs w:val="21"/>
    </w:rPr>
  </w:style>
  <w:style w:type="paragraph" w:customStyle="1" w:styleId="63">
    <w:name w:val="表格里面啊啊啊啊"/>
    <w:basedOn w:val="1"/>
    <w:qFormat/>
    <w:uiPriority w:val="0"/>
    <w:pPr>
      <w:jc w:val="center"/>
    </w:pPr>
    <w:rPr>
      <w:rFonts w:ascii="Times New Roman" w:hAnsi="Times New Roman" w:eastAsia="宋体" w:cs="Times New Roman"/>
      <w:szCs w:val="21"/>
    </w:rPr>
  </w:style>
  <w:style w:type="paragraph" w:customStyle="1" w:styleId="64">
    <w:name w:val="表格头jophy"/>
    <w:basedOn w:val="1"/>
    <w:qFormat/>
    <w:uiPriority w:val="0"/>
    <w:pPr>
      <w:adjustRightInd w:val="0"/>
      <w:snapToGrid w:val="0"/>
      <w:jc w:val="center"/>
      <w:textAlignment w:val="baseline"/>
    </w:pPr>
    <w:rPr>
      <w:b/>
      <w:bCs/>
      <w:spacing w:val="-10"/>
      <w:kern w:val="0"/>
      <w:szCs w:val="28"/>
    </w:rPr>
  </w:style>
  <w:style w:type="paragraph" w:customStyle="1" w:styleId="65">
    <w:name w:val="表格内容jophy"/>
    <w:basedOn w:val="1"/>
    <w:qFormat/>
    <w:uiPriority w:val="0"/>
    <w:pPr>
      <w:adjustRightInd w:val="0"/>
      <w:snapToGrid w:val="0"/>
      <w:jc w:val="center"/>
    </w:pPr>
    <w:rPr>
      <w:szCs w:val="18"/>
    </w:rPr>
  </w:style>
  <w:style w:type="table" w:customStyle="1" w:styleId="66">
    <w:name w:val="TableGrid"/>
    <w:basedOn w:val="28"/>
    <w:qFormat/>
    <w:uiPriority w:val="0"/>
    <w:rPr>
      <w:rFonts w:ascii="等线" w:hAnsi="等线" w:eastAsia="等线" w:cs="等线"/>
      <w:kern w:val="2"/>
      <w:sz w:val="21"/>
      <w:szCs w:val="22"/>
    </w:rPr>
    <w:tblPr>
      <w:tblCellMar>
        <w:top w:w="0" w:type="dxa"/>
        <w:left w:w="0" w:type="dxa"/>
        <w:bottom w:w="0" w:type="dxa"/>
        <w:right w:w="0" w:type="dxa"/>
      </w:tblCellMar>
    </w:tblPr>
  </w:style>
  <w:style w:type="paragraph" w:customStyle="1" w:styleId="67">
    <w:name w:val="1正文段落"/>
    <w:basedOn w:val="1"/>
    <w:qFormat/>
    <w:uiPriority w:val="0"/>
    <w:pPr>
      <w:spacing w:line="360" w:lineRule="auto"/>
      <w:ind w:firstLine="480" w:firstLineChars="200"/>
      <w:jc w:val="left"/>
    </w:pPr>
    <w:rPr>
      <w:snapToGrid w:val="0"/>
      <w:kern w:val="0"/>
      <w:sz w:val="24"/>
    </w:rPr>
  </w:style>
  <w:style w:type="paragraph" w:customStyle="1" w:styleId="68">
    <w:name w:val="图表标题"/>
    <w:basedOn w:val="1"/>
    <w:qFormat/>
    <w:uiPriority w:val="0"/>
    <w:pPr>
      <w:spacing w:line="480" w:lineRule="exact"/>
      <w:ind w:firstLine="0" w:firstLineChars="0"/>
      <w:jc w:val="center"/>
      <w:outlineLvl w:val="9"/>
    </w:pPr>
    <w:rPr>
      <w:rFonts w:ascii="Times New Roman" w:hAnsi="Times New Roman" w:eastAsia="宋体"/>
      <w:b/>
      <w:bCs/>
      <w:color w:val="auto"/>
    </w:rPr>
  </w:style>
  <w:style w:type="paragraph" w:customStyle="1" w:styleId="69">
    <w:name w:val="表字1"/>
    <w:basedOn w:val="1"/>
    <w:qFormat/>
    <w:uiPriority w:val="0"/>
    <w:pPr>
      <w:adjustRightInd w:val="0"/>
      <w:snapToGrid w:val="0"/>
      <w:spacing w:line="200" w:lineRule="atLeast"/>
      <w:ind w:left="872"/>
      <w:jc w:val="center"/>
    </w:pPr>
    <w:rPr>
      <w:snapToGrid w:val="0"/>
      <w:kern w:val="0"/>
      <w:szCs w:val="21"/>
    </w:rPr>
  </w:style>
  <w:style w:type="paragraph" w:customStyle="1" w:styleId="70">
    <w:name w:val="A正文啊啊啊啊啊"/>
    <w:basedOn w:val="1"/>
    <w:qFormat/>
    <w:uiPriority w:val="0"/>
    <w:pPr>
      <w:wordWrap w:val="0"/>
      <w:spacing w:line="520" w:lineRule="exact"/>
      <w:ind w:firstLine="720" w:firstLineChars="200"/>
    </w:pPr>
    <w:rPr>
      <w:rFonts w:ascii="Times New Roman" w:hAnsi="Times New Roman" w:eastAsia="宋体" w:cs="宋体"/>
      <w:sz w:val="24"/>
    </w:rPr>
  </w:style>
  <w:style w:type="paragraph" w:customStyle="1" w:styleId="71">
    <w:name w:val="1.1.1.1"/>
    <w:basedOn w:val="1"/>
    <w:qFormat/>
    <w:uiPriority w:val="0"/>
    <w:pPr>
      <w:adjustRightInd w:val="0"/>
      <w:snapToGrid w:val="0"/>
      <w:spacing w:before="100" w:beforeLines="0" w:beforeAutospacing="0" w:after="60" w:afterLines="0" w:afterAutospacing="0" w:line="300" w:lineRule="auto"/>
      <w:jc w:val="left"/>
      <w:textAlignment w:val="baseline"/>
    </w:pPr>
    <w:rPr>
      <w:rFonts w:ascii="黑体" w:eastAsia="黑体"/>
      <w:spacing w:val="4"/>
      <w:kern w:val="0"/>
      <w:sz w:val="24"/>
    </w:rPr>
  </w:style>
  <w:style w:type="paragraph" w:customStyle="1" w:styleId="72">
    <w:name w:val="默认段落"/>
    <w:unhideWhenUsed/>
    <w:qFormat/>
    <w:uiPriority w:val="0"/>
    <w:pPr>
      <w:widowControl w:val="0"/>
      <w:spacing w:beforeLines="0" w:afterLines="0"/>
      <w:jc w:val="both"/>
    </w:pPr>
    <w:rPr>
      <w:rFonts w:hint="default" w:ascii="Times New Roman" w:hAnsi="Times New Roman" w:eastAsia="宋体" w:cs="Times New Roman"/>
      <w:kern w:val="2"/>
      <w:sz w:val="21"/>
      <w:szCs w:val="24"/>
      <w:lang w:val="en-US" w:eastAsia="zh-CN" w:bidi="ar-SA"/>
    </w:rPr>
  </w:style>
  <w:style w:type="paragraph" w:customStyle="1" w:styleId="73">
    <w:name w:val="Plain Text"/>
    <w:basedOn w:val="1"/>
    <w:qFormat/>
    <w:uiPriority w:val="0"/>
    <w:pPr>
      <w:adjustRightInd w:val="0"/>
      <w:jc w:val="left"/>
    </w:pPr>
    <w:rPr>
      <w:sz w:val="24"/>
      <w:szCs w:val="20"/>
    </w:rPr>
  </w:style>
  <w:style w:type="paragraph" w:customStyle="1" w:styleId="74">
    <w:name w:val="海正文"/>
    <w:basedOn w:val="1"/>
    <w:qFormat/>
    <w:uiPriority w:val="0"/>
    <w:pPr>
      <w:spacing w:line="360" w:lineRule="auto"/>
      <w:ind w:firstLine="200" w:firstLineChars="200"/>
    </w:pPr>
    <w:rPr>
      <w:rFonts w:ascii="宋体" w:hAnsi="宋体" w:cs="宋体"/>
      <w:sz w:val="24"/>
      <w:szCs w:val="20"/>
    </w:rPr>
  </w:style>
  <w:style w:type="paragraph" w:customStyle="1" w:styleId="75">
    <w:name w:val="bg正文首行缩进"/>
    <w:basedOn w:val="1"/>
    <w:qFormat/>
    <w:uiPriority w:val="0"/>
    <w:pPr>
      <w:spacing w:line="400" w:lineRule="exact"/>
      <w:ind w:firstLine="482" w:firstLineChars="200"/>
    </w:pPr>
    <w:rPr>
      <w:rFonts w:ascii="楷体_GB2312" w:eastAsia="楷体_GB2312"/>
      <w:sz w:val="28"/>
      <w:szCs w:val="20"/>
    </w:rPr>
  </w:style>
  <w:style w:type="character" w:customStyle="1" w:styleId="76">
    <w:name w:val="fontstyle01"/>
    <w:basedOn w:val="30"/>
    <w:qFormat/>
    <w:uiPriority w:val="0"/>
    <w:rPr>
      <w:rFonts w:ascii="仿宋" w:hAnsi="仿宋" w:eastAsia="仿宋" w:cs="仿宋"/>
      <w:color w:val="000000"/>
      <w:sz w:val="30"/>
      <w:szCs w:val="30"/>
    </w:rPr>
  </w:style>
  <w:style w:type="paragraph" w:customStyle="1" w:styleId="77">
    <w:name w:val="正文文本1"/>
    <w:basedOn w:val="1"/>
    <w:qFormat/>
    <w:uiPriority w:val="0"/>
    <w:pPr>
      <w:topLinePunct/>
      <w:spacing w:line="500" w:lineRule="exact"/>
      <w:ind w:firstLine="560" w:firstLineChars="200"/>
    </w:pPr>
    <w:rPr>
      <w:rFonts w:ascii="仿宋_GB2312" w:hAnsi="仿宋" w:eastAsia="仿宋_GB2312"/>
      <w:bCs/>
      <w:color w:val="000000"/>
      <w:sz w:val="28"/>
      <w:szCs w:val="28"/>
    </w:rPr>
  </w:style>
  <w:style w:type="paragraph" w:customStyle="1" w:styleId="78">
    <w:name w:val="图名表名"/>
    <w:basedOn w:val="1"/>
    <w:qFormat/>
    <w:uiPriority w:val="0"/>
    <w:pPr>
      <w:kinsoku w:val="0"/>
      <w:overflowPunct w:val="0"/>
      <w:autoSpaceDE w:val="0"/>
      <w:autoSpaceDN w:val="0"/>
      <w:spacing w:line="240" w:lineRule="auto"/>
      <w:ind w:firstLine="0" w:firstLineChars="0"/>
      <w:jc w:val="center"/>
    </w:pPr>
    <w:rPr>
      <w:b/>
      <w:sz w:val="24"/>
    </w:rPr>
  </w:style>
  <w:style w:type="paragraph" w:customStyle="1" w:styleId="79">
    <w:name w:val="表内文字啊啊啊"/>
    <w:unhideWhenUsed/>
    <w:qFormat/>
    <w:uiPriority w:val="0"/>
    <w:pPr>
      <w:widowControl w:val="0"/>
      <w:adjustRightInd w:val="0"/>
      <w:snapToGrid w:val="0"/>
      <w:spacing w:beforeLines="0" w:afterLines="0"/>
      <w:jc w:val="center"/>
    </w:pPr>
    <w:rPr>
      <w:rFonts w:hint="eastAsia" w:ascii="Times New Roman" w:hAnsi="Times New Roman" w:eastAsia="宋体" w:cs="宋体"/>
      <w:color w:val="auto"/>
      <w:kern w:val="2"/>
      <w:sz w:val="21"/>
      <w:szCs w:val="21"/>
      <w:lang w:val="en-US" w:eastAsia="zh-CN" w:bidi="ar-SA"/>
    </w:rPr>
  </w:style>
  <w:style w:type="paragraph" w:customStyle="1" w:styleId="80">
    <w:name w:val="111表格内"/>
    <w:basedOn w:val="1"/>
    <w:qFormat/>
    <w:uiPriority w:val="0"/>
    <w:pPr>
      <w:wordWrap w:val="0"/>
      <w:jc w:val="center"/>
    </w:pPr>
    <w:rPr>
      <w:rFonts w:ascii="Times New Roman" w:hAnsi="Times New Roman" w:eastAsia="宋体"/>
      <w:szCs w:val="21"/>
    </w:rPr>
  </w:style>
  <w:style w:type="paragraph" w:styleId="81">
    <w:name w:val="No Spacing"/>
    <w:basedOn w:val="22"/>
    <w:next w:val="1"/>
    <w:qFormat/>
    <w:uiPriority w:val="1"/>
    <w:pPr>
      <w:spacing w:line="240" w:lineRule="auto"/>
      <w:ind w:left="0" w:firstLine="0" w:firstLineChars="0"/>
      <w:jc w:val="center"/>
      <w:textAlignment w:val="center"/>
    </w:pPr>
    <w:rPr>
      <w:sz w:val="21"/>
      <w:szCs w:val="22"/>
    </w:rPr>
  </w:style>
  <w:style w:type="paragraph" w:customStyle="1" w:styleId="82">
    <w:name w:val="表格字体"/>
    <w:basedOn w:val="1"/>
    <w:unhideWhenUsed/>
    <w:qFormat/>
    <w:uiPriority w:val="99"/>
    <w:pPr>
      <w:adjustRightInd w:val="0"/>
      <w:spacing w:beforeLines="0" w:afterLines="0" w:line="240" w:lineRule="auto"/>
      <w:ind w:firstLine="0" w:firstLineChars="0"/>
    </w:pPr>
    <w:rPr>
      <w:rFonts w:hint="default"/>
      <w:sz w:val="21"/>
      <w:szCs w:val="21"/>
    </w:rPr>
  </w:style>
  <w:style w:type="paragraph" w:customStyle="1" w:styleId="83">
    <w:name w:val="表题"/>
    <w:basedOn w:val="1"/>
    <w:next w:val="1"/>
    <w:unhideWhenUsed/>
    <w:qFormat/>
    <w:uiPriority w:val="0"/>
    <w:pPr>
      <w:spacing w:before="50" w:beforeLines="50" w:afterLines="0" w:line="240" w:lineRule="auto"/>
      <w:ind w:firstLine="0" w:firstLineChars="0"/>
      <w:jc w:val="center"/>
      <w:textAlignment w:val="center"/>
    </w:pPr>
    <w:rPr>
      <w:rFonts w:hint="default"/>
      <w:b/>
      <w:sz w:val="21"/>
      <w:szCs w:val="22"/>
    </w:rPr>
  </w:style>
  <w:style w:type="paragraph" w:customStyle="1" w:styleId="84">
    <w:name w:val="表头"/>
    <w:basedOn w:val="85"/>
    <w:next w:val="1"/>
    <w:qFormat/>
    <w:uiPriority w:val="0"/>
    <w:pPr>
      <w:spacing w:before="50" w:beforeLines="50" w:line="240" w:lineRule="auto"/>
      <w:ind w:firstLine="0" w:firstLineChars="0"/>
      <w:jc w:val="center"/>
    </w:pPr>
    <w:rPr>
      <w:b/>
      <w:sz w:val="21"/>
      <w:szCs w:val="20"/>
    </w:rPr>
  </w:style>
  <w:style w:type="paragraph" w:customStyle="1" w:styleId="85">
    <w:name w:val="正文1"/>
    <w:basedOn w:val="9"/>
    <w:next w:val="9"/>
    <w:qFormat/>
    <w:uiPriority w:val="0"/>
    <w:pPr>
      <w:spacing w:line="520" w:lineRule="exact"/>
      <w:ind w:firstLine="584"/>
      <w:textAlignment w:val="baseline"/>
    </w:pPr>
    <w:rPr>
      <w:rFonts w:ascii="宋体" w:hAnsi="宋体"/>
      <w:snapToGrid w:val="0"/>
      <w:color w:val="000000"/>
      <w:spacing w:val="6"/>
      <w:kern w:val="0"/>
      <w:sz w:val="28"/>
    </w:rPr>
  </w:style>
  <w:style w:type="paragraph" w:customStyle="1" w:styleId="86">
    <w:name w:val="0"/>
    <w:basedOn w:val="1"/>
    <w:qFormat/>
    <w:uiPriority w:val="0"/>
    <w:pPr>
      <w:tabs>
        <w:tab w:val="left" w:pos="975"/>
      </w:tabs>
      <w:wordWrap w:val="0"/>
      <w:overflowPunct w:val="0"/>
      <w:snapToGrid w:val="0"/>
      <w:jc w:val="left"/>
    </w:pPr>
    <w:rPr>
      <w:rFonts w:ascii="Arial" w:hAnsi="宋体" w:eastAsia="仿宋_GB2312"/>
      <w:sz w:val="18"/>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cbaa0a90-f240-40eb-98a2-563ae2fc0652</errorID>
      <errorWord>勘查</errorWord>
      <group>L1_Word</group>
      <groupName>字词问题</groupName>
      <ability>L2_Typo</ability>
      <abilityName>字词错误</abilityName>
      <candidateList>
        <item>勘察</item>
      </candidateList>
      <explain>存在发音相同字词的误用。</explain>
      <paraID>374B1029</paraID>
      <start>13</start>
      <end>15</end>
      <status>ignored</status>
      <modifiedWord/>
      <trackRevisions>false</trackRevisions>
    </reviewItem>
    <reviewItem>
      <errorID>103533da-bc91-44db-bdf0-71fa0fd253ee</errorID>
      <errorWord>砂铁</errorWord>
      <group>L1_Word</group>
      <groupName>字词问题</groupName>
      <ability>L2_Typo</ability>
      <abilityName>字词错误</abilityName>
      <candidateList>
        <item>砂铁矿</item>
      </candidateList>
      <explain/>
      <paraID>64CCB8B9</paraID>
      <start>293</start>
      <end>295</end>
      <status>ignored</status>
      <modifiedWord/>
      <trackRevisions>false</trackRevisions>
    </reviewItem>
    <reviewItem>
      <errorID>5e1438a2-85dc-4150-8a34-8d0f88fe9198</errorID>
      <errorWord>、</errorWord>
      <group>L1_Word</group>
      <groupName>字词问题</groupName>
      <ability>L2_Typo</ability>
      <abilityName>字词错误</abilityName>
      <candidateList>
        <item>矿、</item>
      </candidateList>
      <explain/>
      <paraID>64CCB8B9</paraID>
      <start>297</start>
      <end>298</end>
      <status>ignored</status>
      <modifiedWord/>
      <trackRevisions>false</trackRevisions>
    </reviewItem>
    <reviewItem>
      <errorID>681737eb-6ca5-4e19-b3bf-42e68dd6d6c0</errorID>
      <errorWord>、和</errorWord>
      <group>L1_Punc</group>
      <groupName>标点问题</groupName>
      <ability>L2_Punc_CN</ability>
      <abilityName>标点符号问题</abilityName>
      <candidateList>
        <item>和</item>
      </candidateList>
      <explain>“及”“和”“等”连词前不宜使用顿号，建议删除（或使用逗号）。</explain>
      <paraID> 9F99D3F</paraID>
      <start>92</start>
      <end>94</end>
      <status>ignored</status>
      <modifiedWord/>
      <trackRevisions>false</trackRevisions>
    </reviewItem>
    <reviewItem>
      <errorID>512ce06c-5d4f-408b-b64b-2eb6b9f9404a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628826B0</paraID>
      <start>64</start>
      <end>65</end>
      <status>ignored</status>
      <modifiedWord/>
      <trackRevisions>false</trackRevisions>
    </reviewItem>
    <reviewItem>
      <errorID>f95b6288-8fa0-46dc-9767-a6eca855da46</errorID>
      <errorWord>区域、国家重点生态功能区</errorWord>
      <group>L1_Grammar</group>
      <groupName>语法问题</groupName>
      <ability>L2_Grammar</ability>
      <abilityName>语法错误</abilityName>
      <candidateList>
        <item>区域</item>
      </candidateList>
      <explain/>
      <paraID>2D166D69</paraID>
      <start>201</start>
      <end>213</end>
      <status>ignored</status>
      <modifiedWord/>
      <trackRevisions>false</trackRevisions>
    </reviewItem>
    <reviewItem>
      <errorID>6ff42358-8ce0-472a-a874-7ea78f1b7cab</errorID>
      <errorWord>区域、国家重点生态功能区</errorWord>
      <group>L1_Grammar</group>
      <groupName>语法问题</groupName>
      <ability>L2_Grammar</ability>
      <abilityName>语法错误</abilityName>
      <candidateList>
        <item>区域</item>
      </candidateList>
      <explain/>
      <paraID>33E50106</paraID>
      <start>34</start>
      <end>46</end>
      <status>ignored</status>
      <modifiedWord/>
      <trackRevisions>false</trackRevisions>
    </reviewItem>
    <reviewItem>
      <errorID>e2f719db-7f5e-4327-b531-19bac1235299</errorID>
      <errorWord>禁止</errorWord>
      <group>L1_Grammar</group>
      <groupName>语法问题</groupName>
      <ability>L2_Grammar</ability>
      <abilityName>语法错误</abilityName>
      <candidateList>
        <item>所列禁止</item>
      </candidateList>
      <explain/>
      <paraID>60255A62</paraID>
      <start>64</start>
      <end>66</end>
      <status>ignored</status>
      <modifiedWord/>
      <trackRevisions>false</trackRevisions>
    </reviewItem>
    <reviewItem>
      <errorID>b6d93f6a-99b1-4b19-9fdb-67963f6c20b9</errorID>
      <errorWord>充填回填</errorWord>
      <group>L1_Grammar</group>
      <groupName>语法问题</groupName>
      <ability>L2_Grammar</ability>
      <abilityName>语法错误</abilityName>
      <candidateList>
        <item>充填</item>
      </candidateList>
      <explain/>
      <paraID>3311A64D</paraID>
      <start>100</start>
      <end>104</end>
      <status>ignored</status>
      <modifiedWord/>
      <trackRevisions>false</trackRevisions>
    </reviewItem>
    <reviewItem>
      <errorID>0994e9a0-ad02-4a48-a450-8b8d70be6527</errorID>
      <errorWord>（</errorWord>
      <group>L1_Punc</group>
      <groupName>标点问题</groupName>
      <ability>L2_Punc_CN</ability>
      <abilityName>标点符号问题</abilityName>
      <candidateList/>
      <explain>同一形式括号套用。</explain>
      <paraID>46324A76</paraID>
      <start>28</start>
      <end>29</end>
      <status>ignored</status>
      <modifiedWord/>
      <trackRevisions>false</trackRevisions>
    </reviewItem>
    <reviewItem>
      <errorID>eab6a8a7-4a1e-4453-8be6-45bb1f785fc1</errorID>
      <errorWord>）</errorWord>
      <group>L1_Punc</group>
      <groupName>标点问题</groupName>
      <ability>L2_Punc_CN</ability>
      <abilityName>标点符号问题</abilityName>
      <candidateList/>
      <explain>同一形式括号套用。</explain>
      <paraID>46324A76</paraID>
      <start>44</start>
      <end>45</end>
      <status>ignored</status>
      <modifiedWord/>
      <trackRevisions>false</trackRevisions>
    </reviewItem>
    <reviewItem>
      <errorID>3c6f993b-28ee-4dd9-acfe-e6be7be9da9b</errorID>
      <errorWord>勘查</errorWord>
      <group>L1_Word</group>
      <groupName>字词问题</groupName>
      <ability>L2_Typo</ability>
      <abilityName>字词错误</abilityName>
      <candidateList>
        <item>勘察</item>
      </candidateList>
      <explain>存在发音相同字词的误用。</explain>
      <paraID>75D92724</paraID>
      <start>23</start>
      <end>25</end>
      <status>ignored</status>
      <modifiedWord/>
      <trackRevisions>false</trackRevisions>
    </reviewItem>
    <reviewItem>
      <errorID>6db117cc-0ca2-44ef-86ff-b57675517361</errorID>
      <errorWord>上线</errorWord>
      <group>L1_Word</group>
      <groupName>字词问题</groupName>
      <ability>L2_Typo</ability>
      <abilityName>字词错误</abilityName>
      <candidateList>
        <item>上限</item>
      </candidateList>
      <explain/>
      <paraID>7F582650</paraID>
      <start>48</start>
      <end>50</end>
      <status>ignored</status>
      <modifiedWord/>
      <trackRevisions>false</trackRevisions>
    </reviewItem>
    <reviewItem>
      <errorID>035d893b-ed72-45f6-965f-77509db0bbe5</errorID>
      <errorWord> </errorWord>
      <group>L1_Word</group>
      <groupName>字词问题</groupName>
      <ability>L2_Typo</ability>
      <abilityName>字词错误</abilityName>
      <candidateList>
        <item>°</item>
      </candidateList>
      <explain/>
      <paraID>6FE24F89</paraID>
      <start>36</start>
      <end>37</end>
      <status>ignored</status>
      <modifiedWord/>
      <trackRevisions>false</trackRevisions>
    </reviewItem>
    <reviewItem>
      <errorID>b0793e80-d498-4f08-871a-4c3927ccb9cd</errorID>
      <errorWord>10m3</errorWord>
      <group>L1_Word</group>
      <groupName>字词问题</groupName>
      <ability>L2_Typo</ability>
      <abilityName>字词错误</abilityName>
      <candidateList>
        <item>10m³</item>
      </candidateList>
      <explain/>
      <paraID>1F8ADE75</paraID>
      <start>19</start>
      <end>23</end>
      <status>ignored</status>
      <modifiedWord/>
      <trackRevisions>false</trackRevisions>
    </reviewItem>
    <reviewItem>
      <errorID>c3a60973-c4b7-4803-8dfc-f0b0f78b3a9c</errorID>
      <errorWord>贮存区</errorWord>
      <group>L1_Word</group>
      <groupName>字词问题</groupName>
      <ability>L2_Typo</ability>
      <abilityName>字词错误</abilityName>
      <candidateList>
        <item>储存区</item>
      </candidateList>
      <explain/>
      <paraID>707BA165</paraID>
      <start>25</start>
      <end>28</end>
      <status>ignored</status>
      <modifiedWord/>
      <trackRevisions>false</trackRevisions>
    </reviewItem>
    <reviewItem>
      <errorID>08050b27-3d22-4bcf-8671-454e1d71cb97</errorID>
      <errorWord> </errorWord>
      <group>L1_Punc</group>
      <groupName>标点问题</groupName>
      <ability>L2_Punc_CN</ability>
      <abilityName>标点符号问题</abilityName>
      <candidateList>
        <item>·</item>
      </candidateList>
      <explain/>
      <paraID>30E86DE6</paraID>
      <start>64</start>
      <end>65</end>
      <status>ignored</status>
      <modifiedWord/>
      <trackRevisions>false</trackRevisions>
    </reviewItem>
    <reviewItem>
      <errorID>0314d74c-7401-49f2-98d6-7d7f6568e85f</errorID>
      <errorWord>1m3</errorWord>
      <group>L1_Word</group>
      <groupName>字词问题</groupName>
      <ability>L2_Typo</ability>
      <abilityName>字词错误</abilityName>
      <candidateList>
        <item>1m³</item>
      </candidateList>
      <explain/>
      <paraID>72189E01</paraID>
      <start>19</start>
      <end>22</end>
      <status>ignored</status>
      <modifiedWord/>
      <trackRevisions>false</trackRevisions>
    </reviewItem>
    <reviewItem>
      <errorID>22fedec5-12d6-4c12-8a14-791d79e86f64</errorID>
      <errorWord>。</errorWord>
      <group>L1_Grammar</group>
      <groupName>语法问题</groupName>
      <ability>L2_Grammar</ability>
      <abilityName>语法错误</abilityName>
      <candidateList>
        <item>[具体数值]。</item>
      </candidateList>
      <explain/>
      <paraID>72189E01</paraID>
      <start>27</start>
      <end>28</end>
      <status>ignored</status>
      <modifiedWord/>
      <trackRevisions>false</trackRevisions>
    </reviewItem>
    <reviewItem>
      <errorID>075f5ca1-0317-40fe-8292-636f68e66724</errorID>
      <errorWord>47km2</errorWord>
      <group>L1_Word</group>
      <groupName>字词问题</groupName>
      <ability>L2_Typo</ability>
      <abilityName>字词错误</abilityName>
      <candidateList>
        <item>47km²</item>
      </candidateList>
      <explain/>
      <paraID>31655FF1</paraID>
      <start>30</start>
      <end>35</end>
      <status>ignored</status>
      <modifiedWord/>
      <trackRevisions>false</trackRevisions>
    </reviewItem>
    <reviewItem>
      <errorID>d53b6546-e846-4965-8ca6-d22ec3150393</errorID>
      <errorWord>为了</errorWord>
      <group>L1_Word</group>
      <groupName>字词问题</groupName>
      <ability>L2_Typo</ability>
      <abilityName>字词错误</abilityName>
      <candidateList>
        <item>以</item>
      </candidateList>
      <explain/>
      <paraID>131C21C4</paraID>
      <start>23</start>
      <end>25</end>
      <status>ignored</status>
      <modifiedWord/>
      <trackRevisions>false</trackRevisions>
    </reviewItem>
    <reviewItem>
      <errorID>4d1fdbed-0a20-40ab-8690-9b14372efe6e</errorID>
      <errorWord>75，计</errorWord>
      <group>L1_Word</group>
      <groupName>字词问题</groupName>
      <ability>L2_Typo</ability>
      <abilityName>字词错误</abilityName>
      <candidateList>
        <item>75mm，</item>
      </candidateList>
      <explain/>
      <paraID>6AF3CEDA</paraID>
      <start>36</start>
      <end>41</end>
      <status>modified</status>
      <modifiedWord>75mm，</modifiedWord>
      <trackRevisions>false</trackRevisions>
    </reviewItem>
    <reviewItem>
      <errorID>973c7f6e-5300-4ca3-ad87-76b3e5a5a251</errorID>
      <errorWord> </errorWord>
      <group>L1_Word</group>
      <groupName>字词问题</groupName>
      <ability>L2_Typo</ability>
      <abilityName>字词错误</abilityName>
      <candidateList>
        <item>°</item>
      </candidateList>
      <explain/>
      <paraID>6AF3CEDA</paraID>
      <start>45</start>
      <end>46</end>
      <status>ignored</status>
      <modifiedWord/>
      <trackRevisions>false</trackRevisions>
    </reviewItem>
    <reviewItem>
      <errorID>10e5c259-e386-4234-b242-dcaf9b78fc5f</errorID>
      <errorWord>采取</errorWord>
      <group>L1_Word</group>
      <groupName>字词问题</groupName>
      <ability>L2_Typo</ability>
      <abilityName>字词错误</abilityName>
      <candidateList>
        <item>采集</item>
      </candidateList>
      <explain/>
      <paraID>7240CA74</paraID>
      <start>6</start>
      <end>8</end>
      <status>ignored</status>
      <modifiedWord/>
      <trackRevisions>false</trackRevisions>
    </reviewItem>
    <reviewItem>
      <errorID>ea808808-4669-4fe8-99b0-8f42925bde0c</errorID>
      <errorWord>存在</errorWord>
      <group>L1_Word</group>
      <groupName>字词问题</groupName>
      <ability>L2_Typo</ability>
      <abilityName>字词错误</abilityName>
      <candidateList>
        <item>进行</item>
      </candidateList>
      <explain/>
      <paraID>6325CCBB</paraID>
      <start>40</start>
      <end>42</end>
      <status>ignored</status>
      <modifiedWord/>
      <trackRevisions>false</trackRevisions>
    </reviewItem>
    <reviewItem>
      <errorID>1b06add1-1859-4606-9ef8-b8563702b2b2</errorID>
      <errorWord>，</errorWord>
      <group>L1_Grammar</group>
      <groupName>语法问题</groupName>
      <ability>L2_Grammar</ability>
      <abilityName>语法错误</abilityName>
      <candidateList>
        <item>作业，</item>
      </candidateList>
      <explain/>
      <paraID>6325CCBB</paraID>
      <start>47</start>
      <end>48</end>
      <status>ignored</status>
      <modifiedWord/>
      <trackRevisions>false</trackRevisions>
    </reviewItem>
    <reviewItem>
      <errorID>23c18c54-96a3-433c-a46c-af1fc2dd72d9</errorID>
      <errorWord>附近处</errorWord>
      <group>L1_Word</group>
      <groupName>字词问题</groupName>
      <ability>L2_Typo</ability>
      <abilityName>字词错误</abilityName>
      <candidateList>
        <item>附近</item>
      </candidateList>
      <explain/>
      <paraID>1B1A6580</paraID>
      <start>14</start>
      <end>16</end>
      <status>modified</status>
      <modifiedWord>附近</modifiedWord>
      <trackRevisions>false</trackRevisions>
    </reviewItem>
    <reviewItem>
      <errorID>f4717d5e-6e4e-4fc9-b81f-10ccbaa3b7e9</errorID>
      <errorWord>和</errorWord>
      <group>L1_Word</group>
      <groupName>字词问题</groupName>
      <ability>L2_Typo</ability>
      <abilityName>字词错误</abilityName>
      <candidateList>
        <item>、</item>
      </candidateList>
      <explain/>
      <paraID>619BE49A</paraID>
      <start>21</start>
      <end>22</end>
      <status>ignored</status>
      <modifiedWord/>
      <trackRevisions>false</trackRevisions>
    </reviewItem>
    <reviewItem>
      <errorID>d4e2e90e-e287-4a7f-a55c-5b126032b579</errorID>
      <errorWord>20m3</errorWord>
      <group>L1_Word</group>
      <groupName>字词问题</groupName>
      <ability>L2_Typo</ability>
      <abilityName>字词错误</abilityName>
      <candidateList>
        <item>20m³</item>
      </candidateList>
      <explain/>
      <paraID>36DE9D13</paraID>
      <start>15</start>
      <end>19</end>
      <status>ignored</status>
      <modifiedWord/>
      <trackRevisions>false</trackRevisions>
    </reviewItem>
    <reviewItem>
      <errorID>9757c683-4b19-4efc-9641-1136a3d837eb</errorID>
      <errorWord>5m3</errorWord>
      <group>L1_Word</group>
      <groupName>字词问题</groupName>
      <ability>L2_Typo</ability>
      <abilityName>字词错误</abilityName>
      <candidateList>
        <item>5m³</item>
      </candidateList>
      <explain/>
      <paraID>36DE9D13</paraID>
      <start>88</start>
      <end>91</end>
      <status>ignored</status>
      <modifiedWord/>
      <trackRevisions>false</trackRevisions>
    </reviewItem>
    <reviewItem>
      <errorID>55df994f-af3d-40dd-8232-b7d6bd4bcfce</errorID>
      <errorWord>40m3</errorWord>
      <group>L1_Word</group>
      <groupName>字词问题</groupName>
      <ability>L2_Typo</ability>
      <abilityName>字词错误</abilityName>
      <candidateList>
        <item>40m³</item>
      </candidateList>
      <explain/>
      <paraID>36DE9D13</paraID>
      <start>117</start>
      <end>121</end>
      <status>ignored</status>
      <modifiedWord/>
      <trackRevisions>false</trackRevisions>
    </reviewItem>
    <reviewItem>
      <errorID>4b2908dd-98fa-49e7-84da-2a991ca35272</errorID>
      <errorWord>5873m2</errorWord>
      <group>L1_Word</group>
      <groupName>字词问题</groupName>
      <ability>L2_Typo</ability>
      <abilityName>字词错误</abilityName>
      <candidateList>
        <item>5873m²</item>
      </candidateList>
      <explain/>
      <paraID>36DE9D13</paraID>
      <start>147</start>
      <end>153</end>
      <status>ignored</status>
      <modifiedWord/>
      <trackRevisions>false</trackRevisions>
    </reviewItem>
    <reviewItem>
      <errorID>b786d773-c435-41f2-a353-51ef8ad8f71a</errorID>
      <errorWord>9m3</errorWord>
      <group>L1_Word</group>
      <groupName>字词问题</groupName>
      <ability>L2_Typo</ability>
      <abilityName>字词错误</abilityName>
      <candidateList>
        <item>9m³</item>
      </candidateList>
      <explain/>
      <paraID>36DE9D13</paraID>
      <start>174</start>
      <end>177</end>
      <status>ignored</status>
      <modifiedWord/>
      <trackRevisions>false</trackRevisions>
    </reviewItem>
    <reviewItem>
      <errorID>c2c7a49e-cb00-4f0b-85c7-ca96d53198e2</errorID>
      <errorWord>洽草</errorWord>
      <group>L1_Word</group>
      <groupName>字词问题</groupName>
      <ability>L2_Typo</ability>
      <abilityName>字词错误</abilityName>
      <candidateList>
        <item>洽谈</item>
      </candidateList>
      <explain/>
      <paraID>26243FA7</paraID>
      <start>0</start>
      <end>2</end>
      <status>ignored</status>
      <modifiedWord/>
      <trackRevisions>false</trackRevisions>
    </reviewItem>
    <reviewItem>
      <errorID>c2f2d0ea-430b-497e-9ec8-23bd779b7f93</errorID>
      <errorWord>以</errorWord>
      <group>L1_Grammar</group>
      <groupName>语法问题</groupName>
      <ability>L2_Grammar</ability>
      <abilityName>语法错误</abilityName>
      <candidateList>
        <item>区内动物以</item>
      </candidateList>
      <explain/>
      <paraID> 8F550B3</paraID>
      <start>20</start>
      <end>21</end>
      <status>ignored</status>
      <modifiedWord/>
      <trackRevisions>false</trackRevisions>
    </reviewItem>
    <reviewItem>
      <errorID>8a9d58b2-2bdd-4086-92de-b4c0dc3a4f59</errorID>
      <errorWord>法律、法规</errorWord>
      <group>L1_Word</group>
      <groupName>字词问题</groupName>
      <ability>L2_Typo</ability>
      <abilityName>字词错误</abilityName>
      <candidateList>
        <item>法律法规</item>
      </candidateList>
      <explain/>
      <paraID>75CBE484</paraID>
      <start>44</start>
      <end>49</end>
      <status>ignored</status>
      <modifiedWord/>
      <trackRevisions>false</trackRevisions>
    </reviewItem>
    <reviewItem>
      <errorID>b0bcc32e-93e2-4d26-97c5-8da01419257e</errorID>
      <errorWord>GB3095</errorWord>
      <group>L1_Word</group>
      <groupName>字词问题</groupName>
      <ability>L2_Typo</ability>
      <abilityName>字词错误</abilityName>
      <candidateList>
        <item>GB 3095</item>
      </candidateList>
      <explain/>
      <paraID> AF0A551</paraID>
      <start>19</start>
      <end>26</end>
      <status>modified</status>
      <modifiedWord>GB 3095</modifiedWord>
      <trackRevisions>false</trackRevisions>
    </reviewItem>
    <reviewItem>
      <errorID>9619df01-239c-467e-b4d0-3d989ba49a92</errorID>
      <errorWord>GB3096</errorWord>
      <group>L1_Word</group>
      <groupName>字词问题</groupName>
      <ability>L2_Typo</ability>
      <abilityName>字词错误</abilityName>
      <candidateList>
        <item>GB 3096</item>
      </candidateList>
      <explain/>
      <paraID>3CD6D016</paraID>
      <start>23</start>
      <end>30</end>
      <status>modified</status>
      <modifiedWord>GB 3096</modifiedWord>
      <trackRevisions>false</trackRevisions>
    </reviewItem>
    <reviewItem>
      <errorID>77baed7e-2f9f-40aa-92fb-b7678aa48172</errorID>
      <errorWord>m3</errorWord>
      <group>L1_Word</group>
      <groupName>字词问题</groupName>
      <ability>L2_Typo</ability>
      <abilityName>字词错误</abilityName>
      <candidateList>
        <item>m³</item>
      </candidateList>
      <explain/>
      <paraID>50403295</paraID>
      <start>3</start>
      <end>5</end>
      <status>ignored</status>
      <modifiedWord/>
      <trackRevisions>false</trackRevisions>
    </reviewItem>
    <reviewItem>
      <errorID>6f252645-2209-42e9-8d61-643436dfe84a</errorID>
      <errorWord>kWh</errorWord>
      <group>L1_Grammar</group>
      <groupName>语法问题</groupName>
      <ability>L2_Grammar</ability>
      <abilityName>语法错误</abilityName>
      <candidateList>
        <item>(kW·h)</item>
      </candidateList>
      <explain/>
      <paraID>5BDA0A0C</paraID>
      <start>2</start>
      <end>8</end>
      <status>modified</status>
      <modifiedWord>(kW h)</modifiedWord>
      <trackRevisions>false</trackRevisions>
    </reviewItem>
    <reviewItem>
      <errorID>164db8e8-a7e3-40a2-8f50-563b85ffab89</errorID>
      <errorWord>与风速、</errorWord>
      <group>L1_Grammar</group>
      <groupName>语法问题</groupName>
      <ability>L2_Grammar</ability>
      <abilityName>语法错误</abilityName>
      <candidateList>
        <item>与</item>
      </candidateList>
      <explain/>
      <paraID> BA400C9</paraID>
      <start>42</start>
      <end>46</end>
      <status>ignored</status>
      <modifiedWord/>
      <trackRevisions>false</trackRevisions>
    </reviewItem>
    <reviewItem>
      <errorID>9e171903-a0c5-40e1-b372-7c82364eeea6</errorID>
      <errorWord>法律、法规</errorWord>
      <group>L1_Word</group>
      <groupName>字词问题</groupName>
      <ability>L2_Typo</ability>
      <abilityName>字词错误</abilityName>
      <candidateList>
        <item>法律法规</item>
      </candidateList>
      <explain/>
      <paraID>4BA07671</paraID>
      <start>39</start>
      <end>44</end>
      <status>ignored</status>
      <modifiedWord/>
      <trackRevisions>false</trackRevisions>
    </reviewItem>
    <reviewItem>
      <errorID>1d8e362a-b615-4594-a754-20330238856e</errorID>
      <errorWord>征状</errorWord>
      <group>L1_Word</group>
      <groupName>字词问题</groupName>
      <ability>L2_Typo</ability>
      <abilityName>字词错误</abilityName>
      <candidateList>
        <item>症状</item>
      </candidateList>
      <explain/>
      <paraID> E230263</paraID>
      <start>59</start>
      <end>61</end>
      <status>modified</status>
      <modifiedWord>症状</modifiedWord>
      <trackRevisions>false</trackRevisions>
    </reviewItem>
    <reviewItem>
      <errorID>b7feb45e-7157-4290-b0ec-6327f29d1511</errorID>
      <errorWord>程</errorWord>
      <group>L1_Word</group>
      <groupName>字词问题</groupName>
      <ability>L2_Typo</ability>
      <abilityName>字词错误</abilityName>
      <candidateList>
        <item>程中</item>
      </candidateList>
      <explain/>
      <paraID>7C7BC17D</paraID>
      <start>4</start>
      <end>6</end>
      <status>modified</status>
      <modifiedWord>程中</modifiedWord>
      <trackRevisions>false</trackRevisions>
    </reviewItem>
    <reviewItem>
      <errorID>1114c634-1ffe-410e-850a-11437eb24dc8</errorID>
      <errorWord>勘查</errorWord>
      <group>L1_Word</group>
      <groupName>字词问题</groupName>
      <ability>L2_Typo</ability>
      <abilityName>字词错误</abilityName>
      <candidateList>
        <item>勘察</item>
      </candidateList>
      <explain>存在发音相同字词的误用。</explain>
      <paraID> B18A36B</paraID>
      <start>7</start>
      <end>9</end>
      <status>ignored</status>
      <modifiedWord/>
      <trackRevisions>false</trackRevisions>
    </reviewItem>
  </reviewItems>
  <config/>
</contractReview>
</file>

<file path=customXml/itemProps1.xml><?xml version="1.0" encoding="utf-8"?>
<ds:datastoreItem xmlns:ds="http://schemas.openxmlformats.org/officeDocument/2006/customXml" ds:itemID="{bd8734ba-c43b-45b8-a180-c948228df5a5}">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75</Pages>
  <Words>16162</Words>
  <Characters>16987</Characters>
  <Lines>9</Lines>
  <Paragraphs>2</Paragraphs>
  <TotalTime>8</TotalTime>
  <ScaleCrop>false</ScaleCrop>
  <LinksUpToDate>false</LinksUpToDate>
  <CharactersWithSpaces>17110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倚窗望流年</cp:lastModifiedBy>
  <cp:lastPrinted>2025-09-25T04:06:00Z</cp:lastPrinted>
  <dcterms:modified xsi:type="dcterms:W3CDTF">2026-09-07T08:17:58Z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FA6A7E04EAAB406A86D53D0523BA74D9_13</vt:lpwstr>
  </property>
  <property fmtid="{D5CDD505-2E9C-101B-9397-08002B2CF9AE}" pid="4" name="KSOTemplateDocerSaveRecord">
    <vt:lpwstr>eyJoZGlkIjoiNDg3YjJkY2Y2ZmFjMDViNzY3MWJkODIyYjk0MzZmNjUiLCJ1c2VySWQiOiI1MDkzNDEyMjMifQ==</vt:lpwstr>
  </property>
</Properties>
</file>